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D1D" w:rsidRPr="0082501F" w:rsidRDefault="00E37D1D" w:rsidP="004C1AE2">
      <w:pPr>
        <w:pStyle w:val="NoSpacing"/>
        <w:jc w:val="center"/>
        <w:rPr>
          <w:rFonts w:asciiTheme="majorBidi" w:hAnsiTheme="majorBidi" w:cstheme="majorBidi"/>
          <w:sz w:val="24"/>
          <w:szCs w:val="24"/>
        </w:rPr>
      </w:pPr>
    </w:p>
    <w:p w:rsidR="007C0793" w:rsidRDefault="007C0793" w:rsidP="004C1AE2">
      <w:pPr>
        <w:pStyle w:val="NoSpacing"/>
        <w:jc w:val="center"/>
        <w:rPr>
          <w:rFonts w:ascii="Georgia" w:hAnsi="Georgia"/>
          <w:sz w:val="28"/>
        </w:rPr>
      </w:pPr>
    </w:p>
    <w:p w:rsidR="007C0793" w:rsidRDefault="007C0793" w:rsidP="004C1AE2">
      <w:pPr>
        <w:pStyle w:val="NoSpacing"/>
        <w:jc w:val="center"/>
        <w:rPr>
          <w:rFonts w:ascii="Georgia" w:hAnsi="Georgia"/>
          <w:sz w:val="28"/>
        </w:rPr>
      </w:pPr>
    </w:p>
    <w:p w:rsidR="004C1AE2" w:rsidRPr="004C1AE2" w:rsidRDefault="004C1AE2" w:rsidP="004C1AE2">
      <w:pPr>
        <w:pStyle w:val="NoSpacing"/>
        <w:jc w:val="center"/>
        <w:rPr>
          <w:rFonts w:ascii="Georgia" w:hAnsi="Georgia"/>
          <w:sz w:val="28"/>
        </w:rPr>
      </w:pPr>
      <w:r w:rsidRPr="001A49A6">
        <w:rPr>
          <w:rFonts w:ascii="Georgia" w:hAnsi="Georgia"/>
          <w:sz w:val="28"/>
        </w:rPr>
        <w:t>Czech University of Life Sciences Prague</w:t>
      </w:r>
    </w:p>
    <w:p w:rsidR="004C1AE2" w:rsidRDefault="004C1AE2" w:rsidP="004C1AE2">
      <w:pPr>
        <w:pStyle w:val="NoSpacing"/>
        <w:jc w:val="center"/>
        <w:rPr>
          <w:rFonts w:ascii="Georgia" w:hAnsi="Georgia"/>
          <w:sz w:val="28"/>
        </w:rPr>
      </w:pPr>
      <w:r w:rsidRPr="001A49A6">
        <w:rPr>
          <w:rFonts w:ascii="Georgia" w:hAnsi="Georgia"/>
          <w:sz w:val="28"/>
        </w:rPr>
        <w:t>Faculty of Economics and Management</w:t>
      </w:r>
    </w:p>
    <w:p w:rsidR="004C1AE2" w:rsidRDefault="009C26B4" w:rsidP="004C1AE2">
      <w:pPr>
        <w:pStyle w:val="NoSpacing"/>
        <w:jc w:val="center"/>
        <w:rPr>
          <w:rFonts w:ascii="Georgia" w:hAnsi="Georgia"/>
          <w:sz w:val="28"/>
        </w:rPr>
      </w:pPr>
      <w:r>
        <w:rPr>
          <w:rFonts w:ascii="Georgia" w:hAnsi="Georgia"/>
          <w:sz w:val="28"/>
        </w:rPr>
        <w:t>Department of Economics</w:t>
      </w:r>
    </w:p>
    <w:p w:rsidR="004C1AE2" w:rsidRPr="001A49A6" w:rsidRDefault="004C1AE2" w:rsidP="004C1AE2">
      <w:pPr>
        <w:pStyle w:val="NoSpacing"/>
        <w:jc w:val="center"/>
        <w:rPr>
          <w:rFonts w:ascii="Georgia" w:hAnsi="Georgia"/>
          <w:sz w:val="28"/>
        </w:rPr>
      </w:pPr>
      <w:r w:rsidRPr="004C1AE2">
        <w:rPr>
          <w:rFonts w:ascii="Georgia" w:hAnsi="Georgia"/>
          <w:noProof/>
          <w:sz w:val="28"/>
        </w:rPr>
        <w:drawing>
          <wp:anchor distT="0" distB="0" distL="114300" distR="114300" simplePos="0" relativeHeight="251814912" behindDoc="0" locked="0" layoutInCell="1" allowOverlap="1">
            <wp:simplePos x="0" y="0"/>
            <wp:positionH relativeFrom="column">
              <wp:posOffset>1751965</wp:posOffset>
            </wp:positionH>
            <wp:positionV relativeFrom="paragraph">
              <wp:posOffset>85090</wp:posOffset>
            </wp:positionV>
            <wp:extent cx="2623185" cy="1605280"/>
            <wp:effectExtent l="19050" t="0" r="5715" b="0"/>
            <wp:wrapSquare wrapText="bothSides"/>
            <wp:docPr id="45" name="obrázek 1" descr="EN_logo_CZU_zelena_zluta_1200d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N_logo_CZU_zelena_zluta_1200dpi[1]"/>
                    <pic:cNvPicPr>
                      <a:picLocks noChangeAspect="1" noChangeArrowheads="1"/>
                    </pic:cNvPicPr>
                  </pic:nvPicPr>
                  <pic:blipFill>
                    <a:blip r:embed="rId8" cstate="print"/>
                    <a:srcRect/>
                    <a:stretch>
                      <a:fillRect/>
                    </a:stretch>
                  </pic:blipFill>
                  <pic:spPr bwMode="auto">
                    <a:xfrm>
                      <a:off x="0" y="0"/>
                      <a:ext cx="2623185" cy="1605280"/>
                    </a:xfrm>
                    <a:prstGeom prst="rect">
                      <a:avLst/>
                    </a:prstGeom>
                    <a:noFill/>
                  </pic:spPr>
                </pic:pic>
              </a:graphicData>
            </a:graphic>
          </wp:anchor>
        </w:drawing>
      </w:r>
    </w:p>
    <w:p w:rsidR="004C1AE2" w:rsidRDefault="004C1AE2" w:rsidP="00601DCE">
      <w:pPr>
        <w:spacing w:line="360" w:lineRule="auto"/>
        <w:ind w:left="709" w:firstLine="2127"/>
        <w:jc w:val="center"/>
        <w:rPr>
          <w:rFonts w:asciiTheme="majorBidi" w:hAnsiTheme="majorBidi" w:cstheme="majorBidi"/>
          <w:b/>
          <w:sz w:val="28"/>
          <w:szCs w:val="28"/>
        </w:rPr>
      </w:pPr>
    </w:p>
    <w:p w:rsidR="004C1AE2" w:rsidRDefault="004C1AE2" w:rsidP="00EF5C49">
      <w:pPr>
        <w:spacing w:line="360" w:lineRule="auto"/>
        <w:jc w:val="center"/>
        <w:rPr>
          <w:rFonts w:asciiTheme="majorBidi" w:hAnsiTheme="majorBidi" w:cstheme="majorBidi"/>
          <w:b/>
          <w:sz w:val="28"/>
          <w:szCs w:val="28"/>
        </w:rPr>
      </w:pPr>
    </w:p>
    <w:p w:rsidR="004C1AE2" w:rsidRDefault="004C1AE2" w:rsidP="00EF5C49">
      <w:pPr>
        <w:spacing w:line="360" w:lineRule="auto"/>
        <w:jc w:val="center"/>
        <w:rPr>
          <w:rFonts w:asciiTheme="majorBidi" w:hAnsiTheme="majorBidi" w:cstheme="majorBidi"/>
          <w:b/>
          <w:sz w:val="28"/>
          <w:szCs w:val="28"/>
        </w:rPr>
      </w:pPr>
    </w:p>
    <w:p w:rsidR="001B54D7" w:rsidRDefault="001B54D7" w:rsidP="00926273">
      <w:pPr>
        <w:spacing w:line="360" w:lineRule="auto"/>
        <w:rPr>
          <w:rFonts w:ascii="Georgia" w:hAnsi="Georgia" w:cstheme="majorBidi"/>
          <w:color w:val="000000" w:themeColor="text1"/>
          <w:sz w:val="24"/>
          <w:szCs w:val="24"/>
        </w:rPr>
      </w:pPr>
    </w:p>
    <w:p w:rsidR="00926273" w:rsidRDefault="00926273" w:rsidP="00926273">
      <w:pPr>
        <w:spacing w:line="360" w:lineRule="auto"/>
        <w:rPr>
          <w:rFonts w:asciiTheme="majorBidi" w:hAnsiTheme="majorBidi" w:cstheme="majorBidi"/>
          <w:b/>
          <w:sz w:val="28"/>
          <w:szCs w:val="28"/>
        </w:rPr>
      </w:pPr>
    </w:p>
    <w:p w:rsidR="00A74D90" w:rsidRPr="005E62A7" w:rsidRDefault="006066A6" w:rsidP="00EF5C49">
      <w:pPr>
        <w:spacing w:line="360" w:lineRule="auto"/>
        <w:jc w:val="center"/>
        <w:rPr>
          <w:rFonts w:ascii="Georgia" w:hAnsi="Georgia" w:cstheme="majorBidi"/>
          <w:b/>
          <w:sz w:val="28"/>
          <w:szCs w:val="28"/>
        </w:rPr>
      </w:pPr>
      <w:r>
        <w:rPr>
          <w:rFonts w:ascii="Georgia" w:hAnsi="Georgia" w:cstheme="majorBidi"/>
          <w:b/>
          <w:sz w:val="28"/>
          <w:szCs w:val="28"/>
        </w:rPr>
        <w:t xml:space="preserve">IMPACT OF </w:t>
      </w:r>
      <w:r w:rsidR="00A74D90" w:rsidRPr="004C1AE2">
        <w:rPr>
          <w:rFonts w:ascii="Georgia" w:hAnsi="Georgia" w:cstheme="majorBidi"/>
          <w:b/>
          <w:sz w:val="28"/>
          <w:szCs w:val="28"/>
        </w:rPr>
        <w:t>CREDI</w:t>
      </w:r>
      <w:r>
        <w:rPr>
          <w:rFonts w:ascii="Georgia" w:hAnsi="Georgia" w:cstheme="majorBidi"/>
          <w:b/>
          <w:sz w:val="28"/>
          <w:szCs w:val="28"/>
        </w:rPr>
        <w:t>T RISK POLICIES</w:t>
      </w:r>
      <w:r w:rsidR="00A74D90" w:rsidRPr="004C1AE2">
        <w:rPr>
          <w:rFonts w:ascii="Georgia" w:hAnsi="Georgia" w:cstheme="majorBidi"/>
          <w:b/>
          <w:sz w:val="28"/>
          <w:szCs w:val="28"/>
        </w:rPr>
        <w:t xml:space="preserve"> ON</w:t>
      </w:r>
      <w:r>
        <w:rPr>
          <w:rFonts w:ascii="Georgia" w:hAnsi="Georgia" w:cstheme="majorBidi"/>
          <w:b/>
          <w:sz w:val="28"/>
          <w:szCs w:val="28"/>
        </w:rPr>
        <w:t xml:space="preserve"> PROFITABILITY OF COMMERCIAL BANKING SECTOR</w:t>
      </w:r>
      <w:r w:rsidR="00A74D90" w:rsidRPr="004C1AE2">
        <w:rPr>
          <w:rFonts w:ascii="Georgia" w:hAnsi="Georgia" w:cstheme="majorBidi"/>
          <w:b/>
          <w:sz w:val="28"/>
          <w:szCs w:val="28"/>
        </w:rPr>
        <w:t xml:space="preserve"> IN PALESTINE</w:t>
      </w:r>
    </w:p>
    <w:p w:rsidR="00E37D1D" w:rsidRDefault="00E37D1D" w:rsidP="00A74D90">
      <w:pPr>
        <w:jc w:val="center"/>
        <w:rPr>
          <w:rFonts w:ascii="Times New Roman" w:hAnsi="Times New Roman" w:cs="Times New Roman"/>
          <w:bCs/>
          <w:color w:val="000000" w:themeColor="text1"/>
          <w:sz w:val="28"/>
          <w:szCs w:val="28"/>
        </w:rPr>
      </w:pPr>
    </w:p>
    <w:p w:rsidR="00A74D90" w:rsidRPr="006A3AA9" w:rsidRDefault="0075776F" w:rsidP="00A74D90">
      <w:pPr>
        <w:jc w:val="center"/>
        <w:rPr>
          <w:rFonts w:ascii="Georgia" w:hAnsi="Georgia" w:cs="Times New Roman"/>
          <w:bCs/>
          <w:color w:val="000000" w:themeColor="text1"/>
          <w:sz w:val="24"/>
          <w:szCs w:val="24"/>
        </w:rPr>
      </w:pPr>
      <w:r>
        <w:rPr>
          <w:rFonts w:ascii="Georgia" w:hAnsi="Georgia" w:cs="Times New Roman"/>
          <w:bCs/>
          <w:color w:val="000000" w:themeColor="text1"/>
          <w:sz w:val="24"/>
          <w:szCs w:val="24"/>
        </w:rPr>
        <w:t>By</w:t>
      </w:r>
    </w:p>
    <w:p w:rsidR="005F2328" w:rsidRDefault="004C1AE2" w:rsidP="005F2328">
      <w:pPr>
        <w:jc w:val="center"/>
        <w:rPr>
          <w:rFonts w:ascii="Georgia" w:hAnsi="Georgia" w:cs="Times New Roman"/>
          <w:color w:val="000000" w:themeColor="text1"/>
          <w:sz w:val="24"/>
          <w:szCs w:val="24"/>
        </w:rPr>
      </w:pPr>
      <w:r w:rsidRPr="006A3AA9">
        <w:rPr>
          <w:rFonts w:ascii="Georgia" w:hAnsi="Georgia" w:cs="Times New Roman"/>
          <w:color w:val="000000" w:themeColor="text1"/>
          <w:sz w:val="24"/>
          <w:szCs w:val="24"/>
        </w:rPr>
        <w:t>KHALED A. ZIDAN</w:t>
      </w:r>
    </w:p>
    <w:p w:rsidR="005F2328" w:rsidRPr="005F2328" w:rsidRDefault="005F2328" w:rsidP="005F2328">
      <w:pPr>
        <w:jc w:val="center"/>
        <w:rPr>
          <w:rFonts w:ascii="Georgia" w:hAnsi="Georgia" w:cs="Times New Roman"/>
          <w:color w:val="000000" w:themeColor="text1"/>
          <w:sz w:val="10"/>
          <w:szCs w:val="10"/>
        </w:rPr>
      </w:pPr>
    </w:p>
    <w:p w:rsidR="00926273" w:rsidRPr="006A3AA9" w:rsidRDefault="00926273" w:rsidP="00653858">
      <w:pPr>
        <w:jc w:val="center"/>
        <w:rPr>
          <w:rFonts w:ascii="Georgia" w:hAnsi="Georgia" w:cs="Times New Roman"/>
          <w:color w:val="000000" w:themeColor="text1"/>
          <w:sz w:val="24"/>
          <w:szCs w:val="24"/>
        </w:rPr>
      </w:pPr>
      <w:r w:rsidRPr="006A3AA9">
        <w:rPr>
          <w:rFonts w:ascii="Georgia" w:hAnsi="Georgia" w:cstheme="majorBidi"/>
          <w:color w:val="000000" w:themeColor="text1"/>
          <w:sz w:val="24"/>
          <w:szCs w:val="24"/>
        </w:rPr>
        <w:t>S</w:t>
      </w:r>
      <w:r>
        <w:rPr>
          <w:rFonts w:ascii="Georgia" w:hAnsi="Georgia" w:cstheme="majorBidi"/>
          <w:color w:val="000000" w:themeColor="text1"/>
          <w:sz w:val="24"/>
          <w:szCs w:val="24"/>
        </w:rPr>
        <w:t>upervisor</w:t>
      </w:r>
    </w:p>
    <w:p w:rsidR="00C02881" w:rsidRPr="0075776F" w:rsidRDefault="004A625D" w:rsidP="005F2328">
      <w:pPr>
        <w:pStyle w:val="NoSpacing"/>
        <w:ind w:firstLine="720"/>
        <w:jc w:val="center"/>
        <w:rPr>
          <w:rFonts w:ascii="Georgia" w:hAnsi="Georgia" w:cstheme="majorBidi"/>
          <w:color w:val="000000" w:themeColor="text1"/>
          <w:sz w:val="24"/>
          <w:szCs w:val="24"/>
        </w:rPr>
      </w:pPr>
      <w:r>
        <w:rPr>
          <w:rFonts w:ascii="Georgia" w:hAnsi="Georgia"/>
          <w:sz w:val="24"/>
          <w:szCs w:val="24"/>
          <w:lang w:val="cs-CZ"/>
        </w:rPr>
        <w:t>Assoc. Prof</w:t>
      </w:r>
      <w:r w:rsidR="005F2328">
        <w:rPr>
          <w:rFonts w:ascii="Georgia" w:hAnsi="Georgia"/>
          <w:sz w:val="24"/>
          <w:szCs w:val="24"/>
          <w:lang w:val="cs-CZ"/>
        </w:rPr>
        <w:t>.</w:t>
      </w:r>
      <w:r w:rsidR="00C02881" w:rsidRPr="006A3AA9">
        <w:rPr>
          <w:rFonts w:ascii="Georgia" w:hAnsi="Georgia"/>
          <w:sz w:val="24"/>
          <w:szCs w:val="24"/>
          <w:lang w:val="cs-CZ"/>
        </w:rPr>
        <w:t xml:space="preserve"> MANSOOR MAITAH</w:t>
      </w:r>
    </w:p>
    <w:p w:rsidR="00DD5E7E" w:rsidRDefault="00DD5E7E" w:rsidP="004C1AE2">
      <w:pPr>
        <w:jc w:val="center"/>
        <w:rPr>
          <w:rFonts w:asciiTheme="majorBidi" w:hAnsiTheme="majorBidi" w:cstheme="majorBidi"/>
          <w:color w:val="000000" w:themeColor="text1"/>
          <w:sz w:val="24"/>
          <w:szCs w:val="24"/>
        </w:rPr>
      </w:pPr>
    </w:p>
    <w:p w:rsidR="00D32D0B" w:rsidRPr="002D0D86" w:rsidRDefault="006D46E2" w:rsidP="002D0D86">
      <w:pPr>
        <w:jc w:val="center"/>
        <w:rPr>
          <w:rFonts w:asciiTheme="majorBidi" w:hAnsiTheme="majorBidi" w:cstheme="majorBidi"/>
          <w:color w:val="000000" w:themeColor="text1"/>
          <w:sz w:val="24"/>
          <w:szCs w:val="24"/>
        </w:rPr>
      </w:pPr>
      <w:r w:rsidRPr="006D46E2">
        <w:rPr>
          <w:rFonts w:asciiTheme="majorBidi" w:hAnsiTheme="majorBidi" w:cstheme="majorBidi"/>
          <w:color w:val="000000" w:themeColor="text1"/>
          <w:sz w:val="24"/>
          <w:szCs w:val="24"/>
        </w:rPr>
        <w:t>A DISSERTATION</w:t>
      </w:r>
      <w:r w:rsidR="00D32D0B" w:rsidRPr="007B3F5A">
        <w:rPr>
          <w:rFonts w:ascii="Georgia" w:hAnsi="Georgia" w:cstheme="majorBidi"/>
          <w:color w:val="000000" w:themeColor="text1"/>
          <w:sz w:val="24"/>
          <w:szCs w:val="24"/>
        </w:rPr>
        <w:t xml:space="preserve"> SUB</w:t>
      </w:r>
      <w:r w:rsidR="00E675B6">
        <w:rPr>
          <w:rFonts w:ascii="Georgia" w:hAnsi="Georgia" w:cstheme="majorBidi"/>
          <w:color w:val="000000" w:themeColor="text1"/>
          <w:sz w:val="24"/>
          <w:szCs w:val="24"/>
        </w:rPr>
        <w:t>MITTED IN PARTIAL FULFILLMENT OF</w:t>
      </w:r>
    </w:p>
    <w:p w:rsidR="00D32D0B" w:rsidRPr="007B3F5A" w:rsidRDefault="00D32D0B" w:rsidP="00D32D0B">
      <w:pPr>
        <w:jc w:val="center"/>
        <w:rPr>
          <w:rFonts w:ascii="Georgia" w:hAnsi="Georgia" w:cstheme="majorBidi"/>
          <w:color w:val="000000" w:themeColor="text1"/>
          <w:sz w:val="24"/>
          <w:szCs w:val="24"/>
        </w:rPr>
      </w:pPr>
      <w:r w:rsidRPr="007B3F5A">
        <w:rPr>
          <w:rFonts w:ascii="Georgia" w:hAnsi="Georgia" w:cstheme="majorBidi"/>
          <w:color w:val="000000" w:themeColor="text1"/>
          <w:sz w:val="24"/>
          <w:szCs w:val="24"/>
        </w:rPr>
        <w:t xml:space="preserve">THE REQUIREMENTS FOR THE DEGREE OF </w:t>
      </w:r>
    </w:p>
    <w:p w:rsidR="00D32D0B" w:rsidRPr="007B3F5A" w:rsidRDefault="00D32D0B" w:rsidP="00D32D0B">
      <w:pPr>
        <w:jc w:val="center"/>
        <w:rPr>
          <w:rFonts w:ascii="Georgia" w:hAnsi="Georgia" w:cstheme="majorBidi"/>
          <w:color w:val="000000" w:themeColor="text1"/>
          <w:sz w:val="24"/>
          <w:szCs w:val="24"/>
        </w:rPr>
      </w:pPr>
      <w:r w:rsidRPr="007B3F5A">
        <w:rPr>
          <w:rFonts w:ascii="Georgia" w:hAnsi="Georgia" w:cstheme="majorBidi"/>
          <w:color w:val="000000" w:themeColor="text1"/>
          <w:sz w:val="24"/>
          <w:szCs w:val="24"/>
        </w:rPr>
        <w:t xml:space="preserve">DOCTOR OF PHILOSOPHY </w:t>
      </w:r>
    </w:p>
    <w:p w:rsidR="00D32D0B" w:rsidRPr="007B3F5A" w:rsidRDefault="006F29FC" w:rsidP="00D32D0B">
      <w:pPr>
        <w:jc w:val="center"/>
        <w:rPr>
          <w:rFonts w:ascii="Georgia" w:hAnsi="Georgia" w:cstheme="majorBidi"/>
          <w:color w:val="000000" w:themeColor="text1"/>
          <w:sz w:val="24"/>
          <w:szCs w:val="24"/>
        </w:rPr>
      </w:pPr>
      <w:r w:rsidRPr="007B3F5A">
        <w:rPr>
          <w:rFonts w:ascii="Georgia" w:hAnsi="Georgia" w:cstheme="majorBidi"/>
          <w:color w:val="000000" w:themeColor="text1"/>
          <w:sz w:val="24"/>
          <w:szCs w:val="24"/>
        </w:rPr>
        <w:t>(</w:t>
      </w:r>
      <w:r w:rsidR="001F51DB">
        <w:rPr>
          <w:rFonts w:ascii="Georgia" w:hAnsi="Georgia" w:cstheme="majorBidi"/>
          <w:color w:val="000000" w:themeColor="text1"/>
          <w:sz w:val="24"/>
          <w:szCs w:val="24"/>
        </w:rPr>
        <w:t>IN</w:t>
      </w:r>
      <w:r w:rsidR="00CA1607">
        <w:rPr>
          <w:rFonts w:ascii="Georgia" w:hAnsi="Georgia" w:cstheme="majorBidi"/>
          <w:color w:val="000000" w:themeColor="text1"/>
          <w:sz w:val="24"/>
          <w:szCs w:val="24"/>
        </w:rPr>
        <w:t xml:space="preserve"> </w:t>
      </w:r>
      <w:r w:rsidR="005A0845" w:rsidRPr="007B3F5A">
        <w:rPr>
          <w:rFonts w:ascii="Georgia" w:hAnsi="Georgia" w:cstheme="majorBidi"/>
          <w:color w:val="000000" w:themeColor="text1"/>
          <w:sz w:val="24"/>
          <w:szCs w:val="24"/>
        </w:rPr>
        <w:t>FINANCE</w:t>
      </w:r>
      <w:r w:rsidRPr="007B3F5A">
        <w:rPr>
          <w:rFonts w:ascii="Georgia" w:hAnsi="Georgia" w:cstheme="majorBidi"/>
          <w:color w:val="000000" w:themeColor="text1"/>
          <w:sz w:val="24"/>
          <w:szCs w:val="24"/>
        </w:rPr>
        <w:t>)</w:t>
      </w:r>
    </w:p>
    <w:p w:rsidR="00B0543F" w:rsidRDefault="00B0543F" w:rsidP="00D32D0B">
      <w:pPr>
        <w:jc w:val="center"/>
        <w:rPr>
          <w:rFonts w:ascii="Georgia" w:hAnsi="Georgia" w:cstheme="majorBidi"/>
          <w:sz w:val="24"/>
          <w:szCs w:val="24"/>
        </w:rPr>
      </w:pPr>
    </w:p>
    <w:p w:rsidR="0075776F" w:rsidRDefault="0075776F" w:rsidP="006A3AA9">
      <w:pPr>
        <w:jc w:val="center"/>
        <w:rPr>
          <w:rFonts w:asciiTheme="majorBidi" w:hAnsiTheme="majorBidi" w:cstheme="majorBidi"/>
          <w:sz w:val="24"/>
          <w:szCs w:val="24"/>
        </w:rPr>
      </w:pPr>
    </w:p>
    <w:p w:rsidR="00B0543F" w:rsidRPr="005F2328" w:rsidRDefault="009A4C76" w:rsidP="005F2328">
      <w:pPr>
        <w:pStyle w:val="NoSpacing"/>
        <w:jc w:val="center"/>
        <w:rPr>
          <w:rFonts w:asciiTheme="majorBidi" w:hAnsiTheme="majorBidi" w:cstheme="majorBidi"/>
          <w:noProof/>
          <w:color w:val="000000"/>
          <w:sz w:val="24"/>
          <w:szCs w:val="24"/>
        </w:rPr>
        <w:sectPr w:rsidR="00B0543F" w:rsidRPr="005F2328" w:rsidSect="008127E7">
          <w:pgSz w:w="12240" w:h="15840"/>
          <w:pgMar w:top="709" w:right="1440" w:bottom="1440" w:left="1985" w:header="720" w:footer="720" w:gutter="0"/>
          <w:pgNumType w:start="1" w:chapStyle="1"/>
          <w:cols w:space="720"/>
          <w:docGrid w:linePitch="360"/>
        </w:sectPr>
      </w:pPr>
      <w:r w:rsidRPr="009A4C76">
        <w:rPr>
          <w:rFonts w:asciiTheme="majorBidi" w:hAnsiTheme="majorBidi" w:cstheme="majorBidi"/>
          <w:noProof/>
          <w:color w:val="000000"/>
          <w:sz w:val="24"/>
          <w:szCs w:val="24"/>
        </w:rPr>
        <w:t>©2014 Prague</w:t>
      </w:r>
    </w:p>
    <w:p w:rsidR="006A535A" w:rsidRDefault="006A535A" w:rsidP="006A535A">
      <w:pPr>
        <w:rPr>
          <w:rFonts w:asciiTheme="majorBidi" w:hAnsiTheme="majorBidi" w:cstheme="majorBidi"/>
          <w:b/>
          <w:bCs/>
          <w:sz w:val="28"/>
          <w:szCs w:val="28"/>
        </w:rPr>
      </w:pPr>
    </w:p>
    <w:p w:rsidR="00D90852" w:rsidRDefault="00973033" w:rsidP="009A554D">
      <w:pPr>
        <w:jc w:val="center"/>
        <w:rPr>
          <w:rFonts w:asciiTheme="majorBidi" w:hAnsiTheme="majorBidi" w:cstheme="majorBidi"/>
          <w:b/>
          <w:bCs/>
          <w:sz w:val="28"/>
          <w:szCs w:val="28"/>
        </w:rPr>
      </w:pPr>
      <w:r w:rsidRPr="00324B85">
        <w:rPr>
          <w:rFonts w:asciiTheme="majorBidi" w:hAnsiTheme="majorBidi" w:cstheme="majorBidi"/>
          <w:b/>
          <w:bCs/>
          <w:sz w:val="28"/>
          <w:szCs w:val="28"/>
        </w:rPr>
        <w:t>Abstract</w:t>
      </w:r>
    </w:p>
    <w:p w:rsidR="00CC5DDE" w:rsidRDefault="00CC5DDE" w:rsidP="009A554D">
      <w:pPr>
        <w:jc w:val="center"/>
        <w:rPr>
          <w:rFonts w:asciiTheme="majorBidi" w:hAnsiTheme="majorBidi" w:cstheme="majorBidi"/>
          <w:b/>
          <w:bCs/>
          <w:sz w:val="28"/>
          <w:szCs w:val="28"/>
        </w:rPr>
      </w:pPr>
    </w:p>
    <w:p w:rsidR="00CC5DDE" w:rsidRPr="005F2328" w:rsidRDefault="00CC5DDE" w:rsidP="009A554D">
      <w:pPr>
        <w:jc w:val="center"/>
        <w:rPr>
          <w:rFonts w:asciiTheme="majorBidi" w:hAnsiTheme="majorBidi" w:cstheme="majorBidi"/>
          <w:b/>
          <w:bCs/>
          <w:sz w:val="16"/>
          <w:szCs w:val="16"/>
        </w:rPr>
      </w:pPr>
    </w:p>
    <w:p w:rsidR="009743AD" w:rsidRPr="00C26D71" w:rsidRDefault="00171012" w:rsidP="00843A2A">
      <w:pPr>
        <w:autoSpaceDE w:val="0"/>
        <w:autoSpaceDN w:val="0"/>
        <w:adjustRightInd w:val="0"/>
        <w:spacing w:after="0" w:line="360" w:lineRule="auto"/>
        <w:jc w:val="both"/>
        <w:rPr>
          <w:rFonts w:asciiTheme="majorBidi" w:hAnsiTheme="majorBidi" w:cstheme="majorBidi"/>
          <w:sz w:val="24"/>
          <w:szCs w:val="24"/>
        </w:rPr>
      </w:pPr>
      <w:r w:rsidRPr="00C26D71">
        <w:rPr>
          <w:rFonts w:asciiTheme="majorBidi" w:hAnsiTheme="majorBidi" w:cstheme="majorBidi"/>
          <w:sz w:val="24"/>
          <w:szCs w:val="24"/>
        </w:rPr>
        <w:t>Exposure to</w:t>
      </w:r>
      <w:r w:rsidR="007C359C" w:rsidRPr="00C26D71">
        <w:rPr>
          <w:rFonts w:asciiTheme="majorBidi" w:hAnsiTheme="majorBidi" w:cstheme="majorBidi"/>
          <w:sz w:val="24"/>
          <w:szCs w:val="24"/>
        </w:rPr>
        <w:t xml:space="preserve"> </w:t>
      </w:r>
      <w:r w:rsidRPr="00C26D71">
        <w:rPr>
          <w:rFonts w:asciiTheme="majorBidi" w:hAnsiTheme="majorBidi" w:cstheme="majorBidi"/>
          <w:sz w:val="24"/>
          <w:szCs w:val="24"/>
        </w:rPr>
        <w:t>credit risk has</w:t>
      </w:r>
      <w:r w:rsidR="00F6417A" w:rsidRPr="00C26D71">
        <w:rPr>
          <w:rFonts w:asciiTheme="majorBidi" w:hAnsiTheme="majorBidi" w:cstheme="majorBidi"/>
          <w:sz w:val="24"/>
          <w:szCs w:val="24"/>
        </w:rPr>
        <w:t xml:space="preserve"> always been</w:t>
      </w:r>
      <w:r w:rsidR="00E377E9">
        <w:rPr>
          <w:rFonts w:asciiTheme="majorBidi" w:hAnsiTheme="majorBidi" w:cstheme="majorBidi"/>
          <w:sz w:val="24"/>
          <w:szCs w:val="24"/>
        </w:rPr>
        <w:t xml:space="preserve"> the primary </w:t>
      </w:r>
      <w:r w:rsidR="00F1057C" w:rsidRPr="00C26D71">
        <w:rPr>
          <w:rFonts w:asciiTheme="majorBidi" w:hAnsiTheme="majorBidi" w:cstheme="majorBidi"/>
          <w:sz w:val="24"/>
          <w:szCs w:val="24"/>
        </w:rPr>
        <w:t>and major</w:t>
      </w:r>
      <w:r w:rsidR="0024455C" w:rsidRPr="00C26D71">
        <w:rPr>
          <w:rFonts w:asciiTheme="majorBidi" w:hAnsiTheme="majorBidi" w:cstheme="majorBidi"/>
          <w:sz w:val="24"/>
          <w:szCs w:val="24"/>
        </w:rPr>
        <w:t xml:space="preserve"> source of problems in banks world-wide s</w:t>
      </w:r>
      <w:r w:rsidR="00085ADE" w:rsidRPr="00C26D71">
        <w:rPr>
          <w:rFonts w:asciiTheme="majorBidi" w:hAnsiTheme="majorBidi" w:cstheme="majorBidi"/>
          <w:sz w:val="24"/>
          <w:szCs w:val="24"/>
        </w:rPr>
        <w:t>ince granting credit is one of the main sources of income in commercial banks a</w:t>
      </w:r>
      <w:r w:rsidR="00FC65EE" w:rsidRPr="00C26D71">
        <w:rPr>
          <w:rFonts w:asciiTheme="majorBidi" w:hAnsiTheme="majorBidi" w:cstheme="majorBidi"/>
          <w:sz w:val="24"/>
          <w:szCs w:val="24"/>
        </w:rPr>
        <w:t xml:space="preserve">nd </w:t>
      </w:r>
      <w:r w:rsidR="007466B6">
        <w:rPr>
          <w:rFonts w:asciiTheme="majorBidi" w:hAnsiTheme="majorBidi" w:cstheme="majorBidi"/>
          <w:sz w:val="24"/>
          <w:szCs w:val="24"/>
        </w:rPr>
        <w:t xml:space="preserve">needs to be </w:t>
      </w:r>
      <w:r w:rsidR="00FC65EE" w:rsidRPr="00C26D71">
        <w:rPr>
          <w:rFonts w:asciiTheme="majorBidi" w:hAnsiTheme="majorBidi" w:cstheme="majorBidi"/>
          <w:sz w:val="24"/>
          <w:szCs w:val="24"/>
        </w:rPr>
        <w:t>man</w:t>
      </w:r>
      <w:r w:rsidR="00085ADE" w:rsidRPr="00C26D71">
        <w:rPr>
          <w:rFonts w:asciiTheme="majorBidi" w:hAnsiTheme="majorBidi" w:cstheme="majorBidi"/>
          <w:sz w:val="24"/>
          <w:szCs w:val="24"/>
        </w:rPr>
        <w:t>aged</w:t>
      </w:r>
      <w:r w:rsidR="007466B6">
        <w:rPr>
          <w:rFonts w:asciiTheme="majorBidi" w:hAnsiTheme="majorBidi" w:cstheme="majorBidi"/>
          <w:sz w:val="24"/>
          <w:szCs w:val="24"/>
        </w:rPr>
        <w:t xml:space="preserve"> well</w:t>
      </w:r>
      <w:r w:rsidR="00085ADE" w:rsidRPr="00C26D71">
        <w:rPr>
          <w:rFonts w:asciiTheme="majorBidi" w:hAnsiTheme="majorBidi" w:cstheme="majorBidi"/>
          <w:sz w:val="24"/>
          <w:szCs w:val="24"/>
        </w:rPr>
        <w:t xml:space="preserve">, </w:t>
      </w:r>
      <w:r w:rsidR="007466B6">
        <w:rPr>
          <w:rFonts w:asciiTheme="majorBidi" w:hAnsiTheme="majorBidi" w:cstheme="majorBidi"/>
          <w:sz w:val="24"/>
          <w:szCs w:val="24"/>
        </w:rPr>
        <w:t xml:space="preserve">or </w:t>
      </w:r>
      <w:r w:rsidR="00085ADE" w:rsidRPr="00C26D71">
        <w:rPr>
          <w:rFonts w:asciiTheme="majorBidi" w:hAnsiTheme="majorBidi" w:cstheme="majorBidi"/>
          <w:sz w:val="24"/>
          <w:szCs w:val="24"/>
        </w:rPr>
        <w:t>it</w:t>
      </w:r>
      <w:r w:rsidR="00BA0D93">
        <w:rPr>
          <w:rFonts w:asciiTheme="majorBidi" w:hAnsiTheme="majorBidi" w:cstheme="majorBidi"/>
          <w:sz w:val="24"/>
          <w:szCs w:val="24"/>
        </w:rPr>
        <w:t xml:space="preserve"> may take the bank into large </w:t>
      </w:r>
      <w:r w:rsidR="00FC65EE" w:rsidRPr="00C26D71">
        <w:rPr>
          <w:rFonts w:asciiTheme="majorBidi" w:hAnsiTheme="majorBidi" w:cstheme="majorBidi"/>
          <w:sz w:val="24"/>
          <w:szCs w:val="24"/>
        </w:rPr>
        <w:t xml:space="preserve">trouble or even </w:t>
      </w:r>
      <w:r w:rsidR="009743AD" w:rsidRPr="00C26D71">
        <w:rPr>
          <w:rFonts w:asciiTheme="majorBidi" w:hAnsiTheme="majorBidi" w:cstheme="majorBidi"/>
          <w:sz w:val="24"/>
          <w:szCs w:val="24"/>
        </w:rPr>
        <w:t>bankruptcy. The</w:t>
      </w:r>
      <w:r w:rsidR="00F6417A" w:rsidRPr="00C26D71">
        <w:rPr>
          <w:rFonts w:asciiTheme="majorBidi" w:hAnsiTheme="majorBidi" w:cstheme="majorBidi"/>
          <w:sz w:val="24"/>
          <w:szCs w:val="24"/>
        </w:rPr>
        <w:t xml:space="preserve"> aim of this study was to find out</w:t>
      </w:r>
      <w:r w:rsidR="00FC65EE" w:rsidRPr="00C26D71">
        <w:rPr>
          <w:rFonts w:asciiTheme="majorBidi" w:hAnsiTheme="majorBidi" w:cstheme="majorBidi"/>
          <w:sz w:val="24"/>
          <w:szCs w:val="24"/>
        </w:rPr>
        <w:t xml:space="preserve"> the impact of credit risk</w:t>
      </w:r>
      <w:r w:rsidR="0024455C" w:rsidRPr="00C26D71">
        <w:rPr>
          <w:rFonts w:asciiTheme="majorBidi" w:hAnsiTheme="majorBidi" w:cstheme="majorBidi"/>
          <w:sz w:val="24"/>
          <w:szCs w:val="24"/>
        </w:rPr>
        <w:t xml:space="preserve"> policies</w:t>
      </w:r>
      <w:r w:rsidR="00674C50" w:rsidRPr="00C26D71">
        <w:rPr>
          <w:rFonts w:asciiTheme="majorBidi" w:hAnsiTheme="majorBidi" w:cstheme="majorBidi"/>
          <w:sz w:val="24"/>
          <w:szCs w:val="24"/>
        </w:rPr>
        <w:t xml:space="preserve"> on bank’s profitability</w:t>
      </w:r>
      <w:r w:rsidR="0024455C" w:rsidRPr="00C26D71">
        <w:rPr>
          <w:rFonts w:asciiTheme="majorBidi" w:hAnsiTheme="majorBidi" w:cstheme="majorBidi"/>
          <w:sz w:val="24"/>
          <w:szCs w:val="24"/>
        </w:rPr>
        <w:t xml:space="preserve"> and </w:t>
      </w:r>
      <w:r w:rsidR="00F20384" w:rsidRPr="00C26D71">
        <w:rPr>
          <w:rFonts w:asciiTheme="majorBidi" w:hAnsiTheme="majorBidi" w:cstheme="majorBidi"/>
          <w:sz w:val="24"/>
          <w:szCs w:val="24"/>
        </w:rPr>
        <w:t xml:space="preserve">how </w:t>
      </w:r>
      <w:r w:rsidR="006335D5" w:rsidRPr="00C26D71">
        <w:rPr>
          <w:rFonts w:asciiTheme="majorBidi" w:hAnsiTheme="majorBidi" w:cstheme="majorBidi"/>
          <w:sz w:val="24"/>
          <w:szCs w:val="24"/>
        </w:rPr>
        <w:t xml:space="preserve">major </w:t>
      </w:r>
      <w:r w:rsidR="0024455C" w:rsidRPr="00C26D71">
        <w:rPr>
          <w:rFonts w:asciiTheme="majorBidi" w:hAnsiTheme="majorBidi" w:cstheme="majorBidi"/>
          <w:sz w:val="24"/>
          <w:szCs w:val="24"/>
        </w:rPr>
        <w:t>Palestinian commercial banks perform</w:t>
      </w:r>
      <w:r w:rsidR="00F6417A" w:rsidRPr="00C26D71">
        <w:rPr>
          <w:rFonts w:asciiTheme="majorBidi" w:hAnsiTheme="majorBidi" w:cstheme="majorBidi"/>
          <w:sz w:val="24"/>
          <w:szCs w:val="24"/>
        </w:rPr>
        <w:t>ed</w:t>
      </w:r>
      <w:r w:rsidR="00AD4942" w:rsidRPr="00C26D71">
        <w:rPr>
          <w:rFonts w:asciiTheme="majorBidi" w:hAnsiTheme="majorBidi" w:cstheme="majorBidi"/>
          <w:sz w:val="24"/>
          <w:szCs w:val="24"/>
        </w:rPr>
        <w:t xml:space="preserve"> </w:t>
      </w:r>
      <w:r w:rsidR="0024455C" w:rsidRPr="00C26D71">
        <w:rPr>
          <w:rFonts w:asciiTheme="majorBidi" w:hAnsiTheme="majorBidi" w:cstheme="majorBidi"/>
          <w:sz w:val="24"/>
          <w:szCs w:val="24"/>
        </w:rPr>
        <w:t>th</w:t>
      </w:r>
      <w:r w:rsidR="00B15A9D" w:rsidRPr="00C26D71">
        <w:rPr>
          <w:rFonts w:asciiTheme="majorBidi" w:hAnsiTheme="majorBidi" w:cstheme="majorBidi"/>
          <w:sz w:val="24"/>
          <w:szCs w:val="24"/>
        </w:rPr>
        <w:t>eir</w:t>
      </w:r>
      <w:r w:rsidR="0024455C" w:rsidRPr="00C26D71">
        <w:rPr>
          <w:rFonts w:asciiTheme="majorBidi" w:hAnsiTheme="majorBidi" w:cstheme="majorBidi"/>
          <w:sz w:val="24"/>
          <w:szCs w:val="24"/>
        </w:rPr>
        <w:t xml:space="preserve"> credit risk management techniques and practices</w:t>
      </w:r>
      <w:r w:rsidR="00F6417A" w:rsidRPr="00C26D71">
        <w:rPr>
          <w:rFonts w:asciiTheme="majorBidi" w:hAnsiTheme="majorBidi" w:cstheme="majorBidi"/>
          <w:sz w:val="24"/>
          <w:szCs w:val="24"/>
        </w:rPr>
        <w:t xml:space="preserve"> from 2005-</w:t>
      </w:r>
      <w:r w:rsidR="00FC65EE" w:rsidRPr="00C26D71">
        <w:rPr>
          <w:rFonts w:asciiTheme="majorBidi" w:hAnsiTheme="majorBidi" w:cstheme="majorBidi"/>
          <w:sz w:val="24"/>
          <w:szCs w:val="24"/>
        </w:rPr>
        <w:t xml:space="preserve"> 2011.</w:t>
      </w:r>
      <w:r w:rsidR="00674C50" w:rsidRPr="00C26D71">
        <w:rPr>
          <w:rFonts w:asciiTheme="majorBidi" w:hAnsiTheme="majorBidi" w:cstheme="majorBidi"/>
          <w:sz w:val="24"/>
          <w:szCs w:val="24"/>
        </w:rPr>
        <w:t xml:space="preserve">The </w:t>
      </w:r>
      <w:r w:rsidR="00F6417A" w:rsidRPr="00C26D71">
        <w:rPr>
          <w:rFonts w:asciiTheme="majorBidi" w:hAnsiTheme="majorBidi" w:cstheme="majorBidi"/>
          <w:sz w:val="24"/>
          <w:szCs w:val="24"/>
        </w:rPr>
        <w:t>results of the study were limited to five sample banks and were</w:t>
      </w:r>
      <w:r w:rsidR="006335D5" w:rsidRPr="00C26D71">
        <w:rPr>
          <w:rFonts w:asciiTheme="majorBidi" w:hAnsiTheme="majorBidi" w:cstheme="majorBidi"/>
          <w:sz w:val="24"/>
          <w:szCs w:val="24"/>
        </w:rPr>
        <w:t xml:space="preserve"> not genera</w:t>
      </w:r>
      <w:r w:rsidR="00F20384" w:rsidRPr="00C26D71">
        <w:rPr>
          <w:rFonts w:asciiTheme="majorBidi" w:hAnsiTheme="majorBidi" w:cstheme="majorBidi"/>
          <w:sz w:val="24"/>
          <w:szCs w:val="24"/>
        </w:rPr>
        <w:t>lized for the all</w:t>
      </w:r>
      <w:r w:rsidR="006335D5" w:rsidRPr="00C26D71">
        <w:rPr>
          <w:rFonts w:asciiTheme="majorBidi" w:hAnsiTheme="majorBidi" w:cstheme="majorBidi"/>
          <w:sz w:val="24"/>
          <w:szCs w:val="24"/>
        </w:rPr>
        <w:t xml:space="preserve"> banks operate in</w:t>
      </w:r>
      <w:r w:rsidR="00FC65EE" w:rsidRPr="00C26D71">
        <w:rPr>
          <w:rFonts w:asciiTheme="majorBidi" w:hAnsiTheme="majorBidi" w:cstheme="majorBidi"/>
          <w:sz w:val="24"/>
          <w:szCs w:val="24"/>
        </w:rPr>
        <w:t xml:space="preserve"> Palestine.</w:t>
      </w:r>
      <w:r w:rsidR="00B15A9D" w:rsidRPr="00C26D71">
        <w:rPr>
          <w:rFonts w:asciiTheme="majorBidi" w:hAnsiTheme="majorBidi" w:cstheme="majorBidi"/>
          <w:sz w:val="24"/>
          <w:szCs w:val="24"/>
        </w:rPr>
        <w:t xml:space="preserve"> Furthermore, </w:t>
      </w:r>
      <w:r w:rsidR="00B56017" w:rsidRPr="00C26D71">
        <w:rPr>
          <w:rFonts w:asciiTheme="majorBidi" w:hAnsiTheme="majorBidi" w:cstheme="majorBidi"/>
          <w:sz w:val="24"/>
          <w:szCs w:val="24"/>
        </w:rPr>
        <w:t>a combined methodology of both quantitative and qualitative approaches was</w:t>
      </w:r>
      <w:r w:rsidR="002148BC" w:rsidRPr="00C26D71">
        <w:rPr>
          <w:rFonts w:asciiTheme="majorBidi" w:hAnsiTheme="majorBidi" w:cstheme="majorBidi"/>
          <w:sz w:val="24"/>
          <w:szCs w:val="24"/>
        </w:rPr>
        <w:t xml:space="preserve"> applied </w:t>
      </w:r>
      <w:r w:rsidR="00F6417A" w:rsidRPr="00C26D71">
        <w:rPr>
          <w:rFonts w:asciiTheme="majorBidi" w:hAnsiTheme="majorBidi" w:cstheme="majorBidi"/>
          <w:sz w:val="24"/>
          <w:szCs w:val="24"/>
        </w:rPr>
        <w:t>and focusing</w:t>
      </w:r>
      <w:r w:rsidR="00FC65EE" w:rsidRPr="00C26D71">
        <w:rPr>
          <w:rFonts w:asciiTheme="majorBidi" w:hAnsiTheme="majorBidi" w:cstheme="majorBidi"/>
          <w:sz w:val="24"/>
          <w:szCs w:val="24"/>
        </w:rPr>
        <w:t xml:space="preserve"> on the descri</w:t>
      </w:r>
      <w:r w:rsidR="00F6417A" w:rsidRPr="00C26D71">
        <w:rPr>
          <w:rFonts w:asciiTheme="majorBidi" w:hAnsiTheme="majorBidi" w:cstheme="majorBidi"/>
          <w:sz w:val="24"/>
          <w:szCs w:val="24"/>
        </w:rPr>
        <w:t>ption of the outputs of</w:t>
      </w:r>
      <w:r w:rsidR="00F20384" w:rsidRPr="00C26D71">
        <w:rPr>
          <w:rFonts w:asciiTheme="majorBidi" w:hAnsiTheme="majorBidi" w:cstheme="majorBidi"/>
          <w:sz w:val="24"/>
          <w:szCs w:val="24"/>
        </w:rPr>
        <w:t xml:space="preserve"> SPSS. </w:t>
      </w:r>
      <w:r w:rsidR="00B15A9D" w:rsidRPr="00C26D71">
        <w:rPr>
          <w:rFonts w:asciiTheme="majorBidi" w:hAnsiTheme="majorBidi" w:cstheme="majorBidi"/>
          <w:sz w:val="24"/>
          <w:szCs w:val="24"/>
        </w:rPr>
        <w:t>Mult</w:t>
      </w:r>
      <w:r w:rsidR="00F6417A" w:rsidRPr="00C26D71">
        <w:rPr>
          <w:rFonts w:asciiTheme="majorBidi" w:hAnsiTheme="majorBidi" w:cstheme="majorBidi"/>
          <w:sz w:val="24"/>
          <w:szCs w:val="24"/>
        </w:rPr>
        <w:t>iple regression models were</w:t>
      </w:r>
      <w:r w:rsidR="00B15A9D" w:rsidRPr="00C26D71">
        <w:rPr>
          <w:rFonts w:asciiTheme="majorBidi" w:hAnsiTheme="majorBidi" w:cstheme="majorBidi"/>
          <w:sz w:val="24"/>
          <w:szCs w:val="24"/>
        </w:rPr>
        <w:t xml:space="preserve"> use</w:t>
      </w:r>
      <w:r w:rsidR="00F6417A" w:rsidRPr="00C26D71">
        <w:rPr>
          <w:rFonts w:asciiTheme="majorBidi" w:hAnsiTheme="majorBidi" w:cstheme="majorBidi"/>
          <w:sz w:val="24"/>
          <w:szCs w:val="24"/>
        </w:rPr>
        <w:t>d to do the empirical analysis and; develop two</w:t>
      </w:r>
      <w:r w:rsidR="00AB3898" w:rsidRPr="00C26D71">
        <w:rPr>
          <w:rFonts w:asciiTheme="majorBidi" w:hAnsiTheme="majorBidi" w:cstheme="majorBidi"/>
          <w:sz w:val="24"/>
          <w:szCs w:val="24"/>
        </w:rPr>
        <w:t xml:space="preserve"> econometric</w:t>
      </w:r>
      <w:r w:rsidR="00F6417A" w:rsidRPr="00C26D71">
        <w:rPr>
          <w:rFonts w:asciiTheme="majorBidi" w:hAnsiTheme="majorBidi" w:cstheme="majorBidi"/>
          <w:sz w:val="24"/>
          <w:szCs w:val="24"/>
        </w:rPr>
        <w:t xml:space="preserve"> models</w:t>
      </w:r>
      <w:r w:rsidR="00B15A9D" w:rsidRPr="00C26D71">
        <w:rPr>
          <w:rFonts w:asciiTheme="majorBidi" w:hAnsiTheme="majorBidi" w:cstheme="majorBidi"/>
          <w:sz w:val="24"/>
          <w:szCs w:val="24"/>
        </w:rPr>
        <w:t xml:space="preserve"> each</w:t>
      </w:r>
      <w:r w:rsidR="00F6417A" w:rsidRPr="00C26D71">
        <w:rPr>
          <w:rFonts w:asciiTheme="majorBidi" w:hAnsiTheme="majorBidi" w:cstheme="majorBidi"/>
          <w:sz w:val="24"/>
          <w:szCs w:val="24"/>
        </w:rPr>
        <w:t xml:space="preserve"> model</w:t>
      </w:r>
      <w:r w:rsidR="00AD4942" w:rsidRPr="00C26D71">
        <w:rPr>
          <w:rFonts w:asciiTheme="majorBidi" w:hAnsiTheme="majorBidi" w:cstheme="majorBidi"/>
          <w:sz w:val="24"/>
          <w:szCs w:val="24"/>
        </w:rPr>
        <w:t xml:space="preserve"> </w:t>
      </w:r>
      <w:r w:rsidR="00F6417A" w:rsidRPr="00C26D71">
        <w:rPr>
          <w:rFonts w:asciiTheme="majorBidi" w:hAnsiTheme="majorBidi" w:cstheme="majorBidi"/>
          <w:sz w:val="24"/>
          <w:szCs w:val="24"/>
        </w:rPr>
        <w:t>consisted</w:t>
      </w:r>
      <w:r w:rsidR="00B15A9D" w:rsidRPr="00C26D71">
        <w:rPr>
          <w:rFonts w:asciiTheme="majorBidi" w:hAnsiTheme="majorBidi" w:cstheme="majorBidi"/>
          <w:sz w:val="24"/>
          <w:szCs w:val="24"/>
        </w:rPr>
        <w:t xml:space="preserve"> of one dependent variable and five independent</w:t>
      </w:r>
      <w:r w:rsidR="00F6417A" w:rsidRPr="00C26D71">
        <w:rPr>
          <w:rFonts w:asciiTheme="majorBidi" w:hAnsiTheme="majorBidi" w:cstheme="majorBidi"/>
          <w:sz w:val="24"/>
          <w:szCs w:val="24"/>
        </w:rPr>
        <w:t xml:space="preserve"> variables. In the first model Return On A</w:t>
      </w:r>
      <w:r w:rsidR="00B15A9D" w:rsidRPr="00C26D71">
        <w:rPr>
          <w:rFonts w:asciiTheme="majorBidi" w:hAnsiTheme="majorBidi" w:cstheme="majorBidi"/>
          <w:sz w:val="24"/>
          <w:szCs w:val="24"/>
        </w:rPr>
        <w:t>ssets( ROA)</w:t>
      </w:r>
      <w:r w:rsidR="00B77F0C" w:rsidRPr="00C26D71">
        <w:rPr>
          <w:rFonts w:asciiTheme="majorBidi" w:hAnsiTheme="majorBidi" w:cstheme="majorBidi"/>
          <w:sz w:val="24"/>
          <w:szCs w:val="24"/>
        </w:rPr>
        <w:t xml:space="preserve"> was</w:t>
      </w:r>
      <w:r w:rsidR="00314FEF" w:rsidRPr="00C26D71">
        <w:rPr>
          <w:rFonts w:asciiTheme="majorBidi" w:hAnsiTheme="majorBidi" w:cstheme="majorBidi"/>
          <w:sz w:val="24"/>
          <w:szCs w:val="24"/>
        </w:rPr>
        <w:t xml:space="preserve"> defined</w:t>
      </w:r>
      <w:r w:rsidR="00B15A9D" w:rsidRPr="00C26D71">
        <w:rPr>
          <w:rFonts w:asciiTheme="majorBidi" w:hAnsiTheme="majorBidi" w:cstheme="majorBidi"/>
          <w:sz w:val="24"/>
          <w:szCs w:val="24"/>
        </w:rPr>
        <w:t xml:space="preserve"> as pr</w:t>
      </w:r>
      <w:r w:rsidR="00F20384" w:rsidRPr="00C26D71">
        <w:rPr>
          <w:rFonts w:asciiTheme="majorBidi" w:hAnsiTheme="majorBidi" w:cstheme="majorBidi"/>
          <w:sz w:val="24"/>
          <w:szCs w:val="24"/>
        </w:rPr>
        <w:t xml:space="preserve">ofitability indicator </w:t>
      </w:r>
      <w:r w:rsidR="00B77F0C" w:rsidRPr="00C26D71">
        <w:rPr>
          <w:rFonts w:asciiTheme="majorBidi" w:hAnsiTheme="majorBidi" w:cstheme="majorBidi"/>
          <w:sz w:val="24"/>
          <w:szCs w:val="24"/>
        </w:rPr>
        <w:t>and Return On E</w:t>
      </w:r>
      <w:r w:rsidR="00B15A9D" w:rsidRPr="00C26D71">
        <w:rPr>
          <w:rFonts w:asciiTheme="majorBidi" w:hAnsiTheme="majorBidi" w:cstheme="majorBidi"/>
          <w:sz w:val="24"/>
          <w:szCs w:val="24"/>
        </w:rPr>
        <w:t>quity (ROE) in the second model</w:t>
      </w:r>
      <w:r w:rsidR="00CD765D" w:rsidRPr="00C26D71">
        <w:rPr>
          <w:rFonts w:asciiTheme="majorBidi" w:hAnsiTheme="majorBidi" w:cstheme="majorBidi"/>
          <w:sz w:val="24"/>
          <w:szCs w:val="24"/>
        </w:rPr>
        <w:t xml:space="preserve">, </w:t>
      </w:r>
      <w:r w:rsidR="00B15A9D" w:rsidRPr="00C26D71">
        <w:rPr>
          <w:rFonts w:asciiTheme="majorBidi" w:hAnsiTheme="majorBidi" w:cstheme="majorBidi"/>
          <w:sz w:val="24"/>
          <w:szCs w:val="24"/>
        </w:rPr>
        <w:t>good lending principles, credit monit</w:t>
      </w:r>
      <w:r w:rsidR="00AD4942" w:rsidRPr="00C26D71">
        <w:rPr>
          <w:rFonts w:asciiTheme="majorBidi" w:hAnsiTheme="majorBidi" w:cstheme="majorBidi"/>
          <w:sz w:val="24"/>
          <w:szCs w:val="24"/>
        </w:rPr>
        <w:t xml:space="preserve">oring, capital adequacy, income </w:t>
      </w:r>
      <w:r w:rsidR="00B15A9D" w:rsidRPr="00C26D71">
        <w:rPr>
          <w:rFonts w:asciiTheme="majorBidi" w:hAnsiTheme="majorBidi" w:cstheme="majorBidi"/>
          <w:sz w:val="24"/>
          <w:szCs w:val="24"/>
        </w:rPr>
        <w:t>diversification and operational efficiency as credit risk management indicators</w:t>
      </w:r>
      <w:r w:rsidR="002148BC" w:rsidRPr="00C26D71">
        <w:rPr>
          <w:rFonts w:asciiTheme="majorBidi" w:hAnsiTheme="majorBidi" w:cstheme="majorBidi"/>
          <w:sz w:val="24"/>
          <w:szCs w:val="24"/>
        </w:rPr>
        <w:t xml:space="preserve"> (independent variables)</w:t>
      </w:r>
      <w:r w:rsidR="00CD765D" w:rsidRPr="00C26D71">
        <w:rPr>
          <w:rFonts w:asciiTheme="majorBidi" w:hAnsiTheme="majorBidi" w:cstheme="majorBidi"/>
          <w:sz w:val="24"/>
          <w:szCs w:val="24"/>
        </w:rPr>
        <w:t xml:space="preserve"> were</w:t>
      </w:r>
      <w:r w:rsidR="00B15A9D" w:rsidRPr="00C26D71">
        <w:rPr>
          <w:rFonts w:asciiTheme="majorBidi" w:hAnsiTheme="majorBidi" w:cstheme="majorBidi"/>
          <w:sz w:val="24"/>
          <w:szCs w:val="24"/>
        </w:rPr>
        <w:t xml:space="preserve"> measured by five financial ratios</w:t>
      </w:r>
      <w:r w:rsidR="005E485F" w:rsidRPr="00C26D71">
        <w:rPr>
          <w:rFonts w:asciiTheme="majorBidi" w:hAnsiTheme="majorBidi" w:cstheme="majorBidi"/>
          <w:sz w:val="24"/>
          <w:szCs w:val="24"/>
          <w:lang w:bidi="ar-JO"/>
        </w:rPr>
        <w:t>; Nonperforming Loans R</w:t>
      </w:r>
      <w:r w:rsidR="00CD765D" w:rsidRPr="00C26D71">
        <w:rPr>
          <w:rFonts w:asciiTheme="majorBidi" w:hAnsiTheme="majorBidi" w:cstheme="majorBidi"/>
          <w:sz w:val="24"/>
          <w:szCs w:val="24"/>
          <w:lang w:bidi="ar-JO"/>
        </w:rPr>
        <w:t>atio (NPLR), Capital Adequacy</w:t>
      </w:r>
      <w:r w:rsidR="009A554D" w:rsidRPr="00C26D71">
        <w:rPr>
          <w:rFonts w:asciiTheme="majorBidi" w:hAnsiTheme="majorBidi" w:cstheme="majorBidi"/>
          <w:sz w:val="24"/>
          <w:szCs w:val="24"/>
          <w:lang w:bidi="ar-JO"/>
        </w:rPr>
        <w:t xml:space="preserve"> Ratio (EQTA)</w:t>
      </w:r>
      <w:r w:rsidR="00843A2A" w:rsidRPr="00C26D71">
        <w:rPr>
          <w:rFonts w:asciiTheme="majorBidi" w:hAnsiTheme="majorBidi" w:cstheme="majorBidi"/>
          <w:sz w:val="24"/>
          <w:szCs w:val="24"/>
          <w:lang w:bidi="ar-JO"/>
        </w:rPr>
        <w:t>, Loa</w:t>
      </w:r>
      <w:r w:rsidR="009A554D" w:rsidRPr="00C26D71">
        <w:rPr>
          <w:rFonts w:asciiTheme="majorBidi" w:hAnsiTheme="majorBidi" w:cstheme="majorBidi"/>
          <w:sz w:val="24"/>
          <w:szCs w:val="24"/>
          <w:lang w:bidi="ar-JO"/>
        </w:rPr>
        <w:t xml:space="preserve">n Loss provisions Ratio (LLPI), </w:t>
      </w:r>
      <w:r w:rsidR="00CD765D" w:rsidRPr="00C26D71">
        <w:rPr>
          <w:rFonts w:asciiTheme="majorBidi" w:hAnsiTheme="majorBidi" w:cstheme="majorBidi"/>
          <w:sz w:val="24"/>
          <w:szCs w:val="24"/>
          <w:lang w:bidi="ar-JO"/>
        </w:rPr>
        <w:t>N</w:t>
      </w:r>
      <w:r w:rsidR="00B15A9D" w:rsidRPr="00C26D71">
        <w:rPr>
          <w:rFonts w:asciiTheme="majorBidi" w:hAnsiTheme="majorBidi" w:cstheme="majorBidi"/>
          <w:sz w:val="24"/>
          <w:szCs w:val="24"/>
          <w:lang w:bidi="ar-JO"/>
        </w:rPr>
        <w:t xml:space="preserve">oninterest </w:t>
      </w:r>
      <w:r w:rsidR="00CD765D" w:rsidRPr="00C26D71">
        <w:rPr>
          <w:rFonts w:asciiTheme="majorBidi" w:hAnsiTheme="majorBidi" w:cstheme="majorBidi"/>
          <w:sz w:val="24"/>
          <w:szCs w:val="24"/>
          <w:lang w:bidi="ar-JO"/>
        </w:rPr>
        <w:t xml:space="preserve">Income Ratio (NIDR) and Operational </w:t>
      </w:r>
      <w:r w:rsidR="009A554D" w:rsidRPr="00C26D71">
        <w:rPr>
          <w:rFonts w:asciiTheme="majorBidi" w:hAnsiTheme="majorBidi" w:cstheme="majorBidi"/>
          <w:sz w:val="24"/>
          <w:szCs w:val="24"/>
          <w:lang w:bidi="ar-JO"/>
        </w:rPr>
        <w:t xml:space="preserve">Cost </w:t>
      </w:r>
      <w:r w:rsidR="00CD765D" w:rsidRPr="00C26D71">
        <w:rPr>
          <w:rFonts w:asciiTheme="majorBidi" w:hAnsiTheme="majorBidi" w:cstheme="majorBidi"/>
          <w:sz w:val="24"/>
          <w:szCs w:val="24"/>
          <w:lang w:bidi="ar-JO"/>
        </w:rPr>
        <w:t>E</w:t>
      </w:r>
      <w:r w:rsidR="00AD4942" w:rsidRPr="00C26D71">
        <w:rPr>
          <w:rFonts w:asciiTheme="majorBidi" w:hAnsiTheme="majorBidi" w:cstheme="majorBidi"/>
          <w:sz w:val="24"/>
          <w:szCs w:val="24"/>
          <w:lang w:bidi="ar-JO"/>
        </w:rPr>
        <w:t>fficiency R</w:t>
      </w:r>
      <w:r w:rsidR="00B15A9D" w:rsidRPr="00C26D71">
        <w:rPr>
          <w:rFonts w:asciiTheme="majorBidi" w:hAnsiTheme="majorBidi" w:cstheme="majorBidi"/>
          <w:sz w:val="24"/>
          <w:szCs w:val="24"/>
          <w:lang w:bidi="ar-JO"/>
        </w:rPr>
        <w:t>at</w:t>
      </w:r>
      <w:r w:rsidR="002148BC" w:rsidRPr="00C26D71">
        <w:rPr>
          <w:rFonts w:asciiTheme="majorBidi" w:hAnsiTheme="majorBidi" w:cstheme="majorBidi"/>
          <w:sz w:val="24"/>
          <w:szCs w:val="24"/>
          <w:lang w:bidi="ar-JO"/>
        </w:rPr>
        <w:t xml:space="preserve">io (OPNI) </w:t>
      </w:r>
      <w:r w:rsidR="000F04C1" w:rsidRPr="00C26D71">
        <w:rPr>
          <w:rFonts w:asciiTheme="majorBidi" w:hAnsiTheme="majorBidi" w:cstheme="majorBidi"/>
          <w:sz w:val="24"/>
          <w:szCs w:val="24"/>
          <w:lang w:bidi="ar-JO"/>
        </w:rPr>
        <w:t>respectively</w:t>
      </w:r>
      <w:r w:rsidR="000F04C1" w:rsidRPr="00C26D71">
        <w:rPr>
          <w:rFonts w:asciiTheme="majorBidi" w:hAnsiTheme="majorBidi" w:cstheme="majorBidi"/>
          <w:sz w:val="24"/>
          <w:szCs w:val="24"/>
        </w:rPr>
        <w:t>. The</w:t>
      </w:r>
      <w:r w:rsidR="00CD765D" w:rsidRPr="00C26D71">
        <w:rPr>
          <w:rFonts w:asciiTheme="majorBidi" w:hAnsiTheme="majorBidi" w:cstheme="majorBidi"/>
          <w:sz w:val="24"/>
          <w:szCs w:val="24"/>
        </w:rPr>
        <w:t xml:space="preserve"> data was collected from the audited annual reports of the sample banks, the Palestinian Monetary </w:t>
      </w:r>
      <w:r w:rsidR="00D90852" w:rsidRPr="00C26D71">
        <w:rPr>
          <w:rFonts w:asciiTheme="majorBidi" w:hAnsiTheme="majorBidi" w:cstheme="majorBidi"/>
          <w:sz w:val="24"/>
          <w:szCs w:val="24"/>
        </w:rPr>
        <w:t>Authority (PMA</w:t>
      </w:r>
      <w:r w:rsidR="00CD765D" w:rsidRPr="00C26D71">
        <w:rPr>
          <w:rFonts w:asciiTheme="majorBidi" w:hAnsiTheme="majorBidi" w:cstheme="majorBidi"/>
          <w:sz w:val="24"/>
          <w:szCs w:val="24"/>
        </w:rPr>
        <w:t>)'s</w:t>
      </w:r>
      <w:r w:rsidR="00120161" w:rsidRPr="00C26D71">
        <w:rPr>
          <w:rFonts w:asciiTheme="majorBidi" w:hAnsiTheme="majorBidi" w:cstheme="majorBidi"/>
          <w:sz w:val="24"/>
          <w:szCs w:val="24"/>
        </w:rPr>
        <w:t xml:space="preserve"> annual reports</w:t>
      </w:r>
      <w:r w:rsidR="00CD765D" w:rsidRPr="00C26D71">
        <w:rPr>
          <w:rFonts w:asciiTheme="majorBidi" w:hAnsiTheme="majorBidi" w:cstheme="majorBidi"/>
          <w:sz w:val="24"/>
          <w:szCs w:val="24"/>
        </w:rPr>
        <w:t xml:space="preserve"> and Association of B</w:t>
      </w:r>
      <w:r w:rsidR="00843A2A" w:rsidRPr="00C26D71">
        <w:rPr>
          <w:rFonts w:asciiTheme="majorBidi" w:hAnsiTheme="majorBidi" w:cstheme="majorBidi"/>
          <w:sz w:val="24"/>
          <w:szCs w:val="24"/>
        </w:rPr>
        <w:t xml:space="preserve">anks in Palestine </w:t>
      </w:r>
      <w:r w:rsidR="000F04C1" w:rsidRPr="00C26D71">
        <w:rPr>
          <w:rFonts w:asciiTheme="majorBidi" w:hAnsiTheme="majorBidi" w:cstheme="majorBidi"/>
          <w:sz w:val="24"/>
          <w:szCs w:val="24"/>
        </w:rPr>
        <w:t>(2005-2011).</w:t>
      </w:r>
      <w:r w:rsidR="002148BC" w:rsidRPr="00C26D71">
        <w:rPr>
          <w:rFonts w:asciiTheme="majorBidi" w:hAnsiTheme="majorBidi" w:cstheme="majorBidi"/>
          <w:sz w:val="24"/>
          <w:szCs w:val="24"/>
        </w:rPr>
        <w:t>The findings and analysis reveal</w:t>
      </w:r>
      <w:r w:rsidR="00CD765D" w:rsidRPr="00C26D71">
        <w:rPr>
          <w:rFonts w:asciiTheme="majorBidi" w:hAnsiTheme="majorBidi" w:cstheme="majorBidi"/>
          <w:sz w:val="24"/>
          <w:szCs w:val="24"/>
        </w:rPr>
        <w:t>ed</w:t>
      </w:r>
      <w:r w:rsidR="002148BC" w:rsidRPr="00C26D71">
        <w:rPr>
          <w:rFonts w:asciiTheme="majorBidi" w:hAnsiTheme="majorBidi" w:cstheme="majorBidi"/>
          <w:sz w:val="24"/>
          <w:szCs w:val="24"/>
        </w:rPr>
        <w:t xml:space="preserve"> that credit </w:t>
      </w:r>
      <w:r w:rsidR="00CD765D" w:rsidRPr="00C26D71">
        <w:rPr>
          <w:rFonts w:asciiTheme="majorBidi" w:hAnsiTheme="majorBidi" w:cstheme="majorBidi"/>
          <w:sz w:val="24"/>
          <w:szCs w:val="24"/>
        </w:rPr>
        <w:t>risk management had</w:t>
      </w:r>
      <w:r w:rsidR="00313F0C" w:rsidRPr="00C26D71">
        <w:rPr>
          <w:rFonts w:asciiTheme="majorBidi" w:hAnsiTheme="majorBidi" w:cstheme="majorBidi"/>
          <w:sz w:val="24"/>
          <w:szCs w:val="24"/>
        </w:rPr>
        <w:t xml:space="preserve"> significant</w:t>
      </w:r>
      <w:r w:rsidR="00AD4942" w:rsidRPr="00C26D71">
        <w:rPr>
          <w:rFonts w:asciiTheme="majorBidi" w:hAnsiTheme="majorBidi" w:cstheme="majorBidi"/>
          <w:sz w:val="24"/>
          <w:szCs w:val="24"/>
        </w:rPr>
        <w:t xml:space="preserve"> </w:t>
      </w:r>
      <w:r w:rsidR="00120161" w:rsidRPr="00C26D71">
        <w:rPr>
          <w:rFonts w:asciiTheme="majorBidi" w:hAnsiTheme="majorBidi" w:cstheme="majorBidi"/>
          <w:sz w:val="24"/>
          <w:szCs w:val="24"/>
        </w:rPr>
        <w:t>effect</w:t>
      </w:r>
      <w:r w:rsidR="000F04C1" w:rsidRPr="00C26D71">
        <w:rPr>
          <w:rFonts w:asciiTheme="majorBidi" w:hAnsiTheme="majorBidi" w:cstheme="majorBidi"/>
          <w:sz w:val="24"/>
          <w:szCs w:val="24"/>
        </w:rPr>
        <w:t xml:space="preserve"> on</w:t>
      </w:r>
      <w:r w:rsidR="00AD4942" w:rsidRPr="00C26D71">
        <w:rPr>
          <w:rFonts w:asciiTheme="majorBidi" w:hAnsiTheme="majorBidi" w:cstheme="majorBidi"/>
          <w:sz w:val="24"/>
          <w:szCs w:val="24"/>
        </w:rPr>
        <w:t xml:space="preserve"> </w:t>
      </w:r>
      <w:r w:rsidR="00CD765D" w:rsidRPr="00C26D71">
        <w:rPr>
          <w:rFonts w:asciiTheme="majorBidi" w:hAnsiTheme="majorBidi" w:cstheme="majorBidi"/>
          <w:sz w:val="24"/>
          <w:szCs w:val="24"/>
        </w:rPr>
        <w:t>profitability of the</w:t>
      </w:r>
      <w:r w:rsidR="00313F0C" w:rsidRPr="00C26D71">
        <w:rPr>
          <w:rFonts w:asciiTheme="majorBidi" w:hAnsiTheme="majorBidi" w:cstheme="majorBidi"/>
          <w:sz w:val="24"/>
          <w:szCs w:val="24"/>
        </w:rPr>
        <w:t xml:space="preserve"> five</w:t>
      </w:r>
      <w:r w:rsidR="00804AAC" w:rsidRPr="00C26D71">
        <w:rPr>
          <w:rFonts w:asciiTheme="majorBidi" w:hAnsiTheme="majorBidi" w:cstheme="majorBidi"/>
          <w:sz w:val="24"/>
          <w:szCs w:val="24"/>
        </w:rPr>
        <w:t xml:space="preserve"> sample</w:t>
      </w:r>
      <w:r w:rsidR="002148BC" w:rsidRPr="00C26D71">
        <w:rPr>
          <w:rFonts w:asciiTheme="majorBidi" w:hAnsiTheme="majorBidi" w:cstheme="majorBidi"/>
          <w:sz w:val="24"/>
          <w:szCs w:val="24"/>
        </w:rPr>
        <w:t xml:space="preserve"> banks.</w:t>
      </w:r>
      <w:r w:rsidR="005E485F" w:rsidRPr="00C26D71">
        <w:rPr>
          <w:rFonts w:asciiTheme="majorBidi" w:hAnsiTheme="majorBidi" w:cstheme="majorBidi"/>
          <w:sz w:val="24"/>
          <w:szCs w:val="24"/>
        </w:rPr>
        <w:t xml:space="preserve"> </w:t>
      </w:r>
      <w:r w:rsidR="00CD765D" w:rsidRPr="00C26D71">
        <w:rPr>
          <w:rFonts w:asciiTheme="majorBidi" w:hAnsiTheme="majorBidi" w:cstheme="majorBidi"/>
          <w:sz w:val="24"/>
          <w:szCs w:val="24"/>
        </w:rPr>
        <w:t>NPLR, EQTA, LLPI and OPNI had</w:t>
      </w:r>
      <w:r w:rsidR="00AB595F" w:rsidRPr="00C26D71">
        <w:rPr>
          <w:rFonts w:asciiTheme="majorBidi" w:hAnsiTheme="majorBidi" w:cstheme="majorBidi"/>
          <w:sz w:val="24"/>
          <w:szCs w:val="24"/>
        </w:rPr>
        <w:t xml:space="preserve"> significant negative relationship</w:t>
      </w:r>
      <w:r w:rsidR="00CD765D" w:rsidRPr="00C26D71">
        <w:rPr>
          <w:rFonts w:asciiTheme="majorBidi" w:hAnsiTheme="majorBidi" w:cstheme="majorBidi"/>
          <w:sz w:val="24"/>
          <w:szCs w:val="24"/>
        </w:rPr>
        <w:t xml:space="preserve"> on ROA while NIDR had</w:t>
      </w:r>
      <w:r w:rsidR="00AB595F" w:rsidRPr="00C26D71">
        <w:rPr>
          <w:rFonts w:asciiTheme="majorBidi" w:hAnsiTheme="majorBidi" w:cstheme="majorBidi"/>
          <w:sz w:val="24"/>
          <w:szCs w:val="24"/>
        </w:rPr>
        <w:t xml:space="preserve"> insignificant positive relationship.</w:t>
      </w:r>
      <w:r w:rsidR="00A51B5E" w:rsidRPr="00C26D71">
        <w:rPr>
          <w:rFonts w:asciiTheme="majorBidi" w:hAnsiTheme="majorBidi" w:cstheme="majorBidi"/>
          <w:sz w:val="24"/>
          <w:szCs w:val="24"/>
        </w:rPr>
        <w:t xml:space="preserve"> In ROE model</w:t>
      </w:r>
      <w:r w:rsidR="00CD765D" w:rsidRPr="00C26D71">
        <w:rPr>
          <w:rFonts w:asciiTheme="majorBidi" w:hAnsiTheme="majorBidi" w:cstheme="majorBidi"/>
          <w:sz w:val="24"/>
          <w:szCs w:val="24"/>
        </w:rPr>
        <w:t>, NPLR, LLPI, EQTA and OPNI had</w:t>
      </w:r>
      <w:r w:rsidR="00A51B5E" w:rsidRPr="00C26D71">
        <w:rPr>
          <w:rFonts w:asciiTheme="majorBidi" w:hAnsiTheme="majorBidi" w:cstheme="majorBidi"/>
          <w:sz w:val="24"/>
          <w:szCs w:val="24"/>
        </w:rPr>
        <w:t xml:space="preserve"> negative insignifica</w:t>
      </w:r>
      <w:r w:rsidR="00CD765D" w:rsidRPr="00C26D71">
        <w:rPr>
          <w:rFonts w:asciiTheme="majorBidi" w:hAnsiTheme="majorBidi" w:cstheme="majorBidi"/>
          <w:sz w:val="24"/>
          <w:szCs w:val="24"/>
        </w:rPr>
        <w:t>nt effect on ROE while NIDR had</w:t>
      </w:r>
      <w:r w:rsidR="00A51B5E" w:rsidRPr="00C26D71">
        <w:rPr>
          <w:rFonts w:asciiTheme="majorBidi" w:hAnsiTheme="majorBidi" w:cstheme="majorBidi"/>
          <w:sz w:val="24"/>
          <w:szCs w:val="24"/>
        </w:rPr>
        <w:t xml:space="preserve"> insignificant positive effect.</w:t>
      </w:r>
      <w:r w:rsidR="00AB595F" w:rsidRPr="00C26D71">
        <w:rPr>
          <w:rFonts w:asciiTheme="majorBidi" w:hAnsiTheme="majorBidi" w:cstheme="majorBidi"/>
          <w:sz w:val="24"/>
          <w:szCs w:val="24"/>
        </w:rPr>
        <w:t xml:space="preserve"> Therefore</w:t>
      </w:r>
      <w:r w:rsidR="00CD765D" w:rsidRPr="00C26D71">
        <w:rPr>
          <w:rFonts w:asciiTheme="majorBidi" w:hAnsiTheme="majorBidi" w:cstheme="majorBidi"/>
          <w:sz w:val="24"/>
          <w:szCs w:val="24"/>
        </w:rPr>
        <w:t>, banks</w:t>
      </w:r>
      <w:r w:rsidR="009743AD" w:rsidRPr="00C26D71">
        <w:rPr>
          <w:rFonts w:asciiTheme="majorBidi" w:hAnsiTheme="majorBidi" w:cstheme="majorBidi"/>
          <w:sz w:val="24"/>
          <w:szCs w:val="24"/>
        </w:rPr>
        <w:t xml:space="preserve"> management</w:t>
      </w:r>
      <w:r w:rsidR="00CD765D" w:rsidRPr="00C26D71">
        <w:rPr>
          <w:rFonts w:asciiTheme="majorBidi" w:hAnsiTheme="majorBidi" w:cstheme="majorBidi"/>
          <w:sz w:val="24"/>
          <w:szCs w:val="24"/>
        </w:rPr>
        <w:t>s</w:t>
      </w:r>
      <w:r w:rsidR="009743AD" w:rsidRPr="00C26D71">
        <w:rPr>
          <w:rFonts w:asciiTheme="majorBidi" w:hAnsiTheme="majorBidi" w:cstheme="majorBidi"/>
          <w:sz w:val="24"/>
          <w:szCs w:val="24"/>
        </w:rPr>
        <w:t xml:space="preserve"> need</w:t>
      </w:r>
      <w:r w:rsidR="00CD765D" w:rsidRPr="00C26D71">
        <w:rPr>
          <w:rFonts w:asciiTheme="majorBidi" w:hAnsiTheme="majorBidi" w:cstheme="majorBidi"/>
          <w:sz w:val="24"/>
          <w:szCs w:val="24"/>
        </w:rPr>
        <w:t xml:space="preserve"> to be careful in setting up credit policies that would</w:t>
      </w:r>
      <w:r w:rsidR="009743AD" w:rsidRPr="00C26D71">
        <w:rPr>
          <w:rFonts w:asciiTheme="majorBidi" w:hAnsiTheme="majorBidi" w:cstheme="majorBidi"/>
          <w:sz w:val="24"/>
          <w:szCs w:val="24"/>
        </w:rPr>
        <w:t xml:space="preserve"> not negati</w:t>
      </w:r>
      <w:r w:rsidR="00724401" w:rsidRPr="00C26D71">
        <w:rPr>
          <w:rFonts w:asciiTheme="majorBidi" w:hAnsiTheme="majorBidi" w:cstheme="majorBidi"/>
          <w:sz w:val="24"/>
          <w:szCs w:val="24"/>
        </w:rPr>
        <w:t>vely affect profitability</w:t>
      </w:r>
      <w:r w:rsidR="009B6CA8" w:rsidRPr="00C26D71">
        <w:rPr>
          <w:rFonts w:asciiTheme="majorBidi" w:hAnsiTheme="majorBidi" w:cstheme="majorBidi"/>
          <w:sz w:val="24"/>
          <w:szCs w:val="24"/>
        </w:rPr>
        <w:t xml:space="preserve"> only but also the bank's operations</w:t>
      </w:r>
      <w:r w:rsidR="00D13400">
        <w:rPr>
          <w:rFonts w:asciiTheme="majorBidi" w:hAnsiTheme="majorBidi" w:cstheme="majorBidi"/>
          <w:sz w:val="24"/>
          <w:szCs w:val="24"/>
        </w:rPr>
        <w:t>,</w:t>
      </w:r>
      <w:r w:rsidR="009B6CA8" w:rsidRPr="00C26D71">
        <w:rPr>
          <w:rFonts w:asciiTheme="majorBidi" w:hAnsiTheme="majorBidi" w:cstheme="majorBidi"/>
          <w:sz w:val="24"/>
          <w:szCs w:val="24"/>
        </w:rPr>
        <w:t xml:space="preserve"> to</w:t>
      </w:r>
      <w:r w:rsidR="00EB550B" w:rsidRPr="00C26D71">
        <w:rPr>
          <w:rFonts w:asciiTheme="majorBidi" w:hAnsiTheme="majorBidi" w:cstheme="majorBidi"/>
          <w:sz w:val="24"/>
          <w:szCs w:val="24"/>
        </w:rPr>
        <w:t xml:space="preserve"> ensure</w:t>
      </w:r>
      <w:r w:rsidR="009B6CA8" w:rsidRPr="00C26D71">
        <w:rPr>
          <w:rFonts w:asciiTheme="majorBidi" w:hAnsiTheme="majorBidi" w:cstheme="majorBidi"/>
          <w:sz w:val="24"/>
          <w:szCs w:val="24"/>
        </w:rPr>
        <w:t xml:space="preserve"> </w:t>
      </w:r>
      <w:r w:rsidR="00EB550B" w:rsidRPr="00C26D71">
        <w:rPr>
          <w:rFonts w:asciiTheme="majorBidi" w:hAnsiTheme="majorBidi" w:cstheme="majorBidi"/>
          <w:sz w:val="24"/>
          <w:szCs w:val="24"/>
        </w:rPr>
        <w:t xml:space="preserve">prudent </w:t>
      </w:r>
      <w:r w:rsidR="00D93651" w:rsidRPr="00C26D71">
        <w:rPr>
          <w:rFonts w:asciiTheme="majorBidi" w:hAnsiTheme="majorBidi" w:cstheme="majorBidi"/>
          <w:sz w:val="24"/>
          <w:szCs w:val="24"/>
        </w:rPr>
        <w:t>utilization of financial resources</w:t>
      </w:r>
      <w:r w:rsidR="00EB550B" w:rsidRPr="00C26D71">
        <w:rPr>
          <w:rFonts w:asciiTheme="majorBidi" w:hAnsiTheme="majorBidi" w:cstheme="majorBidi"/>
          <w:sz w:val="24"/>
          <w:szCs w:val="24"/>
        </w:rPr>
        <w:t>.</w:t>
      </w:r>
      <w:r w:rsidR="00724401" w:rsidRPr="00C26D71">
        <w:rPr>
          <w:rFonts w:asciiTheme="majorBidi" w:hAnsiTheme="majorBidi" w:cstheme="majorBidi"/>
          <w:sz w:val="24"/>
          <w:szCs w:val="24"/>
        </w:rPr>
        <w:t xml:space="preserve"> </w:t>
      </w:r>
      <w:r w:rsidR="009743AD" w:rsidRPr="00C26D71">
        <w:rPr>
          <w:rFonts w:asciiTheme="majorBidi" w:hAnsiTheme="majorBidi" w:cstheme="majorBidi"/>
          <w:sz w:val="24"/>
          <w:szCs w:val="24"/>
        </w:rPr>
        <w:t>However, when compared with the major Basel regulations regarding credit risk management, it should be admitted that none of the large or small Palestinia</w:t>
      </w:r>
      <w:r w:rsidR="00E96BC2" w:rsidRPr="00C26D71">
        <w:rPr>
          <w:rFonts w:asciiTheme="majorBidi" w:hAnsiTheme="majorBidi" w:cstheme="majorBidi"/>
          <w:sz w:val="24"/>
          <w:szCs w:val="24"/>
        </w:rPr>
        <w:t>n</w:t>
      </w:r>
      <w:r w:rsidR="00A33B8E" w:rsidRPr="00C26D71">
        <w:rPr>
          <w:rFonts w:asciiTheme="majorBidi" w:hAnsiTheme="majorBidi" w:cstheme="majorBidi"/>
          <w:sz w:val="24"/>
          <w:szCs w:val="24"/>
        </w:rPr>
        <w:t xml:space="preserve"> commercial</w:t>
      </w:r>
      <w:r w:rsidR="00E96BC2" w:rsidRPr="00C26D71">
        <w:rPr>
          <w:rFonts w:asciiTheme="majorBidi" w:hAnsiTheme="majorBidi" w:cstheme="majorBidi"/>
          <w:sz w:val="24"/>
          <w:szCs w:val="24"/>
        </w:rPr>
        <w:t xml:space="preserve"> </w:t>
      </w:r>
      <w:r w:rsidR="00E96BC2" w:rsidRPr="00C26D71">
        <w:rPr>
          <w:rFonts w:asciiTheme="majorBidi" w:hAnsiTheme="majorBidi" w:cstheme="majorBidi"/>
          <w:sz w:val="24"/>
          <w:szCs w:val="24"/>
        </w:rPr>
        <w:lastRenderedPageBreak/>
        <w:t>banks had</w:t>
      </w:r>
      <w:r w:rsidR="009743AD" w:rsidRPr="00C26D71">
        <w:rPr>
          <w:rFonts w:asciiTheme="majorBidi" w:hAnsiTheme="majorBidi" w:cstheme="majorBidi"/>
          <w:sz w:val="24"/>
          <w:szCs w:val="24"/>
        </w:rPr>
        <w:t xml:space="preserve"> met all </w:t>
      </w:r>
      <w:r w:rsidR="00E96BC2" w:rsidRPr="00C26D71">
        <w:rPr>
          <w:rFonts w:asciiTheme="majorBidi" w:hAnsiTheme="majorBidi" w:cstheme="majorBidi"/>
          <w:sz w:val="24"/>
          <w:szCs w:val="24"/>
        </w:rPr>
        <w:t>the requirements strictly. It was found</w:t>
      </w:r>
      <w:r w:rsidR="009743AD" w:rsidRPr="00C26D71">
        <w:rPr>
          <w:rFonts w:asciiTheme="majorBidi" w:hAnsiTheme="majorBidi" w:cstheme="majorBidi"/>
          <w:sz w:val="24"/>
          <w:szCs w:val="24"/>
        </w:rPr>
        <w:t xml:space="preserve"> that the largest Palestinian commercial bank </w:t>
      </w:r>
      <w:r w:rsidR="00E96BC2" w:rsidRPr="00C26D71">
        <w:rPr>
          <w:rFonts w:asciiTheme="majorBidi" w:hAnsiTheme="majorBidi" w:cstheme="majorBidi"/>
          <w:sz w:val="24"/>
          <w:szCs w:val="24"/>
        </w:rPr>
        <w:t>(Bank of Palestine</w:t>
      </w:r>
      <w:r w:rsidR="00D34A2F" w:rsidRPr="00C26D71">
        <w:rPr>
          <w:rFonts w:asciiTheme="majorBidi" w:hAnsiTheme="majorBidi" w:cstheme="majorBidi"/>
          <w:sz w:val="24"/>
          <w:szCs w:val="24"/>
        </w:rPr>
        <w:t>)</w:t>
      </w:r>
      <w:r w:rsidR="00E96BC2" w:rsidRPr="00C26D71">
        <w:rPr>
          <w:rFonts w:asciiTheme="majorBidi" w:hAnsiTheme="majorBidi" w:cstheme="majorBidi"/>
          <w:sz w:val="24"/>
          <w:szCs w:val="24"/>
        </w:rPr>
        <w:t>, in</w:t>
      </w:r>
      <w:r w:rsidR="00AD4942" w:rsidRPr="00C26D71">
        <w:rPr>
          <w:rFonts w:asciiTheme="majorBidi" w:hAnsiTheme="majorBidi" w:cstheme="majorBidi"/>
          <w:sz w:val="24"/>
          <w:szCs w:val="24"/>
        </w:rPr>
        <w:t xml:space="preserve"> </w:t>
      </w:r>
      <w:r w:rsidR="00E96BC2" w:rsidRPr="00C26D71">
        <w:rPr>
          <w:rFonts w:asciiTheme="majorBidi" w:hAnsiTheme="majorBidi" w:cstheme="majorBidi"/>
          <w:sz w:val="24"/>
          <w:szCs w:val="24"/>
        </w:rPr>
        <w:t>particular, had</w:t>
      </w:r>
      <w:r w:rsidR="009743AD" w:rsidRPr="00C26D71">
        <w:rPr>
          <w:rFonts w:asciiTheme="majorBidi" w:hAnsiTheme="majorBidi" w:cstheme="majorBidi"/>
          <w:sz w:val="24"/>
          <w:szCs w:val="24"/>
        </w:rPr>
        <w:t xml:space="preserve"> followed the general</w:t>
      </w:r>
      <w:r w:rsidR="00E96BC2" w:rsidRPr="00C26D71">
        <w:rPr>
          <w:rFonts w:asciiTheme="majorBidi" w:hAnsiTheme="majorBidi" w:cstheme="majorBidi"/>
          <w:sz w:val="24"/>
          <w:szCs w:val="24"/>
        </w:rPr>
        <w:t xml:space="preserve"> principles to some extent but the others still had</w:t>
      </w:r>
      <w:r w:rsidR="009743AD" w:rsidRPr="00C26D71">
        <w:rPr>
          <w:rFonts w:asciiTheme="majorBidi" w:hAnsiTheme="majorBidi" w:cstheme="majorBidi"/>
          <w:sz w:val="24"/>
          <w:szCs w:val="24"/>
        </w:rPr>
        <w:t xml:space="preserve"> long way from Basel regulations, especially in</w:t>
      </w:r>
      <w:r w:rsidR="00E96BC2" w:rsidRPr="00C26D71">
        <w:rPr>
          <w:rFonts w:asciiTheme="majorBidi" w:hAnsiTheme="majorBidi" w:cstheme="majorBidi"/>
          <w:sz w:val="24"/>
          <w:szCs w:val="24"/>
        </w:rPr>
        <w:t xml:space="preserve"> the</w:t>
      </w:r>
      <w:r w:rsidR="009743AD" w:rsidRPr="00C26D71">
        <w:rPr>
          <w:rFonts w:asciiTheme="majorBidi" w:hAnsiTheme="majorBidi" w:cstheme="majorBidi"/>
          <w:sz w:val="24"/>
          <w:szCs w:val="24"/>
        </w:rPr>
        <w:t xml:space="preserve"> area of credit risk mitigation tools, credit control and</w:t>
      </w:r>
      <w:r w:rsidR="009743AD" w:rsidRPr="00C26D71">
        <w:rPr>
          <w:rFonts w:asciiTheme="majorBidi" w:hAnsiTheme="majorBidi" w:cstheme="majorBidi"/>
          <w:color w:val="000000" w:themeColor="text1"/>
          <w:sz w:val="24"/>
          <w:szCs w:val="24"/>
        </w:rPr>
        <w:t xml:space="preserve"> the best practice of credit disclosure issued by Basel (2000).</w:t>
      </w:r>
    </w:p>
    <w:p w:rsidR="009A554D" w:rsidRDefault="009A554D"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A1BF3" w:rsidRDefault="00CA1BF3" w:rsidP="006A535A">
      <w:pPr>
        <w:autoSpaceDE w:val="0"/>
        <w:autoSpaceDN w:val="0"/>
        <w:adjustRightInd w:val="0"/>
        <w:spacing w:before="300" w:after="300" w:line="360" w:lineRule="auto"/>
        <w:rPr>
          <w:rFonts w:asciiTheme="majorBidi" w:hAnsiTheme="majorBidi" w:cstheme="majorBidi"/>
          <w:b/>
          <w:bCs/>
          <w:color w:val="000000"/>
          <w:sz w:val="28"/>
          <w:szCs w:val="28"/>
        </w:rPr>
      </w:pPr>
    </w:p>
    <w:p w:rsidR="00CF44D0" w:rsidRDefault="0053121C" w:rsidP="009826A4">
      <w:pPr>
        <w:autoSpaceDE w:val="0"/>
        <w:autoSpaceDN w:val="0"/>
        <w:adjustRightInd w:val="0"/>
        <w:spacing w:before="300" w:after="300"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Abstrakt</w:t>
      </w:r>
    </w:p>
    <w:p w:rsidR="009826A4" w:rsidRDefault="009826A4" w:rsidP="009826A4">
      <w:pPr>
        <w:jc w:val="both"/>
        <w:rPr>
          <w:rFonts w:asciiTheme="majorBidi" w:hAnsiTheme="majorBidi" w:cstheme="majorBidi"/>
          <w:sz w:val="24"/>
          <w:szCs w:val="24"/>
          <w:lang w:val="cs-CZ"/>
        </w:rPr>
      </w:pPr>
      <w:r>
        <w:rPr>
          <w:rFonts w:asciiTheme="majorBidi" w:hAnsiTheme="majorBidi" w:cstheme="majorBidi"/>
          <w:sz w:val="24"/>
          <w:szCs w:val="24"/>
          <w:lang w:val="cs-CZ"/>
        </w:rPr>
        <w:t>Úvěrová rizika vždy byla hlavním zdrojem problémů bank.na celém světě. Je tomu tak proto, že poskytování úvěrů je jedním z nejdůležitějších příjmů komerčních a bank a pokud tato činnost není dobře řízena může se banka dostat do velkých potíží, či dokonce zbankrotovat.</w:t>
      </w:r>
    </w:p>
    <w:p w:rsidR="009826A4" w:rsidRDefault="009826A4" w:rsidP="009826A4">
      <w:pPr>
        <w:jc w:val="both"/>
        <w:rPr>
          <w:rFonts w:asciiTheme="majorBidi" w:hAnsiTheme="majorBidi" w:cstheme="majorBidi"/>
          <w:sz w:val="24"/>
          <w:szCs w:val="24"/>
          <w:lang w:val="cs-CZ"/>
        </w:rPr>
      </w:pPr>
      <w:r>
        <w:rPr>
          <w:rFonts w:asciiTheme="majorBidi" w:hAnsiTheme="majorBidi" w:cstheme="majorBidi"/>
          <w:sz w:val="24"/>
          <w:szCs w:val="24"/>
          <w:lang w:val="cs-CZ"/>
        </w:rPr>
        <w:t>Cílem této práce je zjistit vliv uplatňované úvěrové politiky bank na jejich profitabilitu, a jak řídily největší Palestinské komerční banky v letech 2005 – 2011 svá úvěrová rizika. Výsledky práce zahrnují pět vybraných bank a nejsou zobecňovány na všechny banky působící na území Palestiny.  V práci jsou popsány výsledky získané kombinací kavlitativních a kvantitativních metod zpracovaných v SPSS. Empirická analýza zahrnuje vícenásobné regresní modely; byly navrženy dva ekonometrické medely, kdy každý obsahuje jednu závisle proměnnou a pět nezávislých. V prvním modelu byla jako závislá proměnná zvolena návratnost aktiv (ROA) a ve druhém modelu byla jako závislá proměnná definována a návratnost vlastního kapitálu (ROE). Pravidla pro půjčování, monitorování úvěrů, kapitálová přiměřenost, a provozní efektivnost jako ukazatelé úvěrových rizik byly měřeny pomocí pěti finančních poměrových ukazatelů</w:t>
      </w:r>
      <w:r>
        <w:rPr>
          <w:rFonts w:asciiTheme="majorBidi" w:hAnsiTheme="majorBidi" w:cstheme="majorBidi"/>
          <w:sz w:val="24"/>
          <w:szCs w:val="24"/>
          <w:lang w:val="cs-CZ" w:bidi="ar-JO"/>
        </w:rPr>
        <w:t>; Ukazatel nesplacených úvěrů (Nonperforming Loans Ratio, NPLR), kapitálová přiměrenost (EQTA), Ukazatel opravných položek úvěrů (Loan Loss provisions Ratio, LLPI), ukazatel neúrokových příjmů (Noninterest Income Ratio NIDR) a ukazatel provozní efektivity (Operational Efficiency Ratio OPNI)</w:t>
      </w:r>
      <w:r>
        <w:rPr>
          <w:rFonts w:asciiTheme="majorBidi" w:hAnsiTheme="majorBidi" w:cstheme="majorBidi"/>
          <w:sz w:val="24"/>
          <w:szCs w:val="24"/>
          <w:lang w:val="cs-CZ"/>
        </w:rPr>
        <w:t xml:space="preserve">. Data byla sbírána z auditovaných výročních zpráv vybranných bank, výročních zpráv Palestinské monetární autority (PMA) a od asociace bank v Palestině (2005-2011). </w:t>
      </w:r>
    </w:p>
    <w:p w:rsidR="009826A4" w:rsidRDefault="009826A4" w:rsidP="009826A4">
      <w:pPr>
        <w:jc w:val="both"/>
        <w:rPr>
          <w:lang w:val="cs-CZ"/>
        </w:rPr>
      </w:pPr>
      <w:r>
        <w:rPr>
          <w:rFonts w:asciiTheme="majorBidi" w:hAnsiTheme="majorBidi" w:cstheme="majorBidi"/>
          <w:sz w:val="24"/>
          <w:szCs w:val="24"/>
          <w:lang w:val="cs-CZ"/>
        </w:rPr>
        <w:t>Výsledky analýz ukazují, že řízení úvěrových rizik významně ovlivňuje profitabilitu vybranných pěti bank. NPLR, EQTA, LLPI, a OPNI jsou významně nepřímo úměrné návratnosti aktiv (ROA), zatímco NIDR a jeho vztah k ROA se ukázal jako nevýznamný. Pro model návratnosti vlastního kapitálu (ROE), ukazatelé NPLR, LLPI, EQTA a OPNI vykazují nevýznamný negativní vliv a NIDR pak vliv nevýznamný pozitivní. Proto by bankovní management měl pečlivě zvážit a nastavit pravidla pro řízení úvěrových rizik tak, aby negativně neovlivnil profitabilitu banky, a také by měl zajistit obezřetné využívání zdrojů. Pokud bude srovnáno řízení úvěrových rizik s obecnými principy Basilejské rady, tak žádná komerční Palestinská banka těmto požadavkům zcela nevyhoví. Bylo zjištěno, že největší Palestinská komerční banka (Bank of Palestine) do značné míry splňuje Basilejské požadavky, ale ostatní sledované banky v tomto směru značně zaostávají, a to zejména na poli snižování úvěrových rizik.</w:t>
      </w:r>
    </w:p>
    <w:p w:rsidR="00CF44D0" w:rsidRPr="009826A4" w:rsidRDefault="00CF44D0" w:rsidP="009826A4">
      <w:pPr>
        <w:autoSpaceDE w:val="0"/>
        <w:autoSpaceDN w:val="0"/>
        <w:adjustRightInd w:val="0"/>
        <w:spacing w:before="300" w:after="300" w:line="360" w:lineRule="auto"/>
        <w:jc w:val="both"/>
        <w:rPr>
          <w:rFonts w:asciiTheme="majorBidi" w:hAnsiTheme="majorBidi" w:cstheme="majorBidi"/>
          <w:b/>
          <w:bCs/>
          <w:color w:val="000000"/>
          <w:sz w:val="24"/>
          <w:szCs w:val="24"/>
          <w:lang w:val="cs-CZ"/>
        </w:rPr>
      </w:pPr>
    </w:p>
    <w:p w:rsidR="00CF44D0" w:rsidRPr="009826A4"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lang w:val="cs-CZ"/>
        </w:rPr>
      </w:pPr>
    </w:p>
    <w:p w:rsidR="00CF44D0" w:rsidRPr="009826A4"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lang w:val="cs-CZ"/>
        </w:rPr>
      </w:pPr>
    </w:p>
    <w:p w:rsidR="009826A4" w:rsidRDefault="009826A4" w:rsidP="009826A4">
      <w:pPr>
        <w:autoSpaceDE w:val="0"/>
        <w:autoSpaceDN w:val="0"/>
        <w:adjustRightInd w:val="0"/>
        <w:spacing w:after="0" w:line="240" w:lineRule="auto"/>
        <w:rPr>
          <w:rFonts w:asciiTheme="majorBidi" w:hAnsiTheme="majorBidi" w:cstheme="majorBidi"/>
          <w:b/>
          <w:bCs/>
          <w:color w:val="000000"/>
          <w:sz w:val="28"/>
          <w:szCs w:val="28"/>
          <w:lang w:val="cs-CZ"/>
        </w:rPr>
      </w:pPr>
    </w:p>
    <w:p w:rsidR="00CF44D0" w:rsidRPr="00D41F9F" w:rsidRDefault="00CF44D0" w:rsidP="009826A4">
      <w:pPr>
        <w:autoSpaceDE w:val="0"/>
        <w:autoSpaceDN w:val="0"/>
        <w:adjustRightInd w:val="0"/>
        <w:spacing w:after="0" w:line="240" w:lineRule="auto"/>
        <w:jc w:val="center"/>
        <w:rPr>
          <w:rFonts w:ascii="Times New Roman" w:hAnsi="Times New Roman"/>
          <w:b/>
          <w:bCs/>
          <w:sz w:val="28"/>
          <w:szCs w:val="28"/>
          <w:lang w:eastAsia="cs-CZ"/>
        </w:rPr>
      </w:pPr>
      <w:r w:rsidRPr="00D41F9F">
        <w:rPr>
          <w:rFonts w:ascii="Times New Roman" w:hAnsi="Times New Roman"/>
          <w:b/>
          <w:bCs/>
          <w:sz w:val="28"/>
          <w:szCs w:val="28"/>
          <w:lang w:eastAsia="cs-CZ"/>
        </w:rPr>
        <w:t>D</w:t>
      </w:r>
      <w:r>
        <w:rPr>
          <w:rFonts w:ascii="Times New Roman" w:hAnsi="Times New Roman"/>
          <w:b/>
          <w:bCs/>
          <w:sz w:val="28"/>
          <w:szCs w:val="28"/>
          <w:lang w:eastAsia="cs-CZ"/>
        </w:rPr>
        <w:t>eclaration</w:t>
      </w:r>
    </w:p>
    <w:p w:rsidR="00CF44D0" w:rsidRPr="00D41F9F" w:rsidRDefault="00CF44D0" w:rsidP="00CF44D0">
      <w:pPr>
        <w:autoSpaceDE w:val="0"/>
        <w:autoSpaceDN w:val="0"/>
        <w:adjustRightInd w:val="0"/>
        <w:spacing w:after="0" w:line="240" w:lineRule="auto"/>
        <w:rPr>
          <w:rFonts w:ascii="Times New Roman" w:hAnsi="Times New Roman"/>
          <w:sz w:val="28"/>
          <w:szCs w:val="28"/>
          <w:lang w:eastAsia="cs-CZ"/>
        </w:rPr>
      </w:pPr>
    </w:p>
    <w:p w:rsidR="00CF44D0" w:rsidRDefault="00CF44D0" w:rsidP="00CF44D0">
      <w:pPr>
        <w:spacing w:line="360" w:lineRule="auto"/>
        <w:jc w:val="both"/>
        <w:rPr>
          <w:rFonts w:ascii="Times New Roman" w:hAnsi="Times New Roman"/>
          <w:sz w:val="24"/>
          <w:szCs w:val="24"/>
          <w:lang w:eastAsia="cs-CZ"/>
        </w:rPr>
      </w:pPr>
    </w:p>
    <w:p w:rsidR="00CF44D0" w:rsidRDefault="00CF44D0" w:rsidP="00D342B7">
      <w:pPr>
        <w:autoSpaceDE w:val="0"/>
        <w:autoSpaceDN w:val="0"/>
        <w:adjustRightInd w:val="0"/>
        <w:spacing w:before="300" w:after="300" w:line="360" w:lineRule="auto"/>
        <w:jc w:val="both"/>
        <w:rPr>
          <w:rFonts w:ascii="Times New Roman" w:hAnsi="Times New Roman"/>
          <w:sz w:val="24"/>
          <w:szCs w:val="24"/>
          <w:lang w:eastAsia="cs-CZ"/>
        </w:rPr>
      </w:pPr>
      <w:r w:rsidRPr="00B35E5F">
        <w:rPr>
          <w:rFonts w:ascii="Times New Roman" w:hAnsi="Times New Roman"/>
          <w:sz w:val="24"/>
          <w:szCs w:val="24"/>
          <w:lang w:eastAsia="cs-CZ"/>
        </w:rPr>
        <w:t>I hereby declare that this research is my own work. It is submitted in partial fulfillment of the requirements for the PhD degree at Czech University of Life Sciences Prague, Faculty of Economics and Management. It has not been submitted before for any degree or examination in any other University</w:t>
      </w:r>
      <w:r>
        <w:rPr>
          <w:rFonts w:ascii="Times New Roman" w:hAnsi="Times New Roman"/>
          <w:sz w:val="24"/>
          <w:szCs w:val="24"/>
          <w:lang w:eastAsia="cs-CZ"/>
        </w:rPr>
        <w:t>.</w:t>
      </w:r>
    </w:p>
    <w:p w:rsidR="00CF44D0" w:rsidRDefault="00CF44D0" w:rsidP="00D342B7">
      <w:pPr>
        <w:autoSpaceDE w:val="0"/>
        <w:autoSpaceDN w:val="0"/>
        <w:adjustRightInd w:val="0"/>
        <w:spacing w:before="300" w:after="300" w:line="360" w:lineRule="auto"/>
        <w:jc w:val="both"/>
        <w:rPr>
          <w:rFonts w:ascii="Times New Roman" w:hAnsi="Times New Roman"/>
          <w:sz w:val="24"/>
          <w:szCs w:val="24"/>
          <w:lang w:eastAsia="cs-CZ"/>
        </w:rPr>
      </w:pPr>
    </w:p>
    <w:p w:rsidR="00CF44D0" w:rsidRDefault="00CF44D0" w:rsidP="00CF44D0">
      <w:pPr>
        <w:autoSpaceDE w:val="0"/>
        <w:autoSpaceDN w:val="0"/>
        <w:adjustRightInd w:val="0"/>
        <w:spacing w:before="300" w:after="300" w:line="360" w:lineRule="auto"/>
        <w:rPr>
          <w:rFonts w:ascii="Times New Roman" w:hAnsi="Times New Roman"/>
          <w:sz w:val="24"/>
          <w:szCs w:val="24"/>
          <w:lang w:eastAsia="cs-CZ"/>
        </w:rPr>
      </w:pPr>
    </w:p>
    <w:p w:rsidR="00CF44D0" w:rsidRDefault="00CF44D0" w:rsidP="00CF44D0">
      <w:pPr>
        <w:autoSpaceDE w:val="0"/>
        <w:autoSpaceDN w:val="0"/>
        <w:adjustRightInd w:val="0"/>
        <w:spacing w:before="300" w:after="300" w:line="360" w:lineRule="auto"/>
        <w:rPr>
          <w:rFonts w:ascii="Times New Roman" w:hAnsi="Times New Roman"/>
          <w:sz w:val="24"/>
          <w:szCs w:val="24"/>
          <w:lang w:eastAsia="cs-CZ"/>
        </w:rPr>
      </w:pPr>
    </w:p>
    <w:p w:rsidR="00CF44D0" w:rsidRDefault="00CF44D0" w:rsidP="00CF44D0">
      <w:pPr>
        <w:autoSpaceDE w:val="0"/>
        <w:autoSpaceDN w:val="0"/>
        <w:adjustRightInd w:val="0"/>
        <w:spacing w:before="300" w:after="300" w:line="360" w:lineRule="auto"/>
        <w:rPr>
          <w:rFonts w:ascii="Times New Roman" w:hAnsi="Times New Roman"/>
          <w:sz w:val="24"/>
          <w:szCs w:val="24"/>
          <w:lang w:eastAsia="cs-CZ"/>
        </w:rPr>
      </w:pPr>
    </w:p>
    <w:p w:rsidR="00CF44D0" w:rsidRDefault="00CF44D0" w:rsidP="00CF44D0">
      <w:pPr>
        <w:autoSpaceDE w:val="0"/>
        <w:autoSpaceDN w:val="0"/>
        <w:adjustRightInd w:val="0"/>
        <w:spacing w:after="0" w:line="240" w:lineRule="auto"/>
        <w:rPr>
          <w:rFonts w:asciiTheme="majorBidi" w:hAnsiTheme="majorBidi" w:cstheme="majorBidi"/>
          <w:sz w:val="24"/>
          <w:szCs w:val="24"/>
          <w:lang w:eastAsia="cs-CZ"/>
        </w:rPr>
      </w:pPr>
      <w:r w:rsidRPr="00AD7B9A">
        <w:rPr>
          <w:rFonts w:asciiTheme="majorBidi" w:hAnsiTheme="majorBidi" w:cstheme="majorBidi"/>
          <w:b/>
          <w:bCs/>
          <w:sz w:val="24"/>
          <w:szCs w:val="24"/>
          <w:lang w:eastAsia="cs-CZ"/>
        </w:rPr>
        <w:t>Author</w:t>
      </w:r>
      <w:r w:rsidR="00CB256E">
        <w:rPr>
          <w:rFonts w:asciiTheme="majorBidi" w:hAnsiTheme="majorBidi" w:cstheme="majorBidi"/>
          <w:b/>
          <w:bCs/>
          <w:sz w:val="24"/>
          <w:szCs w:val="24"/>
          <w:lang w:eastAsia="cs-CZ"/>
        </w:rPr>
        <w:t xml:space="preserve">: </w:t>
      </w:r>
      <w:r w:rsidR="004D45DF">
        <w:rPr>
          <w:rFonts w:asciiTheme="majorBidi" w:hAnsiTheme="majorBidi" w:cstheme="majorBidi"/>
          <w:sz w:val="24"/>
          <w:szCs w:val="24"/>
          <w:lang w:eastAsia="cs-CZ"/>
        </w:rPr>
        <w:t>Khaled A. Zidan</w:t>
      </w:r>
      <w:r w:rsidR="00CB256E">
        <w:rPr>
          <w:rFonts w:asciiTheme="majorBidi" w:hAnsiTheme="majorBidi" w:cstheme="majorBidi"/>
          <w:sz w:val="24"/>
          <w:szCs w:val="24"/>
          <w:lang w:eastAsia="cs-CZ"/>
        </w:rPr>
        <w:t xml:space="preserve">                                                                  </w:t>
      </w:r>
      <w:r w:rsidR="00CB256E" w:rsidRPr="00AE5776">
        <w:rPr>
          <w:rFonts w:asciiTheme="majorBidi" w:hAnsiTheme="majorBidi" w:cstheme="majorBidi"/>
          <w:b/>
          <w:bCs/>
          <w:sz w:val="24"/>
          <w:szCs w:val="24"/>
          <w:lang w:eastAsia="cs-CZ"/>
        </w:rPr>
        <w:t>Signature</w:t>
      </w:r>
      <w:r w:rsidR="00CB256E">
        <w:rPr>
          <w:rFonts w:asciiTheme="majorBidi" w:hAnsiTheme="majorBidi" w:cstheme="majorBidi"/>
          <w:b/>
          <w:bCs/>
          <w:sz w:val="24"/>
          <w:szCs w:val="24"/>
          <w:lang w:eastAsia="cs-CZ"/>
        </w:rPr>
        <w:t>:</w:t>
      </w:r>
    </w:p>
    <w:p w:rsidR="00CF44D0" w:rsidRDefault="00CF44D0" w:rsidP="00CF44D0">
      <w:pPr>
        <w:rPr>
          <w:rFonts w:asciiTheme="majorBidi" w:hAnsiTheme="majorBidi" w:cstheme="majorBidi"/>
          <w:b/>
          <w:bCs/>
          <w:sz w:val="24"/>
          <w:szCs w:val="24"/>
          <w:lang w:eastAsia="cs-CZ"/>
        </w:rPr>
      </w:pPr>
    </w:p>
    <w:p w:rsidR="00CF44D0" w:rsidRDefault="00CF44D0" w:rsidP="00CF44D0">
      <w:pPr>
        <w:rPr>
          <w:rFonts w:asciiTheme="majorBidi" w:hAnsiTheme="majorBidi" w:cstheme="majorBidi"/>
          <w:b/>
          <w:bCs/>
          <w:sz w:val="24"/>
          <w:szCs w:val="24"/>
          <w:lang w:eastAsia="cs-CZ"/>
        </w:rPr>
      </w:pPr>
    </w:p>
    <w:p w:rsidR="00CF44D0" w:rsidRDefault="00CF44D0" w:rsidP="00CF44D0">
      <w:pPr>
        <w:rPr>
          <w:rFonts w:asciiTheme="majorBidi" w:hAnsiTheme="majorBidi" w:cstheme="majorBidi"/>
          <w:b/>
          <w:bCs/>
          <w:sz w:val="24"/>
          <w:szCs w:val="24"/>
          <w:lang w:eastAsia="cs-CZ"/>
        </w:rPr>
      </w:pPr>
    </w:p>
    <w:p w:rsidR="00CF44D0" w:rsidRPr="00AE5776" w:rsidRDefault="00CF44D0" w:rsidP="00CB256E">
      <w:pPr>
        <w:rPr>
          <w:rFonts w:asciiTheme="majorBidi" w:hAnsiTheme="majorBidi" w:cstheme="majorBidi"/>
          <w:sz w:val="24"/>
          <w:szCs w:val="24"/>
        </w:rPr>
      </w:pPr>
      <w:r w:rsidRPr="00AE5776">
        <w:rPr>
          <w:rFonts w:asciiTheme="majorBidi" w:hAnsiTheme="majorBidi" w:cstheme="majorBidi"/>
          <w:b/>
          <w:bCs/>
          <w:sz w:val="24"/>
          <w:szCs w:val="24"/>
          <w:lang w:eastAsia="cs-CZ"/>
        </w:rPr>
        <w:t>Date:</w:t>
      </w:r>
      <w:r w:rsidR="005F2328">
        <w:rPr>
          <w:rFonts w:asciiTheme="majorBidi" w:hAnsiTheme="majorBidi" w:cstheme="majorBidi"/>
          <w:sz w:val="24"/>
          <w:szCs w:val="24"/>
        </w:rPr>
        <w:t xml:space="preserve"> April 24</w:t>
      </w:r>
      <w:r w:rsidR="005F2328">
        <w:rPr>
          <w:rFonts w:asciiTheme="majorBidi" w:hAnsiTheme="majorBidi" w:cstheme="majorBidi"/>
          <w:sz w:val="24"/>
          <w:szCs w:val="24"/>
          <w:vertAlign w:val="superscript"/>
        </w:rPr>
        <w:t>th</w:t>
      </w:r>
      <w:r w:rsidR="005F2328">
        <w:rPr>
          <w:rFonts w:asciiTheme="majorBidi" w:hAnsiTheme="majorBidi" w:cstheme="majorBidi"/>
          <w:sz w:val="24"/>
          <w:szCs w:val="24"/>
        </w:rPr>
        <w:t xml:space="preserve">,  </w:t>
      </w:r>
      <w:r w:rsidR="00D342B7">
        <w:rPr>
          <w:rFonts w:asciiTheme="majorBidi" w:hAnsiTheme="majorBidi" w:cstheme="majorBidi"/>
          <w:sz w:val="24"/>
          <w:szCs w:val="24"/>
        </w:rPr>
        <w:t>2014</w:t>
      </w:r>
    </w:p>
    <w:p w:rsidR="00CF44D0"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F44D0"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F44D0"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F44D0"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F44D0"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CF44D0" w:rsidRDefault="00CF44D0" w:rsidP="001C12C2">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0C20FD" w:rsidRDefault="000C20FD" w:rsidP="00CF44D0">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F10603" w:rsidRDefault="00126113" w:rsidP="00CF44D0">
      <w:pPr>
        <w:autoSpaceDE w:val="0"/>
        <w:autoSpaceDN w:val="0"/>
        <w:adjustRightInd w:val="0"/>
        <w:spacing w:before="300" w:after="300"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Acknowledgments</w:t>
      </w:r>
    </w:p>
    <w:p w:rsidR="00126113" w:rsidRPr="007233EB" w:rsidRDefault="00126113" w:rsidP="002E4B0B">
      <w:pPr>
        <w:autoSpaceDE w:val="0"/>
        <w:autoSpaceDN w:val="0"/>
        <w:adjustRightInd w:val="0"/>
        <w:spacing w:before="300" w:after="300" w:line="360" w:lineRule="auto"/>
        <w:jc w:val="center"/>
        <w:rPr>
          <w:rFonts w:asciiTheme="majorBidi" w:hAnsiTheme="majorBidi" w:cstheme="majorBidi"/>
          <w:b/>
          <w:bCs/>
          <w:color w:val="000000"/>
          <w:sz w:val="28"/>
          <w:szCs w:val="28"/>
        </w:rPr>
      </w:pPr>
    </w:p>
    <w:p w:rsidR="00071C8C" w:rsidRDefault="00071C8C" w:rsidP="00071C8C">
      <w:pPr>
        <w:pStyle w:val="Subtitle"/>
        <w:rPr>
          <w:color w:val="auto"/>
        </w:rPr>
      </w:pPr>
    </w:p>
    <w:p w:rsidR="00545732" w:rsidRPr="00545732" w:rsidRDefault="00545732" w:rsidP="00545732">
      <w:pPr>
        <w:pStyle w:val="Subtitle"/>
        <w:spacing w:line="360" w:lineRule="auto"/>
        <w:jc w:val="both"/>
        <w:rPr>
          <w:rFonts w:asciiTheme="majorBidi" w:hAnsiTheme="majorBidi"/>
          <w:color w:val="auto"/>
        </w:rPr>
      </w:pPr>
      <w:r w:rsidRPr="00545732">
        <w:rPr>
          <w:rFonts w:asciiTheme="majorBidi" w:hAnsiTheme="majorBidi"/>
          <w:color w:val="auto"/>
        </w:rPr>
        <w:t>I would like to express my special thanks to my supervisor Prof. Mansoor Maitah, who has given me strong support and encouragement during the whole research, and I very appreciate the academic guidance and inspiration he has given me.</w:t>
      </w:r>
    </w:p>
    <w:p w:rsidR="00545732" w:rsidRPr="00545732" w:rsidRDefault="00545732" w:rsidP="00545732">
      <w:pPr>
        <w:pStyle w:val="Subtitle"/>
        <w:spacing w:line="360" w:lineRule="auto"/>
        <w:jc w:val="both"/>
        <w:rPr>
          <w:rFonts w:asciiTheme="majorBidi" w:hAnsiTheme="majorBidi"/>
          <w:color w:val="auto"/>
        </w:rPr>
      </w:pPr>
      <w:r w:rsidRPr="00545732">
        <w:rPr>
          <w:rFonts w:asciiTheme="majorBidi" w:hAnsiTheme="majorBidi"/>
          <w:color w:val="auto"/>
        </w:rPr>
        <w:t xml:space="preserve"> I would like to thank my wife for patience and support during the completion of this study and for taking care of the family while I was busy and away from home.  I would like also to thank my mother who has sacrificed a lot f</w:t>
      </w:r>
      <w:r w:rsidR="001B5483">
        <w:rPr>
          <w:rFonts w:asciiTheme="majorBidi" w:hAnsiTheme="majorBidi"/>
          <w:color w:val="auto"/>
        </w:rPr>
        <w:t xml:space="preserve">or </w:t>
      </w:r>
      <w:r w:rsidRPr="00545732">
        <w:rPr>
          <w:rFonts w:asciiTheme="majorBidi" w:hAnsiTheme="majorBidi"/>
          <w:color w:val="auto"/>
        </w:rPr>
        <w:t>me and for my sisters.</w:t>
      </w:r>
    </w:p>
    <w:p w:rsidR="00545732" w:rsidRPr="00545732" w:rsidRDefault="001B5483" w:rsidP="00545732">
      <w:pPr>
        <w:pStyle w:val="Subtitle"/>
        <w:jc w:val="both"/>
        <w:rPr>
          <w:rFonts w:asciiTheme="majorBidi" w:hAnsiTheme="majorBidi"/>
          <w:color w:val="auto"/>
        </w:rPr>
      </w:pPr>
      <w:r>
        <w:rPr>
          <w:rFonts w:asciiTheme="majorBidi" w:hAnsiTheme="majorBidi"/>
          <w:color w:val="auto"/>
        </w:rPr>
        <w:t xml:space="preserve">Also special thanks are due to </w:t>
      </w:r>
      <w:r w:rsidR="00545732" w:rsidRPr="00545732">
        <w:rPr>
          <w:rFonts w:asciiTheme="majorBidi" w:hAnsiTheme="majorBidi"/>
          <w:color w:val="auto"/>
        </w:rPr>
        <w:t>my sisters for their support.</w:t>
      </w:r>
    </w:p>
    <w:p w:rsidR="00425562" w:rsidRPr="0063366F" w:rsidRDefault="00425562" w:rsidP="00705A1C">
      <w:pPr>
        <w:pStyle w:val="Subtitle"/>
        <w:spacing w:line="360" w:lineRule="auto"/>
        <w:rPr>
          <w:rFonts w:asciiTheme="majorBidi" w:hAnsiTheme="majorBidi"/>
          <w:color w:val="000000" w:themeColor="text1"/>
        </w:rPr>
      </w:pPr>
    </w:p>
    <w:p w:rsidR="00E34C06" w:rsidRPr="00071C8C" w:rsidRDefault="00E34C06" w:rsidP="00F10603">
      <w:pPr>
        <w:autoSpaceDE w:val="0"/>
        <w:autoSpaceDN w:val="0"/>
        <w:adjustRightInd w:val="0"/>
        <w:spacing w:before="300" w:after="300" w:line="360" w:lineRule="auto"/>
        <w:rPr>
          <w:rFonts w:asciiTheme="majorBidi" w:hAnsiTheme="majorBidi" w:cstheme="majorBidi"/>
          <w:sz w:val="24"/>
          <w:szCs w:val="24"/>
        </w:rPr>
      </w:pPr>
    </w:p>
    <w:p w:rsidR="00E34C06" w:rsidRDefault="00E34C06" w:rsidP="00F10603">
      <w:pPr>
        <w:autoSpaceDE w:val="0"/>
        <w:autoSpaceDN w:val="0"/>
        <w:adjustRightInd w:val="0"/>
        <w:spacing w:before="300" w:after="300" w:line="360" w:lineRule="auto"/>
        <w:rPr>
          <w:rFonts w:asciiTheme="majorBidi" w:hAnsiTheme="majorBidi" w:cstheme="majorBidi"/>
          <w:sz w:val="24"/>
          <w:szCs w:val="24"/>
        </w:rPr>
      </w:pPr>
    </w:p>
    <w:p w:rsidR="00E34C06" w:rsidRDefault="00E34C06" w:rsidP="00F10603">
      <w:pPr>
        <w:autoSpaceDE w:val="0"/>
        <w:autoSpaceDN w:val="0"/>
        <w:adjustRightInd w:val="0"/>
        <w:spacing w:before="300" w:after="300" w:line="360" w:lineRule="auto"/>
        <w:rPr>
          <w:rFonts w:asciiTheme="majorBidi" w:hAnsiTheme="majorBidi" w:cstheme="majorBidi"/>
          <w:sz w:val="24"/>
          <w:szCs w:val="24"/>
        </w:rPr>
      </w:pPr>
    </w:p>
    <w:p w:rsidR="00E34C06" w:rsidRPr="00705A1C" w:rsidRDefault="00E34C06" w:rsidP="00705A1C">
      <w:pPr>
        <w:pStyle w:val="Subtitle"/>
        <w:rPr>
          <w:color w:val="auto"/>
        </w:rPr>
      </w:pPr>
      <w:r w:rsidRPr="00705A1C">
        <w:rPr>
          <w:color w:val="auto"/>
        </w:rPr>
        <w:t>Khaled</w:t>
      </w:r>
      <w:r w:rsidR="001B5483">
        <w:rPr>
          <w:color w:val="auto"/>
        </w:rPr>
        <w:t xml:space="preserve"> </w:t>
      </w:r>
      <w:r w:rsidRPr="00705A1C">
        <w:rPr>
          <w:color w:val="auto"/>
        </w:rPr>
        <w:t>Zidan</w:t>
      </w:r>
    </w:p>
    <w:p w:rsidR="00CB62D2" w:rsidRDefault="00CB62D2" w:rsidP="00A74D90">
      <w:pPr>
        <w:jc w:val="center"/>
        <w:rPr>
          <w:rFonts w:asciiTheme="majorBidi" w:hAnsiTheme="majorBidi" w:cstheme="majorBidi"/>
          <w:b/>
          <w:bCs/>
          <w:sz w:val="28"/>
          <w:szCs w:val="28"/>
        </w:rPr>
      </w:pPr>
    </w:p>
    <w:p w:rsidR="00CB62D2" w:rsidRDefault="00CB62D2" w:rsidP="00A74D90">
      <w:pPr>
        <w:jc w:val="center"/>
        <w:rPr>
          <w:rFonts w:asciiTheme="majorBidi" w:hAnsiTheme="majorBidi" w:cstheme="majorBidi"/>
          <w:b/>
          <w:bCs/>
          <w:sz w:val="28"/>
          <w:szCs w:val="28"/>
        </w:rPr>
      </w:pPr>
    </w:p>
    <w:p w:rsidR="0076317E" w:rsidRDefault="0076317E" w:rsidP="00A74D90">
      <w:pPr>
        <w:jc w:val="center"/>
        <w:rPr>
          <w:rFonts w:ascii="Times New Roman" w:hAnsi="Times New Roman" w:cs="Times New Roman"/>
          <w:b/>
          <w:color w:val="000000" w:themeColor="text1"/>
          <w:sz w:val="28"/>
          <w:szCs w:val="28"/>
        </w:rPr>
      </w:pPr>
    </w:p>
    <w:p w:rsidR="0076317E" w:rsidRDefault="0076317E" w:rsidP="00A74D90">
      <w:pPr>
        <w:jc w:val="center"/>
        <w:rPr>
          <w:rFonts w:ascii="Times New Roman" w:hAnsi="Times New Roman" w:cs="Times New Roman"/>
          <w:b/>
          <w:color w:val="000000" w:themeColor="text1"/>
          <w:sz w:val="28"/>
          <w:szCs w:val="28"/>
        </w:rPr>
      </w:pPr>
    </w:p>
    <w:p w:rsidR="00ED0EDF" w:rsidRDefault="00973033" w:rsidP="00A74D90">
      <w:pPr>
        <w:jc w:val="center"/>
        <w:rPr>
          <w:rFonts w:ascii="Times New Roman" w:hAnsi="Times New Roman" w:cs="Times New Roman"/>
          <w:b/>
          <w:color w:val="000000" w:themeColor="text1"/>
          <w:sz w:val="28"/>
          <w:szCs w:val="28"/>
        </w:rPr>
      </w:pPr>
      <w:r w:rsidRPr="00973033">
        <w:rPr>
          <w:rFonts w:ascii="Times New Roman" w:hAnsi="Times New Roman" w:cs="Times New Roman"/>
          <w:b/>
          <w:color w:val="000000" w:themeColor="text1"/>
          <w:sz w:val="28"/>
          <w:szCs w:val="28"/>
        </w:rPr>
        <w:lastRenderedPageBreak/>
        <w:t>Abbreviations</w:t>
      </w:r>
    </w:p>
    <w:p w:rsidR="00ED0EDF" w:rsidRDefault="00ED0EDF"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BCBS</w:t>
      </w:r>
      <w:r w:rsidRPr="00A3003F">
        <w:rPr>
          <w:rFonts w:asciiTheme="majorBidi" w:hAnsiTheme="majorBidi" w:cstheme="majorBidi"/>
          <w:sz w:val="24"/>
          <w:szCs w:val="24"/>
        </w:rPr>
        <w:t xml:space="preserve">            </w:t>
      </w:r>
      <w:r w:rsidR="00CC084B">
        <w:rPr>
          <w:rFonts w:asciiTheme="majorBidi" w:hAnsiTheme="majorBidi" w:cstheme="majorBidi"/>
          <w:sz w:val="24"/>
          <w:szCs w:val="24"/>
        </w:rPr>
        <w:t xml:space="preserve">               </w:t>
      </w:r>
      <w:r w:rsidRPr="00A3003F">
        <w:rPr>
          <w:rFonts w:asciiTheme="majorBidi" w:hAnsiTheme="majorBidi" w:cstheme="majorBidi"/>
          <w:sz w:val="24"/>
          <w:szCs w:val="24"/>
        </w:rPr>
        <w:t xml:space="preserve"> Basel Committee on Banks Supervision</w:t>
      </w:r>
    </w:p>
    <w:p w:rsidR="001176B5" w:rsidRPr="00A3003F"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BIS</w:t>
      </w:r>
      <w:r w:rsidR="007B3F5A">
        <w:rPr>
          <w:rFonts w:asciiTheme="majorBidi" w:hAnsiTheme="majorBidi" w:cstheme="majorBidi"/>
          <w:b/>
          <w:bCs/>
          <w:sz w:val="24"/>
          <w:szCs w:val="24"/>
        </w:rPr>
        <w:t xml:space="preserve">                </w:t>
      </w:r>
      <w:r w:rsidR="00A33B8E">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A3003F">
        <w:rPr>
          <w:rFonts w:asciiTheme="majorBidi" w:hAnsiTheme="majorBidi" w:cstheme="majorBidi"/>
          <w:sz w:val="24"/>
          <w:szCs w:val="24"/>
        </w:rPr>
        <w:t>Bank of International Settlements</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BOI</w:t>
      </w:r>
      <w:r w:rsidR="00BC763D">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A33B8E">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Pr="00A3003F">
        <w:rPr>
          <w:rFonts w:asciiTheme="majorBidi" w:hAnsiTheme="majorBidi" w:cstheme="majorBidi"/>
          <w:sz w:val="24"/>
          <w:szCs w:val="24"/>
        </w:rPr>
        <w:t>Bank of Israel</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C</w:t>
      </w:r>
      <w:r w:rsidR="00F248BB">
        <w:rPr>
          <w:rFonts w:asciiTheme="majorBidi" w:hAnsiTheme="majorBidi" w:cstheme="majorBidi"/>
          <w:b/>
          <w:bCs/>
          <w:sz w:val="24"/>
          <w:szCs w:val="24"/>
        </w:rPr>
        <w:t>O</w:t>
      </w:r>
      <w:r w:rsidR="00BC763D">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A33B8E">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1C1C8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1C1C8A">
        <w:rPr>
          <w:rFonts w:asciiTheme="majorBidi" w:hAnsiTheme="majorBidi" w:cstheme="majorBidi"/>
          <w:sz w:val="24"/>
          <w:szCs w:val="24"/>
        </w:rPr>
        <w:t xml:space="preserve">   </w:t>
      </w:r>
      <w:r w:rsidR="00CC084B">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Cooke Committee</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CR</w:t>
      </w:r>
      <w:r w:rsidR="00BC763D">
        <w:rPr>
          <w:rFonts w:asciiTheme="majorBidi" w:hAnsiTheme="majorBidi" w:cstheme="majorBidi"/>
          <w:b/>
          <w:bCs/>
          <w:sz w:val="24"/>
          <w:szCs w:val="24"/>
        </w:rPr>
        <w:t xml:space="preserve">                 </w:t>
      </w:r>
      <w:r w:rsidR="00A33B8E">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1C1C8A">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1C1C8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1C1C8A">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F248BB">
        <w:rPr>
          <w:rFonts w:asciiTheme="majorBidi" w:hAnsiTheme="majorBidi" w:cstheme="majorBidi"/>
          <w:b/>
          <w:bCs/>
          <w:sz w:val="24"/>
          <w:szCs w:val="24"/>
        </w:rPr>
        <w:t xml:space="preserve">  </w:t>
      </w:r>
      <w:r w:rsidRPr="00A3003F">
        <w:rPr>
          <w:rFonts w:asciiTheme="majorBidi" w:hAnsiTheme="majorBidi" w:cstheme="majorBidi"/>
          <w:sz w:val="24"/>
          <w:szCs w:val="24"/>
        </w:rPr>
        <w:t>Credit Risk</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EAD</w:t>
      </w:r>
      <w:r w:rsidR="001C1C8A">
        <w:rPr>
          <w:rFonts w:asciiTheme="majorBidi" w:hAnsiTheme="majorBidi" w:cstheme="majorBidi"/>
          <w:b/>
          <w:bCs/>
          <w:sz w:val="24"/>
          <w:szCs w:val="24"/>
        </w:rPr>
        <w:t xml:space="preserve">              </w:t>
      </w:r>
      <w:r w:rsidR="00A33B8E">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1C1C8A">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A3003F">
        <w:rPr>
          <w:rFonts w:asciiTheme="majorBidi" w:hAnsiTheme="majorBidi" w:cstheme="majorBidi"/>
          <w:sz w:val="24"/>
          <w:szCs w:val="24"/>
        </w:rPr>
        <w:t>Exposure at Default</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ECAI</w:t>
      </w:r>
      <w:r w:rsidR="001C1C8A">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A33B8E">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A33B8E">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1C1C8A">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Credit Risk Assessment Institutions</w:t>
      </w:r>
    </w:p>
    <w:p w:rsidR="005F7EAC" w:rsidRPr="00A3003F"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EQTA</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A33B8E">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F248BB">
        <w:rPr>
          <w:rFonts w:asciiTheme="majorBidi" w:hAnsiTheme="majorBidi" w:cstheme="majorBidi"/>
          <w:b/>
          <w:bCs/>
          <w:sz w:val="24"/>
          <w:szCs w:val="24"/>
        </w:rPr>
        <w:t xml:space="preserve"> </w:t>
      </w:r>
      <w:r w:rsidR="007B3F5A">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7B3F5A">
        <w:rPr>
          <w:rFonts w:asciiTheme="majorBidi" w:hAnsiTheme="majorBidi" w:cstheme="majorBidi"/>
          <w:sz w:val="24"/>
          <w:szCs w:val="24"/>
        </w:rPr>
        <w:t>Total Shareholders’ Equity/ Total A</w:t>
      </w:r>
      <w:r w:rsidRPr="003E416E">
        <w:rPr>
          <w:rFonts w:asciiTheme="majorBidi" w:hAnsiTheme="majorBidi" w:cstheme="majorBidi"/>
          <w:sz w:val="24"/>
          <w:szCs w:val="24"/>
        </w:rPr>
        <w:t>ssets</w:t>
      </w:r>
    </w:p>
    <w:p w:rsidR="001176B5" w:rsidRPr="00A3003F"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IRB</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A33B8E">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F248BB">
        <w:rPr>
          <w:rFonts w:asciiTheme="majorBidi" w:hAnsiTheme="majorBidi" w:cstheme="majorBidi"/>
          <w:b/>
          <w:bCs/>
          <w:sz w:val="24"/>
          <w:szCs w:val="24"/>
        </w:rPr>
        <w:t xml:space="preserve">  </w:t>
      </w:r>
      <w:r w:rsidRPr="00A3003F">
        <w:rPr>
          <w:rFonts w:asciiTheme="majorBidi" w:hAnsiTheme="majorBidi" w:cstheme="majorBidi"/>
          <w:sz w:val="24"/>
          <w:szCs w:val="24"/>
        </w:rPr>
        <w:t>Internal Rating- Based</w:t>
      </w:r>
    </w:p>
    <w:p w:rsidR="001176B5" w:rsidRPr="00A3003F"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IMF</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A33B8E">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International Monetary Fund</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LGD</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A3003F">
        <w:rPr>
          <w:rFonts w:asciiTheme="majorBidi" w:hAnsiTheme="majorBidi" w:cstheme="majorBidi"/>
          <w:sz w:val="24"/>
          <w:szCs w:val="24"/>
        </w:rPr>
        <w:t xml:space="preserve"> Loss Given Default</w:t>
      </w:r>
    </w:p>
    <w:p w:rsidR="005F7EAC"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LLPI</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7B3F5A">
        <w:rPr>
          <w:rFonts w:asciiTheme="majorBidi" w:hAnsiTheme="majorBidi" w:cstheme="majorBidi"/>
          <w:sz w:val="24"/>
          <w:szCs w:val="24"/>
        </w:rPr>
        <w:t xml:space="preserve"> Loan Loss Provisions/ Net Interest I</w:t>
      </w:r>
      <w:r w:rsidRPr="003E416E">
        <w:rPr>
          <w:rFonts w:asciiTheme="majorBidi" w:hAnsiTheme="majorBidi" w:cstheme="majorBidi"/>
          <w:sz w:val="24"/>
          <w:szCs w:val="24"/>
        </w:rPr>
        <w:t>ncome</w:t>
      </w:r>
    </w:p>
    <w:p w:rsidR="00E92AE9" w:rsidRPr="00A3003F" w:rsidRDefault="00E92AE9"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MPT</w:t>
      </w:r>
      <w:r w:rsidR="00BC763D">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Pr>
          <w:rFonts w:asciiTheme="majorBidi" w:hAnsiTheme="majorBidi" w:cstheme="majorBidi"/>
          <w:sz w:val="24"/>
          <w:szCs w:val="24"/>
        </w:rPr>
        <w:t>Modern Portfolio Theory</w:t>
      </w:r>
    </w:p>
    <w:p w:rsidR="001176B5" w:rsidRPr="00A3003F"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MO </w:t>
      </w:r>
      <w:r w:rsidR="00BC763D">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 xml:space="preserve"> Military Order</w:t>
      </w:r>
    </w:p>
    <w:p w:rsidR="001176B5" w:rsidRPr="00A3003F"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MR </w:t>
      </w:r>
      <w:r w:rsidR="00BC763D">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C763D">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 xml:space="preserve"> Market Risk</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NPL</w:t>
      </w:r>
      <w:r w:rsidR="00F248BB" w:rsidRPr="00F248BB">
        <w:rPr>
          <w:rFonts w:asciiTheme="majorBidi" w:hAnsiTheme="majorBidi" w:cstheme="majorBidi"/>
          <w:b/>
          <w:bCs/>
          <w:sz w:val="24"/>
          <w:szCs w:val="24"/>
        </w:rPr>
        <w:t>R</w:t>
      </w:r>
      <w:r w:rsidR="00BC763D">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C763D">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Non-performing Loan</w:t>
      </w:r>
      <w:r w:rsidR="007B3F5A">
        <w:rPr>
          <w:rFonts w:asciiTheme="majorBidi" w:hAnsiTheme="majorBidi" w:cstheme="majorBidi"/>
          <w:sz w:val="24"/>
          <w:szCs w:val="24"/>
        </w:rPr>
        <w:t xml:space="preserve"> R</w:t>
      </w:r>
      <w:r w:rsidR="00F248BB">
        <w:rPr>
          <w:rFonts w:asciiTheme="majorBidi" w:hAnsiTheme="majorBidi" w:cstheme="majorBidi"/>
          <w:sz w:val="24"/>
          <w:szCs w:val="24"/>
        </w:rPr>
        <w:t>atio</w:t>
      </w:r>
    </w:p>
    <w:p w:rsidR="005F7EAC" w:rsidRPr="003E416E"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NIDR</w:t>
      </w:r>
      <w:r w:rsidR="00B43D3E">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7B3F5A">
        <w:rPr>
          <w:rFonts w:asciiTheme="majorBidi" w:hAnsiTheme="majorBidi" w:cstheme="majorBidi"/>
          <w:sz w:val="24"/>
          <w:szCs w:val="24"/>
        </w:rPr>
        <w:t xml:space="preserve">  Non Interest R</w:t>
      </w:r>
      <w:r w:rsidRPr="003E416E">
        <w:rPr>
          <w:rFonts w:asciiTheme="majorBidi" w:hAnsiTheme="majorBidi" w:cstheme="majorBidi"/>
          <w:sz w:val="24"/>
          <w:szCs w:val="24"/>
        </w:rPr>
        <w:t>atio</w:t>
      </w:r>
    </w:p>
    <w:p w:rsidR="005F7EAC" w:rsidRPr="00A3003F"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NPLR</w:t>
      </w:r>
      <w:r w:rsidR="00B43D3E">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43D3E">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43D3E">
        <w:rPr>
          <w:rFonts w:asciiTheme="majorBidi" w:hAnsiTheme="majorBidi" w:cstheme="majorBidi"/>
          <w:sz w:val="24"/>
          <w:szCs w:val="24"/>
        </w:rPr>
        <w:t xml:space="preserve"> </w:t>
      </w:r>
      <w:r w:rsidR="007B3F5A">
        <w:rPr>
          <w:rFonts w:asciiTheme="majorBidi" w:hAnsiTheme="majorBidi" w:cstheme="majorBidi"/>
          <w:sz w:val="24"/>
          <w:szCs w:val="24"/>
        </w:rPr>
        <w:t xml:space="preserve">           Nonperforming Loans/ Total L</w:t>
      </w:r>
      <w:r w:rsidRPr="003E416E">
        <w:rPr>
          <w:rFonts w:asciiTheme="majorBidi" w:hAnsiTheme="majorBidi" w:cstheme="majorBidi"/>
          <w:sz w:val="24"/>
          <w:szCs w:val="24"/>
        </w:rPr>
        <w:t>oans</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OR  </w:t>
      </w:r>
      <w:r w:rsidR="00B43D3E">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43D3E">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43D3E">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A3003F">
        <w:rPr>
          <w:rFonts w:asciiTheme="majorBidi" w:hAnsiTheme="majorBidi" w:cstheme="majorBidi"/>
          <w:sz w:val="24"/>
          <w:szCs w:val="24"/>
        </w:rPr>
        <w:t>Operational Risk</w:t>
      </w:r>
    </w:p>
    <w:p w:rsidR="005F7EAC" w:rsidRPr="00A3003F"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OBS</w:t>
      </w:r>
      <w:r w:rsidR="00B43D3E">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43D3E">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B43D3E">
        <w:rPr>
          <w:rFonts w:asciiTheme="majorBidi" w:hAnsiTheme="majorBidi" w:cstheme="majorBidi"/>
          <w:sz w:val="24"/>
          <w:szCs w:val="24"/>
        </w:rPr>
        <w:t xml:space="preserve">        </w:t>
      </w:r>
      <w:r w:rsidR="007B3F5A">
        <w:rPr>
          <w:rFonts w:asciiTheme="majorBidi" w:hAnsiTheme="majorBidi" w:cstheme="majorBidi"/>
          <w:sz w:val="24"/>
          <w:szCs w:val="24"/>
        </w:rPr>
        <w:t xml:space="preserve">         Off-Balance S</w:t>
      </w:r>
      <w:r>
        <w:rPr>
          <w:rFonts w:asciiTheme="majorBidi" w:hAnsiTheme="majorBidi" w:cstheme="majorBidi"/>
          <w:sz w:val="24"/>
          <w:szCs w:val="24"/>
        </w:rPr>
        <w:t>heet</w:t>
      </w:r>
    </w:p>
    <w:p w:rsidR="001176B5"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PD  </w:t>
      </w:r>
      <w:r w:rsidR="00B43D3E">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43D3E">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43D3E">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F248BB">
        <w:rPr>
          <w:rFonts w:asciiTheme="majorBidi" w:hAnsiTheme="majorBidi" w:cstheme="majorBidi"/>
          <w:b/>
          <w:bCs/>
          <w:sz w:val="24"/>
          <w:szCs w:val="24"/>
        </w:rPr>
        <w:t xml:space="preserve"> </w:t>
      </w:r>
      <w:r w:rsidRPr="00A3003F">
        <w:rPr>
          <w:rFonts w:asciiTheme="majorBidi" w:hAnsiTheme="majorBidi" w:cstheme="majorBidi"/>
          <w:sz w:val="24"/>
          <w:szCs w:val="24"/>
        </w:rPr>
        <w:t>Probability of Default</w:t>
      </w:r>
    </w:p>
    <w:p w:rsidR="00F248BB" w:rsidRPr="00F248BB" w:rsidRDefault="00F248BB" w:rsidP="007F0A43">
      <w:pPr>
        <w:spacing w:line="240" w:lineRule="auto"/>
        <w:rPr>
          <w:rFonts w:asciiTheme="majorBidi" w:hAnsiTheme="majorBidi" w:cstheme="majorBidi"/>
          <w:b/>
          <w:bCs/>
          <w:sz w:val="24"/>
          <w:szCs w:val="24"/>
        </w:rPr>
      </w:pPr>
      <w:r w:rsidRPr="00F248BB">
        <w:rPr>
          <w:rFonts w:asciiTheme="majorBidi" w:hAnsiTheme="majorBidi" w:cstheme="majorBidi"/>
          <w:b/>
          <w:bCs/>
          <w:sz w:val="24"/>
          <w:szCs w:val="24"/>
        </w:rPr>
        <w:t>OPNI</w:t>
      </w:r>
      <w:r w:rsidR="00B43D3E">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B43D3E">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7F0A43">
        <w:rPr>
          <w:rFonts w:asciiTheme="majorBidi" w:hAnsiTheme="majorBidi" w:cstheme="majorBidi"/>
          <w:sz w:val="24"/>
          <w:szCs w:val="24"/>
        </w:rPr>
        <w:t>O</w:t>
      </w:r>
      <w:r w:rsidR="007B3F5A">
        <w:rPr>
          <w:rFonts w:asciiTheme="majorBidi" w:hAnsiTheme="majorBidi" w:cstheme="majorBidi"/>
          <w:sz w:val="24"/>
          <w:szCs w:val="24"/>
        </w:rPr>
        <w:t>perational C</w:t>
      </w:r>
      <w:r w:rsidRPr="00F248BB">
        <w:rPr>
          <w:rFonts w:asciiTheme="majorBidi" w:hAnsiTheme="majorBidi" w:cstheme="majorBidi"/>
          <w:sz w:val="24"/>
          <w:szCs w:val="24"/>
        </w:rPr>
        <w:t>osts</w:t>
      </w:r>
    </w:p>
    <w:p w:rsidR="001176B5" w:rsidRPr="00A3003F" w:rsidRDefault="001176B5"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PMA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Palestinian Monetary Authority</w:t>
      </w:r>
    </w:p>
    <w:p w:rsidR="001176B5" w:rsidRPr="00A3003F"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PNA </w:t>
      </w:r>
      <w:r w:rsidRPr="00A3003F">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Pr="00A3003F">
        <w:rPr>
          <w:rFonts w:asciiTheme="majorBidi" w:hAnsiTheme="majorBidi" w:cstheme="majorBidi"/>
          <w:sz w:val="24"/>
          <w:szCs w:val="24"/>
        </w:rPr>
        <w:t xml:space="preserve"> Palestinian National Authority</w:t>
      </w:r>
    </w:p>
    <w:p w:rsidR="005F7EAC" w:rsidRPr="00A3003F" w:rsidRDefault="005F7EAC" w:rsidP="00190D65">
      <w:pPr>
        <w:spacing w:line="240" w:lineRule="auto"/>
        <w:rPr>
          <w:rFonts w:asciiTheme="majorBidi" w:hAnsiTheme="majorBidi" w:cstheme="majorBidi"/>
          <w:sz w:val="24"/>
          <w:szCs w:val="24"/>
        </w:rPr>
      </w:pPr>
      <w:r w:rsidRPr="00F248BB">
        <w:rPr>
          <w:rFonts w:asciiTheme="majorBidi" w:hAnsiTheme="majorBidi" w:cstheme="majorBidi"/>
          <w:b/>
          <w:bCs/>
          <w:sz w:val="24"/>
          <w:szCs w:val="24"/>
        </w:rPr>
        <w:t xml:space="preserve">RWA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00E15E63">
        <w:rPr>
          <w:rFonts w:asciiTheme="majorBidi" w:hAnsiTheme="majorBidi" w:cstheme="majorBidi"/>
          <w:b/>
          <w:bCs/>
          <w:sz w:val="24"/>
          <w:szCs w:val="24"/>
        </w:rPr>
        <w:t xml:space="preserve">  </w:t>
      </w:r>
      <w:r w:rsidR="007B3F5A">
        <w:rPr>
          <w:rFonts w:asciiTheme="majorBidi" w:hAnsiTheme="majorBidi" w:cstheme="majorBidi"/>
          <w:b/>
          <w:bCs/>
          <w:sz w:val="24"/>
          <w:szCs w:val="24"/>
        </w:rPr>
        <w:t xml:space="preserve">         </w:t>
      </w:r>
      <w:r w:rsidRPr="00F248BB">
        <w:rPr>
          <w:rFonts w:asciiTheme="majorBidi" w:hAnsiTheme="majorBidi" w:cstheme="majorBidi"/>
          <w:b/>
          <w:bCs/>
          <w:sz w:val="24"/>
          <w:szCs w:val="24"/>
        </w:rPr>
        <w:t xml:space="preserve"> </w:t>
      </w:r>
      <w:r w:rsidRPr="00A3003F">
        <w:rPr>
          <w:rFonts w:asciiTheme="majorBidi" w:hAnsiTheme="majorBidi" w:cstheme="majorBidi"/>
          <w:sz w:val="24"/>
          <w:szCs w:val="24"/>
        </w:rPr>
        <w:t xml:space="preserve"> Risk Weighted Asset</w:t>
      </w:r>
    </w:p>
    <w:p w:rsidR="0076317E" w:rsidRPr="00BA22A7" w:rsidRDefault="005F7EAC" w:rsidP="00BA22A7">
      <w:pPr>
        <w:spacing w:line="240" w:lineRule="auto"/>
        <w:rPr>
          <w:rFonts w:asciiTheme="majorBidi" w:hAnsiTheme="majorBidi" w:cstheme="majorBidi"/>
          <w:sz w:val="24"/>
          <w:szCs w:val="24"/>
        </w:rPr>
      </w:pPr>
      <w:r w:rsidRPr="00F248BB">
        <w:rPr>
          <w:rFonts w:asciiTheme="majorBidi" w:hAnsiTheme="majorBidi" w:cstheme="majorBidi"/>
          <w:b/>
          <w:bCs/>
          <w:sz w:val="24"/>
          <w:szCs w:val="24"/>
        </w:rPr>
        <w:t>TSE</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w:t>
      </w:r>
      <w:r w:rsidR="00E15E63">
        <w:rPr>
          <w:rFonts w:asciiTheme="majorBidi" w:hAnsiTheme="majorBidi" w:cstheme="majorBidi"/>
          <w:sz w:val="24"/>
          <w:szCs w:val="24"/>
        </w:rPr>
        <w:t xml:space="preserve">  </w:t>
      </w:r>
      <w:r w:rsidR="007B3F5A">
        <w:rPr>
          <w:rFonts w:asciiTheme="majorBidi" w:hAnsiTheme="majorBidi" w:cstheme="majorBidi"/>
          <w:sz w:val="24"/>
          <w:szCs w:val="24"/>
        </w:rPr>
        <w:t xml:space="preserve">         Total Shareholders' E</w:t>
      </w:r>
      <w:r w:rsidRPr="00A3003F">
        <w:rPr>
          <w:rFonts w:asciiTheme="majorBidi" w:hAnsiTheme="majorBidi" w:cstheme="majorBidi"/>
          <w:sz w:val="24"/>
          <w:szCs w:val="24"/>
        </w:rPr>
        <w:t>quity</w:t>
      </w:r>
    </w:p>
    <w:p w:rsidR="00ED0EDF" w:rsidRDefault="00545732" w:rsidP="00717D84">
      <w:pPr>
        <w:spacing w:line="240" w:lineRule="auto"/>
        <w:jc w:val="center"/>
        <w:rPr>
          <w:rFonts w:asciiTheme="majorBidi" w:hAnsiTheme="majorBidi" w:cstheme="majorBidi"/>
          <w:sz w:val="28"/>
          <w:szCs w:val="28"/>
        </w:rPr>
      </w:pPr>
      <w:r>
        <w:rPr>
          <w:rFonts w:asciiTheme="majorBidi" w:hAnsiTheme="majorBidi" w:cstheme="majorBidi"/>
          <w:b/>
          <w:bCs/>
          <w:sz w:val="28"/>
          <w:szCs w:val="28"/>
        </w:rPr>
        <w:lastRenderedPageBreak/>
        <w:t>Table</w:t>
      </w:r>
      <w:r w:rsidR="001E7E33" w:rsidRPr="00324B85">
        <w:rPr>
          <w:rFonts w:asciiTheme="majorBidi" w:hAnsiTheme="majorBidi" w:cstheme="majorBidi"/>
          <w:b/>
          <w:bCs/>
          <w:sz w:val="28"/>
          <w:szCs w:val="28"/>
        </w:rPr>
        <w:t xml:space="preserve"> of C</w:t>
      </w:r>
      <w:r w:rsidR="00126113" w:rsidRPr="00324B85">
        <w:rPr>
          <w:rFonts w:asciiTheme="majorBidi" w:hAnsiTheme="majorBidi" w:cstheme="majorBidi"/>
          <w:b/>
          <w:bCs/>
          <w:sz w:val="28"/>
          <w:szCs w:val="28"/>
        </w:rPr>
        <w:t>ontents</w:t>
      </w:r>
    </w:p>
    <w:p w:rsidR="005B0CB0" w:rsidRPr="00324B85" w:rsidRDefault="005B0CB0" w:rsidP="00717D84">
      <w:pPr>
        <w:spacing w:line="240" w:lineRule="auto"/>
        <w:jc w:val="center"/>
        <w:rPr>
          <w:rFonts w:asciiTheme="majorBidi" w:hAnsiTheme="majorBidi" w:cstheme="majorBidi"/>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613"/>
        <w:gridCol w:w="629"/>
      </w:tblGrid>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Abstract</w:t>
            </w:r>
          </w:p>
        </w:tc>
        <w:tc>
          <w:tcPr>
            <w:tcW w:w="629" w:type="dxa"/>
          </w:tcPr>
          <w:p w:rsidR="002D1795" w:rsidRPr="00D13400" w:rsidRDefault="002D1795" w:rsidP="00102CC7">
            <w:pPr>
              <w:spacing w:line="360" w:lineRule="auto"/>
              <w:jc w:val="center"/>
              <w:rPr>
                <w:rFonts w:asciiTheme="majorBidi" w:hAnsiTheme="majorBidi" w:cstheme="majorBidi"/>
                <w:b/>
                <w:bCs/>
                <w:sz w:val="20"/>
                <w:szCs w:val="20"/>
              </w:rPr>
            </w:pPr>
            <w:r w:rsidRPr="00D13400">
              <w:rPr>
                <w:rFonts w:asciiTheme="majorBidi" w:hAnsiTheme="majorBidi" w:cstheme="majorBidi"/>
                <w:b/>
                <w:bCs/>
                <w:color w:val="000000" w:themeColor="text1"/>
                <w:sz w:val="20"/>
                <w:szCs w:val="20"/>
                <w:shd w:val="clear" w:color="auto" w:fill="FFFFFF"/>
              </w:rPr>
              <w:t>I</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lang w:eastAsia="cs-CZ"/>
              </w:rPr>
              <w:t>Declaration</w:t>
            </w:r>
          </w:p>
        </w:tc>
        <w:tc>
          <w:tcPr>
            <w:tcW w:w="629" w:type="dxa"/>
          </w:tcPr>
          <w:p w:rsidR="002D1795" w:rsidRPr="00D13400" w:rsidRDefault="002D1795" w:rsidP="00102CC7">
            <w:pPr>
              <w:spacing w:line="360" w:lineRule="auto"/>
              <w:jc w:val="center"/>
              <w:rPr>
                <w:rFonts w:asciiTheme="majorBidi" w:hAnsiTheme="majorBidi" w:cstheme="majorBidi"/>
                <w:b/>
                <w:bCs/>
                <w:sz w:val="20"/>
                <w:szCs w:val="20"/>
              </w:rPr>
            </w:pPr>
            <w:r w:rsidRPr="00D13400">
              <w:rPr>
                <w:rFonts w:asciiTheme="majorBidi" w:hAnsiTheme="majorBidi" w:cstheme="majorBidi"/>
                <w:b/>
                <w:bCs/>
                <w:color w:val="000000" w:themeColor="text1"/>
                <w:sz w:val="20"/>
                <w:szCs w:val="20"/>
                <w:shd w:val="clear" w:color="auto" w:fill="FFFFFF"/>
              </w:rPr>
              <w:t>III</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Acknowledgments</w:t>
            </w:r>
          </w:p>
        </w:tc>
        <w:tc>
          <w:tcPr>
            <w:tcW w:w="629" w:type="dxa"/>
          </w:tcPr>
          <w:p w:rsidR="002D1795" w:rsidRPr="00D13400" w:rsidRDefault="002D1795" w:rsidP="00102CC7">
            <w:pPr>
              <w:spacing w:line="360" w:lineRule="auto"/>
              <w:jc w:val="center"/>
              <w:rPr>
                <w:rFonts w:asciiTheme="majorBidi" w:hAnsiTheme="majorBidi" w:cstheme="majorBidi"/>
                <w:b/>
                <w:bCs/>
                <w:sz w:val="20"/>
                <w:szCs w:val="20"/>
              </w:rPr>
            </w:pPr>
            <w:r w:rsidRPr="00D13400">
              <w:rPr>
                <w:rFonts w:asciiTheme="majorBidi" w:hAnsiTheme="majorBidi" w:cstheme="majorBidi"/>
                <w:b/>
                <w:bCs/>
                <w:color w:val="000000" w:themeColor="text1"/>
                <w:sz w:val="20"/>
                <w:szCs w:val="20"/>
                <w:shd w:val="clear" w:color="auto" w:fill="FFFFFF"/>
              </w:rPr>
              <w:t>IV</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Abbreviations</w:t>
            </w:r>
          </w:p>
        </w:tc>
        <w:tc>
          <w:tcPr>
            <w:tcW w:w="629" w:type="dxa"/>
          </w:tcPr>
          <w:p w:rsidR="002D1795" w:rsidRPr="00D13400" w:rsidRDefault="002D1795" w:rsidP="00102CC7">
            <w:pPr>
              <w:spacing w:line="360" w:lineRule="auto"/>
              <w:jc w:val="center"/>
              <w:rPr>
                <w:rFonts w:asciiTheme="majorBidi" w:hAnsiTheme="majorBidi" w:cstheme="majorBidi"/>
                <w:b/>
                <w:bCs/>
                <w:sz w:val="20"/>
                <w:szCs w:val="20"/>
              </w:rPr>
            </w:pPr>
            <w:r w:rsidRPr="00D13400">
              <w:rPr>
                <w:rFonts w:asciiTheme="majorBidi" w:hAnsiTheme="majorBidi" w:cstheme="majorBidi"/>
                <w:b/>
                <w:bCs/>
                <w:color w:val="000000" w:themeColor="text1"/>
                <w:sz w:val="20"/>
                <w:szCs w:val="20"/>
                <w:shd w:val="clear" w:color="auto" w:fill="FFFFFF"/>
              </w:rPr>
              <w:t>V</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Table of contents</w:t>
            </w:r>
          </w:p>
        </w:tc>
        <w:tc>
          <w:tcPr>
            <w:tcW w:w="629" w:type="dxa"/>
          </w:tcPr>
          <w:p w:rsidR="002D1795" w:rsidRPr="00D13400" w:rsidRDefault="002D1795" w:rsidP="00102CC7">
            <w:pPr>
              <w:spacing w:line="360" w:lineRule="auto"/>
              <w:jc w:val="center"/>
              <w:rPr>
                <w:rFonts w:asciiTheme="majorBidi" w:hAnsiTheme="majorBidi" w:cstheme="majorBidi"/>
                <w:b/>
                <w:bCs/>
                <w:sz w:val="20"/>
                <w:szCs w:val="20"/>
              </w:rPr>
            </w:pPr>
            <w:r w:rsidRPr="00D13400">
              <w:rPr>
                <w:rFonts w:asciiTheme="majorBidi" w:hAnsiTheme="majorBidi" w:cstheme="majorBidi"/>
                <w:b/>
                <w:bCs/>
                <w:color w:val="000000" w:themeColor="text1"/>
                <w:sz w:val="20"/>
                <w:szCs w:val="20"/>
                <w:shd w:val="clear" w:color="auto" w:fill="FFFFFF"/>
              </w:rPr>
              <w:t>VI</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List of tables</w:t>
            </w:r>
          </w:p>
        </w:tc>
        <w:tc>
          <w:tcPr>
            <w:tcW w:w="629" w:type="dxa"/>
          </w:tcPr>
          <w:p w:rsidR="002D1795" w:rsidRPr="00D13400" w:rsidRDefault="002D1795" w:rsidP="00102CC7">
            <w:pPr>
              <w:spacing w:line="360" w:lineRule="auto"/>
              <w:jc w:val="center"/>
              <w:rPr>
                <w:rFonts w:asciiTheme="majorBidi" w:hAnsiTheme="majorBidi" w:cstheme="majorBidi"/>
                <w:b/>
                <w:bCs/>
                <w:sz w:val="20"/>
                <w:szCs w:val="20"/>
              </w:rPr>
            </w:pPr>
            <w:r w:rsidRPr="00D13400">
              <w:rPr>
                <w:rFonts w:asciiTheme="majorBidi" w:hAnsiTheme="majorBidi" w:cstheme="majorBidi"/>
                <w:b/>
                <w:bCs/>
                <w:color w:val="000000" w:themeColor="text1"/>
                <w:sz w:val="20"/>
                <w:szCs w:val="20"/>
                <w:shd w:val="clear" w:color="auto" w:fill="FFFFFF"/>
              </w:rPr>
              <w:t>XII</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List of figures</w:t>
            </w:r>
          </w:p>
        </w:tc>
        <w:tc>
          <w:tcPr>
            <w:tcW w:w="629" w:type="dxa"/>
          </w:tcPr>
          <w:p w:rsidR="002D1795" w:rsidRPr="00D13400" w:rsidRDefault="002D1795" w:rsidP="00102CC7">
            <w:pPr>
              <w:spacing w:line="360" w:lineRule="auto"/>
              <w:jc w:val="center"/>
              <w:rPr>
                <w:rFonts w:asciiTheme="majorBidi" w:hAnsiTheme="majorBidi" w:cstheme="majorBidi"/>
                <w:b/>
                <w:bCs/>
                <w:sz w:val="20"/>
                <w:szCs w:val="20"/>
                <w:lang w:bidi="ar-JO"/>
              </w:rPr>
            </w:pPr>
            <w:r w:rsidRPr="00D13400">
              <w:rPr>
                <w:rFonts w:asciiTheme="majorBidi" w:hAnsiTheme="majorBidi" w:cstheme="majorBidi"/>
                <w:b/>
                <w:bCs/>
                <w:sz w:val="20"/>
                <w:szCs w:val="20"/>
                <w:lang w:bidi="ar-JO"/>
              </w:rPr>
              <w:t>XIV</w:t>
            </w:r>
          </w:p>
        </w:tc>
      </w:tr>
      <w:tr w:rsidR="002D1795" w:rsidRPr="005C7423" w:rsidTr="00102CC7">
        <w:tc>
          <w:tcPr>
            <w:tcW w:w="8613" w:type="dxa"/>
          </w:tcPr>
          <w:p w:rsidR="002D1795" w:rsidRPr="005C7423" w:rsidRDefault="002D1795" w:rsidP="00102CC7">
            <w:pPr>
              <w:spacing w:line="360" w:lineRule="auto"/>
              <w:ind w:left="-540"/>
              <w:rPr>
                <w:rFonts w:asciiTheme="majorBidi" w:hAnsiTheme="majorBidi" w:cstheme="majorBidi"/>
                <w:sz w:val="24"/>
                <w:szCs w:val="24"/>
                <w:rtl/>
                <w:lang w:bidi="ar-JO"/>
              </w:rPr>
            </w:pPr>
            <w:r w:rsidRPr="005C7423">
              <w:rPr>
                <w:rFonts w:asciiTheme="majorBidi" w:hAnsiTheme="majorBidi" w:cstheme="majorBidi"/>
                <w:b/>
                <w:bCs/>
                <w:sz w:val="24"/>
                <w:szCs w:val="24"/>
              </w:rPr>
              <w:t>Cha  Chapter One: General Framework of the Study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1.1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Pr>
            </w:pPr>
            <w:r w:rsidRPr="005C7423">
              <w:rPr>
                <w:rFonts w:asciiTheme="majorBidi" w:hAnsiTheme="majorBidi" w:cstheme="majorBidi"/>
                <w:b/>
                <w:bCs/>
                <w:sz w:val="24"/>
                <w:szCs w:val="24"/>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imes New Roman" w:hAnsi="Times New Roman" w:cs="Times New Roman"/>
                <w:sz w:val="24"/>
                <w:szCs w:val="24"/>
              </w:rPr>
              <w:t>1.2 Statement of the Problem</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1.3 Objective of the Study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imes New Roman" w:hAnsi="Times New Roman" w:cs="Times New Roman"/>
                <w:sz w:val="24"/>
                <w:szCs w:val="24"/>
              </w:rPr>
            </w:pPr>
            <w:r w:rsidRPr="005C7423">
              <w:rPr>
                <w:rFonts w:ascii="Times New Roman" w:hAnsi="Times New Roman" w:cs="Times New Roman"/>
                <w:sz w:val="24"/>
                <w:szCs w:val="24"/>
              </w:rPr>
              <w:t>1.4 Significance of the Study</w:t>
            </w:r>
          </w:p>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1.5 Methodology of Study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5</w:t>
            </w:r>
          </w:p>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lang w:bidi="ar-JO"/>
              </w:rPr>
              <w:t>1.6 Limitation of the Study</w:t>
            </w:r>
            <w:r w:rsidRPr="005C7423">
              <w:rPr>
                <w:rFonts w:asciiTheme="majorBidi" w:hAnsiTheme="majorBidi" w:cstheme="majorBidi" w:hint="cs"/>
                <w:sz w:val="24"/>
                <w:szCs w:val="24"/>
                <w:rtl/>
                <w:lang w:bidi="ar-JO"/>
              </w:rPr>
              <w:t xml:space="preserve">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1.7 Structure of the study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8</w:t>
            </w:r>
          </w:p>
        </w:tc>
      </w:tr>
      <w:tr w:rsidR="002D1795" w:rsidRPr="005C7423" w:rsidTr="00102CC7">
        <w:tc>
          <w:tcPr>
            <w:tcW w:w="8613" w:type="dxa"/>
          </w:tcPr>
          <w:p w:rsidR="002D1795" w:rsidRPr="005C7423" w:rsidRDefault="002D1795" w:rsidP="00102CC7">
            <w:pPr>
              <w:autoSpaceDE w:val="0"/>
              <w:autoSpaceDN w:val="0"/>
              <w:adjustRightInd w:val="0"/>
              <w:spacing w:line="360" w:lineRule="auto"/>
              <w:ind w:left="-567"/>
              <w:rPr>
                <w:rFonts w:asciiTheme="majorBidi" w:hAnsiTheme="majorBidi" w:cstheme="majorBidi"/>
                <w:sz w:val="24"/>
                <w:szCs w:val="24"/>
              </w:rPr>
            </w:pPr>
            <w:r w:rsidRPr="005C7423">
              <w:rPr>
                <w:rFonts w:asciiTheme="majorBidi" w:hAnsiTheme="majorBidi" w:cstheme="majorBidi"/>
                <w:b/>
                <w:bCs/>
                <w:sz w:val="24"/>
                <w:szCs w:val="24"/>
              </w:rPr>
              <w:t>Cha  Chapter Two: Theoretical Framework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tabs>
                <w:tab w:val="left" w:pos="5958"/>
                <w:tab w:val="right" w:pos="7263"/>
              </w:tabs>
              <w:spacing w:line="360" w:lineRule="auto"/>
              <w:rPr>
                <w:rFonts w:asciiTheme="majorBidi" w:hAnsiTheme="majorBidi" w:cstheme="majorBidi"/>
                <w:b/>
                <w:bCs/>
                <w:i/>
                <w:iCs/>
                <w:sz w:val="24"/>
                <w:szCs w:val="24"/>
                <w:rtl/>
                <w:lang w:bidi="ar-JO"/>
              </w:rPr>
            </w:pPr>
            <w:r w:rsidRPr="005C7423">
              <w:rPr>
                <w:rFonts w:asciiTheme="majorBidi" w:hAnsiTheme="majorBidi" w:cstheme="majorBidi"/>
                <w:b/>
                <w:bCs/>
                <w:i/>
                <w:iCs/>
                <w:sz w:val="24"/>
                <w:szCs w:val="24"/>
                <w:lang w:bidi="ar-JO"/>
              </w:rPr>
              <w:t>Section One: Risks and Banking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lang w:bidi="ar-JO"/>
              </w:rPr>
              <w:t>2.1 Risks and Banking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lang w:bidi="ar-JO"/>
              </w:rPr>
              <w:t>2.1.1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2.1.2 Concept of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2.1.3 Banking Risks Classification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11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2.1.3.1 Credit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2.1.3.2 Liquidity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2.1.3.3 Market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2.1.3.4 Operational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2.1.3.5 Capital Adequacy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lastRenderedPageBreak/>
              <w:t>2.1.3.6 Legal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2.1.3.7 Reputation Risks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2.1.4 Banking Risk Management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2.1.4.1 Risk Management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 xml:space="preserve">2.1.4.2 </w:t>
            </w:r>
            <w:r w:rsidRPr="005C7423">
              <w:rPr>
                <w:rFonts w:asciiTheme="majorBidi" w:hAnsiTheme="majorBidi" w:cstheme="majorBidi"/>
                <w:color w:val="000000" w:themeColor="text1"/>
                <w:sz w:val="24"/>
                <w:szCs w:val="24"/>
              </w:rPr>
              <w:t>Risk Management in Banking Firms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 xml:space="preserve">2.1.4.3 </w:t>
            </w:r>
            <w:r w:rsidRPr="005C7423">
              <w:rPr>
                <w:rFonts w:asciiTheme="majorBidi" w:hAnsiTheme="majorBidi" w:cstheme="majorBidi"/>
                <w:sz w:val="24"/>
                <w:szCs w:val="24"/>
              </w:rPr>
              <w:t>Bank Profitability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20</w:t>
            </w:r>
          </w:p>
        </w:tc>
      </w:tr>
      <w:tr w:rsidR="002D1795" w:rsidRPr="005C7423" w:rsidTr="00102CC7">
        <w:tc>
          <w:tcPr>
            <w:tcW w:w="8613" w:type="dxa"/>
          </w:tcPr>
          <w:p w:rsidR="002D1795" w:rsidRPr="005C7423" w:rsidRDefault="002D1795" w:rsidP="00102CC7">
            <w:pPr>
              <w:pStyle w:val="Default"/>
              <w:spacing w:line="360" w:lineRule="auto"/>
              <w:rPr>
                <w:b/>
                <w:bCs/>
                <w:i/>
                <w:iCs/>
                <w:color w:val="000000" w:themeColor="text1"/>
                <w:rtl/>
                <w:lang w:bidi="ar-JO"/>
              </w:rPr>
            </w:pPr>
            <w:r w:rsidRPr="005C7423">
              <w:rPr>
                <w:b/>
                <w:bCs/>
                <w:i/>
                <w:iCs/>
                <w:color w:val="000000" w:themeColor="text1"/>
              </w:rPr>
              <w:t>Section Two</w:t>
            </w:r>
            <w:r w:rsidRPr="005C7423">
              <w:rPr>
                <w:b/>
                <w:bCs/>
                <w:i/>
                <w:iCs/>
                <w:color w:val="000000" w:themeColor="text1"/>
                <w:lang w:bidi="ar-JO"/>
              </w:rPr>
              <w:t xml:space="preserve">: </w:t>
            </w:r>
            <w:r w:rsidRPr="005C7423">
              <w:rPr>
                <w:rFonts w:asciiTheme="majorBidi" w:hAnsiTheme="majorBidi" w:cstheme="majorBidi"/>
                <w:b/>
                <w:bCs/>
                <w:i/>
                <w:iCs/>
                <w:color w:val="000000" w:themeColor="text1"/>
              </w:rPr>
              <w:t>Banking Regulation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22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2.2 Banking Regulation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22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2.2.1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22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2.2.2 Capital adequacy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2.2.2.1 Function of Capital</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 xml:space="preserve">2.2.2.2 Credit Exposures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2.2.2.3  Basel Committee</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2.2.2.4  Basel Capital Accord</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2.2.3 Market risk- amendment to the Basel Capital Accord</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2.2.3.1 Revised Cooke Ratio (Co): Minimum Total Capital</w:t>
            </w:r>
          </w:p>
          <w:p w:rsidR="002D1795" w:rsidRPr="005C7423" w:rsidRDefault="002D1795" w:rsidP="00102CC7">
            <w:pPr>
              <w:spacing w:after="240" w:line="360" w:lineRule="auto"/>
              <w:contextualSpacing/>
              <w:rPr>
                <w:rFonts w:ascii="Times New Roman" w:hAnsi="Times New Roman" w:cs="Times New Roman"/>
                <w:bCs/>
                <w:sz w:val="24"/>
                <w:szCs w:val="24"/>
                <w:rtl/>
                <w:lang w:bidi="ar-JO"/>
              </w:rPr>
            </w:pPr>
            <w:r w:rsidRPr="005C7423">
              <w:rPr>
                <w:rFonts w:ascii="Times New Roman" w:hAnsi="Times New Roman" w:cs="Times New Roman"/>
                <w:bCs/>
                <w:sz w:val="24"/>
                <w:szCs w:val="24"/>
              </w:rPr>
              <w:t>2.2.3.2 The New Basel Capital Accord (Base II)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8</w:t>
            </w:r>
          </w:p>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8</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2.2.3.2.1 Pillar 1- Minimum Capital Requirements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2</w:t>
            </w:r>
            <w:r>
              <w:rPr>
                <w:rFonts w:asciiTheme="majorBidi" w:hAnsiTheme="majorBidi" w:cstheme="majorBidi"/>
                <w:b/>
                <w:bCs/>
                <w:sz w:val="24"/>
                <w:szCs w:val="24"/>
                <w:lang w:bidi="ar-JO"/>
              </w:rPr>
              <w:t>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2.2.3.2.2 Pillar 2- Supervisory Review of Capital</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31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2.2.3.2.3 Pillar 3 – Market Discipline (Disclosure Rules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32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sz w:val="24"/>
                <w:szCs w:val="24"/>
              </w:rPr>
              <w:t>2.2.4</w:t>
            </w:r>
            <w:r>
              <w:rPr>
                <w:rFonts w:asciiTheme="majorBidi" w:hAnsiTheme="majorBidi" w:cstheme="majorBidi"/>
                <w:color w:val="000000"/>
                <w:sz w:val="24"/>
                <w:szCs w:val="24"/>
              </w:rPr>
              <w:t xml:space="preserve"> </w:t>
            </w:r>
            <w:r w:rsidRPr="005C7423">
              <w:rPr>
                <w:rFonts w:asciiTheme="majorBidi" w:hAnsiTheme="majorBidi" w:cstheme="majorBidi"/>
                <w:color w:val="000000"/>
                <w:sz w:val="24"/>
                <w:szCs w:val="24"/>
              </w:rPr>
              <w:t>PMA and Basel Regulations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32</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rPr>
            </w:pPr>
            <w:r w:rsidRPr="005C7423">
              <w:rPr>
                <w:rFonts w:asciiTheme="majorBidi" w:hAnsiTheme="majorBidi" w:cstheme="majorBidi"/>
                <w:sz w:val="24"/>
                <w:szCs w:val="24"/>
              </w:rPr>
              <w:t>2.2.5  New Basel</w:t>
            </w:r>
            <w:r w:rsidRPr="005C7423">
              <w:rPr>
                <w:rFonts w:asciiTheme="majorBidi" w:hAnsiTheme="majorBidi" w:cstheme="majorBidi"/>
                <w:color w:val="000000"/>
                <w:sz w:val="24"/>
                <w:szCs w:val="24"/>
              </w:rPr>
              <w:t xml:space="preserve"> III A</w:t>
            </w:r>
            <w:r w:rsidRPr="005C7423">
              <w:rPr>
                <w:rFonts w:asciiTheme="majorBidi" w:hAnsiTheme="majorBidi" w:cstheme="majorBidi"/>
                <w:sz w:val="24"/>
                <w:szCs w:val="24"/>
              </w:rPr>
              <w:t>ccord</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3</w:t>
            </w:r>
            <w:r>
              <w:rPr>
                <w:rFonts w:asciiTheme="majorBidi" w:hAnsiTheme="majorBidi" w:cstheme="majorBidi"/>
                <w:b/>
                <w:bCs/>
                <w:sz w:val="24"/>
                <w:szCs w:val="24"/>
                <w:lang w:bidi="ar-JO"/>
              </w:rPr>
              <w:t>4</w:t>
            </w:r>
          </w:p>
        </w:tc>
      </w:tr>
      <w:tr w:rsidR="002D1795" w:rsidRPr="005C7423" w:rsidTr="00102CC7">
        <w:trPr>
          <w:trHeight w:val="461"/>
        </w:trPr>
        <w:tc>
          <w:tcPr>
            <w:tcW w:w="8613" w:type="dxa"/>
          </w:tcPr>
          <w:p w:rsidR="002D1795" w:rsidRPr="005C7423" w:rsidRDefault="002D1795" w:rsidP="00102CC7">
            <w:pPr>
              <w:spacing w:after="240"/>
              <w:rPr>
                <w:rFonts w:asciiTheme="majorBidi" w:hAnsiTheme="majorBidi" w:cstheme="majorBidi"/>
                <w:b/>
                <w:bCs/>
                <w:i/>
                <w:iCs/>
                <w:color w:val="000000"/>
                <w:sz w:val="24"/>
                <w:szCs w:val="24"/>
                <w:rtl/>
              </w:rPr>
            </w:pPr>
            <w:r w:rsidRPr="005C7423">
              <w:rPr>
                <w:rFonts w:asciiTheme="majorBidi" w:hAnsiTheme="majorBidi" w:cstheme="majorBidi"/>
                <w:b/>
                <w:bCs/>
                <w:i/>
                <w:iCs/>
                <w:color w:val="000000"/>
                <w:sz w:val="24"/>
                <w:szCs w:val="24"/>
              </w:rPr>
              <w:t xml:space="preserve">Section Three: Credit Risk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3</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rtl/>
                <w:lang w:bidi="ar-JO"/>
              </w:rPr>
            </w:pPr>
            <w:r w:rsidRPr="005C7423">
              <w:rPr>
                <w:rFonts w:asciiTheme="majorBidi" w:hAnsiTheme="majorBidi" w:cstheme="majorBidi"/>
                <w:sz w:val="24"/>
                <w:szCs w:val="24"/>
              </w:rPr>
              <w:t xml:space="preserve">2.2 </w:t>
            </w:r>
            <w:r w:rsidRPr="005C7423">
              <w:rPr>
                <w:rFonts w:ascii="Times New Roman" w:hAnsi="Times New Roman" w:cs="Times New Roman"/>
                <w:color w:val="000000"/>
                <w:sz w:val="24"/>
                <w:szCs w:val="24"/>
              </w:rPr>
              <w:t>Credit Risk of Banks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3</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 xml:space="preserve">2.2.1 </w:t>
            </w:r>
            <w:r w:rsidRPr="005C7423">
              <w:rPr>
                <w:rFonts w:ascii="Times New Roman" w:hAnsi="Times New Roman" w:cs="Times New Roman"/>
                <w:color w:val="000000"/>
                <w:sz w:val="24"/>
                <w:szCs w:val="24"/>
              </w:rPr>
              <w:t>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3</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 xml:space="preserve">2.2.2 </w:t>
            </w:r>
            <w:r w:rsidRPr="005C7423">
              <w:rPr>
                <w:rFonts w:ascii="Times New Roman" w:hAnsi="Times New Roman" w:cs="Times New Roman"/>
                <w:sz w:val="24"/>
                <w:szCs w:val="24"/>
              </w:rPr>
              <w:t>Categories of Credit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3</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lang w:bidi="ar-JO"/>
              </w:rPr>
              <w:t xml:space="preserve">2.2.3 </w:t>
            </w:r>
            <w:r w:rsidRPr="005C7423">
              <w:rPr>
                <w:rFonts w:ascii="Times New Roman" w:hAnsi="Times New Roman" w:cs="Times New Roman"/>
                <w:sz w:val="24"/>
                <w:szCs w:val="24"/>
              </w:rPr>
              <w:t>Identifying Credit Risk Exposures in Bank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3</w:t>
            </w: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b/>
                <w:bCs/>
                <w:i/>
                <w:iCs/>
                <w:sz w:val="24"/>
                <w:szCs w:val="24"/>
                <w:lang w:bidi="ar-JO"/>
              </w:rPr>
            </w:pPr>
            <w:r w:rsidRPr="005C7423">
              <w:rPr>
                <w:rFonts w:asciiTheme="majorBidi" w:hAnsiTheme="majorBidi" w:cstheme="majorBidi"/>
                <w:b/>
                <w:bCs/>
                <w:i/>
                <w:iCs/>
                <w:sz w:val="24"/>
                <w:szCs w:val="24"/>
                <w:lang w:bidi="ar-JO"/>
              </w:rPr>
              <w:t>Section four:</w:t>
            </w:r>
            <w:r w:rsidRPr="005C7423">
              <w:rPr>
                <w:rFonts w:ascii="Times New Roman" w:hAnsi="Times New Roman" w:cs="Times New Roman"/>
                <w:b/>
                <w:bCs/>
                <w:i/>
                <w:iCs/>
                <w:sz w:val="24"/>
                <w:szCs w:val="24"/>
              </w:rPr>
              <w:t xml:space="preserve"> General Principles of Sound Credit Risk Management</w:t>
            </w:r>
            <w:r w:rsidRPr="005C7423">
              <w:rPr>
                <w:rFonts w:asciiTheme="majorBidi" w:hAnsiTheme="majorBidi" w:cstheme="majorBidi"/>
                <w:b/>
                <w:bCs/>
                <w:i/>
                <w:iCs/>
                <w:sz w:val="24"/>
                <w:szCs w:val="24"/>
                <w:lang w:bidi="ar-JO"/>
              </w:rPr>
              <w:t xml:space="preserve">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40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imes New Roman" w:hAnsi="Times New Roman" w:cs="Times New Roman"/>
                <w:sz w:val="24"/>
                <w:szCs w:val="24"/>
              </w:rPr>
              <w:t>2.4 General Principles of Sound Credit Risk Management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40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sz w:val="24"/>
                <w:szCs w:val="24"/>
              </w:rPr>
              <w:lastRenderedPageBreak/>
              <w:t>2.4.1Introduction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40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2.4.2  Goal of Credit Risk Management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40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 xml:space="preserve">2.4.3 </w:t>
            </w:r>
            <w:r w:rsidRPr="005C7423">
              <w:rPr>
                <w:rFonts w:ascii="Times New Roman" w:hAnsi="Times New Roman" w:cs="Times New Roman"/>
                <w:sz w:val="24"/>
                <w:szCs w:val="24"/>
              </w:rPr>
              <w:t>Principles of Credit Risk Management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41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imes New Roman" w:hAnsi="Times New Roman" w:cs="Times New Roman"/>
                <w:sz w:val="24"/>
                <w:szCs w:val="24"/>
              </w:rPr>
              <w:t>2.4.3.1Establishing an Appropriate Credit Risk Environment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42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color w:val="000000"/>
                <w:sz w:val="24"/>
                <w:szCs w:val="24"/>
              </w:rPr>
              <w:t>2.4.3.2 Operating under a Sound Credit Granting Process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4</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2.4.3.2.1Credit Limits and Credit Concentration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4</w:t>
            </w:r>
            <w:r>
              <w:rPr>
                <w:rFonts w:asciiTheme="majorBidi" w:hAnsiTheme="majorBidi" w:cstheme="majorBidi"/>
                <w:b/>
                <w:bCs/>
                <w:sz w:val="24"/>
                <w:szCs w:val="24"/>
                <w:lang w:bidi="ar-JO"/>
              </w:rPr>
              <w:t>8</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2.4.3.3 Maintaining an Appropriate Credit Administration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49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 xml:space="preserve">2.4.3.4 </w:t>
            </w:r>
            <w:r w:rsidRPr="005C7423">
              <w:rPr>
                <w:rFonts w:ascii="Times New Roman" w:hAnsi="Times New Roman" w:cs="Times New Roman"/>
                <w:sz w:val="24"/>
                <w:szCs w:val="24"/>
              </w:rPr>
              <w:t>Ensuring Adequate Controls over Credit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51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imes New Roman" w:hAnsi="Times New Roman" w:cs="Times New Roman"/>
                <w:sz w:val="24"/>
                <w:szCs w:val="24"/>
              </w:rPr>
              <w:t>2.4.4 Credit Risk Measurement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52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2.2.4.1Credit risk Rating</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5</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2.4.4.2 Credit scoring systems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5</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2.4.4.2.1 A classical example of Credit Scoring: Altman’s Z-Score</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5</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 xml:space="preserve">2.4.5 </w:t>
            </w:r>
            <w:r w:rsidRPr="005C7423">
              <w:rPr>
                <w:rFonts w:ascii="Times New Roman" w:hAnsi="Times New Roman" w:cs="Times New Roman"/>
                <w:sz w:val="24"/>
                <w:szCs w:val="24"/>
              </w:rPr>
              <w:t>Basel II Credit Risk Measurement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5</w:t>
            </w:r>
            <w:r>
              <w:rPr>
                <w:rFonts w:asciiTheme="majorBidi" w:hAnsiTheme="majorBidi" w:cstheme="majorBidi"/>
                <w:b/>
                <w:bCs/>
                <w:sz w:val="24"/>
                <w:szCs w:val="24"/>
                <w:lang w:bidi="ar-JO"/>
              </w:rPr>
              <w:t>7</w:t>
            </w:r>
          </w:p>
        </w:tc>
      </w:tr>
      <w:tr w:rsidR="002D1795" w:rsidRPr="005C7423" w:rsidTr="00102CC7">
        <w:tc>
          <w:tcPr>
            <w:tcW w:w="8613" w:type="dxa"/>
          </w:tcPr>
          <w:p w:rsidR="002D1795" w:rsidRPr="005C7423" w:rsidRDefault="002D1795" w:rsidP="00102CC7">
            <w:pPr>
              <w:spacing w:line="360" w:lineRule="auto"/>
              <w:rPr>
                <w:rFonts w:ascii="Times New Roman" w:hAnsi="Times New Roman" w:cs="Times New Roman"/>
                <w:sz w:val="24"/>
                <w:szCs w:val="24"/>
                <w:rtl/>
                <w:lang w:bidi="ar-JO"/>
              </w:rPr>
            </w:pPr>
            <w:r w:rsidRPr="005C7423">
              <w:rPr>
                <w:rFonts w:ascii="Times New Roman" w:hAnsi="Times New Roman" w:cs="Times New Roman"/>
                <w:sz w:val="24"/>
                <w:szCs w:val="24"/>
              </w:rPr>
              <w:t>2.4.5.1 Standardized Approach to Credit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58</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imes New Roman" w:hAnsi="Times New Roman" w:cs="Times New Roman"/>
                <w:sz w:val="24"/>
                <w:szCs w:val="24"/>
              </w:rPr>
              <w:t>2.4.5.2 Internal Ratings-Based (IRB) Approach</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58</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b/>
                <w:bCs/>
                <w:i/>
                <w:iCs/>
                <w:sz w:val="24"/>
                <w:szCs w:val="24"/>
                <w:lang w:bidi="ar-JO"/>
              </w:rPr>
            </w:pPr>
            <w:r w:rsidRPr="005C7423">
              <w:rPr>
                <w:rFonts w:asciiTheme="majorBidi" w:hAnsiTheme="majorBidi" w:cstheme="majorBidi"/>
                <w:b/>
                <w:bCs/>
                <w:i/>
                <w:iCs/>
                <w:sz w:val="24"/>
                <w:szCs w:val="24"/>
              </w:rPr>
              <w:t>Section five:</w:t>
            </w:r>
            <w:r w:rsidRPr="005C7423">
              <w:rPr>
                <w:rFonts w:asciiTheme="majorBidi" w:hAnsiTheme="majorBidi" w:cstheme="majorBidi"/>
                <w:sz w:val="24"/>
                <w:szCs w:val="24"/>
              </w:rPr>
              <w:t xml:space="preserve"> </w:t>
            </w:r>
            <w:r w:rsidRPr="005C7423">
              <w:rPr>
                <w:rFonts w:asciiTheme="majorBidi" w:hAnsiTheme="majorBidi" w:cstheme="majorBidi"/>
                <w:b/>
                <w:bCs/>
                <w:i/>
                <w:iCs/>
                <w:sz w:val="24"/>
                <w:szCs w:val="24"/>
              </w:rPr>
              <w:t xml:space="preserve">Credit Risk Mitigation and Transfer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6</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lang w:bidi="ar-JO"/>
              </w:rPr>
              <w:t xml:space="preserve">2.5 </w:t>
            </w:r>
            <w:r w:rsidRPr="005C7423">
              <w:rPr>
                <w:rFonts w:asciiTheme="majorBidi" w:hAnsiTheme="majorBidi" w:cstheme="majorBidi"/>
                <w:sz w:val="24"/>
                <w:szCs w:val="24"/>
              </w:rPr>
              <w:t>Credit Risk Mitigation and Transfer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6</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2.5.1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6</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2.5.2 Traditional Methods for Controlling Credit Risk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6</w:t>
            </w:r>
            <w:r>
              <w:rPr>
                <w:rFonts w:asciiTheme="majorBidi" w:hAnsiTheme="majorBidi" w:cstheme="majorBidi"/>
                <w:b/>
                <w:bCs/>
                <w:sz w:val="24"/>
                <w:szCs w:val="24"/>
                <w:lang w:bidi="ar-JO"/>
              </w:rPr>
              <w:t>3</w:t>
            </w:r>
          </w:p>
        </w:tc>
      </w:tr>
      <w:tr w:rsidR="002D1795" w:rsidRPr="005C7423" w:rsidTr="00102CC7">
        <w:tc>
          <w:tcPr>
            <w:tcW w:w="8613" w:type="dxa"/>
          </w:tcPr>
          <w:p w:rsidR="002D1795" w:rsidRPr="00EB6199" w:rsidRDefault="002D1795" w:rsidP="00102CC7">
            <w:pPr>
              <w:spacing w:line="360" w:lineRule="auto"/>
              <w:rPr>
                <w:rFonts w:asciiTheme="majorBidi" w:hAnsiTheme="majorBidi" w:cstheme="majorBidi"/>
                <w:b/>
                <w:bCs/>
                <w:sz w:val="24"/>
                <w:szCs w:val="24"/>
              </w:rPr>
            </w:pPr>
            <w:r w:rsidRPr="00EB6199">
              <w:rPr>
                <w:rStyle w:val="Strong"/>
                <w:rFonts w:asciiTheme="majorBidi" w:hAnsiTheme="majorBidi" w:cstheme="majorBidi"/>
                <w:b w:val="0"/>
                <w:bCs w:val="0"/>
                <w:color w:val="000000" w:themeColor="text1"/>
                <w:sz w:val="24"/>
                <w:szCs w:val="24"/>
              </w:rPr>
              <w:t>2.5.3 Newer Methods for Credit Risk Transfer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70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i/>
                <w:iCs/>
                <w:sz w:val="24"/>
                <w:szCs w:val="24"/>
                <w:lang w:bidi="ar-JO"/>
              </w:rPr>
            </w:pPr>
            <w:r w:rsidRPr="005C7423">
              <w:rPr>
                <w:rFonts w:asciiTheme="majorBidi" w:hAnsiTheme="majorBidi" w:cstheme="majorBidi"/>
                <w:b/>
                <w:bCs/>
                <w:i/>
                <w:iCs/>
                <w:sz w:val="24"/>
                <w:szCs w:val="24"/>
                <w:lang w:bidi="ar-JO"/>
              </w:rPr>
              <w:t>Section Six:</w:t>
            </w:r>
            <w:r w:rsidRPr="005C7423">
              <w:rPr>
                <w:rFonts w:asciiTheme="majorBidi" w:hAnsiTheme="majorBidi" w:cstheme="majorBidi"/>
                <w:sz w:val="24"/>
                <w:szCs w:val="24"/>
                <w:lang w:bidi="ar-JO"/>
              </w:rPr>
              <w:t xml:space="preserve"> </w:t>
            </w:r>
            <w:r w:rsidRPr="005C7423">
              <w:rPr>
                <w:rFonts w:asciiTheme="majorBidi" w:hAnsiTheme="majorBidi" w:cstheme="majorBidi"/>
                <w:b/>
                <w:bCs/>
                <w:i/>
                <w:iCs/>
                <w:sz w:val="24"/>
                <w:szCs w:val="24"/>
                <w:lang w:bidi="ar-JO"/>
              </w:rPr>
              <w:t xml:space="preserve">Credit Policy and Controls that Govern the Performance of Palestinian Banking System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7</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lang w:bidi="ar-JO"/>
              </w:rPr>
            </w:pPr>
            <w:r w:rsidRPr="005C7423">
              <w:rPr>
                <w:rFonts w:asciiTheme="majorBidi" w:hAnsiTheme="majorBidi" w:cstheme="majorBidi"/>
                <w:sz w:val="24"/>
                <w:szCs w:val="24"/>
                <w:lang w:bidi="ar-JO"/>
              </w:rPr>
              <w:t>2.6 Credit Policy and Controls that Govern the Performance of Palestinian Banking System</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7</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lang w:bidi="ar-JO"/>
              </w:rPr>
              <w:t>2.6.1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7</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imes New Roman" w:hAnsi="Times New Roman" w:cs="Times New Roman"/>
                <w:sz w:val="24"/>
                <w:szCs w:val="24"/>
              </w:rPr>
              <w:t>2.6.2 Overview of the Palestinian Banking Sector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7</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lang w:bidi="ar-JO"/>
              </w:rPr>
            </w:pPr>
            <w:r w:rsidRPr="005C7423">
              <w:rPr>
                <w:rFonts w:asciiTheme="majorBidi" w:hAnsiTheme="majorBidi" w:cstheme="majorBidi"/>
                <w:sz w:val="24"/>
                <w:szCs w:val="24"/>
                <w:lang w:bidi="ar-JO"/>
              </w:rPr>
              <w:t>2.6.3 Credit Policy and Controls that govern the Performance of the Banking System in Palestine</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76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lang w:bidi="ar-JO"/>
              </w:rPr>
              <w:t>2.6.3.1 Risks and controls governing credit policy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76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2.6.3.1.1 External credit controls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77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lastRenderedPageBreak/>
              <w:t>2.6.3.2.2 Most Important International Quantitative Monitoring Tools and the Extent of their Application in Palestine</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79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2.6.3.1. 3 Internal Credit Controls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8</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cstheme="majorBidi"/>
                <w:sz w:val="24"/>
                <w:szCs w:val="24"/>
                <w:lang w:bidi="ar-JO"/>
              </w:rPr>
              <w:t>2.6.4 Credit Facilities in the Palestinian Banking System</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8</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imes New Roman" w:hAnsi="Times New Roman" w:cs="Times New Roman"/>
                <w:bCs/>
                <w:sz w:val="24"/>
                <w:szCs w:val="24"/>
                <w:rtl/>
                <w:lang w:bidi="ar-JO"/>
              </w:rPr>
            </w:pPr>
            <w:r w:rsidRPr="005C7423">
              <w:rPr>
                <w:rFonts w:ascii="Times New Roman" w:hAnsi="Times New Roman" w:cs="Times New Roman"/>
                <w:bCs/>
                <w:sz w:val="24"/>
                <w:szCs w:val="24"/>
              </w:rPr>
              <w:t>2.6.5 Palestinian Banking System and Credit Exposure to Public Sector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8</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tabs>
                <w:tab w:val="right" w:pos="426"/>
              </w:tabs>
              <w:rPr>
                <w:rFonts w:ascii="Times New Roman" w:hAnsi="Times New Roman" w:cs="Times New Roman"/>
                <w:bCs/>
                <w:sz w:val="24"/>
                <w:szCs w:val="24"/>
                <w:rtl/>
                <w:lang w:bidi="ar-JO"/>
              </w:rPr>
            </w:pPr>
            <w:r w:rsidRPr="005C7423">
              <w:rPr>
                <w:rFonts w:ascii="Times New Roman" w:hAnsi="Times New Roman" w:cs="Times New Roman"/>
                <w:bCs/>
                <w:sz w:val="24"/>
                <w:szCs w:val="24"/>
              </w:rPr>
              <w:t>2.6.6 Credit Risk Extended to Household Sector and Companies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88</w:t>
            </w:r>
          </w:p>
        </w:tc>
      </w:tr>
      <w:tr w:rsidR="002D1795" w:rsidRPr="005C7423" w:rsidTr="00102CC7">
        <w:trPr>
          <w:trHeight w:val="20"/>
        </w:trPr>
        <w:tc>
          <w:tcPr>
            <w:tcW w:w="8613" w:type="dxa"/>
          </w:tcPr>
          <w:p w:rsidR="002D1795" w:rsidRPr="005C7423" w:rsidRDefault="002D1795" w:rsidP="00102CC7">
            <w:pPr>
              <w:pStyle w:val="NormalWeb"/>
              <w:spacing w:before="0" w:beforeAutospacing="0" w:after="0" w:afterAutospacing="0"/>
              <w:rPr>
                <w:i/>
                <w:iCs/>
                <w:rtl/>
                <w:lang w:bidi="ar-JO"/>
              </w:rPr>
            </w:pPr>
            <w:r w:rsidRPr="005C7423">
              <w:rPr>
                <w:rFonts w:asciiTheme="majorBidi" w:hAnsiTheme="majorBidi" w:cstheme="majorBidi"/>
                <w:b/>
                <w:bCs/>
                <w:i/>
                <w:iCs/>
              </w:rPr>
              <w:t>Section Seven</w:t>
            </w:r>
            <w:r w:rsidRPr="005C7423">
              <w:rPr>
                <w:i/>
                <w:iCs/>
                <w:lang w:bidi="ar-JO"/>
              </w:rPr>
              <w:t xml:space="preserve">: </w:t>
            </w:r>
            <w:r w:rsidRPr="005C7423">
              <w:rPr>
                <w:b/>
                <w:bCs/>
                <w:i/>
                <w:iCs/>
              </w:rPr>
              <w:t>Previous Studies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9</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lang w:bidi="ar-JO"/>
              </w:rPr>
            </w:pPr>
            <w:r w:rsidRPr="005C7423">
              <w:rPr>
                <w:sz w:val="24"/>
                <w:szCs w:val="24"/>
              </w:rPr>
              <w:t xml:space="preserve">2.6 </w:t>
            </w:r>
            <w:r w:rsidRPr="005C7423">
              <w:rPr>
                <w:rFonts w:ascii="Times New Roman" w:hAnsi="Times New Roman" w:cs="Times New Roman"/>
                <w:sz w:val="24"/>
                <w:szCs w:val="24"/>
              </w:rPr>
              <w:t>Previous Studies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9</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imes New Roman" w:hAnsi="Times New Roman" w:cs="Times New Roman"/>
                <w:sz w:val="24"/>
                <w:szCs w:val="24"/>
              </w:rPr>
              <w:t>2.6.1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9</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imes New Roman" w:hAnsi="Times New Roman" w:cs="Times New Roman"/>
                <w:sz w:val="24"/>
                <w:szCs w:val="24"/>
              </w:rPr>
              <w:t>2.6.2 Related Studies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9</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autoSpaceDE w:val="0"/>
              <w:autoSpaceDN w:val="0"/>
              <w:adjustRightInd w:val="0"/>
              <w:spacing w:line="360" w:lineRule="auto"/>
              <w:ind w:left="-630"/>
              <w:rPr>
                <w:rFonts w:asciiTheme="majorBidi" w:hAnsiTheme="majorBidi" w:cstheme="majorBidi"/>
                <w:color w:val="000000" w:themeColor="text1"/>
                <w:sz w:val="24"/>
                <w:szCs w:val="24"/>
                <w:rtl/>
                <w:lang w:bidi="ar-JO"/>
              </w:rPr>
            </w:pPr>
            <w:r>
              <w:rPr>
                <w:rFonts w:asciiTheme="majorBidi" w:hAnsiTheme="majorBidi" w:cstheme="majorBidi"/>
                <w:b/>
                <w:bCs/>
                <w:color w:val="000000" w:themeColor="text1"/>
                <w:sz w:val="24"/>
                <w:szCs w:val="24"/>
              </w:rPr>
              <w:t xml:space="preserve"> Cha Chapter </w:t>
            </w:r>
            <w:r w:rsidRPr="005C7423">
              <w:rPr>
                <w:rFonts w:asciiTheme="majorBidi" w:hAnsiTheme="majorBidi" w:cstheme="majorBidi"/>
                <w:b/>
                <w:bCs/>
                <w:color w:val="000000" w:themeColor="text1"/>
                <w:sz w:val="24"/>
                <w:szCs w:val="24"/>
              </w:rPr>
              <w:t xml:space="preserve">Three: Application of Methodology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3.1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99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3.2 Research Approach</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99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3.3 Sample Population and Participants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100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3.4 Data Collection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Pr>
                <w:rFonts w:asciiTheme="majorBidi" w:hAnsiTheme="majorBidi" w:cstheme="majorBidi"/>
                <w:b/>
                <w:bCs/>
                <w:sz w:val="24"/>
                <w:szCs w:val="24"/>
                <w:lang w:bidi="ar-JO"/>
              </w:rPr>
              <w:t>101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3.5 Data analyzing instruments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10</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3.6 Applied regression model</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10</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3.6.1  Procedural Definition of Variables and Measurement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10</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color w:val="000000" w:themeColor="text1"/>
                <w:sz w:val="24"/>
                <w:szCs w:val="24"/>
              </w:rPr>
              <w:t>3.6.1.1 Dependent variable</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10</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3.6.1.2 Independent variables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10</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3.6.3 Regression Analysis Explained and Hypothesis Development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08</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val="en-GB" w:bidi="ar-JO"/>
              </w:rPr>
            </w:pPr>
            <w:r w:rsidRPr="005C7423">
              <w:rPr>
                <w:rFonts w:asciiTheme="majorBidi" w:hAnsiTheme="majorBidi" w:cstheme="majorBidi"/>
                <w:color w:val="000000" w:themeColor="text1"/>
                <w:sz w:val="24"/>
                <w:szCs w:val="24"/>
                <w:lang w:val="en-GB"/>
              </w:rPr>
              <w:t>3.6.4 Statistical Methods Used in the Study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10</w:t>
            </w:r>
          </w:p>
        </w:tc>
      </w:tr>
      <w:tr w:rsidR="002D1795" w:rsidRPr="005C7423" w:rsidTr="00102CC7">
        <w:tc>
          <w:tcPr>
            <w:tcW w:w="8613" w:type="dxa"/>
          </w:tcPr>
          <w:p w:rsidR="002D1795" w:rsidRPr="005C7423" w:rsidRDefault="002D1795" w:rsidP="00102CC7">
            <w:pPr>
              <w:autoSpaceDE w:val="0"/>
              <w:autoSpaceDN w:val="0"/>
              <w:adjustRightInd w:val="0"/>
              <w:spacing w:line="360" w:lineRule="auto"/>
              <w:ind w:left="-720"/>
              <w:rPr>
                <w:rFonts w:ascii="TimesNewRoman,Bold" w:hAnsi="TimesNewRoman,Bold"/>
                <w:b/>
                <w:bCs/>
                <w:sz w:val="24"/>
                <w:szCs w:val="24"/>
                <w:rtl/>
                <w:lang w:bidi="ar-JO"/>
              </w:rPr>
            </w:pPr>
            <w:r w:rsidRPr="005C7423">
              <w:rPr>
                <w:rFonts w:ascii="TimesNewRoman,Bold" w:hAnsi="TimesNewRoman,Bold" w:cs="TimesNewRoman,Bold"/>
                <w:b/>
                <w:bCs/>
                <w:sz w:val="24"/>
                <w:szCs w:val="24"/>
              </w:rPr>
              <w:t xml:space="preserve"> Chap</w:t>
            </w:r>
            <w:r>
              <w:rPr>
                <w:rFonts w:ascii="TimesNewRoman,Bold" w:hAnsi="TimesNewRoman,Bold" w:cs="TimesNewRoman,Bold"/>
                <w:b/>
                <w:bCs/>
                <w:sz w:val="24"/>
                <w:szCs w:val="24"/>
              </w:rPr>
              <w:t xml:space="preserve">  Chapter </w:t>
            </w:r>
            <w:r w:rsidRPr="005C7423">
              <w:rPr>
                <w:rFonts w:ascii="TimesNewRoman,Bold" w:hAnsi="TimesNewRoman,Bold" w:cs="TimesNewRoman,Bold"/>
                <w:b/>
                <w:bCs/>
                <w:sz w:val="24"/>
                <w:szCs w:val="24"/>
              </w:rPr>
              <w:t xml:space="preserve">Four: </w:t>
            </w:r>
            <w:r w:rsidRPr="005C7423">
              <w:rPr>
                <w:rFonts w:asciiTheme="majorBidi" w:hAnsiTheme="majorBidi" w:cstheme="majorBidi"/>
                <w:b/>
                <w:bCs/>
                <w:sz w:val="24"/>
                <w:szCs w:val="24"/>
              </w:rPr>
              <w:t>Empirical Findings and Analysis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4.1 Introduction</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sz w:val="24"/>
                <w:szCs w:val="24"/>
              </w:rPr>
              <w:t>4.2 Trend Analysis of Dependent and Independent Variables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tl/>
                <w:lang w:bidi="ar-JO"/>
              </w:rPr>
            </w:pPr>
            <w:r w:rsidRPr="005C7423">
              <w:rPr>
                <w:rFonts w:asciiTheme="majorBidi" w:hAnsiTheme="majorBidi"/>
                <w:sz w:val="24"/>
                <w:szCs w:val="24"/>
              </w:rPr>
              <w:t>4.2.1 Trend analysis of Profitability</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pStyle w:val="Heading2"/>
              <w:spacing w:line="360" w:lineRule="auto"/>
              <w:outlineLvl w:val="1"/>
              <w:rPr>
                <w:rFonts w:asciiTheme="majorBidi" w:hAnsiTheme="majorBidi"/>
                <w:b w:val="0"/>
                <w:bCs w:val="0"/>
                <w:color w:val="auto"/>
                <w:sz w:val="24"/>
                <w:szCs w:val="24"/>
                <w:rtl/>
                <w:lang w:bidi="ar-JO"/>
              </w:rPr>
            </w:pPr>
            <w:r w:rsidRPr="005C7423">
              <w:rPr>
                <w:rFonts w:asciiTheme="majorBidi" w:hAnsiTheme="majorBidi"/>
                <w:b w:val="0"/>
                <w:bCs w:val="0"/>
                <w:color w:val="auto"/>
                <w:sz w:val="24"/>
                <w:szCs w:val="24"/>
              </w:rPr>
              <w:lastRenderedPageBreak/>
              <w:t>4.2.2 Trend Analysis of Nonperforming Loans (NPLR)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pStyle w:val="Heading2"/>
              <w:spacing w:line="360" w:lineRule="auto"/>
              <w:outlineLvl w:val="1"/>
              <w:rPr>
                <w:rFonts w:asciiTheme="majorBidi" w:hAnsiTheme="majorBidi"/>
                <w:b w:val="0"/>
                <w:bCs w:val="0"/>
                <w:color w:val="auto"/>
                <w:sz w:val="24"/>
                <w:szCs w:val="24"/>
                <w:rtl/>
                <w:lang w:bidi="ar-JO"/>
              </w:rPr>
            </w:pPr>
            <w:r w:rsidRPr="005C7423">
              <w:rPr>
                <w:rFonts w:asciiTheme="majorBidi" w:hAnsiTheme="majorBidi"/>
                <w:b w:val="0"/>
                <w:bCs w:val="0"/>
                <w:color w:val="auto"/>
                <w:sz w:val="24"/>
                <w:szCs w:val="24"/>
              </w:rPr>
              <w:t>4.2.3 Trend analysis of Capital Adequacy (EQTA)</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pStyle w:val="Heading2"/>
              <w:spacing w:line="360" w:lineRule="auto"/>
              <w:outlineLvl w:val="1"/>
              <w:rPr>
                <w:rFonts w:asciiTheme="majorBidi" w:hAnsiTheme="majorBidi"/>
                <w:b w:val="0"/>
                <w:bCs w:val="0"/>
                <w:color w:val="auto"/>
                <w:sz w:val="24"/>
                <w:szCs w:val="24"/>
                <w:rtl/>
                <w:lang w:bidi="ar-JO"/>
              </w:rPr>
            </w:pPr>
            <w:r w:rsidRPr="005C7423">
              <w:rPr>
                <w:rFonts w:asciiTheme="majorBidi" w:hAnsiTheme="majorBidi"/>
                <w:b w:val="0"/>
                <w:bCs w:val="0"/>
                <w:color w:val="auto"/>
                <w:sz w:val="24"/>
                <w:szCs w:val="24"/>
              </w:rPr>
              <w:t>4.2.4 Trend Analysis of Non Interest Income (NIDR)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sz w:val="24"/>
                <w:szCs w:val="24"/>
              </w:rPr>
              <w:t>4.2.5 Trend Analysis of Loan Loss Provisions (LLPI</w:t>
            </w:r>
            <w:r w:rsidRPr="005C7423">
              <w:rPr>
                <w:rFonts w:asciiTheme="majorBidi" w:hAnsiTheme="majorBidi" w:cstheme="majorBidi"/>
                <w:sz w:val="24"/>
                <w:szCs w:val="24"/>
              </w:rPr>
              <w: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4.2.6 Trend Analysis of Operational Expenses (OPNI)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17</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sz w:val="24"/>
                <w:szCs w:val="24"/>
              </w:rPr>
              <w:t>4.3 Multiple linear Regression Analysis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11</w:t>
            </w:r>
            <w:r>
              <w:rPr>
                <w:rFonts w:asciiTheme="majorBidi" w:hAnsiTheme="majorBidi" w:cstheme="majorBidi"/>
                <w:b/>
                <w:bCs/>
                <w:sz w:val="24"/>
                <w:szCs w:val="24"/>
                <w:lang w:bidi="ar-JO"/>
              </w:rPr>
              <w:t>8</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4.3.1</w:t>
            </w:r>
            <w:r w:rsidRPr="005C7423">
              <w:rPr>
                <w:rFonts w:asciiTheme="majorBidi" w:hAnsiTheme="majorBidi" w:cstheme="majorBidi"/>
                <w:sz w:val="24"/>
                <w:szCs w:val="24"/>
              </w:rPr>
              <w:t>Correlation and Regression Results for Model 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4.3.1.1. Correlation Matrix</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19</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4.3.1.2. Multiple Regression Results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19</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 xml:space="preserve">4.3.1.2.1 </w:t>
            </w:r>
            <w:r w:rsidRPr="005C7423">
              <w:rPr>
                <w:rFonts w:asciiTheme="majorBidi" w:hAnsiTheme="majorBidi" w:cstheme="majorBidi"/>
                <w:sz w:val="24"/>
                <w:szCs w:val="24"/>
              </w:rPr>
              <w:t>The Relationship Between Credit Risk Management and</w:t>
            </w:r>
          </w:p>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 xml:space="preserve"> Profitability (ROA) in All Banks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0</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4.3.1.2.2 Goodness- of –Fit Tests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4.3.1.2.3 R Square Analysis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sz w:val="24"/>
                <w:szCs w:val="24"/>
              </w:rPr>
              <w:t>4.3.1.2.4 Multicolinearity Test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2</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rPr>
            </w:pPr>
            <w:r w:rsidRPr="005C7423">
              <w:rPr>
                <w:rFonts w:asciiTheme="majorBidi" w:hAnsiTheme="majorBidi" w:cstheme="majorBidi"/>
                <w:sz w:val="24"/>
                <w:szCs w:val="24"/>
              </w:rPr>
              <w:t>4.3.1.2.2 The Relationship Between Profitability (ROA) and Nonperforming Loans (NPLR)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3</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4.3.1.5 The relationship Between Profitability (ROA) and Capital Adequacy EQTA</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4.3.1.6 The Relationship Between Profitability (ROA) and Loan loss Provisions LLPI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4</w:t>
            </w:r>
          </w:p>
        </w:tc>
      </w:tr>
      <w:tr w:rsidR="002D1795" w:rsidRPr="005C7423" w:rsidTr="00102CC7">
        <w:tc>
          <w:tcPr>
            <w:tcW w:w="8613" w:type="dxa"/>
          </w:tcPr>
          <w:p w:rsidR="002D1795" w:rsidRPr="005C7423" w:rsidRDefault="002D1795" w:rsidP="00102CC7">
            <w:pPr>
              <w:pStyle w:val="NoSpacing"/>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4.3.1.7 The Relationship Between Profitability ROA and Income Diversification NIDR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color w:val="000000" w:themeColor="text1"/>
                <w:sz w:val="24"/>
                <w:szCs w:val="24"/>
                <w:rtl/>
                <w:lang w:bidi="ar-JO"/>
              </w:rPr>
            </w:pPr>
            <w:r w:rsidRPr="005C7423">
              <w:rPr>
                <w:rFonts w:asciiTheme="majorBidi" w:hAnsiTheme="majorBidi" w:cstheme="majorBidi"/>
                <w:sz w:val="24"/>
                <w:szCs w:val="24"/>
              </w:rPr>
              <w:t>4.3.1.8 The Relationship Between Profitability (ROA) and Operational Costs (OPNI)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5</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rPr>
            </w:pPr>
            <w:r w:rsidRPr="005C7423">
              <w:rPr>
                <w:rFonts w:asciiTheme="majorBidi" w:hAnsiTheme="majorBidi" w:cstheme="majorBidi"/>
                <w:color w:val="000000" w:themeColor="text1"/>
                <w:sz w:val="24"/>
                <w:szCs w:val="24"/>
              </w:rPr>
              <w:t xml:space="preserve">4.3.2 </w:t>
            </w:r>
            <w:r w:rsidRPr="005C7423">
              <w:rPr>
                <w:rFonts w:asciiTheme="majorBidi" w:hAnsiTheme="majorBidi" w:cstheme="majorBidi"/>
                <w:sz w:val="24"/>
                <w:szCs w:val="24"/>
              </w:rPr>
              <w:t>Correlation and Regression Results for Model II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4.3.2.1 Correlation Matrix</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12</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spacing w:line="360" w:lineRule="auto"/>
              <w:rPr>
                <w:rFonts w:asciiTheme="majorBidi" w:hAnsiTheme="majorBidi" w:cstheme="majorBidi"/>
                <w:sz w:val="24"/>
                <w:szCs w:val="24"/>
                <w:lang w:bidi="ar-JO"/>
              </w:rPr>
            </w:pPr>
            <w:r w:rsidRPr="005C7423">
              <w:rPr>
                <w:rFonts w:asciiTheme="majorBidi" w:hAnsiTheme="majorBidi" w:cstheme="majorBidi"/>
                <w:sz w:val="24"/>
                <w:szCs w:val="24"/>
              </w:rPr>
              <w:t>4.3.2.2. Multiple Regression Results for Model  II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27</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tl/>
              </w:rPr>
            </w:pPr>
            <w:r w:rsidRPr="005C7423">
              <w:rPr>
                <w:rFonts w:asciiTheme="majorBidi" w:hAnsiTheme="majorBidi" w:cstheme="majorBidi"/>
                <w:color w:val="000000" w:themeColor="text1"/>
                <w:sz w:val="24"/>
                <w:szCs w:val="24"/>
              </w:rPr>
              <w:t xml:space="preserve">4.3.2.2.1 </w:t>
            </w:r>
            <w:r w:rsidRPr="005C7423">
              <w:rPr>
                <w:rFonts w:asciiTheme="majorBidi" w:hAnsiTheme="majorBidi" w:cstheme="majorBidi"/>
                <w:sz w:val="24"/>
                <w:szCs w:val="24"/>
              </w:rPr>
              <w:t xml:space="preserve"> Relationship Between Credit Risk Management and Profitability (ROE) in all Banks             </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27</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color w:val="000000" w:themeColor="text1"/>
                <w:sz w:val="24"/>
                <w:szCs w:val="24"/>
              </w:rPr>
            </w:pPr>
            <w:r w:rsidRPr="005C7423">
              <w:rPr>
                <w:rFonts w:asciiTheme="majorBidi" w:hAnsiTheme="majorBidi" w:cstheme="majorBidi"/>
                <w:sz w:val="24"/>
                <w:szCs w:val="24"/>
              </w:rPr>
              <w:t>4.3.2.2.2 Goodness- of –Fit Tests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Pr>
            </w:pPr>
            <w:r w:rsidRPr="005C7423">
              <w:rPr>
                <w:rFonts w:asciiTheme="majorBidi" w:hAnsiTheme="majorBidi" w:cstheme="majorBidi"/>
                <w:b/>
                <w:bCs/>
                <w:sz w:val="24"/>
                <w:szCs w:val="24"/>
              </w:rPr>
              <w:t>1</w:t>
            </w:r>
            <w:r>
              <w:rPr>
                <w:rFonts w:asciiTheme="majorBidi" w:hAnsiTheme="majorBidi" w:cstheme="majorBidi"/>
                <w:b/>
                <w:bCs/>
                <w:sz w:val="24"/>
                <w:szCs w:val="24"/>
              </w:rPr>
              <w:t>28</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color w:val="000000" w:themeColor="text1"/>
                <w:sz w:val="24"/>
                <w:szCs w:val="24"/>
              </w:rPr>
            </w:pPr>
            <w:r w:rsidRPr="005C7423">
              <w:rPr>
                <w:rFonts w:asciiTheme="majorBidi" w:hAnsiTheme="majorBidi" w:cstheme="majorBidi"/>
                <w:sz w:val="24"/>
                <w:szCs w:val="24"/>
              </w:rPr>
              <w:t>4.3.2.2.3 R Square Analysis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29</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color w:val="000000" w:themeColor="text1"/>
                <w:sz w:val="24"/>
                <w:szCs w:val="24"/>
              </w:rPr>
            </w:pPr>
            <w:r w:rsidRPr="005C7423">
              <w:rPr>
                <w:rFonts w:asciiTheme="majorBidi" w:hAnsiTheme="majorBidi" w:cstheme="majorBidi"/>
                <w:sz w:val="24"/>
                <w:szCs w:val="24"/>
              </w:rPr>
              <w:t>4.3.2.2.4 Multicolinearity Test</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29</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rPr>
            </w:pPr>
            <w:r w:rsidRPr="005C7423">
              <w:rPr>
                <w:rFonts w:asciiTheme="majorBidi" w:hAnsiTheme="majorBidi" w:cstheme="majorBidi"/>
                <w:sz w:val="24"/>
                <w:szCs w:val="24"/>
              </w:rPr>
              <w:lastRenderedPageBreak/>
              <w:t>4.3.2.2.5 Relationship Between Profitability (ROE) and Nonperforming Loans (NPLR)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13</w:t>
            </w:r>
            <w:r>
              <w:rPr>
                <w:rFonts w:asciiTheme="majorBidi" w:hAnsiTheme="majorBidi" w:cstheme="majorBidi"/>
                <w:b/>
                <w:bCs/>
                <w:sz w:val="24"/>
                <w:szCs w:val="24"/>
                <w:lang w:bidi="ar-JO"/>
              </w:rPr>
              <w:t>0</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sz w:val="24"/>
                <w:szCs w:val="24"/>
              </w:rPr>
              <w:t>4.3.2.1.6 Relationship between Profitability (ROE) and Capital Adequacy (EQTA)</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13</w:t>
            </w:r>
            <w:r>
              <w:rPr>
                <w:rFonts w:asciiTheme="majorBidi" w:hAnsiTheme="majorBidi" w:cstheme="majorBidi"/>
                <w:b/>
                <w:bCs/>
                <w:sz w:val="24"/>
                <w:szCs w:val="24"/>
                <w:lang w:bidi="ar-JO"/>
              </w:rPr>
              <w:t>0</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sz w:val="24"/>
                <w:szCs w:val="24"/>
              </w:rPr>
              <w:t>4.3.2.1.7  Relationship between Profitability EOE) and Loan Loss Provisions (LLPI)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13</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sz w:val="24"/>
                <w:szCs w:val="24"/>
              </w:rPr>
              <w:t>4.3.2.1.8  Relationship between Profitability and  Income Diversification (NIDR)</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13</w:t>
            </w:r>
            <w:r>
              <w:rPr>
                <w:rFonts w:asciiTheme="majorBidi" w:hAnsiTheme="majorBidi" w:cstheme="majorBidi"/>
                <w:b/>
                <w:bCs/>
                <w:sz w:val="24"/>
                <w:szCs w:val="24"/>
                <w:lang w:bidi="ar-JO"/>
              </w:rPr>
              <w:t>1</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sz w:val="24"/>
                <w:szCs w:val="24"/>
              </w:rPr>
              <w:t>4.3.2.1.9 Relationship Between Profitability (ROE) and Operational Costs (OPN)I</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13</w:t>
            </w:r>
            <w:r>
              <w:rPr>
                <w:rFonts w:asciiTheme="majorBidi" w:hAnsiTheme="majorBidi" w:cstheme="majorBidi"/>
                <w:b/>
                <w:bCs/>
                <w:sz w:val="24"/>
                <w:szCs w:val="24"/>
                <w:lang w:bidi="ar-JO"/>
              </w:rPr>
              <w:t>2</w:t>
            </w:r>
          </w:p>
        </w:tc>
      </w:tr>
      <w:tr w:rsidR="002D1795" w:rsidRPr="005C7423" w:rsidTr="00102CC7">
        <w:tc>
          <w:tcPr>
            <w:tcW w:w="8613" w:type="dxa"/>
          </w:tcPr>
          <w:p w:rsidR="002D1795" w:rsidRPr="00254BB7" w:rsidRDefault="002D1795" w:rsidP="00102CC7">
            <w:pPr>
              <w:rPr>
                <w:rFonts w:asciiTheme="majorBidi" w:hAnsiTheme="majorBidi" w:cstheme="majorBidi"/>
                <w:sz w:val="24"/>
                <w:szCs w:val="24"/>
              </w:rPr>
            </w:pPr>
            <w:r w:rsidRPr="005C7423">
              <w:rPr>
                <w:rFonts w:asciiTheme="majorBidi" w:hAnsiTheme="majorBidi" w:cstheme="majorBidi"/>
                <w:sz w:val="24"/>
                <w:szCs w:val="24"/>
              </w:rPr>
              <w:t>4.4 Credit Risk Management Techniques and Practices at Palestinian Commercial Banks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Pr>
            </w:pPr>
            <w:r w:rsidRPr="005C7423">
              <w:rPr>
                <w:rFonts w:asciiTheme="majorBidi" w:hAnsiTheme="majorBidi" w:cstheme="majorBidi"/>
                <w:b/>
                <w:bCs/>
                <w:sz w:val="24"/>
                <w:szCs w:val="24"/>
              </w:rPr>
              <w:t>13</w:t>
            </w:r>
            <w:r>
              <w:rPr>
                <w:rFonts w:asciiTheme="majorBidi" w:hAnsiTheme="majorBidi" w:cstheme="majorBidi"/>
                <w:b/>
                <w:bCs/>
                <w:sz w:val="24"/>
                <w:szCs w:val="24"/>
              </w:rPr>
              <w:t>4</w:t>
            </w:r>
          </w:p>
        </w:tc>
      </w:tr>
      <w:tr w:rsidR="002D1795" w:rsidRPr="005C7423" w:rsidTr="00102CC7">
        <w:tc>
          <w:tcPr>
            <w:tcW w:w="8613" w:type="dxa"/>
          </w:tcPr>
          <w:p w:rsidR="002D1795" w:rsidRPr="005C7423" w:rsidRDefault="002D1795" w:rsidP="00102CC7">
            <w:pPr>
              <w:rPr>
                <w:rFonts w:asciiTheme="majorBidi" w:hAnsiTheme="majorBidi" w:cstheme="majorBidi"/>
                <w:sz w:val="24"/>
                <w:szCs w:val="24"/>
              </w:rPr>
            </w:pPr>
            <w:r w:rsidRPr="005C7423">
              <w:rPr>
                <w:rFonts w:asciiTheme="majorBidi" w:hAnsiTheme="majorBidi" w:cstheme="majorBidi"/>
                <w:sz w:val="24"/>
                <w:szCs w:val="24"/>
              </w:rPr>
              <w:t>4.4.1 Credit Risk Management Techniques and Practices at Bank of Palestine (BOP) and AL-quds bank</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13</w:t>
            </w:r>
            <w:r>
              <w:rPr>
                <w:rFonts w:asciiTheme="majorBidi" w:hAnsiTheme="majorBidi" w:cstheme="majorBidi"/>
                <w:b/>
                <w:bCs/>
                <w:sz w:val="24"/>
                <w:szCs w:val="24"/>
                <w:lang w:bidi="ar-JO"/>
              </w:rPr>
              <w:t>8</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color w:val="000000" w:themeColor="text1"/>
                <w:sz w:val="24"/>
                <w:szCs w:val="24"/>
                <w:lang w:bidi="ar-JO"/>
              </w:rPr>
            </w:pPr>
            <w:r w:rsidRPr="005C7423">
              <w:rPr>
                <w:rFonts w:asciiTheme="majorBidi" w:hAnsiTheme="majorBidi" w:cstheme="majorBidi"/>
                <w:sz w:val="24"/>
                <w:szCs w:val="24"/>
              </w:rPr>
              <w:t>4.4.2 Generalization and Comparison with Basel Regulations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rPr>
              <w:t>1</w:t>
            </w:r>
            <w:r>
              <w:rPr>
                <w:rFonts w:asciiTheme="majorBidi" w:hAnsiTheme="majorBidi" w:cstheme="majorBidi"/>
                <w:b/>
                <w:bCs/>
                <w:sz w:val="24"/>
                <w:szCs w:val="24"/>
              </w:rPr>
              <w:t>45</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tl/>
                <w:lang w:bidi="ar-JO"/>
              </w:rPr>
            </w:pPr>
            <w:r w:rsidRPr="005C7423">
              <w:rPr>
                <w:rFonts w:asciiTheme="majorBidi" w:hAnsiTheme="majorBidi" w:cstheme="majorBidi"/>
                <w:sz w:val="24"/>
                <w:szCs w:val="24"/>
              </w:rPr>
              <w:t xml:space="preserve">4.4.3 Credit Risk Management Practices at </w:t>
            </w:r>
            <w:r>
              <w:rPr>
                <w:rFonts w:asciiTheme="majorBidi" w:hAnsiTheme="majorBidi" w:cstheme="majorBidi"/>
                <w:sz w:val="24"/>
                <w:szCs w:val="24"/>
              </w:rPr>
              <w:t>Palestinian Commercial Bank (PCB</w:t>
            </w:r>
            <w:r w:rsidRPr="005C7423">
              <w:rPr>
                <w:rFonts w:asciiTheme="majorBidi" w:hAnsiTheme="majorBidi" w:cstheme="majorBidi"/>
                <w:sz w:val="24"/>
                <w:szCs w:val="24"/>
              </w:rPr>
              <w:t>) and Palestinian Investment Bank (PIB))</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49</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sz w:val="24"/>
                <w:szCs w:val="24"/>
              </w:rPr>
              <w:t>4.4.3.1 Generalization and Comparison with Basel Regulations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52</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lang w:bidi="ar-JO"/>
              </w:rPr>
            </w:pPr>
            <w:r w:rsidRPr="005C7423">
              <w:rPr>
                <w:rFonts w:ascii="TimesNewRoman,Bold" w:hAnsi="TimesNewRoman,Bold" w:cs="TimesNewRoman,Bold"/>
                <w:b/>
                <w:bCs/>
                <w:sz w:val="24"/>
                <w:szCs w:val="24"/>
              </w:rPr>
              <w:t>Chapter Five: Conclusions and Recommendations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15</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heme="majorBidi" w:hAnsiTheme="majorBidi" w:cstheme="majorBidi"/>
                <w:sz w:val="24"/>
                <w:szCs w:val="24"/>
              </w:rPr>
              <w:t>5.1 conclusions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lang w:bidi="ar-JO"/>
              </w:rPr>
              <w:t>15</w:t>
            </w:r>
            <w:r>
              <w:rPr>
                <w:rFonts w:asciiTheme="majorBidi" w:hAnsiTheme="majorBidi" w:cstheme="majorBidi"/>
                <w:b/>
                <w:bCs/>
                <w:sz w:val="24"/>
                <w:szCs w:val="24"/>
                <w:lang w:bidi="ar-JO"/>
              </w:rPr>
              <w:t>6</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tl/>
                <w:lang w:bidi="ar-JO"/>
              </w:rPr>
            </w:pPr>
            <w:r w:rsidRPr="005C7423">
              <w:rPr>
                <w:rFonts w:asciiTheme="majorBidi" w:hAnsiTheme="majorBidi" w:cstheme="majorBidi"/>
                <w:sz w:val="24"/>
                <w:szCs w:val="24"/>
                <w:lang w:bidi="ar-JO"/>
              </w:rPr>
              <w:t>5.2 Recommendations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tl/>
                <w:lang w:bidi="ar-JO"/>
              </w:rPr>
            </w:pPr>
            <w:r w:rsidRPr="005C7423">
              <w:rPr>
                <w:rFonts w:asciiTheme="majorBidi" w:hAnsiTheme="majorBidi" w:cstheme="majorBidi"/>
                <w:b/>
                <w:bCs/>
                <w:sz w:val="24"/>
                <w:szCs w:val="24"/>
              </w:rPr>
              <w:t>1</w:t>
            </w:r>
            <w:r>
              <w:rPr>
                <w:rFonts w:asciiTheme="majorBidi" w:hAnsiTheme="majorBidi" w:cstheme="majorBidi"/>
                <w:b/>
                <w:bCs/>
                <w:sz w:val="24"/>
                <w:szCs w:val="24"/>
              </w:rPr>
              <w:t>58</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imesNewRoman,Bold" w:hAnsi="TimesNewRoman,Bold" w:cs="TimesNewRoman,Bold"/>
                <w:b/>
                <w:bCs/>
                <w:sz w:val="24"/>
                <w:szCs w:val="24"/>
              </w:rPr>
              <w:t>References</w:t>
            </w:r>
          </w:p>
        </w:tc>
        <w:tc>
          <w:tcPr>
            <w:tcW w:w="629" w:type="dxa"/>
          </w:tcPr>
          <w:p w:rsidR="002D1795" w:rsidRPr="005C7423" w:rsidRDefault="002D1795" w:rsidP="00102CC7">
            <w:pPr>
              <w:spacing w:line="360" w:lineRule="auto"/>
              <w:jc w:val="center"/>
              <w:rPr>
                <w:rFonts w:asciiTheme="majorBidi" w:hAnsiTheme="majorBidi" w:cstheme="majorBidi"/>
                <w:b/>
                <w:bCs/>
                <w:sz w:val="24"/>
                <w:szCs w:val="24"/>
              </w:rPr>
            </w:pPr>
            <w:r w:rsidRPr="005C7423">
              <w:rPr>
                <w:rFonts w:asciiTheme="majorBidi" w:hAnsiTheme="majorBidi" w:cstheme="majorBidi"/>
                <w:b/>
                <w:bCs/>
                <w:sz w:val="24"/>
                <w:szCs w:val="24"/>
              </w:rPr>
              <w:t>1</w:t>
            </w:r>
            <w:r>
              <w:rPr>
                <w:rFonts w:asciiTheme="majorBidi" w:hAnsiTheme="majorBidi" w:cstheme="majorBidi"/>
                <w:b/>
                <w:bCs/>
                <w:sz w:val="24"/>
                <w:szCs w:val="24"/>
              </w:rPr>
              <w:t>60</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imesNewRoman,Bold" w:hAnsi="TimesNewRoman,Bold" w:cs="TimesNewRoman,Bold"/>
                <w:b/>
                <w:bCs/>
                <w:sz w:val="24"/>
                <w:szCs w:val="24"/>
              </w:rPr>
              <w:t>Appendix 1</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w:t>
            </w:r>
            <w:r>
              <w:rPr>
                <w:rFonts w:asciiTheme="majorBidi" w:hAnsiTheme="majorBidi" w:cstheme="majorBidi"/>
                <w:b/>
                <w:bCs/>
                <w:sz w:val="24"/>
                <w:szCs w:val="24"/>
                <w:lang w:bidi="ar-JO"/>
              </w:rPr>
              <w:t>69</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rPr>
            </w:pPr>
            <w:r w:rsidRPr="005C7423">
              <w:rPr>
                <w:rFonts w:ascii="TimesNewRoman,Bold" w:hAnsi="TimesNewRoman,Bold" w:cs="TimesNewRoman,Bold"/>
                <w:b/>
                <w:bCs/>
                <w:sz w:val="24"/>
                <w:szCs w:val="24"/>
              </w:rPr>
              <w:t>Appendix 2</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17</w:t>
            </w:r>
            <w:r>
              <w:rPr>
                <w:rFonts w:asciiTheme="majorBidi" w:hAnsiTheme="majorBidi" w:cstheme="majorBidi"/>
                <w:b/>
                <w:bCs/>
                <w:sz w:val="24"/>
                <w:szCs w:val="24"/>
                <w:lang w:bidi="ar-JO"/>
              </w:rPr>
              <w:t>0</w:t>
            </w:r>
          </w:p>
        </w:tc>
      </w:tr>
      <w:tr w:rsidR="002D1795" w:rsidRPr="005C7423" w:rsidTr="00102CC7">
        <w:tc>
          <w:tcPr>
            <w:tcW w:w="8613" w:type="dxa"/>
          </w:tcPr>
          <w:p w:rsidR="002D1795" w:rsidRPr="005C7423" w:rsidRDefault="002D1795" w:rsidP="00102CC7">
            <w:pPr>
              <w:autoSpaceDE w:val="0"/>
              <w:autoSpaceDN w:val="0"/>
              <w:adjustRightInd w:val="0"/>
              <w:spacing w:line="360" w:lineRule="auto"/>
              <w:rPr>
                <w:rFonts w:asciiTheme="majorBidi" w:hAnsiTheme="majorBidi" w:cstheme="majorBidi"/>
                <w:sz w:val="24"/>
                <w:szCs w:val="24"/>
                <w:lang w:bidi="ar-JO"/>
              </w:rPr>
            </w:pPr>
            <w:r w:rsidRPr="005C7423">
              <w:rPr>
                <w:rFonts w:ascii="TimesNewRoman,Bold" w:hAnsi="TimesNewRoman,Bold" w:cs="TimesNewRoman,Bold"/>
                <w:b/>
                <w:bCs/>
                <w:sz w:val="24"/>
                <w:szCs w:val="24"/>
              </w:rPr>
              <w:t>Appendix 3</w:t>
            </w:r>
          </w:p>
        </w:tc>
        <w:tc>
          <w:tcPr>
            <w:tcW w:w="629" w:type="dxa"/>
          </w:tcPr>
          <w:p w:rsidR="002D1795" w:rsidRPr="005C7423" w:rsidRDefault="002D1795" w:rsidP="00102CC7">
            <w:pPr>
              <w:spacing w:line="360" w:lineRule="auto"/>
              <w:jc w:val="center"/>
              <w:rPr>
                <w:rFonts w:asciiTheme="majorBidi" w:hAnsiTheme="majorBidi" w:cstheme="majorBidi"/>
                <w:b/>
                <w:bCs/>
                <w:sz w:val="24"/>
                <w:szCs w:val="24"/>
                <w:lang w:bidi="ar-JO"/>
              </w:rPr>
            </w:pPr>
            <w:r w:rsidRPr="005C7423">
              <w:rPr>
                <w:rFonts w:asciiTheme="majorBidi" w:hAnsiTheme="majorBidi" w:cstheme="majorBidi"/>
                <w:b/>
                <w:bCs/>
                <w:sz w:val="24"/>
                <w:szCs w:val="24"/>
                <w:lang w:bidi="ar-JO"/>
              </w:rPr>
              <w:t>17</w:t>
            </w:r>
            <w:r>
              <w:rPr>
                <w:rFonts w:asciiTheme="majorBidi" w:hAnsiTheme="majorBidi" w:cstheme="majorBidi"/>
                <w:b/>
                <w:bCs/>
                <w:sz w:val="24"/>
                <w:szCs w:val="24"/>
                <w:lang w:bidi="ar-JO"/>
              </w:rPr>
              <w:t>1</w:t>
            </w:r>
          </w:p>
        </w:tc>
      </w:tr>
    </w:tbl>
    <w:p w:rsidR="00623134" w:rsidRDefault="00623134" w:rsidP="00323D66">
      <w:pPr>
        <w:spacing w:line="360" w:lineRule="auto"/>
        <w:rPr>
          <w:rFonts w:asciiTheme="majorBidi" w:hAnsiTheme="majorBidi" w:cstheme="majorBidi"/>
          <w:sz w:val="24"/>
          <w:szCs w:val="24"/>
        </w:rPr>
      </w:pPr>
    </w:p>
    <w:p w:rsidR="00623134" w:rsidRDefault="00623134" w:rsidP="00E04B62">
      <w:pPr>
        <w:spacing w:line="360" w:lineRule="auto"/>
        <w:rPr>
          <w:rFonts w:asciiTheme="majorBidi" w:hAnsiTheme="majorBidi" w:cstheme="majorBidi"/>
          <w:sz w:val="24"/>
          <w:szCs w:val="24"/>
        </w:rPr>
      </w:pPr>
    </w:p>
    <w:p w:rsidR="00623134" w:rsidRDefault="00623134" w:rsidP="00E04B62">
      <w:pPr>
        <w:spacing w:line="360" w:lineRule="auto"/>
        <w:rPr>
          <w:rFonts w:asciiTheme="majorBidi" w:hAnsiTheme="majorBidi" w:cstheme="majorBidi"/>
          <w:sz w:val="24"/>
          <w:szCs w:val="24"/>
        </w:rPr>
      </w:pPr>
    </w:p>
    <w:p w:rsidR="00623134" w:rsidRDefault="00623134" w:rsidP="00E04B62">
      <w:pPr>
        <w:spacing w:line="360" w:lineRule="auto"/>
        <w:rPr>
          <w:rFonts w:asciiTheme="majorBidi" w:hAnsiTheme="majorBidi" w:cstheme="majorBidi"/>
          <w:sz w:val="24"/>
          <w:szCs w:val="24"/>
        </w:rPr>
      </w:pPr>
    </w:p>
    <w:p w:rsidR="002453B0" w:rsidRPr="00226573" w:rsidRDefault="002453B0" w:rsidP="002453B0">
      <w:pPr>
        <w:spacing w:line="360" w:lineRule="auto"/>
        <w:rPr>
          <w:rFonts w:ascii="TimesNewRoman,Bold" w:hAnsi="TimesNewRoman,Bold" w:cs="TimesNewRoman,Bold"/>
          <w:b/>
          <w:bCs/>
          <w:sz w:val="24"/>
          <w:szCs w:val="24"/>
        </w:rPr>
      </w:pPr>
    </w:p>
    <w:p w:rsidR="0082501F" w:rsidRDefault="0082501F" w:rsidP="007B2B9C">
      <w:pPr>
        <w:spacing w:line="360" w:lineRule="auto"/>
        <w:jc w:val="center"/>
        <w:rPr>
          <w:rFonts w:ascii="TimesNewRoman,Bold" w:hAnsi="TimesNewRoman,Bold" w:cs="TimesNewRoman,Bold"/>
          <w:b/>
          <w:bCs/>
          <w:sz w:val="28"/>
          <w:szCs w:val="28"/>
        </w:rPr>
      </w:pPr>
    </w:p>
    <w:p w:rsidR="00A0633E" w:rsidRDefault="00A0633E" w:rsidP="00AE55E2">
      <w:pPr>
        <w:spacing w:line="360" w:lineRule="auto"/>
        <w:jc w:val="center"/>
        <w:rPr>
          <w:rFonts w:ascii="TimesNewRoman,Bold" w:hAnsi="TimesNewRoman,Bold" w:cs="TimesNewRoman,Bold"/>
          <w:b/>
          <w:bCs/>
          <w:sz w:val="28"/>
          <w:szCs w:val="28"/>
        </w:rPr>
      </w:pPr>
    </w:p>
    <w:p w:rsidR="00753D77" w:rsidRDefault="001E7E33" w:rsidP="00AE55E2">
      <w:pPr>
        <w:spacing w:line="360" w:lineRule="auto"/>
        <w:jc w:val="center"/>
        <w:rPr>
          <w:rFonts w:ascii="TimesNewRoman,Bold" w:hAnsi="TimesNewRoman,Bold" w:cs="TimesNewRoman,Bold"/>
          <w:b/>
          <w:bCs/>
          <w:sz w:val="28"/>
          <w:szCs w:val="28"/>
        </w:rPr>
      </w:pPr>
      <w:r>
        <w:rPr>
          <w:rFonts w:ascii="TimesNewRoman,Bold" w:hAnsi="TimesNewRoman,Bold" w:cs="TimesNewRoman,Bold"/>
          <w:b/>
          <w:bCs/>
          <w:sz w:val="28"/>
          <w:szCs w:val="28"/>
        </w:rPr>
        <w:lastRenderedPageBreak/>
        <w:t>List of T</w:t>
      </w:r>
      <w:r w:rsidR="00126113">
        <w:rPr>
          <w:rFonts w:ascii="TimesNewRoman,Bold" w:hAnsi="TimesNewRoman,Bold" w:cs="TimesNewRoman,Bold"/>
          <w:b/>
          <w:bCs/>
          <w:sz w:val="28"/>
          <w:szCs w:val="28"/>
        </w:rPr>
        <w:t>ables</w:t>
      </w:r>
    </w:p>
    <w:tbl>
      <w:tblPr>
        <w:tblStyle w:val="TableGrid"/>
        <w:bidiVisual/>
        <w:tblW w:w="0" w:type="auto"/>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29"/>
        <w:gridCol w:w="8613"/>
      </w:tblGrid>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2</w:t>
            </w:r>
          </w:p>
        </w:tc>
        <w:tc>
          <w:tcPr>
            <w:tcW w:w="8613" w:type="dxa"/>
          </w:tcPr>
          <w:p w:rsidR="001E0825" w:rsidRDefault="001E0825" w:rsidP="0090781A">
            <w:pPr>
              <w:rPr>
                <w:rFonts w:asciiTheme="majorBidi" w:hAnsiTheme="majorBidi" w:cstheme="majorBidi"/>
                <w:sz w:val="24"/>
                <w:szCs w:val="24"/>
              </w:rPr>
            </w:pPr>
            <w:r w:rsidRPr="00C1411A">
              <w:rPr>
                <w:rFonts w:asciiTheme="majorBidi" w:hAnsiTheme="majorBidi" w:cstheme="majorBidi"/>
                <w:b/>
                <w:bCs/>
                <w:sz w:val="24"/>
                <w:szCs w:val="24"/>
              </w:rPr>
              <w:t>Table2.1</w:t>
            </w:r>
            <w:r>
              <w:rPr>
                <w:rFonts w:asciiTheme="majorBidi" w:hAnsiTheme="majorBidi" w:cstheme="majorBidi"/>
                <w:b/>
                <w:bCs/>
                <w:sz w:val="24"/>
                <w:szCs w:val="24"/>
              </w:rPr>
              <w:t xml:space="preserve">              </w:t>
            </w:r>
            <w:r>
              <w:rPr>
                <w:rFonts w:asciiTheme="majorBidi" w:hAnsiTheme="majorBidi" w:cstheme="majorBidi"/>
                <w:sz w:val="24"/>
                <w:szCs w:val="24"/>
              </w:rPr>
              <w:t>Different t</w:t>
            </w:r>
            <w:r w:rsidRPr="00C1411A">
              <w:rPr>
                <w:rFonts w:asciiTheme="majorBidi" w:hAnsiTheme="majorBidi" w:cstheme="majorBidi"/>
                <w:sz w:val="24"/>
                <w:szCs w:val="24"/>
              </w:rPr>
              <w:t>ypes o</w:t>
            </w:r>
            <w:r>
              <w:rPr>
                <w:rFonts w:asciiTheme="majorBidi" w:hAnsiTheme="majorBidi" w:cstheme="majorBidi"/>
                <w:sz w:val="24"/>
                <w:szCs w:val="24"/>
              </w:rPr>
              <w:t>f banking risks</w:t>
            </w:r>
          </w:p>
          <w:p w:rsidR="001E0825" w:rsidRPr="002671D0" w:rsidRDefault="001E0825" w:rsidP="0090781A">
            <w:pPr>
              <w:rPr>
                <w:rFonts w:asciiTheme="majorBidi" w:hAnsiTheme="majorBidi" w:cstheme="majorBidi"/>
                <w:sz w:val="24"/>
                <w:szCs w:val="24"/>
                <w:rtl/>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2</w:t>
            </w:r>
            <w:r>
              <w:rPr>
                <w:rFonts w:asciiTheme="majorBidi" w:hAnsiTheme="majorBidi" w:cstheme="majorBidi"/>
                <w:b/>
                <w:bCs/>
                <w:sz w:val="24"/>
                <w:szCs w:val="24"/>
                <w:lang w:bidi="ar-JO"/>
              </w:rPr>
              <w:t>9</w:t>
            </w:r>
          </w:p>
        </w:tc>
        <w:tc>
          <w:tcPr>
            <w:tcW w:w="8613" w:type="dxa"/>
          </w:tcPr>
          <w:p w:rsidR="001E0825" w:rsidRPr="006065A0" w:rsidRDefault="001E0825" w:rsidP="0090781A">
            <w:pPr>
              <w:spacing w:after="240"/>
              <w:rPr>
                <w:rFonts w:asciiTheme="majorBidi" w:hAnsiTheme="majorBidi" w:cstheme="majorBidi"/>
                <w:sz w:val="24"/>
                <w:szCs w:val="24"/>
                <w:rtl/>
                <w:lang w:bidi="ar-JO"/>
              </w:rPr>
            </w:pPr>
            <w:r w:rsidRPr="00C1411A">
              <w:rPr>
                <w:rFonts w:asciiTheme="majorBidi" w:hAnsiTheme="majorBidi" w:cstheme="majorBidi"/>
                <w:b/>
                <w:sz w:val="24"/>
                <w:szCs w:val="24"/>
              </w:rPr>
              <w:t>Table 2.2</w:t>
            </w:r>
            <w:r>
              <w:rPr>
                <w:rFonts w:asciiTheme="majorBidi" w:hAnsiTheme="majorBidi" w:cstheme="majorBidi"/>
                <w:sz w:val="24"/>
                <w:szCs w:val="24"/>
              </w:rPr>
              <w:t xml:space="preserve">            </w:t>
            </w:r>
            <w:r w:rsidRPr="00C1411A">
              <w:rPr>
                <w:rFonts w:asciiTheme="majorBidi" w:hAnsiTheme="majorBidi" w:cstheme="majorBidi"/>
                <w:sz w:val="24"/>
                <w:szCs w:val="24"/>
              </w:rPr>
              <w:t xml:space="preserve"> Rational f</w:t>
            </w:r>
            <w:r>
              <w:rPr>
                <w:rFonts w:asciiTheme="majorBidi" w:hAnsiTheme="majorBidi" w:cstheme="majorBidi"/>
                <w:sz w:val="24"/>
                <w:szCs w:val="24"/>
              </w:rPr>
              <w:t>or a new accord</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30</w:t>
            </w:r>
          </w:p>
        </w:tc>
        <w:tc>
          <w:tcPr>
            <w:tcW w:w="8613" w:type="dxa"/>
          </w:tcPr>
          <w:p w:rsidR="001E0825" w:rsidRPr="00F15B2A" w:rsidRDefault="001E0825" w:rsidP="0090781A">
            <w:pPr>
              <w:spacing w:after="240"/>
              <w:rPr>
                <w:rFonts w:asciiTheme="majorBidi" w:hAnsiTheme="majorBidi" w:cstheme="majorBidi"/>
                <w:bCs/>
                <w:sz w:val="24"/>
                <w:szCs w:val="24"/>
                <w:rtl/>
                <w:lang w:bidi="ar-JO"/>
              </w:rPr>
            </w:pPr>
            <w:r w:rsidRPr="00C1411A">
              <w:rPr>
                <w:rFonts w:asciiTheme="majorBidi" w:hAnsiTheme="majorBidi" w:cstheme="majorBidi"/>
                <w:b/>
                <w:sz w:val="24"/>
                <w:szCs w:val="24"/>
              </w:rPr>
              <w:t xml:space="preserve">Table 2.3  </w:t>
            </w:r>
            <w:r>
              <w:rPr>
                <w:rFonts w:asciiTheme="majorBidi" w:hAnsiTheme="majorBidi" w:cstheme="majorBidi"/>
                <w:b/>
                <w:sz w:val="24"/>
                <w:szCs w:val="24"/>
              </w:rPr>
              <w:t xml:space="preserve">        </w:t>
            </w:r>
            <w:r w:rsidRPr="00C1411A">
              <w:rPr>
                <w:rFonts w:asciiTheme="majorBidi" w:hAnsiTheme="majorBidi" w:cstheme="majorBidi"/>
                <w:b/>
                <w:sz w:val="24"/>
                <w:szCs w:val="24"/>
              </w:rPr>
              <w:t xml:space="preserve">   </w:t>
            </w:r>
            <w:r>
              <w:rPr>
                <w:rFonts w:asciiTheme="majorBidi" w:hAnsiTheme="majorBidi" w:cstheme="majorBidi"/>
                <w:bCs/>
                <w:sz w:val="24"/>
                <w:szCs w:val="24"/>
              </w:rPr>
              <w:t>Approaches to measuring value at risk in the new Basel Accord</w:t>
            </w:r>
            <w:r>
              <w:rPr>
                <w:rFonts w:asciiTheme="majorBidi" w:hAnsiTheme="majorBidi" w:cstheme="majorBidi" w:hint="cs"/>
                <w:bCs/>
                <w:sz w:val="24"/>
                <w:szCs w:val="24"/>
                <w:rtl/>
              </w:rPr>
              <w:t xml:space="preserve">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30</w:t>
            </w:r>
          </w:p>
        </w:tc>
        <w:tc>
          <w:tcPr>
            <w:tcW w:w="8613" w:type="dxa"/>
          </w:tcPr>
          <w:p w:rsidR="001E0825" w:rsidRPr="002671D0" w:rsidRDefault="001E0825" w:rsidP="0090781A">
            <w:pPr>
              <w:spacing w:after="240"/>
              <w:rPr>
                <w:rFonts w:asciiTheme="majorBidi" w:hAnsiTheme="majorBidi" w:cstheme="majorBidi"/>
                <w:sz w:val="24"/>
                <w:szCs w:val="24"/>
                <w:rtl/>
              </w:rPr>
            </w:pPr>
            <w:r w:rsidRPr="00C1411A">
              <w:rPr>
                <w:rFonts w:asciiTheme="majorBidi" w:hAnsiTheme="majorBidi" w:cstheme="majorBidi"/>
                <w:b/>
                <w:bCs/>
                <w:sz w:val="24"/>
                <w:szCs w:val="24"/>
              </w:rPr>
              <w:t>Table 2. 4</w:t>
            </w:r>
            <w:r w:rsidRPr="00C1411A">
              <w:rPr>
                <w:rFonts w:asciiTheme="majorBidi" w:hAnsiTheme="majorBidi" w:cstheme="majorBidi"/>
                <w:sz w:val="24"/>
                <w:szCs w:val="24"/>
              </w:rPr>
              <w:t xml:space="preserve"> </w:t>
            </w:r>
            <w:r>
              <w:rPr>
                <w:rFonts w:asciiTheme="majorBidi" w:hAnsiTheme="majorBidi" w:cstheme="majorBidi"/>
                <w:sz w:val="24"/>
                <w:szCs w:val="24"/>
              </w:rPr>
              <w:t xml:space="preserve">           T</w:t>
            </w:r>
            <w:r w:rsidRPr="00C1411A">
              <w:rPr>
                <w:rFonts w:asciiTheme="majorBidi" w:hAnsiTheme="majorBidi" w:cstheme="majorBidi"/>
                <w:sz w:val="24"/>
                <w:szCs w:val="24"/>
              </w:rPr>
              <w:t>hree credit ri</w:t>
            </w:r>
            <w:r>
              <w:rPr>
                <w:rFonts w:asciiTheme="majorBidi" w:hAnsiTheme="majorBidi" w:cstheme="majorBidi"/>
                <w:sz w:val="24"/>
                <w:szCs w:val="24"/>
              </w:rPr>
              <w:t>sk approaches</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5</w:t>
            </w:r>
            <w:r>
              <w:rPr>
                <w:rFonts w:asciiTheme="majorBidi" w:hAnsiTheme="majorBidi" w:cstheme="majorBidi"/>
                <w:b/>
                <w:bCs/>
                <w:sz w:val="24"/>
                <w:szCs w:val="24"/>
                <w:lang w:bidi="ar-JO"/>
              </w:rPr>
              <w:t>5</w:t>
            </w:r>
          </w:p>
        </w:tc>
        <w:tc>
          <w:tcPr>
            <w:tcW w:w="8613" w:type="dxa"/>
          </w:tcPr>
          <w:p w:rsidR="001E0825" w:rsidRPr="00F9487A" w:rsidRDefault="001E0825" w:rsidP="0090781A">
            <w:pPr>
              <w:spacing w:line="360" w:lineRule="auto"/>
              <w:rPr>
                <w:rFonts w:asciiTheme="majorBidi" w:hAnsiTheme="majorBidi" w:cstheme="majorBidi"/>
                <w:sz w:val="24"/>
                <w:szCs w:val="24"/>
                <w:rtl/>
                <w:lang w:bidi="ar-JO"/>
              </w:rPr>
            </w:pPr>
            <w:r w:rsidRPr="00C1411A">
              <w:rPr>
                <w:rFonts w:asciiTheme="majorBidi" w:hAnsiTheme="majorBidi" w:cstheme="majorBidi"/>
                <w:b/>
                <w:bCs/>
                <w:sz w:val="24"/>
                <w:szCs w:val="24"/>
              </w:rPr>
              <w:t>Table 2.5</w:t>
            </w:r>
            <w:r w:rsidRPr="00C1411A">
              <w:rPr>
                <w:rFonts w:asciiTheme="majorBidi" w:hAnsiTheme="majorBidi" w:cstheme="majorBidi"/>
                <w:sz w:val="24"/>
                <w:szCs w:val="24"/>
              </w:rPr>
              <w:t xml:space="preserve"> </w:t>
            </w:r>
            <w:r>
              <w:rPr>
                <w:rFonts w:asciiTheme="majorBidi" w:hAnsiTheme="majorBidi" w:cstheme="majorBidi"/>
                <w:sz w:val="24"/>
                <w:szCs w:val="24"/>
              </w:rPr>
              <w:t xml:space="preserve">           </w:t>
            </w:r>
            <w:r w:rsidRPr="00C1411A">
              <w:rPr>
                <w:rFonts w:asciiTheme="majorBidi" w:hAnsiTheme="majorBidi" w:cstheme="majorBidi"/>
                <w:sz w:val="24"/>
                <w:szCs w:val="24"/>
              </w:rPr>
              <w:t>Comparison of long-term rating scales b</w:t>
            </w:r>
            <w:r>
              <w:rPr>
                <w:rFonts w:asciiTheme="majorBidi" w:hAnsiTheme="majorBidi" w:cstheme="majorBidi"/>
                <w:sz w:val="24"/>
                <w:szCs w:val="24"/>
              </w:rPr>
              <w:t>etween credit rating agencies.</w:t>
            </w:r>
            <w:r>
              <w:rPr>
                <w:rFonts w:asciiTheme="majorBidi" w:hAnsiTheme="majorBidi" w:cstheme="majorBidi" w:hint="cs"/>
                <w:sz w:val="24"/>
                <w:szCs w:val="24"/>
                <w:rtl/>
                <w:lang w:bidi="ar-JO"/>
              </w:rPr>
              <w:t xml:space="preserve"> </w:t>
            </w:r>
          </w:p>
          <w:p w:rsidR="001E0825" w:rsidRPr="00F9487A" w:rsidRDefault="001E0825" w:rsidP="0090781A">
            <w:pPr>
              <w:rPr>
                <w:rtl/>
                <w:lang w:bidi="ar-JO"/>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59</w:t>
            </w:r>
          </w:p>
        </w:tc>
        <w:tc>
          <w:tcPr>
            <w:tcW w:w="8613" w:type="dxa"/>
          </w:tcPr>
          <w:p w:rsidR="001E0825" w:rsidRPr="00C1411A" w:rsidRDefault="001E0825" w:rsidP="0090781A">
            <w:pPr>
              <w:autoSpaceDE w:val="0"/>
              <w:autoSpaceDN w:val="0"/>
              <w:adjustRightInd w:val="0"/>
              <w:spacing w:line="360" w:lineRule="auto"/>
              <w:rPr>
                <w:rFonts w:asciiTheme="majorBidi" w:hAnsiTheme="majorBidi" w:cstheme="majorBidi"/>
                <w:color w:val="000000"/>
                <w:sz w:val="24"/>
                <w:szCs w:val="24"/>
                <w:rtl/>
                <w:lang w:bidi="ar-JO"/>
              </w:rPr>
            </w:pPr>
            <w:r w:rsidRPr="00C1411A">
              <w:rPr>
                <w:rFonts w:asciiTheme="majorBidi" w:hAnsiTheme="majorBidi" w:cstheme="majorBidi"/>
                <w:b/>
                <w:color w:val="000000"/>
                <w:sz w:val="24"/>
                <w:szCs w:val="24"/>
              </w:rPr>
              <w:t>Table 2.6</w:t>
            </w:r>
            <w:r>
              <w:rPr>
                <w:rFonts w:asciiTheme="majorBidi" w:hAnsiTheme="majorBidi" w:cstheme="majorBidi"/>
                <w:b/>
                <w:color w:val="000000"/>
                <w:sz w:val="24"/>
                <w:szCs w:val="24"/>
              </w:rPr>
              <w:t xml:space="preserve">             </w:t>
            </w:r>
            <w:r>
              <w:rPr>
                <w:rFonts w:asciiTheme="majorBidi" w:hAnsiTheme="majorBidi" w:cstheme="majorBidi"/>
                <w:color w:val="000000"/>
                <w:sz w:val="24"/>
                <w:szCs w:val="24"/>
              </w:rPr>
              <w:t>Input p</w:t>
            </w:r>
            <w:r w:rsidRPr="00C1411A">
              <w:rPr>
                <w:rFonts w:asciiTheme="majorBidi" w:hAnsiTheme="majorBidi" w:cstheme="majorBidi"/>
                <w:color w:val="000000"/>
                <w:sz w:val="24"/>
                <w:szCs w:val="24"/>
              </w:rPr>
              <w:t>arameters for IRB Approaches</w:t>
            </w:r>
            <w:r>
              <w:rPr>
                <w:rFonts w:asciiTheme="majorBidi" w:hAnsiTheme="majorBidi" w:cstheme="majorBidi"/>
                <w:color w:val="000000"/>
                <w:sz w:val="24"/>
                <w:szCs w:val="24"/>
              </w:rPr>
              <w:t xml:space="preserve"> to credit risk measurement</w:t>
            </w:r>
          </w:p>
          <w:p w:rsidR="001E0825" w:rsidRPr="00F9487A" w:rsidRDefault="001E0825" w:rsidP="0090781A">
            <w:pPr>
              <w:rPr>
                <w:rtl/>
                <w:lang w:bidi="ar-JO"/>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8</w:t>
            </w:r>
            <w:r>
              <w:rPr>
                <w:rFonts w:asciiTheme="majorBidi" w:hAnsiTheme="majorBidi" w:cstheme="majorBidi"/>
                <w:b/>
                <w:bCs/>
                <w:sz w:val="24"/>
                <w:szCs w:val="24"/>
                <w:lang w:bidi="ar-JO"/>
              </w:rPr>
              <w:t>3</w:t>
            </w:r>
          </w:p>
        </w:tc>
        <w:tc>
          <w:tcPr>
            <w:tcW w:w="8613" w:type="dxa"/>
          </w:tcPr>
          <w:p w:rsidR="001E0825" w:rsidRPr="00C1411A" w:rsidRDefault="001E0825" w:rsidP="0090781A">
            <w:pPr>
              <w:pStyle w:val="Default"/>
              <w:spacing w:line="360" w:lineRule="auto"/>
              <w:rPr>
                <w:rFonts w:asciiTheme="majorBidi" w:hAnsiTheme="majorBidi" w:cstheme="majorBidi"/>
              </w:rPr>
            </w:pPr>
            <w:r w:rsidRPr="00C1411A">
              <w:rPr>
                <w:rFonts w:asciiTheme="majorBidi" w:hAnsiTheme="majorBidi" w:cstheme="majorBidi"/>
                <w:b/>
                <w:bCs/>
              </w:rPr>
              <w:t>Table 2.7</w:t>
            </w:r>
            <w:r>
              <w:rPr>
                <w:rFonts w:asciiTheme="majorBidi" w:hAnsiTheme="majorBidi" w:cstheme="majorBidi"/>
              </w:rPr>
              <w:t xml:space="preserve">            </w:t>
            </w:r>
            <w:r w:rsidRPr="00C1411A">
              <w:rPr>
                <w:rFonts w:asciiTheme="majorBidi" w:hAnsiTheme="majorBidi" w:cstheme="majorBidi"/>
              </w:rPr>
              <w:t xml:space="preserve"> Credit facilities in the Palestinian bank</w:t>
            </w:r>
            <w:r>
              <w:rPr>
                <w:rFonts w:asciiTheme="majorBidi" w:hAnsiTheme="majorBidi" w:cstheme="majorBidi"/>
              </w:rPr>
              <w:t>ing system during 2005-2011</w:t>
            </w:r>
          </w:p>
          <w:p w:rsidR="001E0825" w:rsidRPr="00F9487A" w:rsidRDefault="001E0825" w:rsidP="0090781A">
            <w:pPr>
              <w:rPr>
                <w:rtl/>
                <w:lang w:bidi="ar-JO"/>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8</w:t>
            </w:r>
            <w:r>
              <w:rPr>
                <w:rFonts w:asciiTheme="majorBidi" w:hAnsiTheme="majorBidi" w:cstheme="majorBidi"/>
                <w:b/>
                <w:bCs/>
                <w:sz w:val="24"/>
                <w:szCs w:val="24"/>
                <w:lang w:bidi="ar-JO"/>
              </w:rPr>
              <w:t>4</w:t>
            </w:r>
          </w:p>
        </w:tc>
        <w:tc>
          <w:tcPr>
            <w:tcW w:w="8613" w:type="dxa"/>
          </w:tcPr>
          <w:p w:rsidR="001E0825" w:rsidRPr="00C1411A" w:rsidRDefault="001E0825" w:rsidP="0090781A">
            <w:pPr>
              <w:pStyle w:val="Default"/>
              <w:spacing w:line="360" w:lineRule="auto"/>
              <w:rPr>
                <w:rFonts w:asciiTheme="majorBidi" w:hAnsiTheme="majorBidi" w:cstheme="majorBidi"/>
                <w:color w:val="000000" w:themeColor="text1"/>
              </w:rPr>
            </w:pPr>
            <w:r w:rsidRPr="00C1411A">
              <w:rPr>
                <w:rFonts w:asciiTheme="majorBidi" w:hAnsiTheme="majorBidi" w:cstheme="majorBidi"/>
                <w:b/>
                <w:bCs/>
                <w:color w:val="auto"/>
              </w:rPr>
              <w:t>Table 2.8</w:t>
            </w:r>
            <w:r>
              <w:rPr>
                <w:rFonts w:asciiTheme="majorBidi" w:hAnsiTheme="majorBidi" w:cstheme="majorBidi"/>
                <w:b/>
                <w:bCs/>
                <w:color w:val="auto"/>
              </w:rPr>
              <w:t xml:space="preserve">             </w:t>
            </w:r>
            <w:r w:rsidRPr="00C1411A">
              <w:rPr>
                <w:rFonts w:asciiTheme="majorBidi" w:hAnsiTheme="majorBidi" w:cstheme="majorBidi"/>
                <w:color w:val="000000" w:themeColor="text1"/>
              </w:rPr>
              <w:t xml:space="preserve">Percentage of credit facility out of customer deposits during </w:t>
            </w:r>
          </w:p>
          <w:p w:rsidR="001E0825" w:rsidRPr="00E874BC" w:rsidRDefault="001E0825" w:rsidP="0090781A">
            <w:pPr>
              <w:pStyle w:val="Default"/>
              <w:spacing w:line="360" w:lineRule="auto"/>
              <w:rPr>
                <w:rFonts w:asciiTheme="majorBidi" w:hAnsiTheme="majorBidi" w:cstheme="majorBidi"/>
                <w:color w:val="000000" w:themeColor="text1"/>
                <w:rtl/>
                <w:lang w:bidi="ar-JO"/>
              </w:rPr>
            </w:pPr>
            <w:r>
              <w:rPr>
                <w:rFonts w:asciiTheme="majorBidi" w:hAnsiTheme="majorBidi" w:cstheme="majorBidi"/>
                <w:color w:val="000000" w:themeColor="text1"/>
              </w:rPr>
              <w:t xml:space="preserve">                             </w:t>
            </w:r>
            <w:r w:rsidRPr="00C1411A">
              <w:rPr>
                <w:rFonts w:asciiTheme="majorBidi" w:hAnsiTheme="majorBidi" w:cstheme="majorBidi"/>
                <w:color w:val="000000" w:themeColor="text1"/>
              </w:rPr>
              <w:t>the period of</w:t>
            </w:r>
            <w:r>
              <w:rPr>
                <w:rFonts w:asciiTheme="majorBidi" w:hAnsiTheme="majorBidi" w:cstheme="majorBidi"/>
                <w:color w:val="000000" w:themeColor="text1"/>
              </w:rPr>
              <w:t xml:space="preserve"> </w:t>
            </w:r>
            <w:r w:rsidRPr="00C1411A">
              <w:rPr>
                <w:rFonts w:asciiTheme="majorBidi" w:hAnsiTheme="majorBidi" w:cstheme="majorBidi"/>
                <w:color w:val="000000" w:themeColor="text1"/>
              </w:rPr>
              <w:t>2005-2</w:t>
            </w:r>
            <w:r>
              <w:rPr>
                <w:rFonts w:asciiTheme="majorBidi" w:hAnsiTheme="majorBidi" w:cstheme="majorBidi"/>
                <w:color w:val="000000" w:themeColor="text1"/>
              </w:rPr>
              <w:t>011</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87</w:t>
            </w:r>
          </w:p>
        </w:tc>
        <w:tc>
          <w:tcPr>
            <w:tcW w:w="8613" w:type="dxa"/>
          </w:tcPr>
          <w:p w:rsidR="001E0825" w:rsidRDefault="001E0825" w:rsidP="0090781A">
            <w:pPr>
              <w:pStyle w:val="Default"/>
              <w:spacing w:line="360" w:lineRule="auto"/>
              <w:rPr>
                <w:rFonts w:asciiTheme="majorBidi" w:hAnsiTheme="majorBidi" w:cstheme="majorBidi"/>
              </w:rPr>
            </w:pPr>
            <w:r w:rsidRPr="006D0CBB">
              <w:rPr>
                <w:rFonts w:asciiTheme="majorBidi" w:hAnsiTheme="majorBidi" w:cstheme="majorBidi"/>
                <w:b/>
                <w:bCs/>
              </w:rPr>
              <w:t>Table 2.9</w:t>
            </w:r>
            <w:r w:rsidRPr="00C1411A">
              <w:rPr>
                <w:rFonts w:asciiTheme="majorBidi" w:hAnsiTheme="majorBidi" w:cstheme="majorBidi"/>
              </w:rPr>
              <w:t xml:space="preserve">      </w:t>
            </w:r>
            <w:r>
              <w:rPr>
                <w:rFonts w:asciiTheme="majorBidi" w:hAnsiTheme="majorBidi" w:cstheme="majorBidi"/>
              </w:rPr>
              <w:t xml:space="preserve">       Relative distribution of </w:t>
            </w:r>
            <w:r w:rsidRPr="00C1411A">
              <w:rPr>
                <w:rFonts w:asciiTheme="majorBidi" w:hAnsiTheme="majorBidi" w:cstheme="majorBidi"/>
              </w:rPr>
              <w:t>credit (%) granted to the public and private</w:t>
            </w:r>
          </w:p>
          <w:p w:rsidR="001E0825" w:rsidRPr="00E874BC" w:rsidRDefault="001E0825" w:rsidP="0090781A">
            <w:pPr>
              <w:pStyle w:val="Default"/>
              <w:spacing w:line="360" w:lineRule="auto"/>
              <w:rPr>
                <w:rFonts w:asciiTheme="majorBidi" w:hAnsiTheme="majorBidi" w:cstheme="majorBidi"/>
                <w:rtl/>
              </w:rPr>
            </w:pPr>
            <w:r>
              <w:rPr>
                <w:rFonts w:asciiTheme="majorBidi" w:hAnsiTheme="majorBidi" w:cstheme="majorBidi"/>
              </w:rPr>
              <w:t xml:space="preserve">                             </w:t>
            </w:r>
            <w:r w:rsidRPr="00C1411A">
              <w:rPr>
                <w:rFonts w:asciiTheme="majorBidi" w:hAnsiTheme="majorBidi" w:cstheme="majorBidi"/>
              </w:rPr>
              <w:t>sectors according</w:t>
            </w:r>
            <w:r>
              <w:rPr>
                <w:rFonts w:asciiTheme="majorBidi" w:hAnsiTheme="majorBidi" w:cstheme="majorBidi"/>
              </w:rPr>
              <w:t xml:space="preserve"> to the nationality of the bank from </w:t>
            </w:r>
            <w:r w:rsidRPr="00C1411A">
              <w:rPr>
                <w:rFonts w:asciiTheme="majorBidi" w:hAnsiTheme="majorBidi" w:cstheme="majorBidi"/>
              </w:rPr>
              <w:t>200</w:t>
            </w:r>
            <w:r>
              <w:rPr>
                <w:rFonts w:asciiTheme="majorBidi" w:hAnsiTheme="majorBidi" w:cstheme="majorBidi"/>
              </w:rPr>
              <w:t>8-2011</w:t>
            </w:r>
            <w:r>
              <w:rPr>
                <w:rFonts w:hint="cs"/>
                <w:rtl/>
                <w:lang w:bidi="ar-JO"/>
              </w:rPr>
              <w:t xml:space="preserve">      </w:t>
            </w:r>
            <w:r>
              <w:rPr>
                <w:rFonts w:asciiTheme="majorBidi" w:hAnsiTheme="majorBidi" w:cstheme="majorBidi"/>
              </w:rPr>
              <w:t xml:space="preserve">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89</w:t>
            </w:r>
          </w:p>
        </w:tc>
        <w:tc>
          <w:tcPr>
            <w:tcW w:w="8613" w:type="dxa"/>
          </w:tcPr>
          <w:p w:rsidR="001E0825" w:rsidRPr="00C1411A" w:rsidRDefault="001E0825" w:rsidP="0090781A">
            <w:pPr>
              <w:pStyle w:val="Default"/>
              <w:spacing w:line="360" w:lineRule="auto"/>
              <w:rPr>
                <w:rFonts w:asciiTheme="majorBidi" w:hAnsiTheme="majorBidi" w:cstheme="majorBidi"/>
              </w:rPr>
            </w:pPr>
            <w:r w:rsidRPr="006D0CBB">
              <w:rPr>
                <w:rFonts w:asciiTheme="majorBidi" w:hAnsiTheme="majorBidi" w:cstheme="majorBidi"/>
                <w:b/>
                <w:bCs/>
                <w:color w:val="000000" w:themeColor="text1"/>
              </w:rPr>
              <w:t>Table 2.</w:t>
            </w:r>
            <w:r>
              <w:rPr>
                <w:rFonts w:asciiTheme="majorBidi" w:hAnsiTheme="majorBidi" w:cstheme="majorBidi"/>
                <w:b/>
                <w:bCs/>
                <w:color w:val="000000" w:themeColor="text1"/>
              </w:rPr>
              <w:t>10</w:t>
            </w:r>
            <w:r w:rsidRPr="00C1411A">
              <w:rPr>
                <w:rFonts w:asciiTheme="majorBidi" w:hAnsiTheme="majorBidi" w:cstheme="majorBidi"/>
              </w:rPr>
              <w:t xml:space="preserve">      </w:t>
            </w:r>
            <w:r>
              <w:rPr>
                <w:rFonts w:asciiTheme="majorBidi" w:hAnsiTheme="majorBidi" w:cstheme="majorBidi"/>
              </w:rPr>
              <w:t xml:space="preserve">    </w:t>
            </w:r>
            <w:r w:rsidRPr="00C1411A">
              <w:rPr>
                <w:rFonts w:asciiTheme="majorBidi" w:hAnsiTheme="majorBidi" w:cstheme="majorBidi"/>
              </w:rPr>
              <w:t xml:space="preserve">  Facilities granted to people, companies and credit cards </w:t>
            </w:r>
          </w:p>
          <w:p w:rsidR="001E0825" w:rsidRPr="00F219D0" w:rsidRDefault="001E0825" w:rsidP="0090781A">
            <w:pPr>
              <w:pStyle w:val="Default"/>
              <w:spacing w:line="360" w:lineRule="auto"/>
              <w:rPr>
                <w:rFonts w:asciiTheme="majorBidi" w:hAnsiTheme="majorBidi" w:cstheme="majorBidi"/>
                <w:color w:val="000000" w:themeColor="text1"/>
                <w:rtl/>
              </w:rPr>
            </w:pPr>
            <w:r>
              <w:rPr>
                <w:rFonts w:asciiTheme="majorBidi" w:hAnsiTheme="majorBidi" w:cstheme="majorBidi"/>
              </w:rPr>
              <w:t xml:space="preserve">                              </w:t>
            </w:r>
            <w:r w:rsidRPr="00C1411A">
              <w:rPr>
                <w:rFonts w:asciiTheme="majorBidi" w:hAnsiTheme="majorBidi" w:cstheme="majorBidi"/>
              </w:rPr>
              <w:t>according to the nationality of the bank from 2008- 2012</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100</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3.</w:t>
            </w:r>
            <w:r>
              <w:rPr>
                <w:rFonts w:asciiTheme="majorBidi" w:hAnsiTheme="majorBidi" w:cstheme="majorBidi"/>
                <w:b/>
                <w:bCs/>
                <w:sz w:val="24"/>
                <w:szCs w:val="24"/>
              </w:rPr>
              <w:t>11</w:t>
            </w:r>
            <w:r>
              <w:rPr>
                <w:rFonts w:asciiTheme="majorBidi" w:hAnsiTheme="majorBidi" w:cstheme="majorBidi"/>
                <w:sz w:val="24"/>
                <w:szCs w:val="24"/>
              </w:rPr>
              <w:t xml:space="preserve">            </w:t>
            </w:r>
            <w:r w:rsidRPr="00C1411A">
              <w:rPr>
                <w:rFonts w:asciiTheme="majorBidi" w:hAnsiTheme="majorBidi" w:cstheme="majorBidi"/>
                <w:sz w:val="24"/>
                <w:szCs w:val="24"/>
              </w:rPr>
              <w:t xml:space="preserve">Study sample of Palestinian commercial banks, </w:t>
            </w:r>
            <w:r>
              <w:rPr>
                <w:rFonts w:asciiTheme="majorBidi" w:hAnsiTheme="majorBidi" w:cstheme="majorBidi"/>
                <w:sz w:val="24"/>
                <w:szCs w:val="24"/>
              </w:rPr>
              <w:t>2011</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10</w:t>
            </w:r>
            <w:r>
              <w:rPr>
                <w:rFonts w:asciiTheme="majorBidi" w:hAnsiTheme="majorBidi" w:cstheme="majorBidi"/>
                <w:b/>
                <w:bCs/>
                <w:sz w:val="24"/>
                <w:szCs w:val="24"/>
                <w:lang w:bidi="ar-JO"/>
              </w:rPr>
              <w:t>4</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3.1</w:t>
            </w:r>
            <w:r>
              <w:rPr>
                <w:rFonts w:asciiTheme="majorBidi" w:hAnsiTheme="majorBidi" w:cstheme="majorBidi"/>
                <w:b/>
                <w:bCs/>
                <w:sz w:val="24"/>
                <w:szCs w:val="24"/>
              </w:rPr>
              <w:t>2</w:t>
            </w:r>
            <w:r>
              <w:rPr>
                <w:rFonts w:asciiTheme="majorBidi" w:hAnsiTheme="majorBidi" w:cstheme="majorBidi"/>
                <w:sz w:val="24"/>
                <w:szCs w:val="24"/>
              </w:rPr>
              <w:t xml:space="preserve">           </w:t>
            </w:r>
            <w:r w:rsidRPr="00C1411A">
              <w:rPr>
                <w:rFonts w:asciiTheme="majorBidi" w:hAnsiTheme="majorBidi" w:cstheme="majorBidi"/>
                <w:sz w:val="24"/>
                <w:szCs w:val="24"/>
              </w:rPr>
              <w:t xml:space="preserve"> Summary of the independent va</w:t>
            </w:r>
            <w:r>
              <w:rPr>
                <w:rFonts w:asciiTheme="majorBidi" w:hAnsiTheme="majorBidi" w:cstheme="majorBidi"/>
                <w:sz w:val="24"/>
                <w:szCs w:val="24"/>
              </w:rPr>
              <w:t>riables employed in the study</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11</w:t>
            </w:r>
            <w:r>
              <w:rPr>
                <w:rFonts w:asciiTheme="majorBidi" w:hAnsiTheme="majorBidi" w:cstheme="majorBidi"/>
                <w:b/>
                <w:bCs/>
                <w:sz w:val="24"/>
                <w:szCs w:val="24"/>
                <w:lang w:bidi="ar-JO"/>
              </w:rPr>
              <w:t>1</w:t>
            </w:r>
          </w:p>
        </w:tc>
        <w:tc>
          <w:tcPr>
            <w:tcW w:w="8613" w:type="dxa"/>
          </w:tcPr>
          <w:p w:rsidR="001E0825" w:rsidRPr="00E874BC"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4.1</w:t>
            </w:r>
            <w:r>
              <w:rPr>
                <w:rFonts w:asciiTheme="majorBidi" w:hAnsiTheme="majorBidi" w:cstheme="majorBidi"/>
                <w:b/>
                <w:bCs/>
                <w:sz w:val="24"/>
                <w:szCs w:val="24"/>
              </w:rPr>
              <w:t>3</w:t>
            </w:r>
            <w:r>
              <w:rPr>
                <w:rFonts w:asciiTheme="majorBidi" w:hAnsiTheme="majorBidi" w:cstheme="majorBidi"/>
                <w:sz w:val="24"/>
                <w:szCs w:val="24"/>
              </w:rPr>
              <w:t xml:space="preserve">            A</w:t>
            </w:r>
            <w:r w:rsidRPr="00C1411A">
              <w:rPr>
                <w:rFonts w:asciiTheme="majorBidi" w:hAnsiTheme="majorBidi" w:cstheme="majorBidi"/>
                <w:sz w:val="24"/>
                <w:szCs w:val="24"/>
              </w:rPr>
              <w:t>n</w:t>
            </w:r>
            <w:r>
              <w:rPr>
                <w:rFonts w:asciiTheme="majorBidi" w:hAnsiTheme="majorBidi" w:cstheme="majorBidi"/>
                <w:sz w:val="24"/>
                <w:szCs w:val="24"/>
              </w:rPr>
              <w:t xml:space="preserve">nual values and mean scores </w:t>
            </w:r>
            <w:r w:rsidRPr="00C1411A">
              <w:rPr>
                <w:rFonts w:asciiTheme="majorBidi" w:hAnsiTheme="majorBidi" w:cstheme="majorBidi"/>
                <w:sz w:val="24"/>
                <w:szCs w:val="24"/>
              </w:rPr>
              <w:t>of profitability (ROA)</w:t>
            </w:r>
            <w:r>
              <w:rPr>
                <w:rFonts w:asciiTheme="majorBidi" w:hAnsiTheme="majorBidi" w:cstheme="majorBidi"/>
                <w:sz w:val="24"/>
                <w:szCs w:val="24"/>
              </w:rPr>
              <w:t>, 2005-2011</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11</w:t>
            </w:r>
            <w:r>
              <w:rPr>
                <w:rFonts w:asciiTheme="majorBidi" w:hAnsiTheme="majorBidi" w:cstheme="majorBidi"/>
                <w:b/>
                <w:bCs/>
                <w:sz w:val="24"/>
                <w:szCs w:val="24"/>
                <w:lang w:bidi="ar-JO"/>
              </w:rPr>
              <w:t>3</w:t>
            </w:r>
          </w:p>
        </w:tc>
        <w:tc>
          <w:tcPr>
            <w:tcW w:w="8613" w:type="dxa"/>
          </w:tcPr>
          <w:p w:rsidR="001E0825" w:rsidRDefault="001E0825" w:rsidP="0090781A">
            <w:pPr>
              <w:autoSpaceDE w:val="0"/>
              <w:autoSpaceDN w:val="0"/>
              <w:adjustRightInd w:val="0"/>
              <w:rPr>
                <w:rFonts w:asciiTheme="majorBidi" w:hAnsiTheme="majorBidi" w:cstheme="majorBidi"/>
                <w:color w:val="000000" w:themeColor="text1"/>
                <w:sz w:val="24"/>
                <w:szCs w:val="24"/>
              </w:rPr>
            </w:pPr>
            <w:r w:rsidRPr="006D0CBB">
              <w:rPr>
                <w:rFonts w:asciiTheme="majorBidi" w:hAnsiTheme="majorBidi" w:cstheme="majorBidi"/>
                <w:b/>
                <w:bCs/>
                <w:color w:val="000000" w:themeColor="text1"/>
                <w:sz w:val="24"/>
                <w:szCs w:val="24"/>
              </w:rPr>
              <w:t>Table 4.1</w:t>
            </w:r>
            <w:r>
              <w:rPr>
                <w:rFonts w:asciiTheme="majorBidi" w:hAnsiTheme="majorBidi" w:cstheme="majorBidi"/>
                <w:b/>
                <w:bCs/>
                <w:color w:val="000000" w:themeColor="text1"/>
                <w:sz w:val="24"/>
                <w:szCs w:val="24"/>
              </w:rPr>
              <w:t>4</w:t>
            </w:r>
            <w:r>
              <w:rPr>
                <w:rFonts w:asciiTheme="majorBidi" w:hAnsiTheme="majorBidi" w:cstheme="majorBidi"/>
                <w:color w:val="000000" w:themeColor="text1"/>
                <w:sz w:val="24"/>
                <w:szCs w:val="24"/>
              </w:rPr>
              <w:t xml:space="preserve">            Annual mean scores of p</w:t>
            </w:r>
            <w:r w:rsidRPr="006D0CBB">
              <w:rPr>
                <w:rFonts w:asciiTheme="majorBidi" w:hAnsiTheme="majorBidi" w:cstheme="majorBidi"/>
                <w:color w:val="000000" w:themeColor="text1"/>
                <w:sz w:val="24"/>
                <w:szCs w:val="24"/>
              </w:rPr>
              <w:t>rofitability (ROE)</w:t>
            </w:r>
            <w:r>
              <w:rPr>
                <w:rFonts w:asciiTheme="majorBidi" w:hAnsiTheme="majorBidi" w:cstheme="majorBidi"/>
                <w:color w:val="000000" w:themeColor="text1"/>
                <w:sz w:val="24"/>
                <w:szCs w:val="24"/>
              </w:rPr>
              <w:t xml:space="preserve"> from 2005 to 2011</w:t>
            </w:r>
          </w:p>
          <w:p w:rsidR="001E0825" w:rsidRPr="00F219D0" w:rsidRDefault="001E0825" w:rsidP="0090781A">
            <w:pPr>
              <w:autoSpaceDE w:val="0"/>
              <w:autoSpaceDN w:val="0"/>
              <w:adjustRightInd w:val="0"/>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 xml:space="preserve">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11</w:t>
            </w:r>
            <w:r>
              <w:rPr>
                <w:rFonts w:asciiTheme="majorBidi" w:hAnsiTheme="majorBidi" w:cstheme="majorBidi"/>
                <w:b/>
                <w:bCs/>
                <w:sz w:val="24"/>
                <w:szCs w:val="24"/>
                <w:lang w:bidi="ar-JO"/>
              </w:rPr>
              <w:t>4</w:t>
            </w:r>
          </w:p>
        </w:tc>
        <w:tc>
          <w:tcPr>
            <w:tcW w:w="8613" w:type="dxa"/>
          </w:tcPr>
          <w:p w:rsidR="001E0825" w:rsidRDefault="001E0825" w:rsidP="0090781A">
            <w:pP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Table 4.15           </w:t>
            </w:r>
            <w:r>
              <w:rPr>
                <w:rFonts w:asciiTheme="majorBidi" w:hAnsiTheme="majorBidi" w:cstheme="majorBidi"/>
                <w:color w:val="000000" w:themeColor="text1"/>
                <w:sz w:val="24"/>
                <w:szCs w:val="24"/>
              </w:rPr>
              <w:t xml:space="preserve"> A</w:t>
            </w:r>
            <w:r w:rsidRPr="006D0CBB">
              <w:rPr>
                <w:rFonts w:asciiTheme="majorBidi" w:hAnsiTheme="majorBidi" w:cstheme="majorBidi"/>
                <w:color w:val="000000" w:themeColor="text1"/>
                <w:sz w:val="24"/>
                <w:szCs w:val="24"/>
              </w:rPr>
              <w:t>nnual mean scores (%) of Nonperforming loans</w:t>
            </w:r>
            <w:r>
              <w:rPr>
                <w:rFonts w:asciiTheme="majorBidi" w:hAnsiTheme="majorBidi" w:cstheme="majorBidi"/>
                <w:color w:val="000000" w:themeColor="text1"/>
                <w:sz w:val="24"/>
                <w:szCs w:val="24"/>
              </w:rPr>
              <w:t xml:space="preserve"> from 2005-2011</w:t>
            </w:r>
            <w:r w:rsidRPr="006D0CBB">
              <w:rPr>
                <w:rFonts w:asciiTheme="majorBidi" w:hAnsiTheme="majorBidi" w:cstheme="majorBidi"/>
                <w:color w:val="000000" w:themeColor="text1"/>
                <w:sz w:val="24"/>
                <w:szCs w:val="24"/>
              </w:rPr>
              <w:t xml:space="preserve"> </w:t>
            </w:r>
          </w:p>
          <w:p w:rsidR="001E0825" w:rsidRPr="00F219D0" w:rsidRDefault="001E0825" w:rsidP="0090781A">
            <w:pP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 xml:space="preserve">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115</w:t>
            </w:r>
          </w:p>
        </w:tc>
        <w:tc>
          <w:tcPr>
            <w:tcW w:w="8613" w:type="dxa"/>
          </w:tcPr>
          <w:p w:rsidR="001E0825" w:rsidRDefault="001E0825" w:rsidP="0090781A">
            <w:pPr>
              <w:rPr>
                <w:rFonts w:asciiTheme="majorBidi" w:hAnsiTheme="majorBidi" w:cstheme="majorBidi"/>
                <w:color w:val="000000" w:themeColor="text1"/>
                <w:sz w:val="24"/>
                <w:szCs w:val="24"/>
              </w:rPr>
            </w:pPr>
            <w:r w:rsidRPr="006D0CBB">
              <w:rPr>
                <w:rFonts w:asciiTheme="majorBidi" w:hAnsiTheme="majorBidi" w:cstheme="majorBidi"/>
                <w:b/>
                <w:bCs/>
                <w:color w:val="000000" w:themeColor="text1"/>
                <w:sz w:val="24"/>
                <w:szCs w:val="24"/>
              </w:rPr>
              <w:t>Table 4.1</w:t>
            </w:r>
            <w:r>
              <w:rPr>
                <w:rFonts w:asciiTheme="majorBidi" w:hAnsiTheme="majorBidi" w:cstheme="majorBidi"/>
                <w:b/>
                <w:bCs/>
                <w:color w:val="000000" w:themeColor="text1"/>
                <w:sz w:val="24"/>
                <w:szCs w:val="24"/>
              </w:rPr>
              <w:t>6</w:t>
            </w:r>
            <w:r>
              <w:rPr>
                <w:rFonts w:asciiTheme="majorBidi" w:hAnsiTheme="majorBidi" w:cstheme="majorBidi"/>
                <w:color w:val="000000" w:themeColor="text1"/>
                <w:sz w:val="24"/>
                <w:szCs w:val="24"/>
              </w:rPr>
              <w:t xml:space="preserve">            A</w:t>
            </w:r>
            <w:r w:rsidRPr="006D0CBB">
              <w:rPr>
                <w:rFonts w:asciiTheme="majorBidi" w:hAnsiTheme="majorBidi" w:cstheme="majorBidi"/>
                <w:color w:val="000000" w:themeColor="text1"/>
                <w:sz w:val="24"/>
                <w:szCs w:val="24"/>
              </w:rPr>
              <w:t>nnual me</w:t>
            </w:r>
            <w:r>
              <w:rPr>
                <w:rFonts w:asciiTheme="majorBidi" w:hAnsiTheme="majorBidi" w:cstheme="majorBidi"/>
                <w:color w:val="000000" w:themeColor="text1"/>
                <w:sz w:val="24"/>
                <w:szCs w:val="24"/>
              </w:rPr>
              <w:t>an scores of total equity/</w:t>
            </w:r>
            <w:r w:rsidRPr="006D0CBB">
              <w:rPr>
                <w:rFonts w:asciiTheme="majorBidi" w:hAnsiTheme="majorBidi" w:cstheme="majorBidi"/>
                <w:color w:val="000000" w:themeColor="text1"/>
                <w:sz w:val="24"/>
                <w:szCs w:val="24"/>
              </w:rPr>
              <w:t xml:space="preserve"> total assets from </w:t>
            </w:r>
            <w:r>
              <w:rPr>
                <w:rFonts w:asciiTheme="majorBidi" w:hAnsiTheme="majorBidi" w:cstheme="majorBidi"/>
                <w:color w:val="000000" w:themeColor="text1"/>
                <w:sz w:val="24"/>
                <w:szCs w:val="24"/>
              </w:rPr>
              <w:t>2005- 2011</w:t>
            </w:r>
          </w:p>
          <w:p w:rsidR="001E0825" w:rsidRPr="00F219D0" w:rsidRDefault="001E0825" w:rsidP="0090781A">
            <w:pP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 xml:space="preserve">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16</w:t>
            </w:r>
          </w:p>
        </w:tc>
        <w:tc>
          <w:tcPr>
            <w:tcW w:w="8613" w:type="dxa"/>
          </w:tcPr>
          <w:p w:rsidR="001E0825" w:rsidRDefault="001E0825" w:rsidP="0090781A">
            <w:pPr>
              <w:rPr>
                <w:rFonts w:asciiTheme="majorBidi" w:hAnsiTheme="majorBidi" w:cstheme="majorBidi"/>
                <w:color w:val="000000" w:themeColor="text1"/>
                <w:sz w:val="24"/>
                <w:szCs w:val="24"/>
              </w:rPr>
            </w:pPr>
            <w:r w:rsidRPr="006D0CBB">
              <w:rPr>
                <w:rFonts w:asciiTheme="majorBidi" w:hAnsiTheme="majorBidi" w:cstheme="majorBidi"/>
                <w:b/>
                <w:bCs/>
                <w:color w:val="000000" w:themeColor="text1"/>
                <w:sz w:val="24"/>
                <w:szCs w:val="24"/>
              </w:rPr>
              <w:t>Table 4.1</w:t>
            </w:r>
            <w:r>
              <w:rPr>
                <w:rFonts w:asciiTheme="majorBidi" w:hAnsiTheme="majorBidi" w:cstheme="majorBidi"/>
                <w:b/>
                <w:bCs/>
                <w:color w:val="000000" w:themeColor="text1"/>
                <w:sz w:val="24"/>
                <w:szCs w:val="24"/>
              </w:rPr>
              <w:t>7</w:t>
            </w:r>
            <w:r w:rsidRPr="006D0CB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A</w:t>
            </w:r>
            <w:r w:rsidRPr="006D0CBB">
              <w:rPr>
                <w:rFonts w:asciiTheme="majorBidi" w:hAnsiTheme="majorBidi" w:cstheme="majorBidi"/>
                <w:color w:val="000000" w:themeColor="text1"/>
                <w:sz w:val="24"/>
                <w:szCs w:val="24"/>
              </w:rPr>
              <w:t>nnual mean scores (%) of noninterest income to total income</w:t>
            </w:r>
            <w:r>
              <w:rPr>
                <w:rFonts w:asciiTheme="majorBidi" w:hAnsiTheme="majorBidi" w:cstheme="majorBidi"/>
                <w:color w:val="000000" w:themeColor="text1"/>
                <w:sz w:val="24"/>
                <w:szCs w:val="24"/>
              </w:rPr>
              <w:t xml:space="preserve"> from </w:t>
            </w:r>
          </w:p>
          <w:p w:rsidR="001E0825" w:rsidRPr="00F219D0" w:rsidRDefault="001E0825" w:rsidP="0090781A">
            <w:pP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 xml:space="preserve">                             2005-2011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17</w:t>
            </w:r>
          </w:p>
        </w:tc>
        <w:tc>
          <w:tcPr>
            <w:tcW w:w="8613" w:type="dxa"/>
          </w:tcPr>
          <w:p w:rsidR="001E0825" w:rsidRDefault="001E0825" w:rsidP="0090781A">
            <w:pPr>
              <w:rPr>
                <w:rFonts w:asciiTheme="majorBidi" w:hAnsiTheme="majorBidi" w:cstheme="majorBidi"/>
                <w:color w:val="000000" w:themeColor="text1"/>
                <w:sz w:val="24"/>
                <w:szCs w:val="24"/>
              </w:rPr>
            </w:pPr>
            <w:r w:rsidRPr="006D0CBB">
              <w:rPr>
                <w:rFonts w:asciiTheme="majorBidi" w:hAnsiTheme="majorBidi" w:cstheme="majorBidi"/>
                <w:b/>
                <w:bCs/>
                <w:color w:val="000000" w:themeColor="text1"/>
                <w:sz w:val="24"/>
                <w:szCs w:val="24"/>
              </w:rPr>
              <w:t>Table 4.1</w:t>
            </w:r>
            <w:r>
              <w:rPr>
                <w:rFonts w:asciiTheme="majorBidi" w:hAnsiTheme="majorBidi" w:cstheme="majorBidi"/>
                <w:b/>
                <w:bCs/>
                <w:color w:val="000000" w:themeColor="text1"/>
                <w:sz w:val="24"/>
                <w:szCs w:val="24"/>
              </w:rPr>
              <w:t>8</w:t>
            </w:r>
            <w:r w:rsidRPr="006D0CB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6D0CBB">
              <w:rPr>
                <w:rFonts w:asciiTheme="majorBidi" w:hAnsiTheme="majorBidi" w:cstheme="majorBidi"/>
                <w:color w:val="000000" w:themeColor="text1"/>
                <w:sz w:val="24"/>
                <w:szCs w:val="24"/>
              </w:rPr>
              <w:t xml:space="preserve">  Loan loss provisions to net interest income (LLPI) from 2005 till </w:t>
            </w:r>
            <w:r>
              <w:rPr>
                <w:rFonts w:asciiTheme="majorBidi" w:hAnsiTheme="majorBidi" w:cstheme="majorBidi"/>
                <w:color w:val="000000" w:themeColor="text1"/>
                <w:sz w:val="24"/>
                <w:szCs w:val="24"/>
              </w:rPr>
              <w:t xml:space="preserve"> </w:t>
            </w:r>
          </w:p>
          <w:p w:rsidR="001E0825" w:rsidRPr="00CD3ECF" w:rsidRDefault="001E0825" w:rsidP="0090781A">
            <w:pP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 xml:space="preserve">                             </w:t>
            </w:r>
            <w:r w:rsidRPr="006D0CBB">
              <w:rPr>
                <w:rFonts w:asciiTheme="majorBidi" w:hAnsiTheme="majorBidi" w:cstheme="majorBidi"/>
                <w:color w:val="000000" w:themeColor="text1"/>
                <w:sz w:val="24"/>
                <w:szCs w:val="24"/>
              </w:rPr>
              <w:t>201</w:t>
            </w:r>
            <w:r>
              <w:rPr>
                <w:rFonts w:asciiTheme="majorBidi" w:hAnsiTheme="majorBidi" w:cstheme="majorBidi"/>
                <w:color w:val="000000" w:themeColor="text1"/>
                <w:sz w:val="24"/>
                <w:szCs w:val="24"/>
              </w:rPr>
              <w:t xml:space="preserve">1 in (%)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17</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4.1</w:t>
            </w:r>
            <w:r>
              <w:rPr>
                <w:rFonts w:asciiTheme="majorBidi" w:hAnsiTheme="majorBidi" w:cstheme="majorBidi"/>
                <w:b/>
                <w:bCs/>
                <w:sz w:val="24"/>
                <w:szCs w:val="24"/>
              </w:rPr>
              <w:t>9</w:t>
            </w:r>
            <w:r>
              <w:rPr>
                <w:rFonts w:asciiTheme="majorBidi" w:hAnsiTheme="majorBidi" w:cstheme="majorBidi"/>
                <w:sz w:val="24"/>
                <w:szCs w:val="24"/>
              </w:rPr>
              <w:t xml:space="preserve">           </w:t>
            </w:r>
            <w:r w:rsidRPr="00C1411A">
              <w:rPr>
                <w:rFonts w:asciiTheme="majorBidi" w:hAnsiTheme="majorBidi" w:cstheme="majorBidi"/>
                <w:sz w:val="24"/>
                <w:szCs w:val="24"/>
              </w:rPr>
              <w:t>The annual mean scores (%) of</w:t>
            </w:r>
            <w:r>
              <w:rPr>
                <w:rFonts w:asciiTheme="majorBidi" w:hAnsiTheme="majorBidi" w:cstheme="majorBidi"/>
                <w:sz w:val="24"/>
                <w:szCs w:val="24"/>
              </w:rPr>
              <w:t xml:space="preserve"> </w:t>
            </w:r>
            <w:r w:rsidRPr="00C1411A">
              <w:rPr>
                <w:rFonts w:asciiTheme="majorBidi" w:hAnsiTheme="majorBidi" w:cstheme="majorBidi"/>
                <w:sz w:val="24"/>
                <w:szCs w:val="24"/>
              </w:rPr>
              <w:t>noninterest expense to</w:t>
            </w:r>
            <w:r>
              <w:rPr>
                <w:rFonts w:asciiTheme="majorBidi" w:hAnsiTheme="majorBidi" w:cstheme="majorBidi"/>
                <w:sz w:val="24"/>
                <w:szCs w:val="24"/>
              </w:rPr>
              <w:t xml:space="preserve">  </w:t>
            </w:r>
            <w:r w:rsidRPr="00C1411A">
              <w:rPr>
                <w:rFonts w:asciiTheme="majorBidi" w:hAnsiTheme="majorBidi" w:cstheme="majorBidi"/>
                <w:sz w:val="24"/>
                <w:szCs w:val="24"/>
              </w:rPr>
              <w:t>n</w:t>
            </w:r>
            <w:r>
              <w:rPr>
                <w:rFonts w:asciiTheme="majorBidi" w:hAnsiTheme="majorBidi" w:cstheme="majorBidi"/>
                <w:sz w:val="24"/>
                <w:szCs w:val="24"/>
              </w:rPr>
              <w:t xml:space="preserve">et interest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21</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4.</w:t>
            </w:r>
            <w:r>
              <w:rPr>
                <w:rFonts w:asciiTheme="majorBidi" w:hAnsiTheme="majorBidi" w:cstheme="majorBidi"/>
                <w:b/>
                <w:bCs/>
                <w:sz w:val="24"/>
                <w:szCs w:val="24"/>
              </w:rPr>
              <w:t>20</w:t>
            </w:r>
            <w:r w:rsidRPr="00C1411A">
              <w:rPr>
                <w:rFonts w:asciiTheme="majorBidi" w:hAnsiTheme="majorBidi" w:cstheme="majorBidi"/>
                <w:sz w:val="24"/>
                <w:szCs w:val="24"/>
              </w:rPr>
              <w:t xml:space="preserve">       </w:t>
            </w:r>
            <w:r>
              <w:rPr>
                <w:rFonts w:asciiTheme="majorBidi" w:hAnsiTheme="majorBidi" w:cstheme="majorBidi"/>
                <w:sz w:val="24"/>
                <w:szCs w:val="24"/>
              </w:rPr>
              <w:t xml:space="preserve">     </w:t>
            </w:r>
            <w:r w:rsidRPr="00C1411A">
              <w:rPr>
                <w:rFonts w:asciiTheme="majorBidi" w:hAnsiTheme="majorBidi" w:cstheme="majorBidi"/>
                <w:sz w:val="24"/>
                <w:szCs w:val="24"/>
              </w:rPr>
              <w:t>Goodness- of –Fit Tests</w:t>
            </w:r>
            <w:r>
              <w:rPr>
                <w:rFonts w:asciiTheme="majorBidi" w:hAnsiTheme="majorBidi" w:cstheme="majorBidi"/>
                <w:sz w:val="24"/>
                <w:szCs w:val="24"/>
              </w:rPr>
              <w:t xml:space="preserve"> for model 1</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lastRenderedPageBreak/>
              <w:t>12</w:t>
            </w:r>
            <w:r>
              <w:rPr>
                <w:rFonts w:asciiTheme="majorBidi" w:hAnsiTheme="majorBidi" w:cstheme="majorBidi"/>
                <w:b/>
                <w:bCs/>
                <w:sz w:val="24"/>
                <w:szCs w:val="24"/>
                <w:lang w:bidi="ar-JO"/>
              </w:rPr>
              <w:t>2</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4.</w:t>
            </w:r>
            <w:r>
              <w:rPr>
                <w:rFonts w:asciiTheme="majorBidi" w:hAnsiTheme="majorBidi" w:cstheme="majorBidi"/>
                <w:b/>
                <w:bCs/>
                <w:sz w:val="24"/>
                <w:szCs w:val="24"/>
              </w:rPr>
              <w:t>21</w:t>
            </w:r>
            <w:r w:rsidRPr="00C1411A">
              <w:rPr>
                <w:rFonts w:asciiTheme="majorBidi" w:hAnsiTheme="majorBidi" w:cstheme="majorBidi"/>
                <w:sz w:val="24"/>
                <w:szCs w:val="24"/>
              </w:rPr>
              <w:t xml:space="preserve"> </w:t>
            </w:r>
            <w:r>
              <w:rPr>
                <w:rFonts w:asciiTheme="majorBidi" w:hAnsiTheme="majorBidi" w:cstheme="majorBidi"/>
                <w:sz w:val="24"/>
                <w:szCs w:val="24"/>
              </w:rPr>
              <w:t xml:space="preserve">        </w:t>
            </w:r>
            <w:r w:rsidRPr="00C1411A">
              <w:rPr>
                <w:rFonts w:asciiTheme="majorBidi" w:hAnsiTheme="majorBidi" w:cstheme="majorBidi"/>
                <w:sz w:val="24"/>
                <w:szCs w:val="24"/>
              </w:rPr>
              <w:t>Results of R square analysis</w:t>
            </w:r>
            <w:r>
              <w:rPr>
                <w:rFonts w:asciiTheme="majorBidi" w:hAnsiTheme="majorBidi" w:cstheme="majorBidi"/>
                <w:sz w:val="24"/>
                <w:szCs w:val="24"/>
              </w:rPr>
              <w:t xml:space="preserve"> for model 1</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12</w:t>
            </w:r>
            <w:r>
              <w:rPr>
                <w:rFonts w:asciiTheme="majorBidi" w:hAnsiTheme="majorBidi" w:cstheme="majorBidi"/>
                <w:b/>
                <w:bCs/>
                <w:sz w:val="24"/>
                <w:szCs w:val="24"/>
                <w:lang w:bidi="ar-JO"/>
              </w:rPr>
              <w:t>3</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Pr>
                <w:rFonts w:asciiTheme="majorBidi" w:hAnsiTheme="majorBidi" w:cstheme="majorBidi"/>
                <w:b/>
                <w:bCs/>
                <w:color w:val="000000" w:themeColor="text1"/>
                <w:sz w:val="24"/>
                <w:szCs w:val="24"/>
              </w:rPr>
              <w:t xml:space="preserve">Table 4.22       </w:t>
            </w:r>
            <w:r>
              <w:rPr>
                <w:rFonts w:asciiTheme="majorBidi" w:hAnsiTheme="majorBidi" w:cstheme="majorBidi"/>
                <w:sz w:val="24"/>
                <w:szCs w:val="24"/>
              </w:rPr>
              <w:t>Multiple linear regression m</w:t>
            </w:r>
            <w:r w:rsidRPr="00C1411A">
              <w:rPr>
                <w:rFonts w:asciiTheme="majorBidi" w:hAnsiTheme="majorBidi" w:cstheme="majorBidi"/>
                <w:sz w:val="24"/>
                <w:szCs w:val="24"/>
              </w:rPr>
              <w:t>atrixes for model 1</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28</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tl/>
              </w:rPr>
            </w:pPr>
            <w:r w:rsidRPr="00C1411A">
              <w:rPr>
                <w:rFonts w:asciiTheme="majorBidi" w:hAnsiTheme="majorBidi" w:cstheme="majorBidi"/>
                <w:b/>
                <w:bCs/>
                <w:sz w:val="24"/>
                <w:szCs w:val="24"/>
              </w:rPr>
              <w:t>Table 4.</w:t>
            </w:r>
            <w:r>
              <w:rPr>
                <w:rFonts w:asciiTheme="majorBidi" w:hAnsiTheme="majorBidi" w:cstheme="majorBidi"/>
                <w:b/>
                <w:bCs/>
                <w:sz w:val="24"/>
                <w:szCs w:val="24"/>
              </w:rPr>
              <w:t xml:space="preserve">23        </w:t>
            </w:r>
            <w:r w:rsidRPr="00C1411A">
              <w:rPr>
                <w:rFonts w:asciiTheme="majorBidi" w:hAnsiTheme="majorBidi" w:cstheme="majorBidi"/>
                <w:sz w:val="24"/>
                <w:szCs w:val="24"/>
              </w:rPr>
              <w:t>Goodness- of –Fit Tests</w:t>
            </w:r>
            <w:r>
              <w:rPr>
                <w:rFonts w:asciiTheme="majorBidi" w:hAnsiTheme="majorBidi" w:cstheme="majorBidi"/>
                <w:sz w:val="24"/>
                <w:szCs w:val="24"/>
              </w:rPr>
              <w:t xml:space="preserve"> for model 2</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30</w:t>
            </w:r>
          </w:p>
        </w:tc>
        <w:tc>
          <w:tcPr>
            <w:tcW w:w="8613" w:type="dxa"/>
          </w:tcPr>
          <w:p w:rsidR="001E0825" w:rsidRPr="00F219D0" w:rsidRDefault="001E0825" w:rsidP="0090781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bCs/>
                <w:sz w:val="24"/>
                <w:szCs w:val="24"/>
              </w:rPr>
              <w:t xml:space="preserve">Table 4.24        </w:t>
            </w:r>
            <w:r>
              <w:rPr>
                <w:rFonts w:ascii="Times New Roman" w:hAnsi="Times New Roman" w:cs="Times New Roman"/>
                <w:sz w:val="24"/>
                <w:szCs w:val="24"/>
              </w:rPr>
              <w:t>Results of R square analysis for model 2</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32</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sz w:val="24"/>
                <w:szCs w:val="24"/>
              </w:rPr>
            </w:pPr>
            <w:r>
              <w:rPr>
                <w:rFonts w:asciiTheme="majorBidi" w:hAnsiTheme="majorBidi" w:cstheme="majorBidi"/>
                <w:b/>
                <w:bCs/>
                <w:color w:val="000000" w:themeColor="text1"/>
                <w:sz w:val="24"/>
                <w:szCs w:val="24"/>
              </w:rPr>
              <w:t xml:space="preserve">Table 4.25        </w:t>
            </w:r>
            <w:r>
              <w:rPr>
                <w:rFonts w:asciiTheme="majorBidi" w:hAnsiTheme="majorBidi" w:cstheme="majorBidi"/>
                <w:sz w:val="24"/>
                <w:szCs w:val="24"/>
              </w:rPr>
              <w:t>Multiple Linear regression m</w:t>
            </w:r>
            <w:r w:rsidRPr="00C40B18">
              <w:rPr>
                <w:rFonts w:asciiTheme="majorBidi" w:hAnsiTheme="majorBidi" w:cstheme="majorBidi"/>
                <w:sz w:val="24"/>
                <w:szCs w:val="24"/>
              </w:rPr>
              <w:t>atrixes</w:t>
            </w:r>
            <w:r>
              <w:rPr>
                <w:rFonts w:asciiTheme="majorBidi" w:hAnsiTheme="majorBidi" w:cstheme="majorBidi"/>
                <w:sz w:val="24"/>
                <w:szCs w:val="24"/>
              </w:rPr>
              <w:t xml:space="preserve"> for model 2</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0</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color w:val="000000" w:themeColor="text1"/>
                <w:sz w:val="24"/>
                <w:szCs w:val="24"/>
              </w:rPr>
            </w:pPr>
            <w:r w:rsidRPr="006D0CBB">
              <w:rPr>
                <w:rFonts w:asciiTheme="majorBidi" w:hAnsiTheme="majorBidi" w:cstheme="majorBidi"/>
                <w:b/>
                <w:bCs/>
                <w:color w:val="000000" w:themeColor="text1"/>
                <w:sz w:val="24"/>
                <w:szCs w:val="24"/>
              </w:rPr>
              <w:t>Table 4.2</w:t>
            </w:r>
            <w:r>
              <w:rPr>
                <w:rFonts w:asciiTheme="majorBidi" w:hAnsiTheme="majorBidi" w:cstheme="majorBidi"/>
                <w:b/>
                <w:bCs/>
                <w:color w:val="000000" w:themeColor="text1"/>
                <w:sz w:val="24"/>
                <w:szCs w:val="24"/>
              </w:rPr>
              <w:t>6</w:t>
            </w:r>
            <w:r>
              <w:rPr>
                <w:rFonts w:asciiTheme="majorBidi" w:hAnsiTheme="majorBidi" w:cstheme="majorBidi"/>
                <w:color w:val="000000" w:themeColor="text1"/>
                <w:sz w:val="24"/>
                <w:szCs w:val="24"/>
              </w:rPr>
              <w:t xml:space="preserve">       </w:t>
            </w:r>
            <w:r w:rsidRPr="006D0CBB">
              <w:rPr>
                <w:rFonts w:asciiTheme="majorBidi" w:hAnsiTheme="majorBidi" w:cstheme="majorBidi"/>
                <w:color w:val="000000" w:themeColor="text1"/>
                <w:sz w:val="24"/>
                <w:szCs w:val="24"/>
              </w:rPr>
              <w:t xml:space="preserve"> Distribution of assets according to maturity at POB</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2</w:t>
            </w:r>
          </w:p>
        </w:tc>
        <w:tc>
          <w:tcPr>
            <w:tcW w:w="8613" w:type="dxa"/>
          </w:tcPr>
          <w:p w:rsidR="001E0825" w:rsidRPr="00F219D0" w:rsidRDefault="001E0825" w:rsidP="0090781A">
            <w:pPr>
              <w:autoSpaceDE w:val="0"/>
              <w:autoSpaceDN w:val="0"/>
              <w:adjustRightInd w:val="0"/>
              <w:spacing w:line="360" w:lineRule="auto"/>
              <w:rPr>
                <w:rFonts w:asciiTheme="majorBidi" w:hAnsiTheme="majorBidi" w:cstheme="majorBidi"/>
                <w:color w:val="C00000"/>
                <w:sz w:val="24"/>
                <w:szCs w:val="24"/>
              </w:rPr>
            </w:pPr>
            <w:r>
              <w:rPr>
                <w:rFonts w:asciiTheme="majorBidi" w:hAnsiTheme="majorBidi" w:cstheme="majorBidi"/>
                <w:b/>
                <w:bCs/>
                <w:sz w:val="24"/>
                <w:szCs w:val="24"/>
              </w:rPr>
              <w:t xml:space="preserve">Table4.27        </w:t>
            </w:r>
            <w:r w:rsidRPr="00554A5F">
              <w:rPr>
                <w:rFonts w:asciiTheme="majorBidi" w:hAnsiTheme="majorBidi" w:cstheme="majorBidi"/>
                <w:sz w:val="24"/>
                <w:szCs w:val="24"/>
                <w:shd w:val="clear" w:color="auto" w:fill="FFFFFF"/>
              </w:rPr>
              <w:t>Credit risk exposure for each risk rating</w:t>
            </w:r>
            <w:r w:rsidRPr="00554A5F">
              <w:rPr>
                <w:rFonts w:asciiTheme="majorBidi" w:hAnsiTheme="majorBidi" w:cstheme="majorBidi"/>
                <w:sz w:val="24"/>
                <w:szCs w:val="24"/>
              </w:rPr>
              <w:t xml:space="preserve"> at BOP</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2</w:t>
            </w:r>
          </w:p>
        </w:tc>
        <w:tc>
          <w:tcPr>
            <w:tcW w:w="8613" w:type="dxa"/>
          </w:tcPr>
          <w:p w:rsidR="001E0825" w:rsidRDefault="001E0825" w:rsidP="0090781A">
            <w:pPr>
              <w:autoSpaceDE w:val="0"/>
              <w:autoSpaceDN w:val="0"/>
              <w:adjustRightInd w:val="0"/>
              <w:spacing w:line="360" w:lineRule="auto"/>
              <w:rPr>
                <w:rFonts w:asciiTheme="majorBidi" w:hAnsiTheme="majorBidi" w:cstheme="majorBidi"/>
                <w:sz w:val="24"/>
                <w:szCs w:val="24"/>
              </w:rPr>
            </w:pPr>
            <w:r w:rsidRPr="006D0CBB">
              <w:rPr>
                <w:rFonts w:asciiTheme="majorBidi" w:hAnsiTheme="majorBidi" w:cstheme="majorBidi"/>
                <w:b/>
                <w:bCs/>
                <w:sz w:val="24"/>
                <w:szCs w:val="24"/>
              </w:rPr>
              <w:t>Table 4.2</w:t>
            </w:r>
            <w:r>
              <w:rPr>
                <w:rFonts w:asciiTheme="majorBidi" w:hAnsiTheme="majorBidi" w:cstheme="majorBidi"/>
                <w:b/>
                <w:bCs/>
                <w:sz w:val="24"/>
                <w:szCs w:val="24"/>
              </w:rPr>
              <w:t>8</w:t>
            </w:r>
            <w:r>
              <w:rPr>
                <w:rFonts w:asciiTheme="majorBidi" w:hAnsiTheme="majorBidi" w:cstheme="majorBidi"/>
                <w:sz w:val="24"/>
                <w:szCs w:val="24"/>
              </w:rPr>
              <w:t xml:space="preserve">        </w:t>
            </w:r>
            <w:r w:rsidRPr="00554A5F">
              <w:rPr>
                <w:rFonts w:asciiTheme="majorBidi" w:hAnsiTheme="majorBidi" w:cstheme="majorBidi"/>
                <w:sz w:val="24"/>
                <w:szCs w:val="24"/>
              </w:rPr>
              <w:t>The credit exposures for the credit facilities are distributed</w:t>
            </w:r>
          </w:p>
          <w:p w:rsidR="001E0825" w:rsidRPr="00F219D0" w:rsidRDefault="001E0825" w:rsidP="0090781A">
            <w:pPr>
              <w:autoSpaceDE w:val="0"/>
              <w:autoSpaceDN w:val="0"/>
              <w:adjustRightInd w:val="0"/>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554A5F">
              <w:rPr>
                <w:rFonts w:asciiTheme="majorBidi" w:hAnsiTheme="majorBidi" w:cstheme="majorBidi"/>
                <w:sz w:val="24"/>
                <w:szCs w:val="24"/>
              </w:rPr>
              <w:t>according to risks deg</w:t>
            </w:r>
            <w:r>
              <w:rPr>
                <w:rFonts w:asciiTheme="majorBidi" w:hAnsiTheme="majorBidi" w:cstheme="majorBidi"/>
                <w:sz w:val="24"/>
                <w:szCs w:val="24"/>
              </w:rPr>
              <w:t>rees at ALquds</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3</w:t>
            </w:r>
          </w:p>
        </w:tc>
        <w:tc>
          <w:tcPr>
            <w:tcW w:w="8613" w:type="dxa"/>
          </w:tcPr>
          <w:p w:rsidR="001E0825" w:rsidRPr="00F219D0" w:rsidRDefault="001E0825" w:rsidP="0090781A">
            <w:pPr>
              <w:pStyle w:val="NormalWeb"/>
              <w:shd w:val="clear" w:color="auto" w:fill="FFFFFF"/>
              <w:spacing w:before="245" w:beforeAutospacing="0" w:after="0" w:afterAutospacing="0"/>
              <w:textAlignment w:val="baseline"/>
              <w:rPr>
                <w:rFonts w:asciiTheme="majorBidi" w:hAnsiTheme="majorBidi" w:cstheme="majorBidi"/>
              </w:rPr>
            </w:pPr>
            <w:r w:rsidRPr="006D0CBB">
              <w:rPr>
                <w:rFonts w:asciiTheme="majorBidi" w:hAnsiTheme="majorBidi" w:cstheme="majorBidi"/>
                <w:b/>
                <w:bCs/>
                <w:shd w:val="clear" w:color="auto" w:fill="FFFFFF"/>
              </w:rPr>
              <w:t>Table 4.2</w:t>
            </w:r>
            <w:r>
              <w:rPr>
                <w:rFonts w:asciiTheme="majorBidi" w:hAnsiTheme="majorBidi" w:cstheme="majorBidi"/>
                <w:b/>
                <w:bCs/>
                <w:shd w:val="clear" w:color="auto" w:fill="FFFFFF"/>
              </w:rPr>
              <w:t>9</w:t>
            </w:r>
            <w:r>
              <w:rPr>
                <w:rFonts w:asciiTheme="majorBidi" w:hAnsiTheme="majorBidi" w:cstheme="majorBidi"/>
              </w:rPr>
              <w:t xml:space="preserve">         P</w:t>
            </w:r>
            <w:r w:rsidRPr="009E631B">
              <w:rPr>
                <w:rFonts w:asciiTheme="majorBidi" w:hAnsiTheme="majorBidi" w:cstheme="majorBidi"/>
              </w:rPr>
              <w:t>otential credit risk loans</w:t>
            </w:r>
            <w:r>
              <w:rPr>
                <w:rFonts w:asciiTheme="majorBidi" w:hAnsiTheme="majorBidi" w:cstheme="majorBidi"/>
              </w:rPr>
              <w:t xml:space="preserve"> at BOP</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3</w:t>
            </w:r>
          </w:p>
        </w:tc>
        <w:tc>
          <w:tcPr>
            <w:tcW w:w="8613" w:type="dxa"/>
          </w:tcPr>
          <w:p w:rsidR="001E0825" w:rsidRPr="00F219D0" w:rsidRDefault="001E0825" w:rsidP="0090781A">
            <w:pPr>
              <w:pStyle w:val="NormalWeb"/>
              <w:shd w:val="clear" w:color="auto" w:fill="FFFFFF"/>
              <w:spacing w:before="245" w:beforeAutospacing="0" w:after="0" w:afterAutospacing="0"/>
              <w:textAlignment w:val="baseline"/>
              <w:rPr>
                <w:rFonts w:asciiTheme="majorBidi" w:hAnsiTheme="majorBidi" w:cstheme="majorBidi"/>
              </w:rPr>
            </w:pPr>
            <w:r>
              <w:rPr>
                <w:rFonts w:asciiTheme="majorBidi" w:hAnsiTheme="majorBidi" w:cstheme="majorBidi"/>
                <w:b/>
                <w:bCs/>
                <w:shd w:val="clear" w:color="auto" w:fill="FFFFFF"/>
              </w:rPr>
              <w:t xml:space="preserve">Table 4.30        </w:t>
            </w:r>
            <w:r>
              <w:rPr>
                <w:rFonts w:asciiTheme="majorBidi" w:hAnsiTheme="majorBidi" w:cstheme="majorBidi"/>
              </w:rPr>
              <w:t>P</w:t>
            </w:r>
            <w:r w:rsidRPr="009E631B">
              <w:rPr>
                <w:rFonts w:asciiTheme="majorBidi" w:hAnsiTheme="majorBidi" w:cstheme="majorBidi"/>
              </w:rPr>
              <w:t>otential credit risk loans</w:t>
            </w:r>
            <w:r>
              <w:rPr>
                <w:rFonts w:asciiTheme="majorBidi" w:hAnsiTheme="majorBidi" w:cstheme="majorBidi"/>
              </w:rPr>
              <w:t xml:space="preserve"> at AL-quds bank</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4</w:t>
            </w:r>
          </w:p>
        </w:tc>
        <w:tc>
          <w:tcPr>
            <w:tcW w:w="8613" w:type="dxa"/>
          </w:tcPr>
          <w:p w:rsidR="001E0825" w:rsidRPr="00F219D0" w:rsidRDefault="001E0825" w:rsidP="0090781A">
            <w:pPr>
              <w:pStyle w:val="NormalWeb"/>
              <w:shd w:val="clear" w:color="auto" w:fill="FFFFFF"/>
              <w:spacing w:before="0" w:beforeAutospacing="0"/>
              <w:textAlignment w:val="baseline"/>
              <w:rPr>
                <w:rFonts w:asciiTheme="majorBidi" w:hAnsiTheme="majorBidi" w:cstheme="majorBidi"/>
                <w:bdr w:val="none" w:sz="0" w:space="0" w:color="auto" w:frame="1"/>
                <w:rtl/>
              </w:rPr>
            </w:pPr>
            <w:r>
              <w:rPr>
                <w:rFonts w:asciiTheme="majorBidi" w:hAnsiTheme="majorBidi" w:cstheme="majorBidi"/>
                <w:b/>
                <w:bCs/>
              </w:rPr>
              <w:t xml:space="preserve">Table 4.31        </w:t>
            </w:r>
            <w:r>
              <w:rPr>
                <w:rFonts w:asciiTheme="majorBidi" w:hAnsiTheme="majorBidi" w:cstheme="majorBidi"/>
                <w:bdr w:val="none" w:sz="0" w:space="0" w:color="auto" w:frame="1"/>
              </w:rPr>
              <w:t>M</w:t>
            </w:r>
            <w:r w:rsidRPr="00932453">
              <w:rPr>
                <w:rFonts w:asciiTheme="majorBidi" w:hAnsiTheme="majorBidi" w:cstheme="majorBidi"/>
                <w:bdr w:val="none" w:sz="0" w:space="0" w:color="auto" w:frame="1"/>
              </w:rPr>
              <w:t>ovement on impairment allowance for</w:t>
            </w:r>
            <w:r>
              <w:rPr>
                <w:rFonts w:asciiTheme="majorBidi" w:hAnsiTheme="majorBidi" w:cstheme="majorBidi"/>
                <w:bdr w:val="none" w:sz="0" w:space="0" w:color="auto" w:frame="1"/>
              </w:rPr>
              <w:t xml:space="preserve"> </w:t>
            </w:r>
            <w:r w:rsidRPr="00932453">
              <w:rPr>
                <w:rFonts w:asciiTheme="majorBidi" w:hAnsiTheme="majorBidi" w:cstheme="majorBidi"/>
                <w:bdr w:val="none" w:sz="0" w:space="0" w:color="auto" w:frame="1"/>
              </w:rPr>
              <w:t>credit facilities at</w:t>
            </w:r>
            <w:r>
              <w:rPr>
                <w:rFonts w:asciiTheme="majorBidi" w:hAnsiTheme="majorBidi" w:cstheme="majorBidi"/>
                <w:bdr w:val="none" w:sz="0" w:space="0" w:color="auto" w:frame="1"/>
              </w:rPr>
              <w:t xml:space="preserve"> </w:t>
            </w:r>
            <w:r w:rsidRPr="00932453">
              <w:rPr>
                <w:rFonts w:asciiTheme="majorBidi" w:hAnsiTheme="majorBidi" w:cstheme="majorBidi"/>
                <w:bdr w:val="none" w:sz="0" w:space="0" w:color="auto" w:frame="1"/>
              </w:rPr>
              <w:t>BOP</w:t>
            </w:r>
            <w:r>
              <w:rPr>
                <w:rFonts w:asciiTheme="majorBidi" w:hAnsiTheme="majorBidi" w:cstheme="majorBidi"/>
                <w:bdr w:val="none" w:sz="0" w:space="0" w:color="auto" w:frame="1"/>
              </w:rPr>
              <w:t xml:space="preserve"> </w:t>
            </w:r>
            <w:r w:rsidRPr="00932453">
              <w:rPr>
                <w:rFonts w:asciiTheme="majorBidi" w:hAnsiTheme="majorBidi" w:cstheme="majorBidi"/>
                <w:bdr w:val="none" w:sz="0" w:space="0" w:color="auto" w:frame="1"/>
              </w:rPr>
              <w:t xml:space="preserve">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45</w:t>
            </w:r>
          </w:p>
        </w:tc>
        <w:tc>
          <w:tcPr>
            <w:tcW w:w="8613" w:type="dxa"/>
          </w:tcPr>
          <w:p w:rsidR="001E0825" w:rsidRDefault="001E0825" w:rsidP="0090781A">
            <w:pPr>
              <w:pStyle w:val="NormalWeb"/>
              <w:shd w:val="clear" w:color="auto" w:fill="FFFFFF"/>
              <w:spacing w:before="245" w:beforeAutospacing="0" w:after="0" w:afterAutospacing="0"/>
              <w:textAlignment w:val="baseline"/>
              <w:rPr>
                <w:rFonts w:asciiTheme="majorBidi" w:hAnsiTheme="majorBidi" w:cstheme="majorBidi"/>
              </w:rPr>
            </w:pPr>
            <w:r w:rsidRPr="006D0CBB">
              <w:rPr>
                <w:rFonts w:asciiTheme="majorBidi" w:hAnsiTheme="majorBidi" w:cstheme="majorBidi"/>
                <w:b/>
                <w:bCs/>
              </w:rPr>
              <w:t>Table 4.3</w:t>
            </w:r>
            <w:r>
              <w:rPr>
                <w:rFonts w:asciiTheme="majorBidi" w:hAnsiTheme="majorBidi" w:cstheme="majorBidi"/>
                <w:b/>
                <w:bCs/>
              </w:rPr>
              <w:t>2</w:t>
            </w:r>
            <w:r w:rsidRPr="000C20D0">
              <w:rPr>
                <w:rFonts w:asciiTheme="majorBidi" w:hAnsiTheme="majorBidi" w:cstheme="majorBidi"/>
              </w:rPr>
              <w:t xml:space="preserve"> </w:t>
            </w:r>
            <w:r>
              <w:rPr>
                <w:rFonts w:asciiTheme="majorBidi" w:hAnsiTheme="majorBidi" w:cstheme="majorBidi"/>
              </w:rPr>
              <w:t xml:space="preserve">       </w:t>
            </w:r>
            <w:r w:rsidRPr="000C20D0">
              <w:rPr>
                <w:rFonts w:asciiTheme="majorBidi" w:hAnsiTheme="majorBidi" w:cstheme="majorBidi"/>
              </w:rPr>
              <w:t>Summaries of credit risk management techniques and practices</w:t>
            </w:r>
          </w:p>
          <w:p w:rsidR="001E0825" w:rsidRPr="00F219D0" w:rsidRDefault="001E0825" w:rsidP="0090781A">
            <w:pPr>
              <w:pStyle w:val="NormalWeb"/>
              <w:shd w:val="clear" w:color="auto" w:fill="FFFFFF"/>
              <w:spacing w:before="245" w:beforeAutospacing="0" w:after="0" w:afterAutospacing="0"/>
              <w:textAlignment w:val="baseline"/>
              <w:rPr>
                <w:rFonts w:asciiTheme="majorBidi" w:hAnsiTheme="majorBidi" w:cstheme="majorBidi"/>
              </w:rPr>
            </w:pPr>
            <w:r>
              <w:rPr>
                <w:rFonts w:asciiTheme="majorBidi" w:hAnsiTheme="majorBidi" w:cstheme="majorBidi"/>
              </w:rPr>
              <w:t xml:space="preserve">                          </w:t>
            </w:r>
            <w:r w:rsidRPr="000C20D0">
              <w:rPr>
                <w:rFonts w:asciiTheme="majorBidi" w:hAnsiTheme="majorBidi" w:cstheme="majorBidi"/>
              </w:rPr>
              <w:t>at BOP and AL-Quds banks</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15</w:t>
            </w:r>
            <w:r>
              <w:rPr>
                <w:rFonts w:asciiTheme="majorBidi" w:hAnsiTheme="majorBidi" w:cstheme="majorBidi"/>
                <w:b/>
                <w:bCs/>
                <w:sz w:val="24"/>
                <w:szCs w:val="24"/>
                <w:lang w:bidi="ar-JO"/>
              </w:rPr>
              <w:t>1</w:t>
            </w:r>
          </w:p>
        </w:tc>
        <w:tc>
          <w:tcPr>
            <w:tcW w:w="8613" w:type="dxa"/>
          </w:tcPr>
          <w:p w:rsidR="001E0825" w:rsidRDefault="001E0825" w:rsidP="0090781A">
            <w:pPr>
              <w:pStyle w:val="NormalWeb"/>
              <w:shd w:val="clear" w:color="auto" w:fill="FFFFFF"/>
              <w:spacing w:before="245" w:after="0" w:line="276" w:lineRule="auto"/>
              <w:textAlignment w:val="baseline"/>
              <w:rPr>
                <w:rFonts w:asciiTheme="majorBidi" w:hAnsiTheme="majorBidi" w:cstheme="majorBidi"/>
              </w:rPr>
            </w:pPr>
            <w:r>
              <w:rPr>
                <w:rFonts w:asciiTheme="majorBidi" w:hAnsiTheme="majorBidi" w:cstheme="majorBidi"/>
                <w:b/>
                <w:bCs/>
              </w:rPr>
              <w:t xml:space="preserve">Table 4.33       </w:t>
            </w:r>
            <w:r w:rsidRPr="000C20D0">
              <w:rPr>
                <w:rFonts w:asciiTheme="majorBidi" w:hAnsiTheme="majorBidi" w:cstheme="majorBidi"/>
              </w:rPr>
              <w:t xml:space="preserve"> Summaries of credit risk management techniques</w:t>
            </w:r>
            <w:r>
              <w:rPr>
                <w:rFonts w:asciiTheme="majorBidi" w:hAnsiTheme="majorBidi" w:cstheme="majorBidi"/>
              </w:rPr>
              <w:t xml:space="preserve"> </w:t>
            </w:r>
            <w:r w:rsidRPr="000C20D0">
              <w:rPr>
                <w:rFonts w:asciiTheme="majorBidi" w:hAnsiTheme="majorBidi" w:cstheme="majorBidi"/>
              </w:rPr>
              <w:t>and practices at</w:t>
            </w:r>
            <w:r>
              <w:rPr>
                <w:rFonts w:asciiTheme="majorBidi" w:hAnsiTheme="majorBidi" w:cstheme="majorBidi"/>
              </w:rPr>
              <w:t xml:space="preserve"> PCB</w:t>
            </w:r>
          </w:p>
          <w:p w:rsidR="001E0825" w:rsidRPr="002671D0" w:rsidRDefault="001E0825" w:rsidP="0090781A">
            <w:pPr>
              <w:pStyle w:val="NormalWeb"/>
              <w:shd w:val="clear" w:color="auto" w:fill="FFFFFF"/>
              <w:spacing w:before="245" w:beforeAutospacing="0" w:after="0" w:afterAutospacing="0" w:line="276" w:lineRule="auto"/>
              <w:textAlignment w:val="baseline"/>
              <w:rPr>
                <w:rFonts w:asciiTheme="majorBidi" w:hAnsiTheme="majorBidi" w:cstheme="majorBidi"/>
              </w:rPr>
            </w:pPr>
            <w:r>
              <w:rPr>
                <w:rFonts w:asciiTheme="majorBidi" w:hAnsiTheme="majorBidi" w:cstheme="majorBidi"/>
              </w:rPr>
              <w:t xml:space="preserve">                         and PIB         </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15</w:t>
            </w:r>
            <w:r>
              <w:rPr>
                <w:rFonts w:asciiTheme="majorBidi" w:hAnsiTheme="majorBidi" w:cstheme="majorBidi"/>
                <w:b/>
                <w:bCs/>
                <w:sz w:val="24"/>
                <w:szCs w:val="24"/>
                <w:lang w:bidi="ar-JO"/>
              </w:rPr>
              <w:t>4</w:t>
            </w:r>
          </w:p>
        </w:tc>
        <w:tc>
          <w:tcPr>
            <w:tcW w:w="8613" w:type="dxa"/>
          </w:tcPr>
          <w:p w:rsidR="001E0825" w:rsidRDefault="001E0825" w:rsidP="0090781A">
            <w:pPr>
              <w:pStyle w:val="NormalWeb"/>
              <w:shd w:val="clear" w:color="auto" w:fill="FFFFFF"/>
              <w:spacing w:before="245" w:beforeAutospacing="0" w:after="0" w:afterAutospacing="0"/>
              <w:textAlignment w:val="baseline"/>
              <w:rPr>
                <w:rFonts w:asciiTheme="majorBidi" w:hAnsiTheme="majorBidi" w:cstheme="majorBidi"/>
              </w:rPr>
            </w:pPr>
            <w:r>
              <w:rPr>
                <w:rFonts w:asciiTheme="majorBidi" w:hAnsiTheme="majorBidi" w:cstheme="majorBidi"/>
                <w:b/>
                <w:bCs/>
              </w:rPr>
              <w:t xml:space="preserve">Table 4.34        </w:t>
            </w:r>
            <w:r w:rsidRPr="00B07B9B">
              <w:rPr>
                <w:rFonts w:asciiTheme="majorBidi" w:hAnsiTheme="majorBidi" w:cstheme="majorBidi"/>
              </w:rPr>
              <w:t>Comparisons and recomm</w:t>
            </w:r>
            <w:r>
              <w:rPr>
                <w:rFonts w:asciiTheme="majorBidi" w:hAnsiTheme="majorBidi" w:cstheme="majorBidi"/>
              </w:rPr>
              <w:t xml:space="preserve">endations between the two  </w:t>
            </w:r>
            <w:r w:rsidRPr="00B07B9B">
              <w:rPr>
                <w:rFonts w:asciiTheme="majorBidi" w:hAnsiTheme="majorBidi" w:cstheme="majorBidi"/>
              </w:rPr>
              <w:t xml:space="preserve">of banks against </w:t>
            </w:r>
          </w:p>
          <w:p w:rsidR="001E0825" w:rsidRPr="006065A0" w:rsidRDefault="001E0825" w:rsidP="0090781A">
            <w:pPr>
              <w:pStyle w:val="NormalWeb"/>
              <w:shd w:val="clear" w:color="auto" w:fill="FFFFFF"/>
              <w:spacing w:before="245" w:beforeAutospacing="0" w:after="0" w:afterAutospacing="0"/>
              <w:textAlignment w:val="baseline"/>
              <w:rPr>
                <w:rFonts w:asciiTheme="majorBidi" w:hAnsiTheme="majorBidi" w:cstheme="majorBidi"/>
                <w:rtl/>
              </w:rPr>
            </w:pPr>
            <w:r>
              <w:rPr>
                <w:rFonts w:asciiTheme="majorBidi" w:hAnsiTheme="majorBidi" w:cstheme="majorBidi"/>
              </w:rPr>
              <w:t xml:space="preserve">                           Basel</w:t>
            </w: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75</w:t>
            </w:r>
          </w:p>
        </w:tc>
        <w:tc>
          <w:tcPr>
            <w:tcW w:w="8613" w:type="dxa"/>
          </w:tcPr>
          <w:p w:rsidR="001E0825" w:rsidRDefault="001E0825" w:rsidP="0090781A">
            <w:pPr>
              <w:autoSpaceDE w:val="0"/>
              <w:autoSpaceDN w:val="0"/>
              <w:adjustRightInd w:val="0"/>
              <w:rPr>
                <w:rFonts w:asciiTheme="majorBidi" w:hAnsiTheme="majorBidi" w:cstheme="majorBidi"/>
                <w:sz w:val="24"/>
                <w:szCs w:val="24"/>
              </w:rPr>
            </w:pPr>
            <w:r>
              <w:rPr>
                <w:rFonts w:asciiTheme="majorBidi" w:hAnsiTheme="majorBidi" w:cstheme="majorBidi"/>
                <w:b/>
                <w:bCs/>
                <w:color w:val="000000" w:themeColor="text1"/>
                <w:sz w:val="24"/>
                <w:szCs w:val="24"/>
              </w:rPr>
              <w:t xml:space="preserve">Table 4.35         </w:t>
            </w:r>
            <w:r>
              <w:rPr>
                <w:rFonts w:asciiTheme="majorBidi" w:hAnsiTheme="majorBidi" w:cstheme="majorBidi"/>
                <w:sz w:val="24"/>
                <w:szCs w:val="24"/>
              </w:rPr>
              <w:t>Multiple linear r</w:t>
            </w:r>
            <w:r w:rsidRPr="00782E0A">
              <w:rPr>
                <w:rFonts w:asciiTheme="majorBidi" w:hAnsiTheme="majorBidi" w:cstheme="majorBidi"/>
                <w:sz w:val="24"/>
                <w:szCs w:val="24"/>
              </w:rPr>
              <w:t>egression results for model 1</w:t>
            </w:r>
          </w:p>
          <w:p w:rsidR="001E0825" w:rsidRPr="00063563" w:rsidRDefault="001E0825" w:rsidP="0090781A">
            <w:pPr>
              <w:autoSpaceDE w:val="0"/>
              <w:autoSpaceDN w:val="0"/>
              <w:adjustRightInd w:val="0"/>
              <w:rPr>
                <w:rFonts w:asciiTheme="majorBidi" w:hAnsiTheme="majorBidi" w:cstheme="majorBidi"/>
                <w:sz w:val="24"/>
                <w:szCs w:val="24"/>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76</w:t>
            </w:r>
          </w:p>
        </w:tc>
        <w:tc>
          <w:tcPr>
            <w:tcW w:w="8613" w:type="dxa"/>
          </w:tcPr>
          <w:p w:rsidR="001E0825" w:rsidRDefault="001E0825" w:rsidP="0090781A">
            <w:pPr>
              <w:rPr>
                <w:rFonts w:asciiTheme="majorBidi" w:hAnsiTheme="majorBidi" w:cstheme="majorBidi"/>
                <w:b/>
                <w:sz w:val="24"/>
                <w:szCs w:val="24"/>
              </w:rPr>
            </w:pPr>
            <w:r>
              <w:rPr>
                <w:rFonts w:asciiTheme="majorBidi" w:hAnsiTheme="majorBidi" w:cstheme="majorBidi"/>
                <w:b/>
                <w:color w:val="000000" w:themeColor="text1"/>
                <w:sz w:val="24"/>
                <w:szCs w:val="24"/>
              </w:rPr>
              <w:t xml:space="preserve">Table 4.36         </w:t>
            </w:r>
            <w:r w:rsidRPr="00782E0A">
              <w:rPr>
                <w:rFonts w:asciiTheme="majorBidi" w:hAnsiTheme="majorBidi" w:cstheme="majorBidi"/>
                <w:bCs/>
                <w:sz w:val="24"/>
                <w:szCs w:val="24"/>
              </w:rPr>
              <w:t>Correlation matrix of the ROA and explanatory variables (model 1)</w:t>
            </w:r>
            <w:r>
              <w:rPr>
                <w:rFonts w:asciiTheme="majorBidi" w:hAnsiTheme="majorBidi" w:cstheme="majorBidi"/>
                <w:bCs/>
                <w:sz w:val="24"/>
                <w:szCs w:val="24"/>
              </w:rPr>
              <w:t>…</w:t>
            </w:r>
          </w:p>
          <w:p w:rsidR="001E0825" w:rsidRPr="007B1169" w:rsidRDefault="001E0825" w:rsidP="0090781A">
            <w:pPr>
              <w:autoSpaceDE w:val="0"/>
              <w:autoSpaceDN w:val="0"/>
              <w:adjustRightInd w:val="0"/>
              <w:spacing w:line="360" w:lineRule="auto"/>
              <w:rPr>
                <w:rFonts w:asciiTheme="majorBidi" w:hAnsiTheme="majorBidi" w:cstheme="majorBidi"/>
                <w:b/>
                <w:bCs/>
                <w:sz w:val="24"/>
                <w:szCs w:val="24"/>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77</w:t>
            </w:r>
          </w:p>
        </w:tc>
        <w:tc>
          <w:tcPr>
            <w:tcW w:w="8613" w:type="dxa"/>
          </w:tcPr>
          <w:p w:rsidR="001E0825" w:rsidRDefault="001E0825" w:rsidP="0090781A">
            <w:pPr>
              <w:autoSpaceDE w:val="0"/>
              <w:autoSpaceDN w:val="0"/>
              <w:adjustRightInd w:val="0"/>
              <w:rPr>
                <w:rFonts w:asciiTheme="majorBidi" w:hAnsiTheme="majorBidi" w:cstheme="majorBidi"/>
                <w:sz w:val="24"/>
                <w:szCs w:val="24"/>
              </w:rPr>
            </w:pPr>
            <w:r>
              <w:rPr>
                <w:rFonts w:asciiTheme="majorBidi" w:hAnsiTheme="majorBidi" w:cstheme="majorBidi"/>
                <w:b/>
                <w:bCs/>
                <w:color w:val="000000" w:themeColor="text1"/>
                <w:sz w:val="24"/>
                <w:szCs w:val="24"/>
              </w:rPr>
              <w:t xml:space="preserve">Table 4.37          </w:t>
            </w:r>
            <w:r>
              <w:rPr>
                <w:rFonts w:asciiTheme="majorBidi" w:hAnsiTheme="majorBidi" w:cstheme="majorBidi"/>
                <w:sz w:val="24"/>
                <w:szCs w:val="24"/>
              </w:rPr>
              <w:t>Multiple linear r</w:t>
            </w:r>
            <w:r w:rsidRPr="00782E0A">
              <w:rPr>
                <w:rFonts w:asciiTheme="majorBidi" w:hAnsiTheme="majorBidi" w:cstheme="majorBidi"/>
                <w:sz w:val="24"/>
                <w:szCs w:val="24"/>
              </w:rPr>
              <w:t>egression results for model 2</w:t>
            </w:r>
          </w:p>
          <w:p w:rsidR="001E0825" w:rsidRPr="007B1169" w:rsidRDefault="001E0825" w:rsidP="0090781A">
            <w:pPr>
              <w:autoSpaceDE w:val="0"/>
              <w:autoSpaceDN w:val="0"/>
              <w:adjustRightInd w:val="0"/>
              <w:spacing w:line="360" w:lineRule="auto"/>
              <w:rPr>
                <w:rFonts w:asciiTheme="majorBidi" w:hAnsiTheme="majorBidi" w:cstheme="majorBidi"/>
                <w:b/>
                <w:bCs/>
                <w:sz w:val="24"/>
                <w:szCs w:val="24"/>
              </w:rPr>
            </w:pPr>
          </w:p>
        </w:tc>
      </w:tr>
      <w:tr w:rsidR="001E0825" w:rsidTr="0090781A">
        <w:trPr>
          <w:jc w:val="right"/>
        </w:trPr>
        <w:tc>
          <w:tcPr>
            <w:tcW w:w="629"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78</w:t>
            </w:r>
          </w:p>
        </w:tc>
        <w:tc>
          <w:tcPr>
            <w:tcW w:w="8613" w:type="dxa"/>
          </w:tcPr>
          <w:p w:rsidR="001E0825" w:rsidRPr="00782E0A" w:rsidRDefault="001E0825" w:rsidP="0090781A">
            <w:pPr>
              <w:rPr>
                <w:rFonts w:asciiTheme="majorBidi" w:hAnsiTheme="majorBidi" w:cstheme="majorBidi"/>
                <w:bCs/>
                <w:sz w:val="24"/>
                <w:szCs w:val="24"/>
              </w:rPr>
            </w:pPr>
            <w:r>
              <w:rPr>
                <w:rFonts w:asciiTheme="majorBidi" w:hAnsiTheme="majorBidi" w:cstheme="majorBidi"/>
                <w:b/>
                <w:color w:val="000000" w:themeColor="text1"/>
                <w:sz w:val="24"/>
                <w:szCs w:val="24"/>
              </w:rPr>
              <w:t>Table 4.38</w:t>
            </w:r>
            <w:r>
              <w:rPr>
                <w:rFonts w:asciiTheme="majorBidi" w:hAnsiTheme="majorBidi" w:cstheme="majorBidi"/>
                <w:bCs/>
                <w:sz w:val="24"/>
                <w:szCs w:val="24"/>
              </w:rPr>
              <w:t xml:space="preserve">        </w:t>
            </w:r>
            <w:r w:rsidRPr="00782E0A">
              <w:rPr>
                <w:rFonts w:asciiTheme="majorBidi" w:hAnsiTheme="majorBidi" w:cstheme="majorBidi"/>
                <w:bCs/>
                <w:sz w:val="24"/>
                <w:szCs w:val="24"/>
              </w:rPr>
              <w:t>Correlation matrix of the ROE and explanatory variables (MODEL 2)</w:t>
            </w:r>
            <w:r>
              <w:rPr>
                <w:rFonts w:asciiTheme="majorBidi" w:hAnsiTheme="majorBidi" w:cstheme="majorBidi"/>
                <w:bCs/>
                <w:sz w:val="24"/>
                <w:szCs w:val="24"/>
              </w:rPr>
              <w:t>.</w:t>
            </w:r>
          </w:p>
          <w:p w:rsidR="001E0825" w:rsidRPr="007B1169" w:rsidRDefault="001E0825" w:rsidP="0090781A">
            <w:pPr>
              <w:autoSpaceDE w:val="0"/>
              <w:autoSpaceDN w:val="0"/>
              <w:adjustRightInd w:val="0"/>
              <w:spacing w:line="360" w:lineRule="auto"/>
              <w:rPr>
                <w:rFonts w:asciiTheme="majorBidi" w:hAnsiTheme="majorBidi" w:cstheme="majorBidi"/>
                <w:b/>
                <w:bCs/>
                <w:sz w:val="24"/>
                <w:szCs w:val="24"/>
                <w:lang w:bidi="ar-JO"/>
              </w:rPr>
            </w:pPr>
          </w:p>
        </w:tc>
      </w:tr>
    </w:tbl>
    <w:p w:rsidR="00BF4CC0" w:rsidRDefault="00BF4CC0" w:rsidP="00F15B2A">
      <w:pPr>
        <w:pStyle w:val="NormalWeb"/>
        <w:shd w:val="clear" w:color="auto" w:fill="FFFFFF"/>
        <w:spacing w:before="245" w:beforeAutospacing="0" w:after="0" w:afterAutospacing="0"/>
        <w:jc w:val="center"/>
        <w:textAlignment w:val="baseline"/>
        <w:rPr>
          <w:rFonts w:ascii="TimesNewRoman,Bold" w:hAnsi="TimesNewRoman,Bold" w:cs="TimesNewRoman,Bold"/>
          <w:b/>
          <w:bCs/>
          <w:sz w:val="28"/>
          <w:szCs w:val="28"/>
        </w:rPr>
      </w:pPr>
    </w:p>
    <w:p w:rsidR="00D13400" w:rsidRDefault="00D13400" w:rsidP="00F15B2A">
      <w:pPr>
        <w:pStyle w:val="NormalWeb"/>
        <w:shd w:val="clear" w:color="auto" w:fill="FFFFFF"/>
        <w:spacing w:before="245" w:beforeAutospacing="0" w:after="0" w:afterAutospacing="0"/>
        <w:jc w:val="center"/>
        <w:textAlignment w:val="baseline"/>
        <w:rPr>
          <w:rFonts w:ascii="TimesNewRoman,Bold" w:hAnsi="TimesNewRoman,Bold" w:cs="TimesNewRoman,Bold"/>
          <w:b/>
          <w:bCs/>
          <w:sz w:val="28"/>
          <w:szCs w:val="28"/>
        </w:rPr>
      </w:pPr>
    </w:p>
    <w:p w:rsidR="00FE59A1" w:rsidRDefault="00FE59A1" w:rsidP="00F15B2A">
      <w:pPr>
        <w:pStyle w:val="NormalWeb"/>
        <w:shd w:val="clear" w:color="auto" w:fill="FFFFFF"/>
        <w:spacing w:before="245" w:beforeAutospacing="0" w:after="0" w:afterAutospacing="0"/>
        <w:jc w:val="center"/>
        <w:textAlignment w:val="baseline"/>
        <w:rPr>
          <w:rFonts w:ascii="TimesNewRoman,Bold" w:hAnsi="TimesNewRoman,Bold" w:cs="TimesNewRoman,Bold"/>
          <w:b/>
          <w:bCs/>
          <w:sz w:val="28"/>
          <w:szCs w:val="28"/>
        </w:rPr>
      </w:pPr>
    </w:p>
    <w:p w:rsidR="00753D77" w:rsidRDefault="001E7E33" w:rsidP="00F15B2A">
      <w:pPr>
        <w:pStyle w:val="NormalWeb"/>
        <w:shd w:val="clear" w:color="auto" w:fill="FFFFFF"/>
        <w:spacing w:before="245" w:beforeAutospacing="0" w:after="0" w:afterAutospacing="0"/>
        <w:jc w:val="center"/>
        <w:textAlignment w:val="baseline"/>
        <w:rPr>
          <w:rFonts w:asciiTheme="majorBidi" w:hAnsiTheme="majorBidi" w:cstheme="majorBidi"/>
        </w:rPr>
      </w:pPr>
      <w:r>
        <w:rPr>
          <w:rFonts w:ascii="TimesNewRoman,Bold" w:hAnsi="TimesNewRoman,Bold" w:cs="TimesNewRoman,Bold"/>
          <w:b/>
          <w:bCs/>
          <w:sz w:val="28"/>
          <w:szCs w:val="28"/>
        </w:rPr>
        <w:lastRenderedPageBreak/>
        <w:t>List of F</w:t>
      </w:r>
      <w:r w:rsidR="00126113">
        <w:rPr>
          <w:rFonts w:ascii="TimesNewRoman,Bold" w:hAnsi="TimesNewRoman,Bold" w:cs="TimesNewRoman,Bold"/>
          <w:b/>
          <w:bCs/>
          <w:sz w:val="28"/>
          <w:szCs w:val="28"/>
        </w:rPr>
        <w:t>igures</w:t>
      </w:r>
    </w:p>
    <w:p w:rsidR="00F15B2A" w:rsidRPr="00782E0A" w:rsidRDefault="00F15B2A" w:rsidP="00F15B2A">
      <w:pPr>
        <w:pStyle w:val="NormalWeb"/>
        <w:shd w:val="clear" w:color="auto" w:fill="FFFFFF"/>
        <w:spacing w:before="245" w:beforeAutospacing="0" w:after="0" w:afterAutospacing="0"/>
        <w:jc w:val="center"/>
        <w:textAlignment w:val="baseline"/>
        <w:rPr>
          <w:rFonts w:asciiTheme="majorBidi" w:hAnsiTheme="majorBidi" w:cstheme="majorBidi"/>
        </w:rPr>
      </w:pP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0"/>
        <w:gridCol w:w="8472"/>
      </w:tblGrid>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12</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sz w:val="24"/>
                <w:szCs w:val="24"/>
              </w:rPr>
              <w:t>Figure</w:t>
            </w:r>
            <w:r>
              <w:rPr>
                <w:rFonts w:asciiTheme="majorBidi" w:hAnsiTheme="majorBidi" w:cstheme="majorBidi"/>
                <w:b/>
                <w:sz w:val="24"/>
                <w:szCs w:val="24"/>
              </w:rPr>
              <w:t xml:space="preserve"> </w:t>
            </w:r>
            <w:r w:rsidRPr="00F15B2A">
              <w:rPr>
                <w:rFonts w:asciiTheme="majorBidi" w:hAnsiTheme="majorBidi" w:cstheme="majorBidi"/>
                <w:b/>
                <w:sz w:val="24"/>
                <w:szCs w:val="24"/>
              </w:rPr>
              <w:t xml:space="preserve">2.1          </w:t>
            </w:r>
            <w:r w:rsidRPr="00F15B2A">
              <w:rPr>
                <w:rFonts w:asciiTheme="majorBidi" w:hAnsiTheme="majorBidi" w:cstheme="majorBidi"/>
                <w:sz w:val="24"/>
                <w:szCs w:val="24"/>
              </w:rPr>
              <w:t xml:space="preserve"> Typo</w:t>
            </w:r>
            <w:r>
              <w:rPr>
                <w:rFonts w:asciiTheme="majorBidi" w:hAnsiTheme="majorBidi" w:cstheme="majorBidi"/>
                <w:sz w:val="24"/>
                <w:szCs w:val="24"/>
              </w:rPr>
              <w:t>logy of Risks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8</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bCs/>
                <w:sz w:val="24"/>
                <w:szCs w:val="24"/>
              </w:rPr>
              <w:t xml:space="preserve">Figure 2.2          </w:t>
            </w:r>
            <w:r w:rsidRPr="00F15B2A">
              <w:rPr>
                <w:rFonts w:asciiTheme="majorBidi" w:hAnsiTheme="majorBidi" w:cstheme="majorBidi"/>
                <w:sz w:val="24"/>
                <w:szCs w:val="24"/>
              </w:rPr>
              <w:t>Risk Ma</w:t>
            </w:r>
            <w:r>
              <w:rPr>
                <w:rFonts w:asciiTheme="majorBidi" w:hAnsiTheme="majorBidi" w:cstheme="majorBidi"/>
                <w:sz w:val="24"/>
                <w:szCs w:val="24"/>
              </w:rPr>
              <w:t>nagement Process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2</w:t>
            </w:r>
            <w:r>
              <w:rPr>
                <w:rFonts w:asciiTheme="majorBidi" w:hAnsiTheme="majorBidi" w:cstheme="majorBidi"/>
                <w:b/>
                <w:bCs/>
                <w:sz w:val="24"/>
                <w:szCs w:val="24"/>
                <w:lang w:bidi="ar-JO"/>
              </w:rPr>
              <w:t>6</w:t>
            </w:r>
          </w:p>
        </w:tc>
        <w:tc>
          <w:tcPr>
            <w:tcW w:w="8472" w:type="dxa"/>
          </w:tcPr>
          <w:p w:rsidR="001E0825" w:rsidRPr="006A371E" w:rsidRDefault="001E0825" w:rsidP="0090781A">
            <w:pPr>
              <w:spacing w:line="360" w:lineRule="auto"/>
              <w:rPr>
                <w:rFonts w:asciiTheme="majorBidi" w:hAnsiTheme="majorBidi" w:cstheme="majorBidi"/>
                <w:bCs/>
                <w:sz w:val="24"/>
                <w:szCs w:val="24"/>
                <w:rtl/>
              </w:rPr>
            </w:pPr>
            <w:r w:rsidRPr="00F15B2A">
              <w:rPr>
                <w:rFonts w:asciiTheme="majorBidi" w:hAnsiTheme="majorBidi" w:cstheme="majorBidi"/>
                <w:b/>
                <w:sz w:val="24"/>
                <w:szCs w:val="24"/>
              </w:rPr>
              <w:t xml:space="preserve">Figure 2.3          </w:t>
            </w:r>
            <w:r>
              <w:rPr>
                <w:rFonts w:asciiTheme="majorBidi" w:hAnsiTheme="majorBidi" w:cstheme="majorBidi"/>
                <w:bCs/>
                <w:sz w:val="24"/>
                <w:szCs w:val="24"/>
              </w:rPr>
              <w:t>Minimum Total Capital</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2</w:t>
            </w:r>
            <w:r>
              <w:rPr>
                <w:rFonts w:asciiTheme="majorBidi" w:hAnsiTheme="majorBidi" w:cstheme="majorBidi"/>
                <w:b/>
                <w:bCs/>
                <w:sz w:val="24"/>
                <w:szCs w:val="24"/>
                <w:lang w:bidi="ar-JO"/>
              </w:rPr>
              <w:t>8</w:t>
            </w:r>
          </w:p>
        </w:tc>
        <w:tc>
          <w:tcPr>
            <w:tcW w:w="8472" w:type="dxa"/>
          </w:tcPr>
          <w:p w:rsidR="001E0825" w:rsidRPr="006A371E" w:rsidRDefault="001E0825" w:rsidP="0090781A">
            <w:pPr>
              <w:spacing w:line="360" w:lineRule="auto"/>
              <w:rPr>
                <w:rFonts w:asciiTheme="majorBidi" w:hAnsiTheme="majorBidi" w:cstheme="majorBidi"/>
                <w:bCs/>
                <w:sz w:val="24"/>
                <w:szCs w:val="24"/>
                <w:rtl/>
              </w:rPr>
            </w:pPr>
            <w:r w:rsidRPr="00F15B2A">
              <w:rPr>
                <w:rFonts w:asciiTheme="majorBidi" w:hAnsiTheme="majorBidi" w:cstheme="majorBidi"/>
                <w:b/>
                <w:sz w:val="24"/>
                <w:szCs w:val="24"/>
              </w:rPr>
              <w:t xml:space="preserve">Figure 2.4          </w:t>
            </w:r>
            <w:r w:rsidRPr="00F15B2A">
              <w:rPr>
                <w:rFonts w:asciiTheme="majorBidi" w:hAnsiTheme="majorBidi" w:cstheme="majorBidi"/>
                <w:bCs/>
                <w:sz w:val="24"/>
                <w:szCs w:val="24"/>
              </w:rPr>
              <w:t>The Revi</w:t>
            </w:r>
            <w:r>
              <w:rPr>
                <w:rFonts w:asciiTheme="majorBidi" w:hAnsiTheme="majorBidi" w:cstheme="majorBidi"/>
                <w:bCs/>
                <w:sz w:val="24"/>
                <w:szCs w:val="24"/>
              </w:rPr>
              <w:t>sed Cook</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2</w:t>
            </w:r>
            <w:r>
              <w:rPr>
                <w:rFonts w:asciiTheme="majorBidi" w:hAnsiTheme="majorBidi" w:cstheme="majorBidi"/>
                <w:b/>
                <w:bCs/>
                <w:sz w:val="24"/>
                <w:szCs w:val="24"/>
                <w:lang w:bidi="ar-JO"/>
              </w:rPr>
              <w:t>9</w:t>
            </w:r>
          </w:p>
        </w:tc>
        <w:tc>
          <w:tcPr>
            <w:tcW w:w="8472" w:type="dxa"/>
          </w:tcPr>
          <w:p w:rsidR="001E0825" w:rsidRPr="006A371E" w:rsidRDefault="001E0825" w:rsidP="0090781A">
            <w:pPr>
              <w:spacing w:line="360" w:lineRule="auto"/>
              <w:rPr>
                <w:rFonts w:asciiTheme="majorBidi" w:hAnsiTheme="majorBidi" w:cstheme="majorBidi"/>
                <w:bCs/>
                <w:sz w:val="24"/>
                <w:szCs w:val="24"/>
                <w:rtl/>
              </w:rPr>
            </w:pPr>
            <w:r w:rsidRPr="00F15B2A">
              <w:rPr>
                <w:rFonts w:asciiTheme="majorBidi" w:hAnsiTheme="majorBidi" w:cstheme="majorBidi"/>
                <w:b/>
                <w:sz w:val="24"/>
                <w:szCs w:val="24"/>
              </w:rPr>
              <w:t xml:space="preserve">Figure 2.5          </w:t>
            </w:r>
            <w:r w:rsidRPr="00F15B2A">
              <w:rPr>
                <w:rFonts w:asciiTheme="majorBidi" w:hAnsiTheme="majorBidi" w:cstheme="majorBidi"/>
                <w:bCs/>
                <w:sz w:val="24"/>
                <w:szCs w:val="24"/>
              </w:rPr>
              <w:t>The New Bas</w:t>
            </w:r>
            <w:r>
              <w:rPr>
                <w:rFonts w:asciiTheme="majorBidi" w:hAnsiTheme="majorBidi" w:cstheme="majorBidi"/>
                <w:bCs/>
                <w:sz w:val="24"/>
                <w:szCs w:val="24"/>
              </w:rPr>
              <w:t>el Accord: Pillars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31</w:t>
            </w:r>
          </w:p>
        </w:tc>
        <w:tc>
          <w:tcPr>
            <w:tcW w:w="8472" w:type="dxa"/>
          </w:tcPr>
          <w:p w:rsidR="001E0825" w:rsidRPr="006A371E" w:rsidRDefault="001E0825" w:rsidP="0090781A">
            <w:pPr>
              <w:spacing w:line="360" w:lineRule="auto"/>
              <w:rPr>
                <w:rFonts w:asciiTheme="majorBidi" w:hAnsiTheme="majorBidi" w:cstheme="majorBidi"/>
                <w:bCs/>
                <w:sz w:val="24"/>
                <w:szCs w:val="24"/>
                <w:rtl/>
              </w:rPr>
            </w:pPr>
            <w:r w:rsidRPr="00F15B2A">
              <w:rPr>
                <w:rFonts w:asciiTheme="majorBidi" w:hAnsiTheme="majorBidi" w:cstheme="majorBidi"/>
                <w:b/>
                <w:sz w:val="24"/>
                <w:szCs w:val="24"/>
              </w:rPr>
              <w:t xml:space="preserve">Figure 2.6          </w:t>
            </w:r>
            <w:r w:rsidRPr="00F15B2A">
              <w:rPr>
                <w:rFonts w:asciiTheme="majorBidi" w:hAnsiTheme="majorBidi" w:cstheme="majorBidi"/>
                <w:bCs/>
                <w:sz w:val="24"/>
                <w:szCs w:val="24"/>
              </w:rPr>
              <w:t>The M</w:t>
            </w:r>
            <w:r>
              <w:rPr>
                <w:rFonts w:asciiTheme="majorBidi" w:hAnsiTheme="majorBidi" w:cstheme="majorBidi"/>
                <w:bCs/>
                <w:sz w:val="24"/>
                <w:szCs w:val="24"/>
              </w:rPr>
              <w:t>cDonough ratio</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42</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bCs/>
                <w:sz w:val="24"/>
                <w:szCs w:val="24"/>
              </w:rPr>
              <w:t>Figure 2.7</w:t>
            </w:r>
            <w:r w:rsidRPr="00F15B2A">
              <w:rPr>
                <w:rFonts w:asciiTheme="majorBidi" w:hAnsiTheme="majorBidi" w:cstheme="majorBidi"/>
                <w:sz w:val="24"/>
                <w:szCs w:val="24"/>
              </w:rPr>
              <w:t xml:space="preserve">          Credit Risk </w:t>
            </w:r>
            <w:r>
              <w:rPr>
                <w:rFonts w:asciiTheme="majorBidi" w:hAnsiTheme="majorBidi" w:cstheme="majorBidi"/>
                <w:sz w:val="24"/>
                <w:szCs w:val="24"/>
              </w:rPr>
              <w:t>Management Process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58</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bCs/>
                <w:sz w:val="24"/>
                <w:szCs w:val="24"/>
              </w:rPr>
              <w:t>Figure 2.8</w:t>
            </w:r>
            <w:r w:rsidRPr="00F15B2A">
              <w:rPr>
                <w:rFonts w:asciiTheme="majorBidi" w:hAnsiTheme="majorBidi" w:cstheme="majorBidi"/>
                <w:sz w:val="24"/>
                <w:szCs w:val="24"/>
              </w:rPr>
              <w:t xml:space="preserve">          Credit Risk Approaches t</w:t>
            </w:r>
            <w:r>
              <w:rPr>
                <w:rFonts w:asciiTheme="majorBidi" w:hAnsiTheme="majorBidi" w:cstheme="majorBidi"/>
                <w:sz w:val="24"/>
                <w:szCs w:val="24"/>
              </w:rPr>
              <w:t>o credit Risk in Basel II</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75</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bCs/>
                <w:sz w:val="24"/>
                <w:szCs w:val="24"/>
              </w:rPr>
              <w:t>Figure 2. 9</w:t>
            </w:r>
            <w:r w:rsidRPr="00F15B2A">
              <w:rPr>
                <w:rFonts w:asciiTheme="majorBidi" w:hAnsiTheme="majorBidi" w:cstheme="majorBidi"/>
                <w:sz w:val="24"/>
                <w:szCs w:val="24"/>
              </w:rPr>
              <w:t xml:space="preserve">          Local Banks in the Pal</w:t>
            </w:r>
            <w:r>
              <w:rPr>
                <w:rFonts w:asciiTheme="majorBidi" w:hAnsiTheme="majorBidi" w:cstheme="majorBidi"/>
                <w:sz w:val="24"/>
                <w:szCs w:val="24"/>
              </w:rPr>
              <w:t>estinian Banking Sector</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75</w:t>
            </w:r>
          </w:p>
        </w:tc>
        <w:tc>
          <w:tcPr>
            <w:tcW w:w="8472" w:type="dxa"/>
          </w:tcPr>
          <w:p w:rsidR="001E0825" w:rsidRPr="00F15B2A" w:rsidRDefault="001E0825" w:rsidP="0090781A">
            <w:pPr>
              <w:rPr>
                <w:rFonts w:asciiTheme="majorBidi" w:hAnsiTheme="majorBidi" w:cstheme="majorBidi"/>
                <w:sz w:val="24"/>
                <w:szCs w:val="24"/>
              </w:rPr>
            </w:pPr>
            <w:r w:rsidRPr="00F15B2A">
              <w:rPr>
                <w:rFonts w:asciiTheme="majorBidi" w:hAnsiTheme="majorBidi" w:cstheme="majorBidi"/>
                <w:b/>
                <w:bCs/>
                <w:sz w:val="24"/>
                <w:szCs w:val="24"/>
              </w:rPr>
              <w:t xml:space="preserve">Figure 2.10         </w:t>
            </w:r>
            <w:r w:rsidRPr="00F15B2A">
              <w:rPr>
                <w:rFonts w:asciiTheme="majorBidi" w:hAnsiTheme="majorBidi" w:cstheme="majorBidi"/>
                <w:sz w:val="24"/>
                <w:szCs w:val="24"/>
              </w:rPr>
              <w:t>Banking Assets during 2009-201</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Pr>
                <w:rFonts w:asciiTheme="majorBidi" w:hAnsiTheme="majorBidi" w:cstheme="majorBidi"/>
                <w:b/>
                <w:bCs/>
                <w:sz w:val="24"/>
                <w:szCs w:val="24"/>
                <w:lang w:bidi="ar-JO"/>
              </w:rPr>
              <w:t>76</w:t>
            </w:r>
          </w:p>
        </w:tc>
        <w:tc>
          <w:tcPr>
            <w:tcW w:w="8472" w:type="dxa"/>
          </w:tcPr>
          <w:p w:rsidR="001E0825" w:rsidRPr="006A371E" w:rsidRDefault="001E0825" w:rsidP="0090781A">
            <w:pPr>
              <w:autoSpaceDE w:val="0"/>
              <w:autoSpaceDN w:val="0"/>
              <w:adjustRightInd w:val="0"/>
              <w:spacing w:line="360" w:lineRule="auto"/>
              <w:rPr>
                <w:rFonts w:asciiTheme="majorBidi" w:hAnsiTheme="majorBidi" w:cstheme="majorBidi"/>
                <w:color w:val="000000"/>
                <w:sz w:val="24"/>
                <w:szCs w:val="24"/>
                <w:rtl/>
              </w:rPr>
            </w:pPr>
            <w:r w:rsidRPr="00F15B2A">
              <w:rPr>
                <w:rFonts w:asciiTheme="majorBidi" w:hAnsiTheme="majorBidi" w:cstheme="majorBidi"/>
                <w:b/>
                <w:bCs/>
                <w:color w:val="000000"/>
                <w:sz w:val="24"/>
                <w:szCs w:val="24"/>
              </w:rPr>
              <w:t>Figure 2. 11</w:t>
            </w:r>
            <w:r w:rsidRPr="00F15B2A">
              <w:rPr>
                <w:rFonts w:asciiTheme="majorBidi" w:hAnsiTheme="majorBidi" w:cstheme="majorBidi"/>
                <w:color w:val="000000"/>
                <w:sz w:val="24"/>
                <w:szCs w:val="24"/>
              </w:rPr>
              <w:t xml:space="preserve">         Banks (net) Eq</w:t>
            </w:r>
            <w:r>
              <w:rPr>
                <w:rFonts w:asciiTheme="majorBidi" w:hAnsiTheme="majorBidi" w:cstheme="majorBidi"/>
                <w:color w:val="000000"/>
                <w:sz w:val="24"/>
                <w:szCs w:val="24"/>
              </w:rPr>
              <w:t>uity during 2009-2010</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8</w:t>
            </w:r>
            <w:r>
              <w:rPr>
                <w:rFonts w:asciiTheme="majorBidi" w:hAnsiTheme="majorBidi" w:cstheme="majorBidi"/>
                <w:b/>
                <w:bCs/>
                <w:sz w:val="24"/>
                <w:szCs w:val="24"/>
                <w:lang w:bidi="ar-JO"/>
              </w:rPr>
              <w:t>3</w:t>
            </w:r>
          </w:p>
        </w:tc>
        <w:tc>
          <w:tcPr>
            <w:tcW w:w="8472" w:type="dxa"/>
          </w:tcPr>
          <w:p w:rsidR="001E0825" w:rsidRPr="00F15B2A" w:rsidRDefault="001E0825" w:rsidP="0090781A">
            <w:pPr>
              <w:pStyle w:val="Default"/>
              <w:spacing w:line="360" w:lineRule="auto"/>
              <w:rPr>
                <w:rFonts w:asciiTheme="majorBidi" w:hAnsiTheme="majorBidi" w:cstheme="majorBidi"/>
                <w:rtl/>
              </w:rPr>
            </w:pPr>
            <w:r w:rsidRPr="00F15B2A">
              <w:rPr>
                <w:rFonts w:asciiTheme="majorBidi" w:hAnsiTheme="majorBidi" w:cstheme="majorBidi"/>
                <w:b/>
                <w:bCs/>
              </w:rPr>
              <w:t xml:space="preserve">Figure 2.12          </w:t>
            </w:r>
            <w:r w:rsidRPr="00F15B2A">
              <w:rPr>
                <w:rFonts w:asciiTheme="majorBidi" w:hAnsiTheme="majorBidi" w:cstheme="majorBidi"/>
              </w:rPr>
              <w:t>Direct credit fa</w:t>
            </w:r>
            <w:r>
              <w:rPr>
                <w:rFonts w:asciiTheme="majorBidi" w:hAnsiTheme="majorBidi" w:cstheme="majorBidi"/>
              </w:rPr>
              <w:t>cilities, 2007-2011</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8</w:t>
            </w:r>
            <w:r>
              <w:rPr>
                <w:rFonts w:asciiTheme="majorBidi" w:hAnsiTheme="majorBidi" w:cstheme="majorBidi"/>
                <w:b/>
                <w:bCs/>
                <w:sz w:val="24"/>
                <w:szCs w:val="24"/>
                <w:lang w:bidi="ar-JO"/>
              </w:rPr>
              <w:t>4</w:t>
            </w:r>
          </w:p>
        </w:tc>
        <w:tc>
          <w:tcPr>
            <w:tcW w:w="8472" w:type="dxa"/>
          </w:tcPr>
          <w:p w:rsidR="001E0825" w:rsidRPr="006A371E" w:rsidRDefault="001E0825" w:rsidP="0090781A">
            <w:pPr>
              <w:pStyle w:val="Default"/>
              <w:spacing w:line="360" w:lineRule="auto"/>
              <w:rPr>
                <w:rFonts w:asciiTheme="majorBidi" w:hAnsiTheme="majorBidi" w:cstheme="majorBidi"/>
                <w:color w:val="auto"/>
                <w:rtl/>
              </w:rPr>
            </w:pPr>
            <w:r w:rsidRPr="00F15B2A">
              <w:rPr>
                <w:rFonts w:asciiTheme="majorBidi" w:hAnsiTheme="majorBidi" w:cstheme="majorBidi"/>
                <w:b/>
                <w:bCs/>
              </w:rPr>
              <w:t xml:space="preserve">Figure 2.13          </w:t>
            </w:r>
            <w:r w:rsidRPr="00F15B2A">
              <w:rPr>
                <w:rFonts w:asciiTheme="majorBidi" w:hAnsiTheme="majorBidi" w:cstheme="majorBidi"/>
                <w:color w:val="auto"/>
              </w:rPr>
              <w:t>Customer d</w:t>
            </w:r>
            <w:r>
              <w:rPr>
                <w:rFonts w:asciiTheme="majorBidi" w:hAnsiTheme="majorBidi" w:cstheme="majorBidi"/>
                <w:color w:val="auto"/>
              </w:rPr>
              <w:t>eposits, 2007-2011</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88</w:t>
            </w:r>
          </w:p>
        </w:tc>
        <w:tc>
          <w:tcPr>
            <w:tcW w:w="8472" w:type="dxa"/>
          </w:tcPr>
          <w:p w:rsidR="001E0825" w:rsidRPr="00F15B2A" w:rsidRDefault="001E0825" w:rsidP="0090781A">
            <w:pPr>
              <w:rPr>
                <w:rFonts w:asciiTheme="majorBidi" w:hAnsiTheme="majorBidi" w:cstheme="majorBidi"/>
                <w:sz w:val="24"/>
                <w:szCs w:val="24"/>
              </w:rPr>
            </w:pPr>
            <w:r w:rsidRPr="00F15B2A">
              <w:rPr>
                <w:rFonts w:asciiTheme="majorBidi" w:hAnsiTheme="majorBidi" w:cstheme="majorBidi"/>
                <w:b/>
                <w:bCs/>
                <w:sz w:val="24"/>
                <w:szCs w:val="24"/>
              </w:rPr>
              <w:t>Figure 2.14</w:t>
            </w:r>
            <w:r w:rsidRPr="00F15B2A">
              <w:rPr>
                <w:rFonts w:asciiTheme="majorBidi" w:hAnsiTheme="majorBidi" w:cstheme="majorBidi"/>
                <w:sz w:val="24"/>
                <w:szCs w:val="24"/>
              </w:rPr>
              <w:t xml:space="preserve">          Sect oral distribution of credi</w:t>
            </w:r>
            <w:r>
              <w:rPr>
                <w:rFonts w:asciiTheme="majorBidi" w:hAnsiTheme="majorBidi" w:cstheme="majorBidi"/>
                <w:sz w:val="24"/>
                <w:szCs w:val="24"/>
              </w:rPr>
              <w:t>t facilities for 2010 &amp; 2011</w:t>
            </w:r>
          </w:p>
          <w:p w:rsidR="001E0825" w:rsidRPr="00F15B2A" w:rsidRDefault="001E0825" w:rsidP="0090781A">
            <w:pPr>
              <w:rPr>
                <w:rFonts w:asciiTheme="majorBidi" w:hAnsiTheme="majorBidi" w:cstheme="majorBidi"/>
                <w:sz w:val="24"/>
                <w:szCs w:val="24"/>
                <w:rtl/>
                <w:lang w:bidi="ar-JO"/>
              </w:rPr>
            </w:pP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02</w:t>
            </w:r>
          </w:p>
        </w:tc>
        <w:tc>
          <w:tcPr>
            <w:tcW w:w="8472" w:type="dxa"/>
          </w:tcPr>
          <w:p w:rsidR="001E0825" w:rsidRPr="006A371E" w:rsidRDefault="001E0825" w:rsidP="0090781A">
            <w:pPr>
              <w:autoSpaceDE w:val="0"/>
              <w:autoSpaceDN w:val="0"/>
              <w:adjustRightInd w:val="0"/>
              <w:spacing w:line="360" w:lineRule="auto"/>
              <w:rPr>
                <w:rFonts w:asciiTheme="majorBidi" w:hAnsiTheme="majorBidi" w:cstheme="majorBidi"/>
                <w:color w:val="000000" w:themeColor="text1"/>
                <w:sz w:val="24"/>
                <w:szCs w:val="24"/>
                <w:rtl/>
              </w:rPr>
            </w:pPr>
            <w:r w:rsidRPr="00F15B2A">
              <w:rPr>
                <w:rFonts w:asciiTheme="majorBidi" w:hAnsiTheme="majorBidi" w:cstheme="majorBidi"/>
                <w:b/>
                <w:bCs/>
                <w:sz w:val="24"/>
                <w:szCs w:val="24"/>
              </w:rPr>
              <w:t>Figure 3.15</w:t>
            </w:r>
            <w:r w:rsidRPr="00F15B2A">
              <w:rPr>
                <w:rFonts w:asciiTheme="majorBidi" w:hAnsiTheme="majorBidi" w:cstheme="majorBidi"/>
                <w:color w:val="000000" w:themeColor="text1"/>
                <w:sz w:val="24"/>
                <w:szCs w:val="24"/>
              </w:rPr>
              <w:t xml:space="preserve">          S</w:t>
            </w:r>
            <w:r>
              <w:rPr>
                <w:rFonts w:asciiTheme="majorBidi" w:hAnsiTheme="majorBidi" w:cstheme="majorBidi"/>
                <w:color w:val="000000" w:themeColor="text1"/>
                <w:sz w:val="24"/>
                <w:szCs w:val="24"/>
              </w:rPr>
              <w:t>tudy Model</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12</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bCs/>
                <w:sz w:val="24"/>
                <w:szCs w:val="24"/>
              </w:rPr>
              <w:t>Figure 4.16</w:t>
            </w:r>
            <w:r w:rsidRPr="00F15B2A">
              <w:rPr>
                <w:rFonts w:asciiTheme="majorBidi" w:hAnsiTheme="majorBidi" w:cstheme="majorBidi"/>
                <w:sz w:val="24"/>
                <w:szCs w:val="24"/>
              </w:rPr>
              <w:t xml:space="preserve">          Return on Assets (ROA</w:t>
            </w:r>
            <w:r>
              <w:rPr>
                <w:rFonts w:asciiTheme="majorBidi" w:hAnsiTheme="majorBidi" w:cstheme="majorBidi"/>
                <w:sz w:val="24"/>
                <w:szCs w:val="24"/>
              </w:rPr>
              <w:t>) from 2005 - 2011 in (%)</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11</w:t>
            </w:r>
            <w:r>
              <w:rPr>
                <w:rFonts w:asciiTheme="majorBidi" w:hAnsiTheme="majorBidi" w:cstheme="majorBidi"/>
                <w:b/>
                <w:bCs/>
                <w:sz w:val="24"/>
                <w:szCs w:val="24"/>
                <w:lang w:bidi="ar-JO"/>
              </w:rPr>
              <w:t>3</w:t>
            </w:r>
          </w:p>
        </w:tc>
        <w:tc>
          <w:tcPr>
            <w:tcW w:w="8472" w:type="dxa"/>
          </w:tcPr>
          <w:p w:rsidR="001E0825" w:rsidRPr="00F15B2A" w:rsidRDefault="001E0825" w:rsidP="0090781A">
            <w:pPr>
              <w:spacing w:line="360" w:lineRule="auto"/>
              <w:rPr>
                <w:rFonts w:asciiTheme="majorBidi" w:hAnsiTheme="majorBidi" w:cstheme="majorBidi"/>
                <w:sz w:val="24"/>
                <w:szCs w:val="24"/>
                <w:rtl/>
              </w:rPr>
            </w:pPr>
            <w:r w:rsidRPr="00F15B2A">
              <w:rPr>
                <w:rFonts w:asciiTheme="majorBidi" w:hAnsiTheme="majorBidi" w:cstheme="majorBidi"/>
                <w:b/>
                <w:bCs/>
                <w:sz w:val="24"/>
                <w:szCs w:val="24"/>
              </w:rPr>
              <w:t xml:space="preserve">Figure 4.17          </w:t>
            </w:r>
            <w:r w:rsidRPr="00F15B2A">
              <w:rPr>
                <w:rFonts w:asciiTheme="majorBidi" w:hAnsiTheme="majorBidi" w:cstheme="majorBidi"/>
                <w:sz w:val="24"/>
                <w:szCs w:val="24"/>
              </w:rPr>
              <w:t xml:space="preserve"> Return on Equity (ROE)</w:t>
            </w:r>
            <w:r>
              <w:rPr>
                <w:rFonts w:asciiTheme="majorBidi" w:hAnsiTheme="majorBidi" w:cstheme="majorBidi"/>
                <w:sz w:val="24"/>
                <w:szCs w:val="24"/>
              </w:rPr>
              <w:t xml:space="preserve"> from 2005 - 2011 in (%)</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15</w:t>
            </w:r>
          </w:p>
        </w:tc>
        <w:tc>
          <w:tcPr>
            <w:tcW w:w="8472" w:type="dxa"/>
          </w:tcPr>
          <w:p w:rsidR="001E0825" w:rsidRPr="00F15B2A" w:rsidRDefault="001E0825" w:rsidP="0090781A">
            <w:pPr>
              <w:rPr>
                <w:rFonts w:asciiTheme="majorBidi" w:hAnsiTheme="majorBidi" w:cstheme="majorBidi"/>
                <w:sz w:val="24"/>
                <w:szCs w:val="24"/>
                <w:lang w:bidi="ar-JO"/>
              </w:rPr>
            </w:pPr>
            <w:r w:rsidRPr="00F15B2A">
              <w:rPr>
                <w:rFonts w:asciiTheme="majorBidi" w:hAnsiTheme="majorBidi" w:cstheme="majorBidi"/>
                <w:b/>
                <w:bCs/>
                <w:color w:val="000000" w:themeColor="text1"/>
                <w:sz w:val="24"/>
                <w:szCs w:val="24"/>
              </w:rPr>
              <w:t>Figure 4.18</w:t>
            </w:r>
            <w:r w:rsidRPr="00F15B2A">
              <w:rPr>
                <w:rFonts w:asciiTheme="majorBidi" w:hAnsiTheme="majorBidi" w:cstheme="majorBidi"/>
                <w:color w:val="000000" w:themeColor="text1"/>
                <w:sz w:val="24"/>
                <w:szCs w:val="24"/>
              </w:rPr>
              <w:t xml:space="preserve">           Nonperforming loans (NPLR) from 2005 - 2011 in (%)</w:t>
            </w:r>
          </w:p>
          <w:p w:rsidR="001E0825" w:rsidRPr="00F15B2A" w:rsidRDefault="001E0825" w:rsidP="0090781A">
            <w:pPr>
              <w:rPr>
                <w:rFonts w:asciiTheme="majorBidi" w:hAnsiTheme="majorBidi" w:cstheme="majorBidi"/>
                <w:sz w:val="24"/>
                <w:szCs w:val="24"/>
                <w:lang w:bidi="ar-JO"/>
              </w:rPr>
            </w:pP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16</w:t>
            </w:r>
          </w:p>
        </w:tc>
        <w:tc>
          <w:tcPr>
            <w:tcW w:w="8472" w:type="dxa"/>
          </w:tcPr>
          <w:p w:rsidR="001E0825" w:rsidRPr="00F15B2A" w:rsidRDefault="001E0825" w:rsidP="0090781A">
            <w:pPr>
              <w:rPr>
                <w:rFonts w:asciiTheme="majorBidi" w:hAnsiTheme="majorBidi" w:cstheme="majorBidi"/>
                <w:color w:val="000000" w:themeColor="text1"/>
                <w:sz w:val="24"/>
                <w:szCs w:val="24"/>
              </w:rPr>
            </w:pPr>
            <w:r w:rsidRPr="00F15B2A">
              <w:rPr>
                <w:rFonts w:asciiTheme="majorBidi" w:hAnsiTheme="majorBidi" w:cstheme="majorBidi"/>
                <w:b/>
                <w:bCs/>
                <w:color w:val="000000" w:themeColor="text1"/>
                <w:sz w:val="24"/>
                <w:szCs w:val="24"/>
              </w:rPr>
              <w:t>Figure 4.19</w:t>
            </w:r>
            <w:r w:rsidRPr="00F15B2A">
              <w:rPr>
                <w:rFonts w:asciiTheme="majorBidi" w:hAnsiTheme="majorBidi" w:cstheme="majorBidi"/>
                <w:color w:val="000000" w:themeColor="text1"/>
                <w:sz w:val="24"/>
                <w:szCs w:val="24"/>
              </w:rPr>
              <w:t xml:space="preserve">          Capital Adequacy fr</w:t>
            </w:r>
            <w:r>
              <w:rPr>
                <w:rFonts w:asciiTheme="majorBidi" w:hAnsiTheme="majorBidi" w:cstheme="majorBidi"/>
                <w:color w:val="000000" w:themeColor="text1"/>
                <w:sz w:val="24"/>
                <w:szCs w:val="24"/>
              </w:rPr>
              <w:t>om 2005 - 2011 in (%)</w:t>
            </w:r>
          </w:p>
          <w:p w:rsidR="001E0825" w:rsidRPr="00F15B2A" w:rsidRDefault="001E0825" w:rsidP="0090781A">
            <w:pPr>
              <w:rPr>
                <w:rFonts w:asciiTheme="majorBidi" w:hAnsiTheme="majorBidi" w:cstheme="majorBidi"/>
                <w:sz w:val="24"/>
                <w:szCs w:val="24"/>
                <w:rtl/>
                <w:lang w:bidi="ar-JO"/>
              </w:rPr>
            </w:pP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16</w:t>
            </w:r>
          </w:p>
        </w:tc>
        <w:tc>
          <w:tcPr>
            <w:tcW w:w="8472" w:type="dxa"/>
          </w:tcPr>
          <w:p w:rsidR="001E0825" w:rsidRPr="00F15B2A" w:rsidRDefault="001E0825" w:rsidP="0090781A">
            <w:pPr>
              <w:rPr>
                <w:rFonts w:asciiTheme="majorBidi" w:hAnsiTheme="majorBidi" w:cstheme="majorBidi"/>
                <w:color w:val="000000" w:themeColor="text1"/>
                <w:sz w:val="24"/>
                <w:szCs w:val="24"/>
              </w:rPr>
            </w:pPr>
            <w:r w:rsidRPr="00F15B2A">
              <w:rPr>
                <w:rFonts w:asciiTheme="majorBidi" w:hAnsiTheme="majorBidi" w:cstheme="majorBidi"/>
                <w:b/>
                <w:bCs/>
                <w:color w:val="000000" w:themeColor="text1"/>
                <w:sz w:val="24"/>
                <w:szCs w:val="24"/>
              </w:rPr>
              <w:t>Figure 4.20</w:t>
            </w:r>
            <w:r w:rsidRPr="00F15B2A">
              <w:rPr>
                <w:rFonts w:asciiTheme="majorBidi" w:hAnsiTheme="majorBidi" w:cstheme="majorBidi"/>
                <w:color w:val="000000" w:themeColor="text1"/>
                <w:sz w:val="24"/>
                <w:szCs w:val="24"/>
              </w:rPr>
              <w:t xml:space="preserve">          Noninterest Income f</w:t>
            </w:r>
            <w:r>
              <w:rPr>
                <w:rFonts w:asciiTheme="majorBidi" w:hAnsiTheme="majorBidi" w:cstheme="majorBidi"/>
                <w:color w:val="000000" w:themeColor="text1"/>
                <w:sz w:val="24"/>
                <w:szCs w:val="24"/>
              </w:rPr>
              <w:t>rom 2005 - 2011 in (%)</w:t>
            </w:r>
          </w:p>
          <w:p w:rsidR="001E0825" w:rsidRPr="00F15B2A" w:rsidRDefault="001E0825" w:rsidP="0090781A">
            <w:pPr>
              <w:rPr>
                <w:rFonts w:asciiTheme="majorBidi" w:hAnsiTheme="majorBidi" w:cstheme="majorBidi"/>
                <w:b/>
                <w:bCs/>
                <w:color w:val="000000" w:themeColor="text1"/>
                <w:sz w:val="24"/>
                <w:szCs w:val="24"/>
                <w:lang w:bidi="ar-JO"/>
              </w:rPr>
            </w:pPr>
          </w:p>
        </w:tc>
      </w:tr>
      <w:tr w:rsidR="001E0825" w:rsidRPr="00F15B2A" w:rsidTr="0090781A">
        <w:tc>
          <w:tcPr>
            <w:tcW w:w="770" w:type="dxa"/>
          </w:tcPr>
          <w:p w:rsidR="001E0825"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17</w:t>
            </w:r>
          </w:p>
          <w:p w:rsidR="001E0825" w:rsidRDefault="001E0825" w:rsidP="0090781A">
            <w:pPr>
              <w:jc w:val="center"/>
              <w:rPr>
                <w:rFonts w:asciiTheme="majorBidi" w:hAnsiTheme="majorBidi" w:cstheme="majorBidi"/>
                <w:b/>
                <w:bCs/>
                <w:sz w:val="24"/>
                <w:szCs w:val="24"/>
                <w:rtl/>
                <w:lang w:bidi="ar-JO"/>
              </w:rPr>
            </w:pPr>
          </w:p>
          <w:p w:rsidR="001E0825" w:rsidRDefault="001E0825" w:rsidP="0090781A">
            <w:pPr>
              <w:jc w:val="center"/>
              <w:rPr>
                <w:rFonts w:asciiTheme="majorBidi" w:hAnsiTheme="majorBidi" w:cstheme="majorBidi"/>
                <w:b/>
                <w:bCs/>
                <w:sz w:val="24"/>
                <w:szCs w:val="24"/>
                <w:rtl/>
                <w:lang w:bidi="ar-JO"/>
              </w:rPr>
            </w:pPr>
          </w:p>
          <w:p w:rsidR="001E0825" w:rsidRDefault="001E0825" w:rsidP="0090781A">
            <w:pPr>
              <w:jc w:val="center"/>
              <w:rPr>
                <w:rFonts w:asciiTheme="majorBidi" w:hAnsiTheme="majorBidi" w:cstheme="majorBidi"/>
                <w:b/>
                <w:bCs/>
                <w:sz w:val="24"/>
                <w:szCs w:val="24"/>
                <w:rtl/>
                <w:lang w:bidi="ar-JO"/>
              </w:rPr>
            </w:pPr>
          </w:p>
          <w:p w:rsidR="001E0825" w:rsidRPr="00C65472" w:rsidRDefault="001E0825" w:rsidP="0090781A">
            <w:pPr>
              <w:jc w:val="center"/>
              <w:rPr>
                <w:rFonts w:asciiTheme="majorBidi" w:hAnsiTheme="majorBidi" w:cstheme="majorBidi"/>
                <w:b/>
                <w:bCs/>
                <w:sz w:val="24"/>
                <w:szCs w:val="24"/>
                <w:lang w:bidi="ar-JO"/>
              </w:rPr>
            </w:pPr>
            <w:r>
              <w:rPr>
                <w:rFonts w:asciiTheme="majorBidi" w:hAnsiTheme="majorBidi" w:cstheme="majorBidi"/>
                <w:b/>
                <w:bCs/>
                <w:sz w:val="24"/>
                <w:szCs w:val="24"/>
                <w:lang w:bidi="ar-JO"/>
              </w:rPr>
              <w:t>118</w:t>
            </w:r>
          </w:p>
        </w:tc>
        <w:tc>
          <w:tcPr>
            <w:tcW w:w="8472" w:type="dxa"/>
          </w:tcPr>
          <w:p w:rsidR="001E0825" w:rsidRPr="00F15B2A" w:rsidRDefault="001E0825" w:rsidP="0090781A">
            <w:pPr>
              <w:rPr>
                <w:rFonts w:asciiTheme="majorBidi" w:hAnsiTheme="majorBidi" w:cstheme="majorBidi"/>
                <w:color w:val="000000" w:themeColor="text1"/>
                <w:sz w:val="24"/>
                <w:szCs w:val="24"/>
              </w:rPr>
            </w:pPr>
            <w:r w:rsidRPr="00F15B2A">
              <w:rPr>
                <w:rFonts w:asciiTheme="majorBidi" w:hAnsiTheme="majorBidi" w:cstheme="majorBidi"/>
                <w:b/>
                <w:bCs/>
                <w:color w:val="000000" w:themeColor="text1"/>
                <w:sz w:val="24"/>
                <w:szCs w:val="24"/>
              </w:rPr>
              <w:t>Figure 4.21</w:t>
            </w:r>
            <w:r w:rsidRPr="00F15B2A">
              <w:rPr>
                <w:rFonts w:asciiTheme="majorBidi" w:hAnsiTheme="majorBidi" w:cstheme="majorBidi"/>
                <w:color w:val="000000" w:themeColor="text1"/>
                <w:sz w:val="24"/>
                <w:szCs w:val="24"/>
              </w:rPr>
              <w:t xml:space="preserve">          Loan Loss Provisions to net interest income (LLPI)  </w:t>
            </w:r>
          </w:p>
          <w:p w:rsidR="001E0825" w:rsidRDefault="001E0825" w:rsidP="0090781A">
            <w:pPr>
              <w:rPr>
                <w:rFonts w:asciiTheme="majorBidi" w:hAnsiTheme="majorBidi" w:cstheme="majorBidi"/>
                <w:color w:val="000000" w:themeColor="text1"/>
                <w:sz w:val="24"/>
                <w:szCs w:val="24"/>
              </w:rPr>
            </w:pPr>
            <w:r w:rsidRPr="00F15B2A">
              <w:rPr>
                <w:rFonts w:asciiTheme="majorBidi" w:hAnsiTheme="majorBidi" w:cstheme="majorBidi"/>
                <w:color w:val="000000" w:themeColor="text1"/>
                <w:sz w:val="24"/>
                <w:szCs w:val="24"/>
              </w:rPr>
              <w:t xml:space="preserve">                             from 200</w:t>
            </w:r>
            <w:r>
              <w:rPr>
                <w:rFonts w:asciiTheme="majorBidi" w:hAnsiTheme="majorBidi" w:cstheme="majorBidi"/>
                <w:color w:val="000000" w:themeColor="text1"/>
                <w:sz w:val="24"/>
                <w:szCs w:val="24"/>
              </w:rPr>
              <w:t>5 - 2011 in (%)</w:t>
            </w:r>
          </w:p>
          <w:p w:rsidR="001E0825" w:rsidRPr="00F15B2A" w:rsidRDefault="001E0825" w:rsidP="0090781A">
            <w:pPr>
              <w:rPr>
                <w:rFonts w:asciiTheme="majorBidi" w:hAnsiTheme="majorBidi" w:cstheme="majorBidi"/>
                <w:color w:val="000000" w:themeColor="text1"/>
                <w:sz w:val="24"/>
                <w:szCs w:val="24"/>
              </w:rPr>
            </w:pPr>
          </w:p>
          <w:p w:rsidR="001E0825" w:rsidRDefault="001E0825" w:rsidP="0090781A">
            <w:pPr>
              <w:autoSpaceDE w:val="0"/>
              <w:autoSpaceDN w:val="0"/>
              <w:adjustRightInd w:val="0"/>
              <w:spacing w:line="360" w:lineRule="auto"/>
              <w:rPr>
                <w:rFonts w:asciiTheme="majorBidi" w:hAnsiTheme="majorBidi" w:cstheme="majorBidi"/>
                <w:color w:val="000000" w:themeColor="text1"/>
                <w:sz w:val="24"/>
                <w:szCs w:val="24"/>
              </w:rPr>
            </w:pPr>
            <w:r w:rsidRPr="00F15B2A">
              <w:rPr>
                <w:rFonts w:asciiTheme="majorBidi" w:hAnsiTheme="majorBidi" w:cstheme="majorBidi"/>
                <w:b/>
                <w:bCs/>
                <w:sz w:val="24"/>
                <w:szCs w:val="24"/>
              </w:rPr>
              <w:t xml:space="preserve">Figure 4.22          </w:t>
            </w:r>
            <w:r w:rsidRPr="00F15B2A">
              <w:rPr>
                <w:rFonts w:asciiTheme="majorBidi" w:hAnsiTheme="majorBidi" w:cstheme="majorBidi"/>
                <w:sz w:val="24"/>
                <w:szCs w:val="24"/>
              </w:rPr>
              <w:t>Annual Mean Scores (%) of Noninterest Expense</w:t>
            </w:r>
            <w:r>
              <w:rPr>
                <w:rFonts w:asciiTheme="majorBidi" w:hAnsiTheme="majorBidi" w:cstheme="majorBidi"/>
                <w:sz w:val="24"/>
                <w:szCs w:val="24"/>
              </w:rPr>
              <w:t xml:space="preserve"> </w:t>
            </w:r>
            <w:r w:rsidRPr="00F15B2A">
              <w:rPr>
                <w:rFonts w:asciiTheme="majorBidi" w:hAnsiTheme="majorBidi" w:cstheme="majorBidi"/>
                <w:color w:val="000000" w:themeColor="text1"/>
                <w:sz w:val="24"/>
                <w:szCs w:val="24"/>
              </w:rPr>
              <w:t xml:space="preserve">to Net Interest </w:t>
            </w:r>
          </w:p>
          <w:p w:rsidR="001E0825" w:rsidRPr="006A371E" w:rsidRDefault="001E0825" w:rsidP="0090781A">
            <w:pPr>
              <w:autoSpaceDE w:val="0"/>
              <w:autoSpaceDN w:val="0"/>
              <w:adjustRightInd w:val="0"/>
              <w:spacing w:line="360" w:lineRule="auto"/>
              <w:rPr>
                <w:rFonts w:asciiTheme="majorBidi" w:hAnsiTheme="majorBidi" w:cstheme="majorBidi"/>
                <w:sz w:val="24"/>
                <w:szCs w:val="24"/>
                <w:rtl/>
              </w:rPr>
            </w:pPr>
            <w:r>
              <w:rPr>
                <w:rFonts w:asciiTheme="majorBidi" w:hAnsiTheme="majorBidi" w:cstheme="majorBidi"/>
                <w:color w:val="000000" w:themeColor="text1"/>
                <w:sz w:val="24"/>
                <w:szCs w:val="24"/>
              </w:rPr>
              <w:t xml:space="preserve">                               </w:t>
            </w:r>
            <w:r w:rsidRPr="00F15B2A">
              <w:rPr>
                <w:rFonts w:asciiTheme="majorBidi" w:hAnsiTheme="majorBidi" w:cstheme="majorBidi"/>
                <w:color w:val="000000" w:themeColor="text1"/>
                <w:sz w:val="24"/>
                <w:szCs w:val="24"/>
              </w:rPr>
              <w:t>Income + noninterest income from 2005 -201</w:t>
            </w:r>
            <w:r>
              <w:rPr>
                <w:rFonts w:asciiTheme="majorBidi" w:hAnsiTheme="majorBidi" w:cstheme="majorBidi"/>
                <w:color w:val="000000" w:themeColor="text1"/>
                <w:sz w:val="24"/>
                <w:szCs w:val="24"/>
              </w:rPr>
              <w:t xml:space="preserve">1    </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36</w:t>
            </w:r>
          </w:p>
        </w:tc>
        <w:tc>
          <w:tcPr>
            <w:tcW w:w="8472" w:type="dxa"/>
          </w:tcPr>
          <w:p w:rsidR="001E0825" w:rsidRPr="006A371E" w:rsidRDefault="001E0825" w:rsidP="0090781A">
            <w:pPr>
              <w:spacing w:line="360" w:lineRule="auto"/>
              <w:rPr>
                <w:rFonts w:asciiTheme="majorBidi" w:hAnsiTheme="majorBidi" w:cstheme="majorBidi"/>
                <w:color w:val="000000" w:themeColor="text1"/>
                <w:sz w:val="24"/>
                <w:szCs w:val="24"/>
              </w:rPr>
            </w:pPr>
            <w:r w:rsidRPr="00F15B2A">
              <w:rPr>
                <w:rFonts w:asciiTheme="majorBidi" w:hAnsiTheme="majorBidi" w:cstheme="majorBidi"/>
                <w:b/>
                <w:bCs/>
                <w:color w:val="000000" w:themeColor="text1"/>
                <w:sz w:val="24"/>
                <w:szCs w:val="24"/>
              </w:rPr>
              <w:t>Figure 4.23</w:t>
            </w:r>
            <w:r w:rsidRPr="00F15B2A">
              <w:rPr>
                <w:rFonts w:asciiTheme="majorBidi" w:hAnsiTheme="majorBidi" w:cstheme="majorBidi"/>
                <w:color w:val="000000" w:themeColor="text1"/>
                <w:sz w:val="24"/>
                <w:szCs w:val="24"/>
              </w:rPr>
              <w:t xml:space="preserve">          Credit Risk Manage</w:t>
            </w:r>
            <w:r>
              <w:rPr>
                <w:rFonts w:asciiTheme="majorBidi" w:hAnsiTheme="majorBidi" w:cstheme="majorBidi"/>
                <w:color w:val="000000" w:themeColor="text1"/>
                <w:sz w:val="24"/>
                <w:szCs w:val="24"/>
              </w:rPr>
              <w:t>ment Organizations at BOP</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37</w:t>
            </w:r>
          </w:p>
        </w:tc>
        <w:tc>
          <w:tcPr>
            <w:tcW w:w="8472" w:type="dxa"/>
          </w:tcPr>
          <w:p w:rsidR="001E0825" w:rsidRPr="006A371E" w:rsidRDefault="001E0825" w:rsidP="0090781A">
            <w:pPr>
              <w:spacing w:line="360" w:lineRule="auto"/>
              <w:rPr>
                <w:rFonts w:asciiTheme="majorBidi" w:hAnsiTheme="majorBidi" w:cstheme="majorBidi"/>
                <w:sz w:val="24"/>
                <w:szCs w:val="24"/>
              </w:rPr>
            </w:pPr>
            <w:r w:rsidRPr="00F15B2A">
              <w:rPr>
                <w:rFonts w:asciiTheme="majorBidi" w:hAnsiTheme="majorBidi" w:cstheme="majorBidi"/>
                <w:b/>
                <w:bCs/>
                <w:color w:val="000000" w:themeColor="text1"/>
                <w:sz w:val="24"/>
                <w:szCs w:val="24"/>
              </w:rPr>
              <w:t>Figure 4.24</w:t>
            </w:r>
            <w:r w:rsidRPr="00F15B2A">
              <w:rPr>
                <w:rFonts w:asciiTheme="majorBidi" w:hAnsiTheme="majorBidi" w:cstheme="majorBidi"/>
                <w:sz w:val="24"/>
                <w:szCs w:val="24"/>
              </w:rPr>
              <w:t xml:space="preserve">          Credit Risk Managemen</w:t>
            </w:r>
            <w:r>
              <w:rPr>
                <w:rFonts w:asciiTheme="majorBidi" w:hAnsiTheme="majorBidi" w:cstheme="majorBidi"/>
                <w:sz w:val="24"/>
                <w:szCs w:val="24"/>
              </w:rPr>
              <w:t>t Organizations at AL-quds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lastRenderedPageBreak/>
              <w:t>1</w:t>
            </w:r>
            <w:r>
              <w:rPr>
                <w:rFonts w:asciiTheme="majorBidi" w:hAnsiTheme="majorBidi" w:cstheme="majorBidi"/>
                <w:b/>
                <w:bCs/>
                <w:sz w:val="24"/>
                <w:szCs w:val="24"/>
                <w:lang w:bidi="ar-JO"/>
              </w:rPr>
              <w:t>38</w:t>
            </w:r>
          </w:p>
        </w:tc>
        <w:tc>
          <w:tcPr>
            <w:tcW w:w="8472" w:type="dxa"/>
          </w:tcPr>
          <w:p w:rsidR="001E0825" w:rsidRPr="006A371E" w:rsidRDefault="001E0825" w:rsidP="0090781A">
            <w:pPr>
              <w:spacing w:line="360" w:lineRule="auto"/>
              <w:rPr>
                <w:rFonts w:asciiTheme="majorBidi" w:hAnsiTheme="majorBidi" w:cstheme="majorBidi"/>
                <w:sz w:val="24"/>
                <w:szCs w:val="24"/>
              </w:rPr>
            </w:pPr>
            <w:r w:rsidRPr="00F15B2A">
              <w:rPr>
                <w:rFonts w:asciiTheme="majorBidi" w:hAnsiTheme="majorBidi" w:cstheme="majorBidi"/>
                <w:b/>
                <w:bCs/>
                <w:sz w:val="24"/>
                <w:szCs w:val="24"/>
              </w:rPr>
              <w:t>Figure 4.25</w:t>
            </w:r>
            <w:r w:rsidRPr="00F15B2A">
              <w:rPr>
                <w:rFonts w:asciiTheme="majorBidi" w:hAnsiTheme="majorBidi" w:cstheme="majorBidi"/>
                <w:sz w:val="24"/>
                <w:szCs w:val="24"/>
              </w:rPr>
              <w:t xml:space="preserve">          Exposure to </w:t>
            </w:r>
            <w:r>
              <w:rPr>
                <w:rFonts w:asciiTheme="majorBidi" w:hAnsiTheme="majorBidi" w:cstheme="majorBidi"/>
                <w:sz w:val="24"/>
                <w:szCs w:val="24"/>
              </w:rPr>
              <w:t>Credit Risk at BOP</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39</w:t>
            </w:r>
          </w:p>
        </w:tc>
        <w:tc>
          <w:tcPr>
            <w:tcW w:w="8472" w:type="dxa"/>
          </w:tcPr>
          <w:p w:rsidR="001E0825" w:rsidRDefault="001E0825" w:rsidP="0090781A">
            <w:pPr>
              <w:rPr>
                <w:rFonts w:asciiTheme="majorBidi" w:eastAsia="Times New Roman" w:hAnsiTheme="majorBidi" w:cstheme="majorBidi"/>
                <w:sz w:val="24"/>
                <w:szCs w:val="24"/>
              </w:rPr>
            </w:pPr>
            <w:r w:rsidRPr="00F15B2A">
              <w:rPr>
                <w:rFonts w:asciiTheme="majorBidi" w:eastAsia="Times New Roman" w:hAnsiTheme="majorBidi" w:cstheme="majorBidi"/>
                <w:b/>
                <w:bCs/>
                <w:sz w:val="24"/>
                <w:szCs w:val="24"/>
              </w:rPr>
              <w:t xml:space="preserve">Figure 4.26          </w:t>
            </w:r>
            <w:r w:rsidRPr="00F15B2A">
              <w:rPr>
                <w:rFonts w:asciiTheme="majorBidi" w:eastAsia="Times New Roman" w:hAnsiTheme="majorBidi" w:cstheme="majorBidi"/>
                <w:sz w:val="24"/>
                <w:szCs w:val="24"/>
              </w:rPr>
              <w:t xml:space="preserve">Concentration of risk exposures according to the geographical area </w:t>
            </w:r>
          </w:p>
          <w:p w:rsidR="001E0825" w:rsidRPr="00F15B2A" w:rsidRDefault="001E0825" w:rsidP="0090781A">
            <w:pPr>
              <w:rPr>
                <w:rFonts w:asciiTheme="majorBidi" w:hAnsiTheme="majorBidi" w:cstheme="majorBidi"/>
                <w:b/>
                <w:bCs/>
                <w:color w:val="000000" w:themeColor="text1"/>
                <w:sz w:val="24"/>
                <w:szCs w:val="24"/>
                <w:rtl/>
                <w:lang w:bidi="ar-JO"/>
              </w:rPr>
            </w:pPr>
            <w:r>
              <w:rPr>
                <w:rFonts w:asciiTheme="majorBidi" w:eastAsia="Times New Roman" w:hAnsiTheme="majorBidi" w:cstheme="majorBidi"/>
                <w:sz w:val="24"/>
                <w:szCs w:val="24"/>
              </w:rPr>
              <w:t xml:space="preserve">                              At BOP</w:t>
            </w:r>
            <w:r w:rsidRPr="00F15B2A">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w:t>
            </w:r>
            <w:r w:rsidRPr="00F15B2A">
              <w:rPr>
                <w:rFonts w:asciiTheme="majorBidi" w:eastAsia="Times New Roman" w:hAnsiTheme="majorBidi" w:cstheme="majorBidi"/>
                <w:sz w:val="24"/>
                <w:szCs w:val="24"/>
                <w:rtl/>
                <w:lang w:bidi="ar-JO"/>
              </w:rPr>
              <w:t xml:space="preserve"> </w:t>
            </w:r>
            <w:r>
              <w:rPr>
                <w:rFonts w:asciiTheme="majorBidi" w:eastAsia="Times New Roman" w:hAnsiTheme="majorBidi" w:cstheme="majorBidi"/>
                <w:sz w:val="24"/>
                <w:szCs w:val="24"/>
                <w:rtl/>
                <w:lang w:bidi="ar-JO"/>
              </w:rPr>
              <w:t xml:space="preserve">                                </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39</w:t>
            </w:r>
          </w:p>
        </w:tc>
        <w:tc>
          <w:tcPr>
            <w:tcW w:w="8472" w:type="dxa"/>
          </w:tcPr>
          <w:p w:rsidR="001E0825" w:rsidRPr="006A371E" w:rsidRDefault="001E0825" w:rsidP="0090781A">
            <w:pPr>
              <w:spacing w:line="360" w:lineRule="auto"/>
              <w:rPr>
                <w:rFonts w:asciiTheme="majorBidi" w:eastAsia="Times New Roman" w:hAnsiTheme="majorBidi" w:cstheme="majorBidi"/>
                <w:color w:val="000000" w:themeColor="text1"/>
                <w:sz w:val="24"/>
                <w:szCs w:val="24"/>
              </w:rPr>
            </w:pPr>
            <w:r w:rsidRPr="00F15B2A">
              <w:rPr>
                <w:rFonts w:asciiTheme="majorBidi" w:eastAsia="Times New Roman" w:hAnsiTheme="majorBidi" w:cstheme="majorBidi"/>
                <w:b/>
                <w:bCs/>
                <w:color w:val="000000" w:themeColor="text1"/>
                <w:sz w:val="24"/>
                <w:szCs w:val="24"/>
              </w:rPr>
              <w:t xml:space="preserve">Figure 4.27         </w:t>
            </w:r>
            <w:r w:rsidRPr="00F15B2A">
              <w:rPr>
                <w:rFonts w:asciiTheme="majorBidi" w:eastAsia="Times New Roman" w:hAnsiTheme="majorBidi" w:cstheme="majorBidi"/>
                <w:color w:val="000000" w:themeColor="text1"/>
                <w:sz w:val="24"/>
                <w:szCs w:val="24"/>
              </w:rPr>
              <w:t>Concentration of risk exposures</w:t>
            </w:r>
            <w:r>
              <w:rPr>
                <w:rFonts w:asciiTheme="majorBidi" w:eastAsia="Times New Roman" w:hAnsiTheme="majorBidi" w:cstheme="majorBidi"/>
                <w:color w:val="000000" w:themeColor="text1"/>
                <w:sz w:val="24"/>
                <w:szCs w:val="24"/>
              </w:rPr>
              <w:t xml:space="preserve"> according to economic sectors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1</w:t>
            </w:r>
          </w:p>
        </w:tc>
        <w:tc>
          <w:tcPr>
            <w:tcW w:w="8472" w:type="dxa"/>
          </w:tcPr>
          <w:p w:rsidR="001E0825" w:rsidRPr="006A371E" w:rsidRDefault="001E0825" w:rsidP="0090781A">
            <w:pPr>
              <w:spacing w:line="360" w:lineRule="auto"/>
              <w:rPr>
                <w:rFonts w:asciiTheme="majorBidi" w:hAnsiTheme="majorBidi" w:cstheme="majorBidi"/>
                <w:sz w:val="24"/>
                <w:szCs w:val="24"/>
              </w:rPr>
            </w:pPr>
            <w:r w:rsidRPr="00F15B2A">
              <w:rPr>
                <w:rFonts w:asciiTheme="majorBidi" w:hAnsiTheme="majorBidi" w:cstheme="majorBidi"/>
                <w:b/>
                <w:bCs/>
                <w:sz w:val="24"/>
                <w:szCs w:val="24"/>
              </w:rPr>
              <w:t>Figure 4.28</w:t>
            </w:r>
            <w:r w:rsidRPr="00F15B2A">
              <w:rPr>
                <w:rFonts w:asciiTheme="majorBidi" w:hAnsiTheme="majorBidi" w:cstheme="majorBidi"/>
                <w:sz w:val="24"/>
                <w:szCs w:val="24"/>
              </w:rPr>
              <w:t xml:space="preserve">         Distribution of credit </w:t>
            </w:r>
            <w:r>
              <w:rPr>
                <w:rFonts w:asciiTheme="majorBidi" w:hAnsiTheme="majorBidi" w:cstheme="majorBidi"/>
                <w:sz w:val="24"/>
                <w:szCs w:val="24"/>
              </w:rPr>
              <w:t>assets by economic sector</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14</w:t>
            </w:r>
            <w:r>
              <w:rPr>
                <w:rFonts w:asciiTheme="majorBidi" w:hAnsiTheme="majorBidi" w:cstheme="majorBidi"/>
                <w:b/>
                <w:bCs/>
                <w:sz w:val="24"/>
                <w:szCs w:val="24"/>
                <w:lang w:bidi="ar-JO"/>
              </w:rPr>
              <w:t>1</w:t>
            </w:r>
          </w:p>
        </w:tc>
        <w:tc>
          <w:tcPr>
            <w:tcW w:w="8472" w:type="dxa"/>
          </w:tcPr>
          <w:p w:rsidR="001E0825" w:rsidRPr="006A371E" w:rsidRDefault="001E0825" w:rsidP="0090781A">
            <w:pPr>
              <w:spacing w:line="360" w:lineRule="auto"/>
              <w:rPr>
                <w:rFonts w:asciiTheme="majorBidi" w:hAnsiTheme="majorBidi" w:cstheme="majorBidi"/>
                <w:sz w:val="24"/>
                <w:szCs w:val="24"/>
              </w:rPr>
            </w:pPr>
            <w:r w:rsidRPr="00F15B2A">
              <w:rPr>
                <w:rFonts w:asciiTheme="majorBidi" w:hAnsiTheme="majorBidi" w:cstheme="majorBidi"/>
                <w:b/>
                <w:bCs/>
                <w:sz w:val="24"/>
                <w:szCs w:val="24"/>
              </w:rPr>
              <w:t>Figure 4.29</w:t>
            </w:r>
            <w:r w:rsidRPr="00F15B2A">
              <w:rPr>
                <w:rFonts w:asciiTheme="majorBidi" w:hAnsiTheme="majorBidi" w:cstheme="majorBidi"/>
                <w:sz w:val="24"/>
                <w:szCs w:val="24"/>
              </w:rPr>
              <w:t xml:space="preserve">         Distribution of credit assets</w:t>
            </w:r>
            <w:r>
              <w:rPr>
                <w:rFonts w:asciiTheme="majorBidi" w:hAnsiTheme="majorBidi" w:cstheme="majorBidi"/>
                <w:sz w:val="24"/>
                <w:szCs w:val="24"/>
              </w:rPr>
              <w:t xml:space="preserve"> by geography area at AL-quds</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1</w:t>
            </w:r>
            <w:r>
              <w:rPr>
                <w:rFonts w:asciiTheme="majorBidi" w:hAnsiTheme="majorBidi" w:cstheme="majorBidi"/>
                <w:b/>
                <w:bCs/>
                <w:sz w:val="24"/>
                <w:szCs w:val="24"/>
                <w:lang w:bidi="ar-JO"/>
              </w:rPr>
              <w:t>49</w:t>
            </w:r>
          </w:p>
        </w:tc>
        <w:tc>
          <w:tcPr>
            <w:tcW w:w="8472" w:type="dxa"/>
          </w:tcPr>
          <w:p w:rsidR="001E0825" w:rsidRPr="006A371E" w:rsidRDefault="001E0825" w:rsidP="0090781A">
            <w:pPr>
              <w:autoSpaceDE w:val="0"/>
              <w:autoSpaceDN w:val="0"/>
              <w:adjustRightInd w:val="0"/>
              <w:spacing w:line="360" w:lineRule="auto"/>
              <w:rPr>
                <w:rFonts w:asciiTheme="majorBidi" w:hAnsiTheme="majorBidi" w:cstheme="majorBidi"/>
                <w:sz w:val="24"/>
                <w:szCs w:val="24"/>
              </w:rPr>
            </w:pPr>
            <w:r w:rsidRPr="00F15B2A">
              <w:rPr>
                <w:rFonts w:asciiTheme="majorBidi" w:hAnsiTheme="majorBidi" w:cstheme="majorBidi"/>
                <w:b/>
                <w:bCs/>
                <w:sz w:val="24"/>
                <w:szCs w:val="24"/>
              </w:rPr>
              <w:t xml:space="preserve">Figure 4.30         </w:t>
            </w:r>
            <w:r w:rsidRPr="00F15B2A">
              <w:rPr>
                <w:rFonts w:asciiTheme="majorBidi" w:hAnsiTheme="majorBidi" w:cstheme="majorBidi"/>
                <w:sz w:val="24"/>
                <w:szCs w:val="24"/>
              </w:rPr>
              <w:t>Credit Risk Manageme</w:t>
            </w:r>
            <w:r>
              <w:rPr>
                <w:rFonts w:asciiTheme="majorBidi" w:hAnsiTheme="majorBidi" w:cstheme="majorBidi"/>
                <w:sz w:val="24"/>
                <w:szCs w:val="24"/>
              </w:rPr>
              <w:t>nt Organizations at BCP</w:t>
            </w:r>
          </w:p>
        </w:tc>
      </w:tr>
      <w:tr w:rsidR="001E0825" w:rsidRPr="00F15B2A" w:rsidTr="0090781A">
        <w:tc>
          <w:tcPr>
            <w:tcW w:w="770" w:type="dxa"/>
          </w:tcPr>
          <w:p w:rsidR="001E0825" w:rsidRPr="00C65472" w:rsidRDefault="001E0825" w:rsidP="0090781A">
            <w:pPr>
              <w:jc w:val="center"/>
              <w:rPr>
                <w:rFonts w:asciiTheme="majorBidi" w:hAnsiTheme="majorBidi" w:cstheme="majorBidi"/>
                <w:b/>
                <w:bCs/>
                <w:sz w:val="24"/>
                <w:szCs w:val="24"/>
                <w:lang w:bidi="ar-JO"/>
              </w:rPr>
            </w:pPr>
            <w:r w:rsidRPr="00C65472">
              <w:rPr>
                <w:rFonts w:asciiTheme="majorBidi" w:hAnsiTheme="majorBidi" w:cstheme="majorBidi"/>
                <w:b/>
                <w:bCs/>
                <w:sz w:val="24"/>
                <w:szCs w:val="24"/>
                <w:lang w:bidi="ar-JO"/>
              </w:rPr>
              <w:t>15</w:t>
            </w:r>
            <w:r>
              <w:rPr>
                <w:rFonts w:asciiTheme="majorBidi" w:hAnsiTheme="majorBidi" w:cstheme="majorBidi"/>
                <w:b/>
                <w:bCs/>
                <w:sz w:val="24"/>
                <w:szCs w:val="24"/>
                <w:lang w:bidi="ar-JO"/>
              </w:rPr>
              <w:t>0</w:t>
            </w:r>
          </w:p>
        </w:tc>
        <w:tc>
          <w:tcPr>
            <w:tcW w:w="8472" w:type="dxa"/>
          </w:tcPr>
          <w:p w:rsidR="001E0825" w:rsidRDefault="001E0825" w:rsidP="0090781A">
            <w:pPr>
              <w:autoSpaceDE w:val="0"/>
              <w:autoSpaceDN w:val="0"/>
              <w:adjustRightInd w:val="0"/>
              <w:spacing w:line="360" w:lineRule="auto"/>
              <w:rPr>
                <w:rFonts w:asciiTheme="majorBidi" w:eastAsia="Times New Roman" w:hAnsiTheme="majorBidi" w:cstheme="majorBidi"/>
                <w:bCs/>
                <w:sz w:val="24"/>
                <w:szCs w:val="24"/>
              </w:rPr>
            </w:pPr>
            <w:r w:rsidRPr="00F15B2A">
              <w:rPr>
                <w:rFonts w:asciiTheme="majorBidi" w:eastAsia="Times New Roman" w:hAnsiTheme="majorBidi" w:cstheme="majorBidi"/>
                <w:b/>
                <w:bCs/>
                <w:color w:val="000000" w:themeColor="text1"/>
                <w:sz w:val="24"/>
                <w:szCs w:val="24"/>
              </w:rPr>
              <w:t xml:space="preserve">Figure 4.31         </w:t>
            </w:r>
            <w:r w:rsidRPr="00D046A8">
              <w:rPr>
                <w:rFonts w:asciiTheme="majorBidi" w:eastAsia="Times New Roman" w:hAnsiTheme="majorBidi" w:cstheme="majorBidi"/>
                <w:bCs/>
                <w:sz w:val="24"/>
                <w:szCs w:val="24"/>
              </w:rPr>
              <w:t xml:space="preserve">Concentration of risk exposures according to the geographical area </w:t>
            </w:r>
            <w:r>
              <w:rPr>
                <w:rFonts w:asciiTheme="majorBidi" w:eastAsia="Times New Roman" w:hAnsiTheme="majorBidi" w:cstheme="majorBidi"/>
                <w:bCs/>
                <w:sz w:val="24"/>
                <w:szCs w:val="24"/>
              </w:rPr>
              <w:t xml:space="preserve">  </w:t>
            </w:r>
          </w:p>
          <w:p w:rsidR="001E0825" w:rsidRPr="006A371E" w:rsidRDefault="001E0825" w:rsidP="0090781A">
            <w:pPr>
              <w:autoSpaceDE w:val="0"/>
              <w:autoSpaceDN w:val="0"/>
              <w:adjustRightInd w:val="0"/>
              <w:spacing w:line="360" w:lineRule="auto"/>
              <w:rPr>
                <w:rFonts w:asciiTheme="majorBidi" w:hAnsiTheme="majorBidi" w:cstheme="majorBidi"/>
                <w:sz w:val="24"/>
                <w:szCs w:val="24"/>
              </w:rPr>
            </w:pPr>
            <w:r>
              <w:rPr>
                <w:rFonts w:asciiTheme="majorBidi" w:eastAsia="Times New Roman" w:hAnsiTheme="majorBidi" w:cstheme="majorBidi"/>
                <w:bCs/>
                <w:sz w:val="24"/>
                <w:szCs w:val="24"/>
              </w:rPr>
              <w:t xml:space="preserve">                             </w:t>
            </w:r>
            <w:r w:rsidRPr="00D046A8">
              <w:rPr>
                <w:rFonts w:asciiTheme="majorBidi" w:eastAsia="Times New Roman" w:hAnsiTheme="majorBidi" w:cstheme="majorBidi"/>
                <w:bCs/>
                <w:sz w:val="24"/>
                <w:szCs w:val="24"/>
              </w:rPr>
              <w:t>at PCB</w:t>
            </w:r>
          </w:p>
        </w:tc>
      </w:tr>
      <w:tr w:rsidR="001E0825" w:rsidRPr="00F15B2A" w:rsidTr="0090781A">
        <w:tc>
          <w:tcPr>
            <w:tcW w:w="770" w:type="dxa"/>
          </w:tcPr>
          <w:p w:rsidR="001E0825" w:rsidRPr="00C65472" w:rsidRDefault="001E0825" w:rsidP="0090781A">
            <w:pPr>
              <w:jc w:val="right"/>
              <w:rPr>
                <w:rFonts w:asciiTheme="majorBidi" w:hAnsiTheme="majorBidi" w:cstheme="majorBidi"/>
                <w:b/>
                <w:bCs/>
                <w:sz w:val="24"/>
                <w:szCs w:val="24"/>
                <w:rtl/>
                <w:lang w:bidi="ar-JO"/>
              </w:rPr>
            </w:pPr>
            <w:r w:rsidRPr="00C65472">
              <w:rPr>
                <w:rFonts w:asciiTheme="majorBidi" w:hAnsiTheme="majorBidi" w:cstheme="majorBidi"/>
                <w:b/>
                <w:bCs/>
                <w:sz w:val="24"/>
                <w:szCs w:val="24"/>
                <w:lang w:bidi="ar-JO"/>
              </w:rPr>
              <w:t>15</w:t>
            </w:r>
            <w:r>
              <w:rPr>
                <w:rFonts w:asciiTheme="majorBidi" w:hAnsiTheme="majorBidi" w:cstheme="majorBidi"/>
                <w:b/>
                <w:bCs/>
                <w:sz w:val="24"/>
                <w:szCs w:val="24"/>
                <w:lang w:bidi="ar-JO"/>
              </w:rPr>
              <w:t>0</w:t>
            </w:r>
          </w:p>
        </w:tc>
        <w:tc>
          <w:tcPr>
            <w:tcW w:w="8472" w:type="dxa"/>
          </w:tcPr>
          <w:p w:rsidR="001E0825" w:rsidRPr="006A371E" w:rsidRDefault="001E0825" w:rsidP="0090781A">
            <w:pPr>
              <w:spacing w:line="360" w:lineRule="auto"/>
              <w:rPr>
                <w:rFonts w:asciiTheme="majorBidi" w:eastAsia="Times New Roman" w:hAnsiTheme="majorBidi" w:cstheme="majorBidi"/>
                <w:sz w:val="24"/>
                <w:szCs w:val="24"/>
              </w:rPr>
            </w:pPr>
            <w:r w:rsidRPr="00F15B2A">
              <w:rPr>
                <w:rFonts w:asciiTheme="majorBidi" w:hAnsiTheme="majorBidi" w:cstheme="majorBidi"/>
                <w:b/>
                <w:bCs/>
                <w:sz w:val="24"/>
                <w:szCs w:val="24"/>
              </w:rPr>
              <w:t xml:space="preserve">Figure 4.32         </w:t>
            </w:r>
            <w:r w:rsidRPr="00F15B2A">
              <w:rPr>
                <w:rFonts w:asciiTheme="majorBidi" w:eastAsia="Times New Roman" w:hAnsiTheme="majorBidi" w:cstheme="majorBidi"/>
                <w:sz w:val="24"/>
                <w:szCs w:val="24"/>
              </w:rPr>
              <w:t>Concentration of risk exposures according to economic sector at</w:t>
            </w:r>
            <w:r>
              <w:rPr>
                <w:rFonts w:asciiTheme="majorBidi" w:eastAsia="Times New Roman" w:hAnsiTheme="majorBidi" w:cstheme="majorBidi"/>
                <w:sz w:val="24"/>
                <w:szCs w:val="24"/>
              </w:rPr>
              <w:t>pcb</w:t>
            </w:r>
          </w:p>
        </w:tc>
      </w:tr>
    </w:tbl>
    <w:p w:rsidR="00ED0EDF" w:rsidRDefault="00ED0EDF" w:rsidP="00AC58EA">
      <w:pPr>
        <w:rPr>
          <w:rFonts w:ascii="Times New Roman" w:hAnsi="Times New Roman" w:cs="Times New Roman"/>
          <w:b/>
          <w:color w:val="000000" w:themeColor="text1"/>
          <w:sz w:val="28"/>
          <w:szCs w:val="28"/>
        </w:rPr>
      </w:pPr>
    </w:p>
    <w:p w:rsidR="003405FC" w:rsidRPr="00F15B2A" w:rsidRDefault="003405FC" w:rsidP="00AC58EA">
      <w:pPr>
        <w:spacing w:line="360" w:lineRule="auto"/>
        <w:rPr>
          <w:rFonts w:asciiTheme="majorBidi" w:hAnsiTheme="majorBidi" w:cstheme="majorBidi"/>
          <w:b/>
          <w:sz w:val="24"/>
          <w:szCs w:val="24"/>
        </w:rPr>
      </w:pPr>
    </w:p>
    <w:p w:rsidR="00F83F6A" w:rsidRDefault="00F83F6A" w:rsidP="00AC58EA">
      <w:pPr>
        <w:rPr>
          <w:rFonts w:asciiTheme="majorBidi" w:eastAsia="Times New Roman" w:hAnsiTheme="majorBidi" w:cstheme="majorBidi"/>
          <w:sz w:val="24"/>
          <w:szCs w:val="24"/>
        </w:rPr>
      </w:pPr>
    </w:p>
    <w:p w:rsidR="00B0543F" w:rsidRDefault="00B0543F" w:rsidP="00491C99">
      <w:pPr>
        <w:rPr>
          <w:rFonts w:ascii="Times New Roman" w:hAnsi="Times New Roman" w:cs="Times New Roman"/>
          <w:b/>
          <w:color w:val="000000" w:themeColor="text1"/>
          <w:sz w:val="28"/>
          <w:szCs w:val="28"/>
        </w:rPr>
        <w:sectPr w:rsidR="00B0543F" w:rsidSect="007121A3">
          <w:footerReference w:type="default" r:id="rId9"/>
          <w:pgSz w:w="12240" w:h="15840"/>
          <w:pgMar w:top="1418" w:right="1440" w:bottom="1440" w:left="1440" w:header="720" w:footer="720" w:gutter="0"/>
          <w:pgNumType w:fmt="upperRoman" w:start="1" w:chapStyle="1"/>
          <w:cols w:space="720"/>
          <w:docGrid w:linePitch="360"/>
        </w:sectPr>
      </w:pPr>
    </w:p>
    <w:p w:rsidR="00D16756" w:rsidRPr="00F233E0" w:rsidRDefault="00766771" w:rsidP="006A535A">
      <w:pPr>
        <w:jc w:val="center"/>
        <w:rPr>
          <w:rFonts w:ascii="Times New Roman" w:hAnsi="Times New Roman" w:cs="Times New Roman"/>
          <w:b/>
          <w:color w:val="000000" w:themeColor="text1"/>
          <w:sz w:val="24"/>
          <w:szCs w:val="24"/>
        </w:rPr>
      </w:pPr>
      <w:r w:rsidRPr="00F233E0">
        <w:rPr>
          <w:rFonts w:ascii="Times New Roman" w:hAnsi="Times New Roman" w:cs="Times New Roman"/>
          <w:b/>
          <w:color w:val="000000" w:themeColor="text1"/>
          <w:sz w:val="24"/>
          <w:szCs w:val="24"/>
        </w:rPr>
        <w:lastRenderedPageBreak/>
        <w:t>CHAPTER ONE</w:t>
      </w:r>
    </w:p>
    <w:p w:rsidR="002220E3" w:rsidRDefault="00766771" w:rsidP="002220E3">
      <w:pPr>
        <w:pStyle w:val="ListParagraph"/>
        <w:ind w:left="0"/>
        <w:jc w:val="center"/>
        <w:rPr>
          <w:rFonts w:ascii="Times New Roman" w:hAnsi="Times New Roman" w:cs="Times New Roman"/>
          <w:b/>
          <w:color w:val="000000" w:themeColor="text1"/>
          <w:sz w:val="24"/>
          <w:szCs w:val="24"/>
        </w:rPr>
      </w:pPr>
      <w:r w:rsidRPr="00F233E0">
        <w:rPr>
          <w:rFonts w:ascii="Times New Roman" w:hAnsi="Times New Roman" w:cs="Times New Roman"/>
          <w:b/>
          <w:color w:val="000000" w:themeColor="text1"/>
          <w:sz w:val="24"/>
          <w:szCs w:val="24"/>
        </w:rPr>
        <w:t>GENERAL FRAMEWORK OF THE STUDY</w:t>
      </w:r>
    </w:p>
    <w:p w:rsidR="002220E3" w:rsidRDefault="002220E3" w:rsidP="002220E3">
      <w:pPr>
        <w:pStyle w:val="ListParagraph"/>
        <w:ind w:left="0"/>
        <w:jc w:val="center"/>
        <w:rPr>
          <w:rFonts w:ascii="Times New Roman" w:hAnsi="Times New Roman" w:cs="Times New Roman"/>
          <w:b/>
          <w:color w:val="000000" w:themeColor="text1"/>
          <w:sz w:val="24"/>
          <w:szCs w:val="24"/>
        </w:rPr>
      </w:pPr>
    </w:p>
    <w:p w:rsidR="002220E3" w:rsidRDefault="002220E3" w:rsidP="002220E3">
      <w:pPr>
        <w:pStyle w:val="ListParagraph"/>
        <w:ind w:left="0"/>
        <w:jc w:val="center"/>
        <w:rPr>
          <w:rFonts w:ascii="Times New Roman" w:hAnsi="Times New Roman" w:cs="Times New Roman"/>
          <w:b/>
          <w:color w:val="000000" w:themeColor="text1"/>
          <w:sz w:val="24"/>
          <w:szCs w:val="24"/>
        </w:rPr>
      </w:pPr>
    </w:p>
    <w:p w:rsidR="002220E3" w:rsidRDefault="002220E3" w:rsidP="002220E3">
      <w:pPr>
        <w:pStyle w:val="ListParagraph"/>
        <w:ind w:left="0"/>
        <w:jc w:val="center"/>
        <w:rPr>
          <w:rFonts w:ascii="Times New Roman" w:hAnsi="Times New Roman" w:cs="Times New Roman"/>
          <w:b/>
          <w:color w:val="000000" w:themeColor="text1"/>
          <w:sz w:val="24"/>
          <w:szCs w:val="24"/>
        </w:rPr>
      </w:pPr>
    </w:p>
    <w:p w:rsidR="00C26F85" w:rsidRPr="002220E3" w:rsidRDefault="008B674F" w:rsidP="002220E3">
      <w:pPr>
        <w:pStyle w:val="ListParagraph"/>
        <w:ind w:left="0"/>
        <w:rPr>
          <w:rFonts w:ascii="Times New Roman" w:hAnsi="Times New Roman" w:cs="Times New Roman"/>
          <w:b/>
          <w:color w:val="000000" w:themeColor="text1"/>
          <w:sz w:val="24"/>
          <w:szCs w:val="24"/>
        </w:rPr>
      </w:pPr>
      <w:r w:rsidRPr="009B21F1">
        <w:rPr>
          <w:rFonts w:ascii="Times New Roman" w:hAnsi="Times New Roman" w:cs="Times New Roman"/>
          <w:b/>
          <w:sz w:val="24"/>
          <w:szCs w:val="24"/>
        </w:rPr>
        <w:t xml:space="preserve">1.1 </w:t>
      </w:r>
      <w:r w:rsidR="00C26F85" w:rsidRPr="009B21F1">
        <w:rPr>
          <w:rFonts w:ascii="Times New Roman" w:hAnsi="Times New Roman" w:cs="Times New Roman"/>
          <w:b/>
          <w:sz w:val="24"/>
          <w:szCs w:val="24"/>
        </w:rPr>
        <w:t>Introduction</w:t>
      </w:r>
    </w:p>
    <w:p w:rsidR="00015127" w:rsidRDefault="00083FA5" w:rsidP="00015127">
      <w:pPr>
        <w:spacing w:after="240" w:line="360" w:lineRule="auto"/>
        <w:contextualSpacing/>
        <w:jc w:val="lowKashida"/>
        <w:rPr>
          <w:rFonts w:ascii="Times New Roman" w:hAnsi="Times New Roman" w:cs="Times New Roman"/>
          <w:sz w:val="24"/>
          <w:szCs w:val="24"/>
        </w:rPr>
      </w:pPr>
      <w:r w:rsidRPr="00BE78AD">
        <w:rPr>
          <w:rFonts w:ascii="Times New Roman" w:hAnsi="Times New Roman" w:cs="Times New Roman"/>
          <w:sz w:val="24"/>
          <w:szCs w:val="24"/>
        </w:rPr>
        <w:t>The banking sector plays a positive role in the development of the economy</w:t>
      </w:r>
      <w:r>
        <w:rPr>
          <w:rFonts w:ascii="Times New Roman" w:hAnsi="Times New Roman" w:cs="Times New Roman"/>
          <w:sz w:val="24"/>
          <w:szCs w:val="24"/>
        </w:rPr>
        <w:t xml:space="preserve"> of any country</w:t>
      </w:r>
      <w:r w:rsidRPr="00BE78AD">
        <w:rPr>
          <w:rFonts w:ascii="Times New Roman" w:hAnsi="Times New Roman" w:cs="Times New Roman"/>
          <w:sz w:val="24"/>
          <w:szCs w:val="24"/>
        </w:rPr>
        <w:t xml:space="preserve"> as a whole. In the developing countries, banks are the main source of credit in the domestic markets due </w:t>
      </w:r>
      <w:r w:rsidR="00556C01" w:rsidRPr="00BE78AD">
        <w:rPr>
          <w:rFonts w:ascii="Times New Roman" w:hAnsi="Times New Roman" w:cs="Times New Roman"/>
          <w:sz w:val="24"/>
          <w:szCs w:val="24"/>
        </w:rPr>
        <w:t>to the</w:t>
      </w:r>
      <w:r w:rsidRPr="00BE78AD">
        <w:rPr>
          <w:rFonts w:ascii="Times New Roman" w:hAnsi="Times New Roman" w:cs="Times New Roman"/>
          <w:sz w:val="24"/>
          <w:szCs w:val="24"/>
        </w:rPr>
        <w:t xml:space="preserve"> capital market weak</w:t>
      </w:r>
      <w:r>
        <w:rPr>
          <w:rFonts w:ascii="Times New Roman" w:hAnsi="Times New Roman" w:cs="Times New Roman"/>
          <w:sz w:val="24"/>
          <w:szCs w:val="24"/>
        </w:rPr>
        <w:t>ness</w:t>
      </w:r>
      <w:r w:rsidRPr="00BE78AD">
        <w:rPr>
          <w:rFonts w:ascii="Times New Roman" w:hAnsi="Times New Roman" w:cs="Times New Roman"/>
          <w:sz w:val="24"/>
          <w:szCs w:val="24"/>
        </w:rPr>
        <w:t xml:space="preserve"> and limit</w:t>
      </w:r>
      <w:r>
        <w:rPr>
          <w:rFonts w:ascii="Times New Roman" w:hAnsi="Times New Roman" w:cs="Times New Roman"/>
          <w:sz w:val="24"/>
          <w:szCs w:val="24"/>
        </w:rPr>
        <w:t>ation</w:t>
      </w:r>
      <w:r w:rsidRPr="00BE78AD">
        <w:rPr>
          <w:rFonts w:ascii="Times New Roman" w:hAnsi="Times New Roman" w:cs="Times New Roman"/>
          <w:sz w:val="24"/>
          <w:szCs w:val="24"/>
        </w:rPr>
        <w:t xml:space="preserve">, </w:t>
      </w:r>
      <w:r w:rsidR="00556C01" w:rsidRPr="00BE78AD">
        <w:rPr>
          <w:rFonts w:ascii="Times New Roman" w:hAnsi="Times New Roman" w:cs="Times New Roman"/>
          <w:sz w:val="24"/>
          <w:szCs w:val="24"/>
        </w:rPr>
        <w:t xml:space="preserve">and </w:t>
      </w:r>
      <w:r w:rsidR="00556C01">
        <w:rPr>
          <w:rFonts w:ascii="Times New Roman" w:hAnsi="Times New Roman" w:cs="Times New Roman"/>
          <w:sz w:val="24"/>
          <w:szCs w:val="24"/>
        </w:rPr>
        <w:t xml:space="preserve">the </w:t>
      </w:r>
      <w:r w:rsidR="00556C01" w:rsidRPr="00BE78AD">
        <w:rPr>
          <w:rFonts w:ascii="Times New Roman" w:hAnsi="Times New Roman" w:cs="Times New Roman"/>
          <w:sz w:val="24"/>
          <w:szCs w:val="24"/>
        </w:rPr>
        <w:t>lack</w:t>
      </w:r>
      <w:r>
        <w:rPr>
          <w:rFonts w:ascii="Times New Roman" w:hAnsi="Times New Roman" w:cs="Times New Roman"/>
          <w:sz w:val="24"/>
          <w:szCs w:val="24"/>
        </w:rPr>
        <w:t xml:space="preserve"> </w:t>
      </w:r>
      <w:r w:rsidR="00556C01">
        <w:rPr>
          <w:rFonts w:ascii="Times New Roman" w:hAnsi="Times New Roman" w:cs="Times New Roman"/>
          <w:sz w:val="24"/>
          <w:szCs w:val="24"/>
        </w:rPr>
        <w:t xml:space="preserve">of </w:t>
      </w:r>
      <w:r w:rsidR="00556C01" w:rsidRPr="00BE78AD">
        <w:rPr>
          <w:rFonts w:ascii="Times New Roman" w:hAnsi="Times New Roman" w:cs="Times New Roman"/>
          <w:sz w:val="24"/>
          <w:szCs w:val="24"/>
        </w:rPr>
        <w:t>the</w:t>
      </w:r>
      <w:r w:rsidRPr="00BE78AD">
        <w:rPr>
          <w:rFonts w:ascii="Times New Roman" w:hAnsi="Times New Roman" w:cs="Times New Roman"/>
          <w:sz w:val="24"/>
          <w:szCs w:val="24"/>
        </w:rPr>
        <w:t xml:space="preserve"> ability to provide adequate sources of financing </w:t>
      </w:r>
      <w:r w:rsidR="00556C01">
        <w:rPr>
          <w:rFonts w:ascii="Times New Roman" w:hAnsi="Times New Roman" w:cs="Times New Roman"/>
          <w:sz w:val="24"/>
          <w:szCs w:val="24"/>
        </w:rPr>
        <w:t xml:space="preserve">to </w:t>
      </w:r>
      <w:r w:rsidR="00556C01" w:rsidRPr="00BE78AD">
        <w:rPr>
          <w:rFonts w:ascii="Times New Roman" w:hAnsi="Times New Roman" w:cs="Times New Roman"/>
          <w:sz w:val="24"/>
          <w:szCs w:val="24"/>
        </w:rPr>
        <w:t>investors</w:t>
      </w:r>
      <w:r w:rsidRPr="00BE78AD">
        <w:rPr>
          <w:rFonts w:ascii="Times New Roman" w:hAnsi="Times New Roman" w:cs="Times New Roman"/>
          <w:sz w:val="24"/>
          <w:szCs w:val="24"/>
        </w:rPr>
        <w:t xml:space="preserve"> (Saci, et al., 2009).</w:t>
      </w:r>
    </w:p>
    <w:p w:rsidR="002F4DFB" w:rsidRDefault="002F4DFB" w:rsidP="00BD210D">
      <w:pPr>
        <w:spacing w:line="360" w:lineRule="auto"/>
        <w:contextualSpacing/>
        <w:jc w:val="both"/>
        <w:rPr>
          <w:rFonts w:ascii="Times New Roman" w:hAnsi="Times New Roman" w:cs="Times New Roman"/>
          <w:sz w:val="24"/>
          <w:szCs w:val="24"/>
        </w:rPr>
      </w:pPr>
      <w:r w:rsidRPr="00BE78AD">
        <w:rPr>
          <w:rFonts w:ascii="Times New Roman" w:hAnsi="Times New Roman" w:cs="Times New Roman"/>
          <w:sz w:val="24"/>
          <w:szCs w:val="24"/>
        </w:rPr>
        <w:t>The last few years ha</w:t>
      </w:r>
      <w:r>
        <w:rPr>
          <w:rFonts w:ascii="Times New Roman" w:hAnsi="Times New Roman" w:cs="Times New Roman"/>
          <w:sz w:val="24"/>
          <w:szCs w:val="24"/>
        </w:rPr>
        <w:t>ve</w:t>
      </w:r>
      <w:r w:rsidR="007466B6">
        <w:rPr>
          <w:rFonts w:ascii="Times New Roman" w:hAnsi="Times New Roman" w:cs="Times New Roman"/>
          <w:sz w:val="24"/>
          <w:szCs w:val="24"/>
        </w:rPr>
        <w:t xml:space="preserve"> witnessed amazing</w:t>
      </w:r>
      <w:r w:rsidRPr="00BE78AD">
        <w:rPr>
          <w:rFonts w:ascii="Times New Roman" w:hAnsi="Times New Roman" w:cs="Times New Roman"/>
          <w:sz w:val="24"/>
          <w:szCs w:val="24"/>
        </w:rPr>
        <w:t xml:space="preserve"> losses in the banking industry. Banks that had been perform</w:t>
      </w:r>
      <w:r w:rsidR="007466B6">
        <w:rPr>
          <w:rFonts w:ascii="Times New Roman" w:hAnsi="Times New Roman" w:cs="Times New Roman"/>
          <w:sz w:val="24"/>
          <w:szCs w:val="24"/>
        </w:rPr>
        <w:t>ing well suddenly reported huge</w:t>
      </w:r>
      <w:r w:rsidRPr="00BE78AD">
        <w:rPr>
          <w:rFonts w:ascii="Times New Roman" w:hAnsi="Times New Roman" w:cs="Times New Roman"/>
          <w:sz w:val="24"/>
          <w:szCs w:val="24"/>
        </w:rPr>
        <w:t xml:space="preserve"> losses and some of them ended up with bankruptcy. These crises have had a bad impact on the economy</w:t>
      </w:r>
      <w:r w:rsidR="0087615E">
        <w:rPr>
          <w:rFonts w:ascii="Times New Roman" w:hAnsi="Times New Roman" w:cs="Times New Roman"/>
          <w:sz w:val="24"/>
          <w:szCs w:val="24"/>
        </w:rPr>
        <w:t xml:space="preserve"> as a whole</w:t>
      </w:r>
      <w:r w:rsidRPr="00BE78AD">
        <w:rPr>
          <w:rFonts w:ascii="Times New Roman" w:hAnsi="Times New Roman" w:cs="Times New Roman"/>
          <w:sz w:val="24"/>
          <w:szCs w:val="24"/>
        </w:rPr>
        <w:t xml:space="preserve">, especially when the supervisory authority </w:t>
      </w:r>
      <w:r>
        <w:rPr>
          <w:rFonts w:ascii="Times New Roman" w:hAnsi="Times New Roman" w:cs="Times New Roman"/>
          <w:sz w:val="24"/>
          <w:szCs w:val="24"/>
        </w:rPr>
        <w:t>failed to</w:t>
      </w:r>
      <w:r w:rsidRPr="00BE78AD">
        <w:rPr>
          <w:rFonts w:ascii="Times New Roman" w:hAnsi="Times New Roman" w:cs="Times New Roman"/>
          <w:sz w:val="24"/>
          <w:szCs w:val="24"/>
        </w:rPr>
        <w:t xml:space="preserve"> stop and address the problem. In addition, the banking crises have had a significant cos</w:t>
      </w:r>
      <w:r w:rsidR="00BD210D">
        <w:rPr>
          <w:rFonts w:ascii="Times New Roman" w:hAnsi="Times New Roman" w:cs="Times New Roman"/>
          <w:sz w:val="24"/>
          <w:szCs w:val="24"/>
        </w:rPr>
        <w:t xml:space="preserve">t. </w:t>
      </w:r>
      <w:r w:rsidR="0087615E">
        <w:rPr>
          <w:rFonts w:ascii="Times New Roman" w:hAnsi="Times New Roman" w:cs="Times New Roman"/>
          <w:sz w:val="24"/>
          <w:szCs w:val="24"/>
        </w:rPr>
        <w:t>For example, d</w:t>
      </w:r>
      <w:r w:rsidR="00BD210D" w:rsidRPr="00BE78AD">
        <w:rPr>
          <w:rFonts w:ascii="Times New Roman" w:hAnsi="Times New Roman" w:cs="Times New Roman"/>
          <w:sz w:val="24"/>
          <w:szCs w:val="24"/>
        </w:rPr>
        <w:t>eveloping countries</w:t>
      </w:r>
      <w:r w:rsidR="00BD210D">
        <w:rPr>
          <w:rFonts w:ascii="Times New Roman" w:hAnsi="Times New Roman" w:cs="Times New Roman"/>
          <w:sz w:val="24"/>
          <w:szCs w:val="24"/>
        </w:rPr>
        <w:t xml:space="preserve"> spend almost 14.3 percent of GDP on cleaning up their financial system from consequences</w:t>
      </w:r>
      <w:r w:rsidR="00BD210D" w:rsidRPr="00BE78AD">
        <w:rPr>
          <w:rFonts w:ascii="Times New Roman" w:hAnsi="Times New Roman" w:cs="Times New Roman"/>
          <w:sz w:val="24"/>
          <w:szCs w:val="24"/>
        </w:rPr>
        <w:t xml:space="preserve"> of such crisis</w:t>
      </w:r>
      <w:r w:rsidR="00BD210D">
        <w:rPr>
          <w:rFonts w:ascii="Times New Roman" w:hAnsi="Times New Roman" w:cs="Times New Roman"/>
          <w:sz w:val="24"/>
          <w:szCs w:val="24"/>
        </w:rPr>
        <w:t xml:space="preserve"> (</w:t>
      </w:r>
      <w:r w:rsidR="00BD210D" w:rsidRPr="00BE78AD">
        <w:rPr>
          <w:rFonts w:ascii="Times New Roman" w:hAnsi="Times New Roman" w:cs="Times New Roman"/>
          <w:sz w:val="24"/>
          <w:szCs w:val="24"/>
        </w:rPr>
        <w:t>Honohan and Klingebiel</w:t>
      </w:r>
      <w:r w:rsidR="00BD210D">
        <w:rPr>
          <w:rFonts w:ascii="Times New Roman" w:hAnsi="Times New Roman" w:cs="Times New Roman"/>
          <w:sz w:val="24"/>
          <w:szCs w:val="24"/>
        </w:rPr>
        <w:t xml:space="preserve">, 2000). </w:t>
      </w:r>
      <w:r w:rsidRPr="00BE78AD">
        <w:rPr>
          <w:rFonts w:ascii="Times New Roman" w:hAnsi="Times New Roman" w:cs="Times New Roman"/>
          <w:sz w:val="24"/>
          <w:szCs w:val="24"/>
        </w:rPr>
        <w:t>Analy</w:t>
      </w:r>
      <w:r>
        <w:rPr>
          <w:rFonts w:ascii="Times New Roman" w:hAnsi="Times New Roman" w:cs="Times New Roman"/>
          <w:sz w:val="24"/>
          <w:szCs w:val="24"/>
        </w:rPr>
        <w:t xml:space="preserve">sis </w:t>
      </w:r>
      <w:r w:rsidR="00B56017">
        <w:rPr>
          <w:rFonts w:ascii="Times New Roman" w:hAnsi="Times New Roman" w:cs="Times New Roman"/>
          <w:sz w:val="24"/>
          <w:szCs w:val="24"/>
        </w:rPr>
        <w:t xml:space="preserve">of </w:t>
      </w:r>
      <w:r w:rsidR="00B56017" w:rsidRPr="00BE78AD">
        <w:rPr>
          <w:rFonts w:ascii="Times New Roman" w:hAnsi="Times New Roman" w:cs="Times New Roman"/>
          <w:sz w:val="24"/>
          <w:szCs w:val="24"/>
        </w:rPr>
        <w:t>the</w:t>
      </w:r>
      <w:r w:rsidRPr="00BE78AD">
        <w:rPr>
          <w:rFonts w:ascii="Times New Roman" w:hAnsi="Times New Roman" w:cs="Times New Roman"/>
          <w:sz w:val="24"/>
          <w:szCs w:val="24"/>
        </w:rPr>
        <w:t xml:space="preserve"> reasons behind </w:t>
      </w:r>
      <w:r w:rsidR="0087615E" w:rsidRPr="00BE78AD">
        <w:rPr>
          <w:rFonts w:ascii="Times New Roman" w:hAnsi="Times New Roman" w:cs="Times New Roman"/>
          <w:sz w:val="24"/>
          <w:szCs w:val="24"/>
        </w:rPr>
        <w:t>banks</w:t>
      </w:r>
      <w:r w:rsidR="0087615E">
        <w:rPr>
          <w:rFonts w:ascii="Times New Roman" w:hAnsi="Times New Roman" w:cs="Times New Roman"/>
          <w:sz w:val="24"/>
          <w:szCs w:val="24"/>
        </w:rPr>
        <w:t xml:space="preserve"> </w:t>
      </w:r>
      <w:r w:rsidR="0087615E" w:rsidRPr="00BE78AD">
        <w:rPr>
          <w:rFonts w:ascii="Times New Roman" w:hAnsi="Times New Roman" w:cs="Times New Roman"/>
          <w:sz w:val="24"/>
          <w:szCs w:val="24"/>
        </w:rPr>
        <w:t>‘failure</w:t>
      </w:r>
      <w:r w:rsidRPr="00BE78AD">
        <w:rPr>
          <w:rFonts w:ascii="Times New Roman" w:hAnsi="Times New Roman" w:cs="Times New Roman"/>
          <w:sz w:val="24"/>
          <w:szCs w:val="24"/>
        </w:rPr>
        <w:t xml:space="preserve"> reveals that problem of loans in banks ha</w:t>
      </w:r>
      <w:r>
        <w:rPr>
          <w:rFonts w:ascii="Times New Roman" w:hAnsi="Times New Roman" w:cs="Times New Roman"/>
          <w:sz w:val="24"/>
          <w:szCs w:val="24"/>
        </w:rPr>
        <w:t>d</w:t>
      </w:r>
      <w:r w:rsidRPr="00BE78AD">
        <w:rPr>
          <w:rFonts w:ascii="Times New Roman" w:hAnsi="Times New Roman" w:cs="Times New Roman"/>
          <w:sz w:val="24"/>
          <w:szCs w:val="24"/>
        </w:rPr>
        <w:t xml:space="preserve"> been very significant in all banking crises in recent years. Banking in modern economies is all about risk management</w:t>
      </w:r>
      <w:r w:rsidRPr="00BE78AD">
        <w:rPr>
          <w:rFonts w:ascii="TimesNewRomanPSMT" w:hAnsi="TimesNewRomanPSMT" w:cs="TimesNewRomanPSMT"/>
          <w:sz w:val="24"/>
          <w:szCs w:val="24"/>
        </w:rPr>
        <w:t xml:space="preserve"> because the economic implications of a bank</w:t>
      </w:r>
      <w:r>
        <w:rPr>
          <w:rFonts w:ascii="TimesNewRomanPSMT" w:hAnsi="TimesNewRomanPSMT" w:cs="TimesNewRomanPSMT"/>
          <w:sz w:val="24"/>
          <w:szCs w:val="24"/>
        </w:rPr>
        <w:t>’s</w:t>
      </w:r>
      <w:r w:rsidRPr="00BE78AD">
        <w:rPr>
          <w:rFonts w:ascii="TimesNewRomanPSMT" w:hAnsi="TimesNewRomanPSMT" w:cs="TimesNewRomanPSMT"/>
          <w:sz w:val="24"/>
          <w:szCs w:val="24"/>
        </w:rPr>
        <w:t xml:space="preserve"> failure could be disastrous on the entire financial system. Unsound risk management practices governing bank lending played a critical role in recent episodes of financial turmoil (Atikogullari, 2009).</w:t>
      </w:r>
    </w:p>
    <w:p w:rsidR="002F4DFB" w:rsidRPr="00BE78AD" w:rsidRDefault="002F4DFB" w:rsidP="002F4DFB">
      <w:pPr>
        <w:autoSpaceDE w:val="0"/>
        <w:autoSpaceDN w:val="0"/>
        <w:adjustRightInd w:val="0"/>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w:t>
      </w:r>
      <w:r w:rsidRPr="00BE78AD">
        <w:rPr>
          <w:rFonts w:ascii="Times New Roman" w:hAnsi="Times New Roman" w:cs="Times New Roman"/>
          <w:sz w:val="24"/>
          <w:szCs w:val="24"/>
        </w:rPr>
        <w:t xml:space="preserve">redit risk </w:t>
      </w:r>
      <w:r>
        <w:rPr>
          <w:rFonts w:ascii="Times New Roman" w:hAnsi="Times New Roman" w:cs="Times New Roman"/>
          <w:sz w:val="24"/>
          <w:szCs w:val="24"/>
        </w:rPr>
        <w:t xml:space="preserve">has </w:t>
      </w:r>
      <w:r w:rsidR="00B56017" w:rsidRPr="00BE78AD">
        <w:rPr>
          <w:rFonts w:ascii="Times New Roman" w:hAnsi="Times New Roman" w:cs="Times New Roman"/>
          <w:sz w:val="24"/>
          <w:szCs w:val="24"/>
        </w:rPr>
        <w:t>always been</w:t>
      </w:r>
      <w:r w:rsidR="00E377E9">
        <w:rPr>
          <w:rFonts w:ascii="Times New Roman" w:hAnsi="Times New Roman" w:cs="Times New Roman"/>
          <w:sz w:val="24"/>
          <w:szCs w:val="24"/>
        </w:rPr>
        <w:t xml:space="preserve"> the primary </w:t>
      </w:r>
      <w:r w:rsidRPr="00BE78AD">
        <w:rPr>
          <w:rFonts w:ascii="Times New Roman" w:hAnsi="Times New Roman" w:cs="Times New Roman"/>
          <w:sz w:val="24"/>
          <w:szCs w:val="24"/>
        </w:rPr>
        <w:t xml:space="preserve">source of problems in banks </w:t>
      </w:r>
      <w:r w:rsidR="00E377E9">
        <w:rPr>
          <w:rFonts w:ascii="Times New Roman" w:hAnsi="Times New Roman" w:cs="Times New Roman"/>
          <w:sz w:val="24"/>
          <w:szCs w:val="24"/>
        </w:rPr>
        <w:t>all over the world.</w:t>
      </w:r>
      <w:r w:rsidRPr="00BE78AD">
        <w:rPr>
          <w:rFonts w:ascii="Times New Roman" w:hAnsi="Times New Roman" w:cs="Times New Roman"/>
          <w:sz w:val="24"/>
          <w:szCs w:val="24"/>
        </w:rPr>
        <w:t xml:space="preserve"> Banks should now have </w:t>
      </w:r>
      <w:r w:rsidR="00E377E9">
        <w:rPr>
          <w:rFonts w:ascii="Times New Roman" w:hAnsi="Times New Roman" w:cs="Times New Roman"/>
          <w:sz w:val="24"/>
          <w:szCs w:val="24"/>
        </w:rPr>
        <w:t>complete realization</w:t>
      </w:r>
      <w:r w:rsidRPr="00BE78AD">
        <w:rPr>
          <w:rFonts w:ascii="Times New Roman" w:hAnsi="Times New Roman" w:cs="Times New Roman"/>
          <w:sz w:val="24"/>
          <w:szCs w:val="24"/>
        </w:rPr>
        <w:t xml:space="preserve"> of the need to establish an appropriate credit risk environment, operating under a sound credit granting process, maintaining an appropriate credit administration, measurement and monitoring process and ensuring adequate controls over credit risk. This is simply an effective credit risk management, since effective credit risk management is a crucial component</w:t>
      </w:r>
      <w:r w:rsidR="00E377E9">
        <w:rPr>
          <w:rFonts w:ascii="Times New Roman" w:hAnsi="Times New Roman" w:cs="Times New Roman"/>
          <w:sz w:val="24"/>
          <w:szCs w:val="24"/>
        </w:rPr>
        <w:t xml:space="preserve"> </w:t>
      </w:r>
      <w:r w:rsidRPr="00BE78AD">
        <w:rPr>
          <w:rFonts w:ascii="Times New Roman" w:hAnsi="Times New Roman" w:cs="Times New Roman"/>
          <w:sz w:val="24"/>
          <w:szCs w:val="24"/>
        </w:rPr>
        <w:t>of a bank’s overall risk</w:t>
      </w:r>
      <w:r w:rsidRPr="00BE78AD">
        <w:rPr>
          <w:sz w:val="24"/>
          <w:szCs w:val="24"/>
        </w:rPr>
        <w:t xml:space="preserve"> </w:t>
      </w:r>
      <w:r w:rsidRPr="00BE78AD">
        <w:rPr>
          <w:rFonts w:ascii="Times New Roman" w:hAnsi="Times New Roman" w:cs="Times New Roman"/>
          <w:sz w:val="24"/>
          <w:szCs w:val="24"/>
        </w:rPr>
        <w:t>management strategy and is essential</w:t>
      </w:r>
      <w:r w:rsidRPr="00BE78AD">
        <w:rPr>
          <w:sz w:val="24"/>
          <w:szCs w:val="24"/>
        </w:rPr>
        <w:t xml:space="preserve"> </w:t>
      </w:r>
      <w:r>
        <w:rPr>
          <w:rFonts w:ascii="Times New Roman" w:hAnsi="Times New Roman" w:cs="Times New Roman"/>
          <w:sz w:val="24"/>
          <w:szCs w:val="24"/>
        </w:rPr>
        <w:t>for</w:t>
      </w:r>
      <w:r w:rsidRPr="00BE78AD">
        <w:rPr>
          <w:rFonts w:ascii="Times New Roman" w:hAnsi="Times New Roman" w:cs="Times New Roman"/>
          <w:sz w:val="24"/>
          <w:szCs w:val="24"/>
        </w:rPr>
        <w:t xml:space="preserve"> the long – term success of any </w:t>
      </w:r>
      <w:r>
        <w:rPr>
          <w:rFonts w:ascii="Times New Roman" w:hAnsi="Times New Roman" w:cs="Times New Roman"/>
          <w:sz w:val="24"/>
          <w:szCs w:val="24"/>
        </w:rPr>
        <w:t>b</w:t>
      </w:r>
      <w:r w:rsidRPr="00BE78AD">
        <w:rPr>
          <w:rFonts w:ascii="Times New Roman" w:hAnsi="Times New Roman" w:cs="Times New Roman"/>
          <w:sz w:val="24"/>
          <w:szCs w:val="24"/>
        </w:rPr>
        <w:t>anking organization, not just surviving</w:t>
      </w:r>
      <w:r>
        <w:rPr>
          <w:rFonts w:ascii="Times New Roman" w:hAnsi="Times New Roman" w:cs="Times New Roman"/>
          <w:sz w:val="24"/>
          <w:szCs w:val="24"/>
        </w:rPr>
        <w:t>.</w:t>
      </w:r>
      <w:r w:rsidRPr="00BE78AD">
        <w:rPr>
          <w:rFonts w:ascii="Times New Roman" w:hAnsi="Times New Roman" w:cs="Times New Roman"/>
          <w:sz w:val="24"/>
          <w:szCs w:val="24"/>
        </w:rPr>
        <w:t xml:space="preserve"> </w:t>
      </w:r>
      <w:r>
        <w:rPr>
          <w:rFonts w:ascii="Times New Roman" w:hAnsi="Times New Roman" w:cs="Times New Roman"/>
          <w:sz w:val="24"/>
          <w:szCs w:val="24"/>
        </w:rPr>
        <w:t>T</w:t>
      </w:r>
      <w:r w:rsidRPr="00BE78AD">
        <w:rPr>
          <w:rFonts w:ascii="Times New Roman" w:hAnsi="Times New Roman" w:cs="Times New Roman"/>
          <w:sz w:val="24"/>
          <w:szCs w:val="24"/>
        </w:rPr>
        <w:t>he Palestinian banks are not an exception.</w:t>
      </w:r>
    </w:p>
    <w:p w:rsidR="002F4DFB" w:rsidRDefault="002F4DFB" w:rsidP="002F4DFB">
      <w:pPr>
        <w:autoSpaceDE w:val="0"/>
        <w:autoSpaceDN w:val="0"/>
        <w:adjustRightInd w:val="0"/>
        <w:spacing w:after="0" w:line="360" w:lineRule="auto"/>
        <w:contextualSpacing/>
        <w:jc w:val="both"/>
        <w:rPr>
          <w:rFonts w:ascii="Times New Roman" w:hAnsi="Times New Roman" w:cs="Times New Roman"/>
          <w:color w:val="000000"/>
          <w:sz w:val="24"/>
          <w:szCs w:val="24"/>
          <w:shd w:val="clear" w:color="auto" w:fill="FFFFFF"/>
        </w:rPr>
      </w:pPr>
      <w:r w:rsidRPr="00BE78AD">
        <w:rPr>
          <w:rFonts w:ascii="Times New Roman" w:hAnsi="Times New Roman" w:cs="Times New Roman"/>
          <w:sz w:val="24"/>
          <w:szCs w:val="24"/>
        </w:rPr>
        <w:lastRenderedPageBreak/>
        <w:t>In</w:t>
      </w:r>
      <w:r>
        <w:rPr>
          <w:rFonts w:ascii="Times New Roman" w:hAnsi="Times New Roman" w:cs="Times New Roman"/>
          <w:sz w:val="24"/>
          <w:szCs w:val="24"/>
        </w:rPr>
        <w:t xml:space="preserve"> a</w:t>
      </w:r>
      <w:r w:rsidRPr="00BE78AD">
        <w:rPr>
          <w:rFonts w:ascii="Times New Roman" w:hAnsi="Times New Roman" w:cs="Times New Roman"/>
          <w:sz w:val="24"/>
          <w:szCs w:val="24"/>
        </w:rPr>
        <w:t xml:space="preserve"> small country</w:t>
      </w:r>
      <w:r>
        <w:rPr>
          <w:rFonts w:ascii="Times New Roman" w:hAnsi="Times New Roman" w:cs="Times New Roman"/>
          <w:sz w:val="24"/>
          <w:szCs w:val="24"/>
        </w:rPr>
        <w:t>,</w:t>
      </w:r>
      <w:r w:rsidRPr="00BE78AD">
        <w:rPr>
          <w:rFonts w:ascii="Times New Roman" w:hAnsi="Times New Roman" w:cs="Times New Roman"/>
          <w:sz w:val="24"/>
          <w:szCs w:val="24"/>
        </w:rPr>
        <w:t xml:space="preserve"> like Palestine</w:t>
      </w:r>
      <w:r>
        <w:rPr>
          <w:rFonts w:ascii="Times New Roman" w:hAnsi="Times New Roman" w:cs="Times New Roman"/>
          <w:sz w:val="24"/>
          <w:szCs w:val="24"/>
        </w:rPr>
        <w:t>,</w:t>
      </w:r>
      <w:r w:rsidRPr="00BE78AD">
        <w:rPr>
          <w:rFonts w:ascii="Times New Roman" w:hAnsi="Times New Roman" w:cs="Times New Roman"/>
          <w:sz w:val="24"/>
          <w:szCs w:val="24"/>
        </w:rPr>
        <w:t xml:space="preserve"> still under</w:t>
      </w:r>
      <w:r>
        <w:rPr>
          <w:rFonts w:ascii="Times New Roman" w:hAnsi="Times New Roman" w:cs="Times New Roman"/>
          <w:sz w:val="24"/>
          <w:szCs w:val="24"/>
        </w:rPr>
        <w:t xml:space="preserve"> the Israeli</w:t>
      </w:r>
      <w:r w:rsidRPr="00BE78AD">
        <w:rPr>
          <w:rFonts w:ascii="Times New Roman" w:hAnsi="Times New Roman" w:cs="Times New Roman"/>
          <w:sz w:val="24"/>
          <w:szCs w:val="24"/>
        </w:rPr>
        <w:t xml:space="preserve"> occupation, the financial sector</w:t>
      </w:r>
      <w:r>
        <w:rPr>
          <w:rFonts w:ascii="Times New Roman" w:hAnsi="Times New Roman" w:cs="Times New Roman"/>
          <w:sz w:val="24"/>
          <w:szCs w:val="24"/>
        </w:rPr>
        <w:t xml:space="preserve"> is</w:t>
      </w:r>
      <w:r w:rsidRPr="00BE78AD">
        <w:rPr>
          <w:rFonts w:ascii="Times New Roman" w:hAnsi="Times New Roman" w:cs="Times New Roman"/>
          <w:sz w:val="24"/>
          <w:szCs w:val="24"/>
        </w:rPr>
        <w:t xml:space="preserve"> still in the development phase</w:t>
      </w:r>
      <w:r>
        <w:rPr>
          <w:rFonts w:ascii="Times New Roman" w:hAnsi="Times New Roman" w:cs="Times New Roman"/>
          <w:sz w:val="24"/>
          <w:szCs w:val="24"/>
        </w:rPr>
        <w:t>.</w:t>
      </w:r>
      <w:r w:rsidRPr="00BE78AD">
        <w:rPr>
          <w:rFonts w:ascii="Times New Roman" w:hAnsi="Times New Roman" w:cs="Times New Roman"/>
          <w:sz w:val="24"/>
          <w:szCs w:val="24"/>
        </w:rPr>
        <w:t xml:space="preserve"> </w:t>
      </w:r>
      <w:r>
        <w:rPr>
          <w:rFonts w:ascii="Times New Roman" w:hAnsi="Times New Roman" w:cs="Times New Roman"/>
          <w:sz w:val="24"/>
          <w:szCs w:val="24"/>
        </w:rPr>
        <w:t>M</w:t>
      </w:r>
      <w:r w:rsidRPr="00BE78AD">
        <w:rPr>
          <w:rFonts w:ascii="Times New Roman" w:hAnsi="Times New Roman" w:cs="Times New Roman"/>
          <w:sz w:val="24"/>
          <w:szCs w:val="24"/>
        </w:rPr>
        <w:t>any</w:t>
      </w:r>
      <w:r>
        <w:rPr>
          <w:rFonts w:ascii="Times New Roman" w:hAnsi="Times New Roman" w:cs="Times New Roman"/>
          <w:sz w:val="24"/>
          <w:szCs w:val="24"/>
        </w:rPr>
        <w:t xml:space="preserve"> newly established</w:t>
      </w:r>
      <w:r w:rsidRPr="00BE78AD">
        <w:rPr>
          <w:rFonts w:ascii="Times New Roman" w:hAnsi="Times New Roman" w:cs="Times New Roman"/>
          <w:sz w:val="24"/>
          <w:szCs w:val="24"/>
        </w:rPr>
        <w:t xml:space="preserve"> small commercial </w:t>
      </w:r>
      <w:r w:rsidR="00556C01" w:rsidRPr="00BE78AD">
        <w:rPr>
          <w:rFonts w:ascii="Times New Roman" w:hAnsi="Times New Roman" w:cs="Times New Roman"/>
          <w:sz w:val="24"/>
          <w:szCs w:val="24"/>
        </w:rPr>
        <w:t xml:space="preserve">banks </w:t>
      </w:r>
      <w:r w:rsidR="00556C01">
        <w:rPr>
          <w:rFonts w:ascii="Times New Roman" w:hAnsi="Times New Roman" w:cs="Times New Roman"/>
          <w:sz w:val="24"/>
          <w:szCs w:val="24"/>
        </w:rPr>
        <w:t xml:space="preserve">have </w:t>
      </w:r>
      <w:r w:rsidR="00556C01" w:rsidRPr="00BE78AD">
        <w:rPr>
          <w:rFonts w:ascii="Times New Roman" w:hAnsi="Times New Roman" w:cs="Times New Roman"/>
          <w:sz w:val="24"/>
          <w:szCs w:val="24"/>
        </w:rPr>
        <w:t>developed</w:t>
      </w:r>
      <w:r w:rsidRPr="00BE78AD">
        <w:rPr>
          <w:rFonts w:ascii="Times New Roman" w:hAnsi="Times New Roman" w:cs="Times New Roman"/>
          <w:sz w:val="24"/>
          <w:szCs w:val="24"/>
        </w:rPr>
        <w:t xml:space="preserve"> a firm risk management framework, particularly</w:t>
      </w:r>
      <w:r w:rsidR="002D2605">
        <w:rPr>
          <w:rFonts w:ascii="Times New Roman" w:hAnsi="Times New Roman" w:cs="Times New Roman"/>
          <w:sz w:val="24"/>
          <w:szCs w:val="24"/>
        </w:rPr>
        <w:t xml:space="preserve"> credit risk management, besides</w:t>
      </w:r>
      <w:r w:rsidRPr="00BE78AD">
        <w:rPr>
          <w:rFonts w:ascii="Times New Roman" w:hAnsi="Times New Roman" w:cs="Times New Roman"/>
          <w:sz w:val="24"/>
          <w:szCs w:val="24"/>
        </w:rPr>
        <w:t xml:space="preserve"> the important control role play</w:t>
      </w:r>
      <w:r>
        <w:rPr>
          <w:rFonts w:ascii="Times New Roman" w:hAnsi="Times New Roman" w:cs="Times New Roman"/>
          <w:sz w:val="24"/>
          <w:szCs w:val="24"/>
        </w:rPr>
        <w:t>ed</w:t>
      </w:r>
      <w:r w:rsidRPr="00BE78AD">
        <w:rPr>
          <w:rFonts w:ascii="Times New Roman" w:hAnsi="Times New Roman" w:cs="Times New Roman"/>
          <w:sz w:val="24"/>
          <w:szCs w:val="24"/>
        </w:rPr>
        <w:t xml:space="preserve"> by Palestinian </w:t>
      </w:r>
      <w:r>
        <w:rPr>
          <w:rFonts w:ascii="Times New Roman" w:hAnsi="Times New Roman" w:cs="Times New Roman"/>
          <w:sz w:val="24"/>
          <w:szCs w:val="24"/>
        </w:rPr>
        <w:t>M</w:t>
      </w:r>
      <w:r w:rsidRPr="00BE78AD">
        <w:rPr>
          <w:rFonts w:ascii="Times New Roman" w:hAnsi="Times New Roman" w:cs="Times New Roman"/>
          <w:sz w:val="24"/>
          <w:szCs w:val="24"/>
        </w:rPr>
        <w:t xml:space="preserve">onetary </w:t>
      </w:r>
      <w:r>
        <w:rPr>
          <w:rFonts w:ascii="Times New Roman" w:hAnsi="Times New Roman" w:cs="Times New Roman"/>
          <w:sz w:val="24"/>
          <w:szCs w:val="24"/>
        </w:rPr>
        <w:t>A</w:t>
      </w:r>
      <w:r w:rsidRPr="00BE78AD">
        <w:rPr>
          <w:rFonts w:ascii="Times New Roman" w:hAnsi="Times New Roman" w:cs="Times New Roman"/>
          <w:sz w:val="24"/>
          <w:szCs w:val="24"/>
        </w:rPr>
        <w:t>uthority</w:t>
      </w:r>
      <w:r>
        <w:rPr>
          <w:rFonts w:ascii="Times New Roman" w:hAnsi="Times New Roman" w:cs="Times New Roman"/>
          <w:sz w:val="24"/>
          <w:szCs w:val="24"/>
        </w:rPr>
        <w:t xml:space="preserve"> </w:t>
      </w:r>
      <w:r w:rsidRPr="00BE78AD">
        <w:rPr>
          <w:rFonts w:ascii="Times New Roman" w:hAnsi="Times New Roman" w:cs="Times New Roman"/>
          <w:sz w:val="24"/>
          <w:szCs w:val="24"/>
        </w:rPr>
        <w:t>(PMA)</w:t>
      </w:r>
      <w:r w:rsidR="00556C01" w:rsidRPr="00BE78AD">
        <w:rPr>
          <w:rFonts w:ascii="Times New Roman" w:hAnsi="Times New Roman" w:cs="Times New Roman"/>
          <w:sz w:val="24"/>
          <w:szCs w:val="24"/>
        </w:rPr>
        <w:t>,</w:t>
      </w:r>
      <w:r w:rsidR="00556C01">
        <w:rPr>
          <w:rFonts w:ascii="Times New Roman" w:hAnsi="Times New Roman" w:cs="Times New Roman"/>
          <w:sz w:val="24"/>
          <w:szCs w:val="24"/>
        </w:rPr>
        <w:t xml:space="preserve"> which</w:t>
      </w:r>
      <w:r w:rsidRPr="00BE78AD">
        <w:rPr>
          <w:rFonts w:ascii="Times New Roman" w:hAnsi="Times New Roman" w:cs="Times New Roman"/>
          <w:sz w:val="24"/>
          <w:szCs w:val="24"/>
        </w:rPr>
        <w:t xml:space="preserve"> serve</w:t>
      </w:r>
      <w:r>
        <w:rPr>
          <w:rFonts w:ascii="Times New Roman" w:hAnsi="Times New Roman" w:cs="Times New Roman"/>
          <w:sz w:val="24"/>
          <w:szCs w:val="24"/>
        </w:rPr>
        <w:t>s</w:t>
      </w:r>
      <w:r w:rsidRPr="00BE78AD">
        <w:rPr>
          <w:rFonts w:ascii="Times New Roman" w:hAnsi="Times New Roman" w:cs="Times New Roman"/>
          <w:sz w:val="24"/>
          <w:szCs w:val="24"/>
        </w:rPr>
        <w:t xml:space="preserve"> as</w:t>
      </w:r>
      <w:r>
        <w:rPr>
          <w:rFonts w:ascii="Times New Roman" w:hAnsi="Times New Roman" w:cs="Times New Roman"/>
          <w:sz w:val="24"/>
          <w:szCs w:val="24"/>
        </w:rPr>
        <w:t xml:space="preserve"> a</w:t>
      </w:r>
      <w:r w:rsidRPr="00BE78AD">
        <w:rPr>
          <w:rFonts w:ascii="Times New Roman" w:hAnsi="Times New Roman" w:cs="Times New Roman"/>
          <w:sz w:val="24"/>
          <w:szCs w:val="24"/>
        </w:rPr>
        <w:t xml:space="preserve"> central bank. </w:t>
      </w:r>
      <w:r w:rsidRPr="00BE78AD">
        <w:rPr>
          <w:rFonts w:ascii="Times New Roman" w:hAnsi="Times New Roman" w:cs="Times New Roman"/>
          <w:color w:val="000000"/>
          <w:sz w:val="24"/>
          <w:szCs w:val="24"/>
          <w:shd w:val="clear" w:color="auto" w:fill="FFFFFF"/>
        </w:rPr>
        <w:t xml:space="preserve">The PMA was established by presidential decree in 1994 following the Oslo Agreement between the Palestine Liberation Organization and the State of Israel. </w:t>
      </w:r>
      <w:r>
        <w:rPr>
          <w:rFonts w:ascii="Times New Roman" w:hAnsi="Times New Roman" w:cs="Times New Roman"/>
          <w:color w:val="000000"/>
          <w:sz w:val="24"/>
          <w:szCs w:val="24"/>
          <w:shd w:val="clear" w:color="auto" w:fill="FFFFFF"/>
        </w:rPr>
        <w:t xml:space="preserve">The </w:t>
      </w:r>
      <w:r w:rsidRPr="00BE78AD">
        <w:rPr>
          <w:rFonts w:ascii="Times New Roman" w:hAnsi="Times New Roman" w:cs="Times New Roman"/>
          <w:color w:val="000000"/>
          <w:sz w:val="24"/>
          <w:szCs w:val="24"/>
          <w:shd w:val="clear" w:color="auto" w:fill="FFFFFF"/>
        </w:rPr>
        <w:t>PMA act</w:t>
      </w:r>
      <w:r>
        <w:rPr>
          <w:rFonts w:ascii="Times New Roman" w:hAnsi="Times New Roman" w:cs="Times New Roman"/>
          <w:color w:val="000000"/>
          <w:sz w:val="24"/>
          <w:szCs w:val="24"/>
          <w:shd w:val="clear" w:color="auto" w:fill="FFFFFF"/>
        </w:rPr>
        <w:t>s</w:t>
      </w:r>
      <w:r w:rsidRPr="00BE78AD">
        <w:rPr>
          <w:rFonts w:ascii="Times New Roman" w:hAnsi="Times New Roman" w:cs="Times New Roman"/>
          <w:color w:val="000000"/>
          <w:sz w:val="24"/>
          <w:szCs w:val="24"/>
          <w:shd w:val="clear" w:color="auto" w:fill="FFFFFF"/>
        </w:rPr>
        <w:t xml:space="preserve"> with full autonomy in the pursuit of its objective of monetary and financial stability.</w:t>
      </w:r>
    </w:p>
    <w:p w:rsidR="002F4DFB" w:rsidRPr="002F4DFB" w:rsidRDefault="002F4DFB" w:rsidP="002F4DFB">
      <w:pPr>
        <w:spacing w:after="240" w:line="360" w:lineRule="auto"/>
        <w:jc w:val="both"/>
        <w:rPr>
          <w:rFonts w:ascii="Times New Roman" w:hAnsi="Times New Roman" w:cs="Times New Roman"/>
          <w:sz w:val="24"/>
          <w:szCs w:val="24"/>
        </w:rPr>
      </w:pPr>
      <w:r w:rsidRPr="00BE78AD">
        <w:rPr>
          <w:rFonts w:ascii="Times New Roman" w:hAnsi="Times New Roman" w:cs="Times New Roman"/>
          <w:sz w:val="24"/>
          <w:szCs w:val="24"/>
        </w:rPr>
        <w:t>The banking sector is one of the most important components of the Palestinian financial system, and the most influential factor in financial</w:t>
      </w:r>
      <w:r w:rsidR="002D2605">
        <w:rPr>
          <w:rFonts w:ascii="Times New Roman" w:hAnsi="Times New Roman" w:cs="Times New Roman"/>
          <w:sz w:val="24"/>
          <w:szCs w:val="24"/>
        </w:rPr>
        <w:t xml:space="preserve"> and economical</w:t>
      </w:r>
      <w:r w:rsidRPr="00BE78AD">
        <w:rPr>
          <w:rFonts w:ascii="Times New Roman" w:hAnsi="Times New Roman" w:cs="Times New Roman"/>
          <w:sz w:val="24"/>
          <w:szCs w:val="24"/>
        </w:rPr>
        <w:t xml:space="preserve"> stability in general, as it is the major funding channel for both the private and public sector</w:t>
      </w:r>
      <w:r>
        <w:rPr>
          <w:rFonts w:ascii="Times New Roman" w:hAnsi="Times New Roman" w:cs="Times New Roman"/>
          <w:sz w:val="24"/>
          <w:szCs w:val="24"/>
        </w:rPr>
        <w:t>s</w:t>
      </w:r>
      <w:r w:rsidRPr="00BE78AD">
        <w:rPr>
          <w:rFonts w:ascii="Times New Roman" w:hAnsi="Times New Roman" w:cs="Times New Roman"/>
          <w:sz w:val="24"/>
          <w:szCs w:val="24"/>
        </w:rPr>
        <w:t>. But banks operating in Palestine face a number of risks</w:t>
      </w:r>
      <w:r>
        <w:rPr>
          <w:rFonts w:ascii="Times New Roman" w:hAnsi="Times New Roman" w:cs="Times New Roman"/>
          <w:sz w:val="24"/>
          <w:szCs w:val="24"/>
        </w:rPr>
        <w:t xml:space="preserve"> which</w:t>
      </w:r>
      <w:r w:rsidRPr="00BE78AD">
        <w:rPr>
          <w:rFonts w:ascii="Times New Roman" w:hAnsi="Times New Roman" w:cs="Times New Roman"/>
          <w:sz w:val="24"/>
          <w:szCs w:val="24"/>
        </w:rPr>
        <w:t xml:space="preserve"> could be summarized as follows:</w:t>
      </w:r>
    </w:p>
    <w:p w:rsidR="002F4DFB" w:rsidRPr="002F4DFB" w:rsidRDefault="002F4DFB" w:rsidP="00F873C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Presence of </w:t>
      </w:r>
      <w:r w:rsidRPr="00BE78AD">
        <w:rPr>
          <w:rFonts w:ascii="Times New Roman" w:hAnsi="Times New Roman" w:cs="Times New Roman"/>
          <w:sz w:val="24"/>
          <w:szCs w:val="24"/>
        </w:rPr>
        <w:t xml:space="preserve"> a legislative vacuum</w:t>
      </w:r>
      <w:r>
        <w:rPr>
          <w:rFonts w:ascii="Times New Roman" w:hAnsi="Times New Roman" w:cs="Times New Roman"/>
          <w:sz w:val="24"/>
          <w:szCs w:val="24"/>
        </w:rPr>
        <w:t>;</w:t>
      </w:r>
      <w:r w:rsidRPr="00BE78AD">
        <w:rPr>
          <w:rFonts w:ascii="Times New Roman" w:hAnsi="Times New Roman" w:cs="Times New Roman"/>
          <w:sz w:val="24"/>
          <w:szCs w:val="24"/>
        </w:rPr>
        <w:t xml:space="preserve">  specialized commercial courts</w:t>
      </w:r>
      <w:r>
        <w:rPr>
          <w:rFonts w:ascii="Times New Roman" w:hAnsi="Times New Roman" w:cs="Times New Roman"/>
          <w:sz w:val="24"/>
          <w:szCs w:val="24"/>
        </w:rPr>
        <w:t xml:space="preserve"> do not exist</w:t>
      </w:r>
      <w:r w:rsidRPr="00BE78AD">
        <w:rPr>
          <w:rFonts w:ascii="Times New Roman" w:hAnsi="Times New Roman" w:cs="Times New Roman"/>
          <w:sz w:val="24"/>
          <w:szCs w:val="24"/>
        </w:rPr>
        <w:t>;</w:t>
      </w:r>
    </w:p>
    <w:p w:rsidR="00080464" w:rsidRPr="00BE78AD" w:rsidRDefault="00080464" w:rsidP="00F873C9">
      <w:pPr>
        <w:pStyle w:val="ListParagraph"/>
        <w:numPr>
          <w:ilvl w:val="0"/>
          <w:numId w:val="10"/>
        </w:numPr>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Lack of political and economic stability in the Occupied Palestinian Territories</w:t>
      </w:r>
      <w:r w:rsidR="002F4DFB">
        <w:rPr>
          <w:rFonts w:ascii="Times New Roman" w:hAnsi="Times New Roman" w:cs="Times New Roman"/>
          <w:sz w:val="24"/>
          <w:szCs w:val="24"/>
        </w:rPr>
        <w:t xml:space="preserve"> (OPT)</w:t>
      </w:r>
      <w:r w:rsidRPr="00BE78AD">
        <w:rPr>
          <w:rFonts w:ascii="Times New Roman" w:hAnsi="Times New Roman" w:cs="Times New Roman"/>
          <w:sz w:val="24"/>
          <w:szCs w:val="24"/>
        </w:rPr>
        <w:t>;</w:t>
      </w:r>
    </w:p>
    <w:p w:rsidR="00080464" w:rsidRPr="00BE78AD" w:rsidRDefault="0093564A" w:rsidP="00F873C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Failure to apply the Mortgage Law in the Gaza Strip g</w:t>
      </w:r>
      <w:r w:rsidR="00080464" w:rsidRPr="00BE78AD">
        <w:rPr>
          <w:rFonts w:ascii="Times New Roman" w:hAnsi="Times New Roman" w:cs="Times New Roman"/>
          <w:sz w:val="24"/>
          <w:szCs w:val="24"/>
        </w:rPr>
        <w:t>overnorate and mortgage of movable property in the Palestinian areas;</w:t>
      </w:r>
    </w:p>
    <w:p w:rsidR="00080464" w:rsidRPr="00BE78AD" w:rsidRDefault="00080464" w:rsidP="00F873C9">
      <w:pPr>
        <w:pStyle w:val="ListParagraph"/>
        <w:numPr>
          <w:ilvl w:val="0"/>
          <w:numId w:val="10"/>
        </w:numPr>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 xml:space="preserve"> Lack of support financial institutions such as credit guarantee institutions and deposit insurance institutions;</w:t>
      </w:r>
    </w:p>
    <w:p w:rsidR="00611C0B" w:rsidRPr="00BE78AD" w:rsidRDefault="00080464" w:rsidP="00F873C9">
      <w:pPr>
        <w:pStyle w:val="ListParagraph"/>
        <w:numPr>
          <w:ilvl w:val="0"/>
          <w:numId w:val="10"/>
        </w:numPr>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Shortage of specialized investment and development banks</w:t>
      </w:r>
    </w:p>
    <w:p w:rsidR="00080464" w:rsidRPr="00BE78AD" w:rsidRDefault="00611C0B" w:rsidP="00154AF3">
      <w:pPr>
        <w:pStyle w:val="ListParagraph"/>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(Ashore</w:t>
      </w:r>
      <w:r w:rsidR="002842B6">
        <w:rPr>
          <w:rFonts w:ascii="Times New Roman" w:hAnsi="Times New Roman" w:cs="Times New Roman"/>
          <w:sz w:val="24"/>
          <w:szCs w:val="24"/>
        </w:rPr>
        <w:t>, 2003</w:t>
      </w:r>
      <w:r w:rsidR="00080464" w:rsidRPr="00BE78AD">
        <w:rPr>
          <w:rFonts w:ascii="Times New Roman" w:hAnsi="Times New Roman" w:cs="Times New Roman"/>
          <w:sz w:val="24"/>
          <w:szCs w:val="24"/>
        </w:rPr>
        <w:t>);</w:t>
      </w:r>
    </w:p>
    <w:p w:rsidR="00080464" w:rsidRPr="00BE78AD" w:rsidRDefault="00080464" w:rsidP="00F873C9">
      <w:pPr>
        <w:pStyle w:val="ListParagraph"/>
        <w:numPr>
          <w:ilvl w:val="0"/>
          <w:numId w:val="10"/>
        </w:numPr>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Absence of a national currency, thus resulting in transferring banks’ surpluses abroad and depositing them in the fo</w:t>
      </w:r>
      <w:r w:rsidR="003775EB">
        <w:rPr>
          <w:rFonts w:ascii="Times New Roman" w:hAnsi="Times New Roman" w:cs="Times New Roman"/>
          <w:sz w:val="24"/>
          <w:szCs w:val="24"/>
        </w:rPr>
        <w:t xml:space="preserve">rm of balances in foreign banks </w:t>
      </w:r>
      <w:r w:rsidRPr="00BE78AD">
        <w:rPr>
          <w:rFonts w:ascii="Times New Roman" w:hAnsi="Times New Roman" w:cs="Times New Roman"/>
          <w:sz w:val="24"/>
          <w:szCs w:val="24"/>
        </w:rPr>
        <w:t>(</w:t>
      </w:r>
      <w:r w:rsidR="005D7D11" w:rsidRPr="00BE78AD">
        <w:rPr>
          <w:rFonts w:ascii="Times New Roman" w:hAnsi="Times New Roman" w:cs="Times New Roman"/>
          <w:sz w:val="24"/>
          <w:szCs w:val="24"/>
        </w:rPr>
        <w:t>Al-</w:t>
      </w:r>
      <w:r w:rsidR="002842B6">
        <w:rPr>
          <w:rFonts w:ascii="Times New Roman" w:hAnsi="Times New Roman" w:cs="Times New Roman"/>
          <w:sz w:val="24"/>
          <w:szCs w:val="24"/>
        </w:rPr>
        <w:t>Ja’afari, 2003</w:t>
      </w:r>
      <w:r w:rsidRPr="00BE78AD">
        <w:rPr>
          <w:rFonts w:ascii="Times New Roman" w:hAnsi="Times New Roman" w:cs="Times New Roman"/>
          <w:sz w:val="24"/>
          <w:szCs w:val="24"/>
        </w:rPr>
        <w:t>);</w:t>
      </w:r>
    </w:p>
    <w:p w:rsidR="00080464" w:rsidRPr="00BE78AD" w:rsidRDefault="00080464" w:rsidP="00F873C9">
      <w:pPr>
        <w:pStyle w:val="ListParagraph"/>
        <w:numPr>
          <w:ilvl w:val="0"/>
          <w:numId w:val="10"/>
        </w:numPr>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 xml:space="preserve">Absence of local credit rating companies, thus checking on the banks’ ability to benefit from differential weights provided to clients who might obtain a high </w:t>
      </w:r>
      <w:r w:rsidR="002842B6">
        <w:rPr>
          <w:rFonts w:ascii="Times New Roman" w:hAnsi="Times New Roman" w:cs="Times New Roman"/>
          <w:sz w:val="24"/>
          <w:szCs w:val="24"/>
        </w:rPr>
        <w:t>credit rating (Nasser, 2003</w:t>
      </w:r>
      <w:r w:rsidRPr="00BE78AD">
        <w:rPr>
          <w:rFonts w:ascii="Times New Roman" w:hAnsi="Times New Roman" w:cs="Times New Roman"/>
          <w:sz w:val="24"/>
          <w:szCs w:val="24"/>
        </w:rPr>
        <w:t>).</w:t>
      </w:r>
    </w:p>
    <w:p w:rsidR="003C6613" w:rsidRDefault="00D60E66" w:rsidP="003C6613">
      <w:pPr>
        <w:autoSpaceDE w:val="0"/>
        <w:autoSpaceDN w:val="0"/>
        <w:adjustRightInd w:val="0"/>
        <w:spacing w:after="0" w:line="360" w:lineRule="auto"/>
        <w:jc w:val="both"/>
        <w:rPr>
          <w:rFonts w:ascii="Times New Roman" w:hAnsi="Times New Roman" w:cs="Times New Roman"/>
          <w:sz w:val="24"/>
          <w:szCs w:val="24"/>
        </w:rPr>
      </w:pPr>
      <w:r w:rsidRPr="00BE78AD">
        <w:rPr>
          <w:rFonts w:ascii="Times New Roman" w:hAnsi="Times New Roman" w:cs="Times New Roman"/>
          <w:sz w:val="24"/>
          <w:szCs w:val="24"/>
        </w:rPr>
        <w:lastRenderedPageBreak/>
        <w:t>Therefore,</w:t>
      </w:r>
      <w:r w:rsidR="00026CC5">
        <w:rPr>
          <w:rFonts w:ascii="Times New Roman" w:hAnsi="Times New Roman" w:cs="Times New Roman"/>
          <w:sz w:val="24"/>
          <w:szCs w:val="24"/>
        </w:rPr>
        <w:t xml:space="preserve"> </w:t>
      </w:r>
      <w:r w:rsidR="00FB601A" w:rsidRPr="00BE78AD">
        <w:rPr>
          <w:rFonts w:ascii="Times New Roman" w:hAnsi="Times New Roman" w:cs="Times New Roman"/>
          <w:sz w:val="24"/>
          <w:szCs w:val="24"/>
        </w:rPr>
        <w:t>having solid and robust risk management framework particularl</w:t>
      </w:r>
      <w:r w:rsidR="00BB7AB3">
        <w:rPr>
          <w:rFonts w:ascii="Times New Roman" w:hAnsi="Times New Roman" w:cs="Times New Roman"/>
          <w:sz w:val="24"/>
          <w:szCs w:val="24"/>
        </w:rPr>
        <w:t xml:space="preserve">y credit risk management, </w:t>
      </w:r>
      <w:r w:rsidR="00FB601A" w:rsidRPr="00BE78AD">
        <w:rPr>
          <w:rFonts w:ascii="Times New Roman" w:hAnsi="Times New Roman" w:cs="Times New Roman"/>
          <w:sz w:val="24"/>
          <w:szCs w:val="24"/>
        </w:rPr>
        <w:t>depends on accurate measurement and efficient management of this risk</w:t>
      </w:r>
      <w:r w:rsidR="0093564A">
        <w:rPr>
          <w:rFonts w:ascii="Times New Roman" w:hAnsi="Times New Roman" w:cs="Times New Roman"/>
          <w:sz w:val="24"/>
          <w:szCs w:val="24"/>
        </w:rPr>
        <w:t xml:space="preserve"> </w:t>
      </w:r>
      <w:r w:rsidR="002842B6">
        <w:rPr>
          <w:rFonts w:ascii="Times New Roman" w:hAnsi="Times New Roman" w:cs="Times New Roman"/>
          <w:sz w:val="24"/>
          <w:szCs w:val="24"/>
        </w:rPr>
        <w:t>(Giesecke, 2004</w:t>
      </w:r>
      <w:r w:rsidR="00BB7AB3">
        <w:rPr>
          <w:rFonts w:ascii="Times New Roman" w:hAnsi="Times New Roman" w:cs="Times New Roman"/>
          <w:sz w:val="24"/>
          <w:szCs w:val="24"/>
        </w:rPr>
        <w:t>)</w:t>
      </w:r>
      <w:r w:rsidR="00223FD2">
        <w:rPr>
          <w:rFonts w:ascii="Times New Roman" w:hAnsi="Times New Roman" w:cs="Times New Roman"/>
          <w:sz w:val="24"/>
          <w:szCs w:val="24"/>
        </w:rPr>
        <w:t>.</w:t>
      </w:r>
      <w:r w:rsidR="00EA3EFB">
        <w:rPr>
          <w:rFonts w:ascii="Times New Roman" w:hAnsi="Times New Roman" w:cs="Times New Roman"/>
          <w:sz w:val="24"/>
          <w:szCs w:val="24"/>
        </w:rPr>
        <w:t xml:space="preserve"> </w:t>
      </w:r>
      <w:r w:rsidR="0093564A">
        <w:rPr>
          <w:rFonts w:ascii="Times New Roman" w:hAnsi="Times New Roman" w:cs="Times New Roman"/>
          <w:sz w:val="24"/>
          <w:szCs w:val="24"/>
        </w:rPr>
        <w:t>One</w:t>
      </w:r>
      <w:r w:rsidR="0093564A" w:rsidRPr="00BE78AD">
        <w:rPr>
          <w:rFonts w:ascii="Times New Roman" w:hAnsi="Times New Roman" w:cs="Times New Roman"/>
          <w:sz w:val="24"/>
          <w:szCs w:val="24"/>
        </w:rPr>
        <w:t xml:space="preserve"> major motivation to </w:t>
      </w:r>
      <w:r w:rsidR="0093564A">
        <w:rPr>
          <w:rFonts w:ascii="Times New Roman" w:hAnsi="Times New Roman" w:cs="Times New Roman"/>
          <w:sz w:val="24"/>
          <w:szCs w:val="24"/>
        </w:rPr>
        <w:t>conduct</w:t>
      </w:r>
      <w:r w:rsidR="0093564A" w:rsidRPr="00BE78AD">
        <w:rPr>
          <w:rFonts w:ascii="Times New Roman" w:hAnsi="Times New Roman" w:cs="Times New Roman"/>
          <w:sz w:val="24"/>
          <w:szCs w:val="24"/>
        </w:rPr>
        <w:t xml:space="preserve"> this study was the importance of credit risk management </w:t>
      </w:r>
      <w:r w:rsidR="00556C01">
        <w:rPr>
          <w:rFonts w:ascii="Times New Roman" w:hAnsi="Times New Roman" w:cs="Times New Roman"/>
          <w:sz w:val="24"/>
          <w:szCs w:val="24"/>
        </w:rPr>
        <w:t xml:space="preserve">for </w:t>
      </w:r>
      <w:r w:rsidR="00556C01" w:rsidRPr="00BE78AD">
        <w:rPr>
          <w:rFonts w:ascii="Times New Roman" w:hAnsi="Times New Roman" w:cs="Times New Roman"/>
          <w:sz w:val="24"/>
          <w:szCs w:val="24"/>
        </w:rPr>
        <w:t>the</w:t>
      </w:r>
      <w:r w:rsidR="0093564A" w:rsidRPr="00BE78AD">
        <w:rPr>
          <w:rFonts w:ascii="Times New Roman" w:hAnsi="Times New Roman" w:cs="Times New Roman"/>
          <w:sz w:val="24"/>
          <w:szCs w:val="24"/>
        </w:rPr>
        <w:t xml:space="preserve"> bank’s performance and profitability. If credit risk is managed well and in a sound way, the profit level will</w:t>
      </w:r>
      <w:r w:rsidR="0093564A">
        <w:rPr>
          <w:rFonts w:ascii="Times New Roman" w:hAnsi="Times New Roman" w:cs="Times New Roman"/>
          <w:sz w:val="24"/>
          <w:szCs w:val="24"/>
        </w:rPr>
        <w:t xml:space="preserve"> be </w:t>
      </w:r>
      <w:r w:rsidR="00210E2B">
        <w:rPr>
          <w:rFonts w:ascii="Times New Roman" w:hAnsi="Times New Roman" w:cs="Times New Roman"/>
          <w:sz w:val="24"/>
          <w:szCs w:val="24"/>
        </w:rPr>
        <w:t xml:space="preserve">favorable </w:t>
      </w:r>
      <w:r w:rsidR="0093564A">
        <w:rPr>
          <w:rFonts w:ascii="Times New Roman" w:hAnsi="Times New Roman" w:cs="Times New Roman"/>
          <w:sz w:val="24"/>
          <w:szCs w:val="24"/>
        </w:rPr>
        <w:t>and sufficient, s</w:t>
      </w:r>
      <w:r w:rsidR="0093564A" w:rsidRPr="00BE78AD">
        <w:rPr>
          <w:rFonts w:ascii="Times New Roman" w:hAnsi="Times New Roman" w:cs="Times New Roman"/>
          <w:sz w:val="24"/>
          <w:szCs w:val="24"/>
        </w:rPr>
        <w:t>ince profitability is an indi</w:t>
      </w:r>
      <w:r w:rsidR="0093564A">
        <w:rPr>
          <w:rFonts w:ascii="Times New Roman" w:hAnsi="Times New Roman" w:cs="Times New Roman"/>
          <w:sz w:val="24"/>
          <w:szCs w:val="24"/>
        </w:rPr>
        <w:t>cator of credit risk management and policies adopted by the institution.</w:t>
      </w:r>
      <w:r w:rsidR="0093564A" w:rsidRPr="00BE78AD">
        <w:rPr>
          <w:rFonts w:ascii="Times New Roman" w:hAnsi="Times New Roman" w:cs="Times New Roman"/>
          <w:sz w:val="24"/>
          <w:szCs w:val="24"/>
        </w:rPr>
        <w:t xml:space="preserve"> The major question</w:t>
      </w:r>
      <w:r w:rsidR="0093564A">
        <w:rPr>
          <w:rFonts w:ascii="Times New Roman" w:hAnsi="Times New Roman" w:cs="Times New Roman"/>
          <w:sz w:val="24"/>
          <w:szCs w:val="24"/>
        </w:rPr>
        <w:t xml:space="preserve"> to be raised</w:t>
      </w:r>
      <w:r w:rsidR="0093564A" w:rsidRPr="00BE78AD">
        <w:rPr>
          <w:rFonts w:ascii="Times New Roman" w:hAnsi="Times New Roman" w:cs="Times New Roman"/>
          <w:sz w:val="24"/>
          <w:szCs w:val="24"/>
        </w:rPr>
        <w:t xml:space="preserve"> is</w:t>
      </w:r>
      <w:r w:rsidR="00223FD2">
        <w:rPr>
          <w:rFonts w:ascii="Times New Roman" w:hAnsi="Times New Roman" w:cs="Times New Roman"/>
          <w:sz w:val="24"/>
          <w:szCs w:val="24"/>
        </w:rPr>
        <w:t xml:space="preserve">, </w:t>
      </w:r>
      <w:r w:rsidR="00223FD2" w:rsidRPr="00BE78AD">
        <w:rPr>
          <w:rFonts w:ascii="Times New Roman" w:hAnsi="Times New Roman" w:cs="Times New Roman"/>
          <w:sz w:val="24"/>
          <w:szCs w:val="24"/>
        </w:rPr>
        <w:t>how</w:t>
      </w:r>
      <w:r w:rsidR="0093564A">
        <w:rPr>
          <w:rFonts w:ascii="Times New Roman" w:hAnsi="Times New Roman" w:cs="Times New Roman"/>
          <w:sz w:val="24"/>
          <w:szCs w:val="24"/>
        </w:rPr>
        <w:t xml:space="preserve"> much</w:t>
      </w:r>
      <w:r w:rsidR="0093564A" w:rsidRPr="00BE78AD">
        <w:rPr>
          <w:rFonts w:ascii="Times New Roman" w:hAnsi="Times New Roman" w:cs="Times New Roman"/>
          <w:sz w:val="24"/>
          <w:szCs w:val="24"/>
        </w:rPr>
        <w:t xml:space="preserve"> significant is the </w:t>
      </w:r>
      <w:r w:rsidR="00210E2B">
        <w:rPr>
          <w:rFonts w:ascii="Times New Roman" w:hAnsi="Times New Roman" w:cs="Times New Roman"/>
          <w:sz w:val="24"/>
          <w:szCs w:val="24"/>
        </w:rPr>
        <w:t>impact of credit risk</w:t>
      </w:r>
      <w:r w:rsidR="0093564A">
        <w:rPr>
          <w:rFonts w:ascii="Times New Roman" w:hAnsi="Times New Roman" w:cs="Times New Roman"/>
          <w:sz w:val="24"/>
          <w:szCs w:val="24"/>
        </w:rPr>
        <w:t xml:space="preserve"> policies</w:t>
      </w:r>
      <w:r w:rsidR="0093564A" w:rsidRPr="00BE78AD">
        <w:rPr>
          <w:rFonts w:ascii="Times New Roman" w:hAnsi="Times New Roman" w:cs="Times New Roman"/>
          <w:sz w:val="24"/>
          <w:szCs w:val="24"/>
        </w:rPr>
        <w:t xml:space="preserve"> on profitability of Palestinian commercial banks</w:t>
      </w:r>
      <w:r w:rsidR="0093564A">
        <w:rPr>
          <w:rFonts w:ascii="Times New Roman" w:hAnsi="Times New Roman" w:cs="Times New Roman"/>
          <w:sz w:val="24"/>
          <w:szCs w:val="24"/>
        </w:rPr>
        <w:t>?</w:t>
      </w:r>
      <w:r w:rsidR="00384CD1">
        <w:rPr>
          <w:rFonts w:ascii="Times New Roman" w:hAnsi="Times New Roman" w:cs="Times New Roman"/>
          <w:sz w:val="24"/>
          <w:szCs w:val="24"/>
        </w:rPr>
        <w:t xml:space="preserve"> This study</w:t>
      </w:r>
      <w:r w:rsidR="0093564A" w:rsidRPr="00BE78AD">
        <w:rPr>
          <w:rFonts w:ascii="Times New Roman" w:hAnsi="Times New Roman" w:cs="Times New Roman"/>
          <w:sz w:val="24"/>
          <w:szCs w:val="24"/>
        </w:rPr>
        <w:t xml:space="preserve"> will attempt to </w:t>
      </w:r>
      <w:r w:rsidR="0093564A">
        <w:rPr>
          <w:rFonts w:ascii="Times New Roman" w:hAnsi="Times New Roman" w:cs="Times New Roman"/>
          <w:sz w:val="24"/>
          <w:szCs w:val="24"/>
        </w:rPr>
        <w:t xml:space="preserve">provide </w:t>
      </w:r>
      <w:r w:rsidR="00B56017">
        <w:rPr>
          <w:rFonts w:ascii="Times New Roman" w:hAnsi="Times New Roman" w:cs="Times New Roman"/>
          <w:sz w:val="24"/>
          <w:szCs w:val="24"/>
        </w:rPr>
        <w:t xml:space="preserve">an </w:t>
      </w:r>
      <w:r w:rsidR="00B56017" w:rsidRPr="00BE78AD">
        <w:rPr>
          <w:rFonts w:ascii="Times New Roman" w:hAnsi="Times New Roman" w:cs="Times New Roman"/>
          <w:sz w:val="24"/>
          <w:szCs w:val="24"/>
        </w:rPr>
        <w:t>answer</w:t>
      </w:r>
      <w:r w:rsidR="0093564A">
        <w:rPr>
          <w:rFonts w:ascii="Times New Roman" w:hAnsi="Times New Roman" w:cs="Times New Roman"/>
          <w:sz w:val="24"/>
          <w:szCs w:val="24"/>
        </w:rPr>
        <w:t xml:space="preserve"> to this question</w:t>
      </w:r>
      <w:r w:rsidR="0093564A" w:rsidRPr="00BE78AD">
        <w:rPr>
          <w:rFonts w:ascii="Times New Roman" w:hAnsi="Times New Roman" w:cs="Times New Roman"/>
          <w:sz w:val="24"/>
          <w:szCs w:val="24"/>
        </w:rPr>
        <w:t xml:space="preserve"> through a detailed look </w:t>
      </w:r>
      <w:r w:rsidR="0093564A">
        <w:rPr>
          <w:rFonts w:ascii="Times New Roman" w:hAnsi="Times New Roman" w:cs="Times New Roman"/>
          <w:sz w:val="24"/>
          <w:szCs w:val="24"/>
        </w:rPr>
        <w:t xml:space="preserve">at </w:t>
      </w:r>
      <w:r w:rsidR="00B56017">
        <w:rPr>
          <w:rFonts w:ascii="Times New Roman" w:hAnsi="Times New Roman" w:cs="Times New Roman"/>
          <w:sz w:val="24"/>
          <w:szCs w:val="24"/>
        </w:rPr>
        <w:t xml:space="preserve">the </w:t>
      </w:r>
      <w:r w:rsidR="00B56017" w:rsidRPr="00BE78AD">
        <w:rPr>
          <w:rFonts w:ascii="Times New Roman" w:hAnsi="Times New Roman" w:cs="Times New Roman"/>
          <w:sz w:val="24"/>
          <w:szCs w:val="24"/>
        </w:rPr>
        <w:t>Palestinian</w:t>
      </w:r>
      <w:r w:rsidR="0093564A" w:rsidRPr="00BE78AD">
        <w:rPr>
          <w:rFonts w:ascii="Times New Roman" w:hAnsi="Times New Roman" w:cs="Times New Roman"/>
          <w:sz w:val="24"/>
          <w:szCs w:val="24"/>
        </w:rPr>
        <w:t xml:space="preserve"> commercial </w:t>
      </w:r>
      <w:r w:rsidR="0093564A">
        <w:rPr>
          <w:rFonts w:ascii="Times New Roman" w:hAnsi="Times New Roman" w:cs="Times New Roman"/>
          <w:sz w:val="24"/>
          <w:szCs w:val="24"/>
        </w:rPr>
        <w:t>b</w:t>
      </w:r>
      <w:r w:rsidR="0093564A" w:rsidRPr="00BE78AD">
        <w:rPr>
          <w:rFonts w:ascii="Times New Roman" w:hAnsi="Times New Roman" w:cs="Times New Roman"/>
          <w:sz w:val="24"/>
          <w:szCs w:val="24"/>
        </w:rPr>
        <w:t>anks</w:t>
      </w:r>
      <w:r w:rsidR="0093564A">
        <w:rPr>
          <w:rFonts w:ascii="Times New Roman" w:hAnsi="Times New Roman" w:cs="Times New Roman"/>
          <w:sz w:val="24"/>
          <w:szCs w:val="24"/>
        </w:rPr>
        <w:t>’</w:t>
      </w:r>
      <w:r w:rsidR="0093564A" w:rsidRPr="00BE78AD">
        <w:rPr>
          <w:rFonts w:ascii="Times New Roman" w:hAnsi="Times New Roman" w:cs="Times New Roman"/>
          <w:sz w:val="24"/>
          <w:szCs w:val="24"/>
        </w:rPr>
        <w:t xml:space="preserve"> performance</w:t>
      </w:r>
      <w:r w:rsidR="00661D0E">
        <w:rPr>
          <w:rFonts w:ascii="Times New Roman" w:hAnsi="Times New Roman" w:cs="Times New Roman"/>
          <w:sz w:val="24"/>
          <w:szCs w:val="24"/>
        </w:rPr>
        <w:t xml:space="preserve"> since </w:t>
      </w:r>
      <w:r w:rsidR="0093564A" w:rsidRPr="00BE78AD">
        <w:rPr>
          <w:rFonts w:ascii="Times New Roman" w:hAnsi="Times New Roman" w:cs="Times New Roman"/>
          <w:sz w:val="24"/>
          <w:szCs w:val="24"/>
        </w:rPr>
        <w:t xml:space="preserve">Credit risk management </w:t>
      </w:r>
      <w:r w:rsidR="00661D0E">
        <w:rPr>
          <w:rFonts w:ascii="Times New Roman" w:hAnsi="Times New Roman" w:cs="Times New Roman"/>
          <w:sz w:val="24"/>
          <w:szCs w:val="24"/>
        </w:rPr>
        <w:t>policies</w:t>
      </w:r>
      <w:r w:rsidR="0093564A" w:rsidRPr="00BE78AD">
        <w:rPr>
          <w:rFonts w:ascii="Times New Roman" w:hAnsi="Times New Roman" w:cs="Times New Roman"/>
          <w:sz w:val="24"/>
          <w:szCs w:val="24"/>
        </w:rPr>
        <w:t xml:space="preserve"> </w:t>
      </w:r>
      <w:r w:rsidR="00B56017" w:rsidRPr="00BE78AD">
        <w:rPr>
          <w:rFonts w:ascii="Times New Roman" w:hAnsi="Times New Roman" w:cs="Times New Roman"/>
          <w:sz w:val="24"/>
          <w:szCs w:val="24"/>
        </w:rPr>
        <w:t>explore bank</w:t>
      </w:r>
      <w:r w:rsidR="0093564A" w:rsidRPr="00BE78AD">
        <w:rPr>
          <w:rFonts w:ascii="Times New Roman" w:hAnsi="Times New Roman" w:cs="Times New Roman"/>
          <w:sz w:val="24"/>
          <w:szCs w:val="24"/>
        </w:rPr>
        <w:t xml:space="preserve"> risk exposure, asse</w:t>
      </w:r>
      <w:r w:rsidR="00661D0E">
        <w:rPr>
          <w:rFonts w:ascii="Times New Roman" w:hAnsi="Times New Roman" w:cs="Times New Roman"/>
          <w:sz w:val="24"/>
          <w:szCs w:val="24"/>
        </w:rPr>
        <w:t>ssment, management and control of such risk.</w:t>
      </w:r>
    </w:p>
    <w:p w:rsidR="003C6613" w:rsidRDefault="003C6613" w:rsidP="003C6613">
      <w:pPr>
        <w:autoSpaceDE w:val="0"/>
        <w:autoSpaceDN w:val="0"/>
        <w:adjustRightInd w:val="0"/>
        <w:spacing w:after="0" w:line="360" w:lineRule="auto"/>
        <w:jc w:val="both"/>
        <w:rPr>
          <w:rFonts w:ascii="Times New Roman" w:hAnsi="Times New Roman" w:cs="Times New Roman"/>
          <w:sz w:val="24"/>
          <w:szCs w:val="24"/>
        </w:rPr>
      </w:pPr>
    </w:p>
    <w:p w:rsidR="0093564A" w:rsidRPr="00D965D5" w:rsidRDefault="001A3D66" w:rsidP="003C6613">
      <w:pPr>
        <w:autoSpaceDE w:val="0"/>
        <w:autoSpaceDN w:val="0"/>
        <w:adjustRightInd w:val="0"/>
        <w:spacing w:after="0" w:line="360" w:lineRule="auto"/>
        <w:jc w:val="both"/>
        <w:rPr>
          <w:rFonts w:ascii="Times New Roman" w:hAnsi="Times New Roman" w:cs="Times New Roman"/>
          <w:sz w:val="24"/>
          <w:szCs w:val="24"/>
        </w:rPr>
      </w:pPr>
      <w:r w:rsidRPr="00D965D5">
        <w:rPr>
          <w:rFonts w:ascii="Times New Roman" w:hAnsi="Times New Roman" w:cs="Times New Roman"/>
          <w:b/>
          <w:sz w:val="24"/>
          <w:szCs w:val="24"/>
        </w:rPr>
        <w:t xml:space="preserve">1.2 </w:t>
      </w:r>
      <w:r w:rsidR="00AF565A" w:rsidRPr="00D965D5">
        <w:rPr>
          <w:rFonts w:ascii="Times New Roman" w:hAnsi="Times New Roman" w:cs="Times New Roman"/>
          <w:b/>
          <w:sz w:val="24"/>
          <w:szCs w:val="24"/>
        </w:rPr>
        <w:t>Statement of the Problem</w:t>
      </w:r>
    </w:p>
    <w:p w:rsidR="00593231" w:rsidRPr="00BE78AD" w:rsidRDefault="0093564A" w:rsidP="003C6613">
      <w:pPr>
        <w:spacing w:line="360" w:lineRule="auto"/>
        <w:jc w:val="both"/>
        <w:rPr>
          <w:rFonts w:ascii="Times New Roman" w:hAnsi="Times New Roman" w:cs="Times New Roman"/>
          <w:sz w:val="24"/>
          <w:szCs w:val="24"/>
        </w:rPr>
      </w:pPr>
      <w:r w:rsidRPr="00BE78AD">
        <w:rPr>
          <w:rFonts w:ascii="Times New Roman" w:hAnsi="Times New Roman" w:cs="Times New Roman"/>
          <w:sz w:val="24"/>
          <w:szCs w:val="24"/>
        </w:rPr>
        <w:t>The nature of banking business is so risky and sensitive and banks are about risk management because most of banks</w:t>
      </w:r>
      <w:r>
        <w:rPr>
          <w:rFonts w:ascii="Times New Roman" w:hAnsi="Times New Roman" w:cs="Times New Roman"/>
          <w:sz w:val="24"/>
          <w:szCs w:val="24"/>
        </w:rPr>
        <w:t>’</w:t>
      </w:r>
      <w:r w:rsidRPr="00BE78AD">
        <w:rPr>
          <w:rFonts w:ascii="Times New Roman" w:hAnsi="Times New Roman" w:cs="Times New Roman"/>
          <w:sz w:val="24"/>
          <w:szCs w:val="24"/>
        </w:rPr>
        <w:t xml:space="preserve"> money is depositor</w:t>
      </w:r>
      <w:r>
        <w:rPr>
          <w:rFonts w:ascii="Times New Roman" w:hAnsi="Times New Roman" w:cs="Times New Roman"/>
          <w:sz w:val="24"/>
          <w:szCs w:val="24"/>
        </w:rPr>
        <w:t>s’</w:t>
      </w:r>
      <w:r w:rsidRPr="00BE78AD">
        <w:rPr>
          <w:rFonts w:ascii="Times New Roman" w:hAnsi="Times New Roman" w:cs="Times New Roman"/>
          <w:sz w:val="24"/>
          <w:szCs w:val="24"/>
        </w:rPr>
        <w:t xml:space="preserve"> money. Banks use these deposits to create credit for their borrowers. This intermediation process is in fact a revenue-generating activity for most banks. </w:t>
      </w:r>
      <w:r w:rsidR="00804D7A">
        <w:rPr>
          <w:rFonts w:ascii="Times New Roman" w:hAnsi="Times New Roman" w:cs="Times New Roman"/>
          <w:sz w:val="24"/>
          <w:szCs w:val="24"/>
        </w:rPr>
        <w:t xml:space="preserve">The </w:t>
      </w:r>
      <w:r w:rsidR="00804D7A" w:rsidRPr="00BE78AD">
        <w:rPr>
          <w:rFonts w:ascii="Times New Roman" w:hAnsi="Times New Roman" w:cs="Times New Roman"/>
          <w:sz w:val="24"/>
          <w:szCs w:val="24"/>
        </w:rPr>
        <w:t xml:space="preserve">credit creation </w:t>
      </w:r>
      <w:r w:rsidR="00804D7A">
        <w:rPr>
          <w:rFonts w:ascii="Times New Roman" w:hAnsi="Times New Roman" w:cs="Times New Roman"/>
          <w:sz w:val="24"/>
          <w:szCs w:val="24"/>
        </w:rPr>
        <w:t xml:space="preserve">activity performed by banks ordeal them to high default risk that may lead to financial problems including </w:t>
      </w:r>
      <w:r w:rsidR="00804D7A" w:rsidRPr="00BE78AD">
        <w:rPr>
          <w:rFonts w:ascii="Times New Roman" w:hAnsi="Times New Roman" w:cs="Times New Roman"/>
          <w:sz w:val="24"/>
          <w:szCs w:val="24"/>
        </w:rPr>
        <w:t>bankruptcy.</w:t>
      </w:r>
      <w:r w:rsidR="00804D7A">
        <w:rPr>
          <w:rFonts w:ascii="Times New Roman" w:hAnsi="Times New Roman" w:cs="Times New Roman"/>
          <w:sz w:val="24"/>
          <w:szCs w:val="24"/>
        </w:rPr>
        <w:t xml:space="preserve"> The significance of these problems arises from the risk of credit portfolio which is considered the major and crucial risk affect the bank’s financial performance. </w:t>
      </w:r>
      <w:r>
        <w:rPr>
          <w:rFonts w:ascii="Times New Roman" w:hAnsi="Times New Roman" w:cs="Times New Roman"/>
          <w:sz w:val="24"/>
          <w:szCs w:val="24"/>
        </w:rPr>
        <w:t>Another</w:t>
      </w:r>
      <w:r w:rsidRPr="00BE78AD">
        <w:rPr>
          <w:rFonts w:ascii="Times New Roman" w:hAnsi="Times New Roman" w:cs="Times New Roman"/>
          <w:sz w:val="24"/>
          <w:szCs w:val="24"/>
        </w:rPr>
        <w:t xml:space="preserve"> major motivation to </w:t>
      </w:r>
      <w:r>
        <w:rPr>
          <w:rFonts w:ascii="Times New Roman" w:hAnsi="Times New Roman" w:cs="Times New Roman"/>
          <w:sz w:val="24"/>
          <w:szCs w:val="24"/>
        </w:rPr>
        <w:t>do</w:t>
      </w:r>
      <w:r w:rsidRPr="00BE78AD">
        <w:rPr>
          <w:rFonts w:ascii="Times New Roman" w:hAnsi="Times New Roman" w:cs="Times New Roman"/>
          <w:sz w:val="24"/>
          <w:szCs w:val="24"/>
        </w:rPr>
        <w:t xml:space="preserve"> this</w:t>
      </w:r>
      <w:r>
        <w:rPr>
          <w:rFonts w:ascii="Times New Roman" w:hAnsi="Times New Roman" w:cs="Times New Roman"/>
          <w:sz w:val="24"/>
          <w:szCs w:val="24"/>
        </w:rPr>
        <w:t xml:space="preserve"> research</w:t>
      </w:r>
      <w:r w:rsidR="00384CD1">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BE78AD">
        <w:rPr>
          <w:rFonts w:ascii="Times New Roman" w:hAnsi="Times New Roman" w:cs="Times New Roman"/>
          <w:sz w:val="24"/>
          <w:szCs w:val="24"/>
        </w:rPr>
        <w:t>the importance of credit risk management issue and its effects on bank’s profitability</w:t>
      </w:r>
      <w:r w:rsidR="00166563">
        <w:rPr>
          <w:rFonts w:ascii="Times New Roman" w:hAnsi="Times New Roman" w:cs="Times New Roman"/>
          <w:sz w:val="24"/>
          <w:szCs w:val="24"/>
        </w:rPr>
        <w:t xml:space="preserve"> since c</w:t>
      </w:r>
      <w:r w:rsidRPr="00BE78AD">
        <w:rPr>
          <w:rFonts w:ascii="Times New Roman" w:hAnsi="Times New Roman" w:cs="Times New Roman"/>
          <w:sz w:val="24"/>
          <w:szCs w:val="24"/>
        </w:rPr>
        <w:t>ommercial banks in Palestine are the most dominant in the financial sector and play a crucial role in</w:t>
      </w:r>
      <w:r>
        <w:rPr>
          <w:rFonts w:ascii="Times New Roman" w:hAnsi="Times New Roman" w:cs="Times New Roman"/>
          <w:sz w:val="24"/>
          <w:szCs w:val="24"/>
        </w:rPr>
        <w:t xml:space="preserve"> </w:t>
      </w:r>
      <w:r w:rsidR="00556C01">
        <w:rPr>
          <w:rFonts w:ascii="Times New Roman" w:hAnsi="Times New Roman" w:cs="Times New Roman"/>
          <w:sz w:val="24"/>
          <w:szCs w:val="24"/>
        </w:rPr>
        <w:t xml:space="preserve">the </w:t>
      </w:r>
      <w:r w:rsidR="00556C01" w:rsidRPr="00BE78AD">
        <w:rPr>
          <w:rFonts w:ascii="Times New Roman" w:hAnsi="Times New Roman" w:cs="Times New Roman"/>
          <w:sz w:val="24"/>
          <w:szCs w:val="24"/>
        </w:rPr>
        <w:t>saving</w:t>
      </w:r>
      <w:r w:rsidR="00473414">
        <w:rPr>
          <w:rFonts w:ascii="Times New Roman" w:hAnsi="Times New Roman" w:cs="Times New Roman"/>
          <w:sz w:val="24"/>
          <w:szCs w:val="24"/>
        </w:rPr>
        <w:t xml:space="preserve">-investment process. </w:t>
      </w:r>
      <w:r w:rsidRPr="00BE78AD">
        <w:rPr>
          <w:rFonts w:ascii="Times New Roman" w:hAnsi="Times New Roman" w:cs="Times New Roman"/>
          <w:sz w:val="24"/>
          <w:szCs w:val="24"/>
        </w:rPr>
        <w:t>If credit risk management is healthy and sustainable, the profit level will be acceptable, or on the other hand, if the credit risk management is poor, the profit level will be relatively lower</w:t>
      </w:r>
      <w:r>
        <w:rPr>
          <w:rFonts w:ascii="Times New Roman" w:hAnsi="Times New Roman" w:cs="Times New Roman"/>
          <w:sz w:val="24"/>
          <w:szCs w:val="24"/>
        </w:rPr>
        <w:t>. In other words,</w:t>
      </w:r>
      <w:r w:rsidRPr="00BE78AD">
        <w:rPr>
          <w:rFonts w:ascii="Times New Roman" w:hAnsi="Times New Roman" w:cs="Times New Roman"/>
          <w:sz w:val="24"/>
          <w:szCs w:val="24"/>
        </w:rPr>
        <w:t xml:space="preserve"> the less the banks los</w:t>
      </w:r>
      <w:r>
        <w:rPr>
          <w:rFonts w:ascii="Times New Roman" w:hAnsi="Times New Roman" w:cs="Times New Roman"/>
          <w:sz w:val="24"/>
          <w:szCs w:val="24"/>
        </w:rPr>
        <w:t>e</w:t>
      </w:r>
      <w:r w:rsidRPr="00BE78AD">
        <w:rPr>
          <w:sz w:val="24"/>
          <w:szCs w:val="24"/>
        </w:rPr>
        <w:t xml:space="preserve"> </w:t>
      </w:r>
      <w:r w:rsidRPr="00BE78AD">
        <w:rPr>
          <w:rFonts w:ascii="Times New Roman" w:hAnsi="Times New Roman" w:cs="Times New Roman"/>
          <w:sz w:val="24"/>
          <w:szCs w:val="24"/>
        </w:rPr>
        <w:t>from credit, the more the banks will gain. So banks</w:t>
      </w:r>
      <w:r>
        <w:rPr>
          <w:rFonts w:ascii="Times New Roman" w:hAnsi="Times New Roman" w:cs="Times New Roman"/>
          <w:sz w:val="24"/>
          <w:szCs w:val="24"/>
        </w:rPr>
        <w:t>’</w:t>
      </w:r>
      <w:r w:rsidRPr="00BE78AD">
        <w:rPr>
          <w:rFonts w:ascii="Times New Roman" w:hAnsi="Times New Roman" w:cs="Times New Roman"/>
          <w:sz w:val="24"/>
          <w:szCs w:val="24"/>
        </w:rPr>
        <w:t xml:space="preserve"> profits can be an indicator of credit risk management. Since Palestinian commercial banks operate </w:t>
      </w:r>
      <w:r w:rsidR="00556C01" w:rsidRPr="00BE78AD">
        <w:rPr>
          <w:rFonts w:ascii="Times New Roman" w:hAnsi="Times New Roman" w:cs="Times New Roman"/>
          <w:sz w:val="24"/>
          <w:szCs w:val="24"/>
        </w:rPr>
        <w:t xml:space="preserve">in </w:t>
      </w:r>
      <w:r w:rsidR="00556C01">
        <w:rPr>
          <w:rFonts w:ascii="Times New Roman" w:hAnsi="Times New Roman" w:cs="Times New Roman"/>
          <w:sz w:val="24"/>
          <w:szCs w:val="24"/>
        </w:rPr>
        <w:t>a</w:t>
      </w:r>
      <w:r>
        <w:rPr>
          <w:rFonts w:ascii="Times New Roman" w:hAnsi="Times New Roman" w:cs="Times New Roman"/>
          <w:sz w:val="24"/>
          <w:szCs w:val="24"/>
        </w:rPr>
        <w:t xml:space="preserve"> </w:t>
      </w:r>
      <w:r w:rsidRPr="00BE78AD">
        <w:rPr>
          <w:rFonts w:ascii="Times New Roman" w:hAnsi="Times New Roman" w:cs="Times New Roman"/>
          <w:sz w:val="24"/>
          <w:szCs w:val="24"/>
        </w:rPr>
        <w:t>risky, complex, changeable economic and political environment</w:t>
      </w:r>
      <w:r w:rsidR="00556C01" w:rsidRPr="00BE78AD">
        <w:rPr>
          <w:rFonts w:ascii="Times New Roman" w:hAnsi="Times New Roman" w:cs="Times New Roman"/>
          <w:sz w:val="24"/>
          <w:szCs w:val="24"/>
        </w:rPr>
        <w:t>, bank</w:t>
      </w:r>
      <w:r w:rsidRPr="00BE78AD">
        <w:rPr>
          <w:rFonts w:ascii="Times New Roman" w:hAnsi="Times New Roman" w:cs="Times New Roman"/>
          <w:sz w:val="24"/>
          <w:szCs w:val="24"/>
        </w:rPr>
        <w:t xml:space="preserve"> management</w:t>
      </w:r>
      <w:r>
        <w:rPr>
          <w:rFonts w:ascii="Times New Roman" w:hAnsi="Times New Roman" w:cs="Times New Roman"/>
          <w:sz w:val="24"/>
          <w:szCs w:val="24"/>
        </w:rPr>
        <w:t>s</w:t>
      </w:r>
      <w:r w:rsidRPr="00BE78AD">
        <w:rPr>
          <w:rFonts w:ascii="Times New Roman" w:hAnsi="Times New Roman" w:cs="Times New Roman"/>
          <w:sz w:val="24"/>
          <w:szCs w:val="24"/>
        </w:rPr>
        <w:t xml:space="preserve"> should be aware of these </w:t>
      </w:r>
      <w:r w:rsidRPr="00BE78AD">
        <w:rPr>
          <w:rFonts w:ascii="Times New Roman" w:hAnsi="Times New Roman" w:cs="Times New Roman"/>
          <w:sz w:val="24"/>
          <w:szCs w:val="24"/>
          <w:lang w:val="en-GB"/>
        </w:rPr>
        <w:t>circumstances</w:t>
      </w:r>
      <w:r w:rsidRPr="00BE78AD">
        <w:rPr>
          <w:rFonts w:ascii="Times New Roman" w:hAnsi="Times New Roman" w:cs="Times New Roman"/>
          <w:sz w:val="24"/>
          <w:szCs w:val="24"/>
        </w:rPr>
        <w:t>.</w:t>
      </w:r>
    </w:p>
    <w:p w:rsidR="0093564A" w:rsidRPr="00BE78AD" w:rsidRDefault="0093564A" w:rsidP="0093564A">
      <w:pPr>
        <w:spacing w:after="240" w:line="360" w:lineRule="auto"/>
        <w:contextualSpacing/>
        <w:jc w:val="lowKashida"/>
        <w:rPr>
          <w:rFonts w:ascii="Times New Roman" w:hAnsi="Times New Roman" w:cs="Times New Roman"/>
          <w:sz w:val="24"/>
          <w:szCs w:val="24"/>
        </w:rPr>
      </w:pPr>
      <w:r w:rsidRPr="00BE78AD">
        <w:rPr>
          <w:rFonts w:ascii="Times New Roman" w:hAnsi="Times New Roman" w:cs="Times New Roman"/>
          <w:sz w:val="24"/>
          <w:szCs w:val="24"/>
        </w:rPr>
        <w:lastRenderedPageBreak/>
        <w:t>The central question now is: How significant is the credit risk management</w:t>
      </w:r>
      <w:r>
        <w:rPr>
          <w:rFonts w:ascii="Times New Roman" w:hAnsi="Times New Roman" w:cs="Times New Roman"/>
          <w:sz w:val="24"/>
          <w:szCs w:val="24"/>
        </w:rPr>
        <w:t xml:space="preserve"> and</w:t>
      </w:r>
      <w:r w:rsidRPr="00BE78AD">
        <w:rPr>
          <w:rFonts w:ascii="Times New Roman" w:hAnsi="Times New Roman" w:cs="Times New Roman"/>
          <w:sz w:val="24"/>
          <w:szCs w:val="24"/>
        </w:rPr>
        <w:t xml:space="preserve"> policies in practice affect the profitability of commercial banks in Palestine? This </w:t>
      </w:r>
      <w:r>
        <w:rPr>
          <w:rFonts w:ascii="Times New Roman" w:hAnsi="Times New Roman" w:cs="Times New Roman"/>
          <w:sz w:val="24"/>
          <w:szCs w:val="24"/>
        </w:rPr>
        <w:t>study</w:t>
      </w:r>
      <w:r w:rsidRPr="00BE78AD">
        <w:rPr>
          <w:rFonts w:ascii="Times New Roman" w:hAnsi="Times New Roman" w:cs="Times New Roman"/>
          <w:sz w:val="24"/>
          <w:szCs w:val="24"/>
        </w:rPr>
        <w:t xml:space="preserve"> is an attempt to find </w:t>
      </w:r>
      <w:r>
        <w:rPr>
          <w:rFonts w:ascii="Times New Roman" w:hAnsi="Times New Roman" w:cs="Times New Roman"/>
          <w:sz w:val="24"/>
          <w:szCs w:val="24"/>
        </w:rPr>
        <w:t>an</w:t>
      </w:r>
      <w:r w:rsidRPr="00BE78AD">
        <w:rPr>
          <w:rFonts w:ascii="Times New Roman" w:hAnsi="Times New Roman" w:cs="Times New Roman"/>
          <w:sz w:val="24"/>
          <w:szCs w:val="24"/>
        </w:rPr>
        <w:t xml:space="preserve"> answer.</w:t>
      </w:r>
    </w:p>
    <w:p w:rsidR="00393068" w:rsidRPr="00BE78AD" w:rsidRDefault="00393068" w:rsidP="00393068">
      <w:pPr>
        <w:spacing w:after="240" w:line="360" w:lineRule="auto"/>
        <w:contextualSpacing/>
        <w:jc w:val="lowKashida"/>
        <w:rPr>
          <w:rFonts w:ascii="Times New Roman" w:hAnsi="Times New Roman" w:cs="Times New Roman"/>
          <w:sz w:val="24"/>
          <w:szCs w:val="24"/>
        </w:rPr>
      </w:pPr>
      <w:r>
        <w:rPr>
          <w:rFonts w:ascii="Times New Roman" w:hAnsi="Times New Roman" w:cs="Times New Roman"/>
          <w:sz w:val="24"/>
          <w:szCs w:val="24"/>
        </w:rPr>
        <w:t>Against this</w:t>
      </w:r>
      <w:r w:rsidRPr="00BE78AD">
        <w:rPr>
          <w:rFonts w:ascii="Times New Roman" w:hAnsi="Times New Roman" w:cs="Times New Roman"/>
          <w:sz w:val="24"/>
          <w:szCs w:val="24"/>
        </w:rPr>
        <w:t xml:space="preserve"> background and problem formulation, the major research question is</w:t>
      </w:r>
      <w:r>
        <w:rPr>
          <w:rFonts w:ascii="Times New Roman" w:hAnsi="Times New Roman" w:cs="Times New Roman"/>
          <w:sz w:val="24"/>
          <w:szCs w:val="24"/>
        </w:rPr>
        <w:t xml:space="preserve"> the following</w:t>
      </w:r>
      <w:r w:rsidRPr="00BE78AD">
        <w:rPr>
          <w:rFonts w:ascii="Times New Roman" w:hAnsi="Times New Roman" w:cs="Times New Roman"/>
          <w:sz w:val="24"/>
          <w:szCs w:val="24"/>
        </w:rPr>
        <w:t>:</w:t>
      </w:r>
    </w:p>
    <w:p w:rsidR="00EF734B" w:rsidRDefault="00EF734B" w:rsidP="00E076D7">
      <w:pPr>
        <w:spacing w:after="240" w:line="360" w:lineRule="auto"/>
        <w:contextualSpacing/>
        <w:jc w:val="lowKashida"/>
        <w:rPr>
          <w:rFonts w:ascii="Times New Roman" w:hAnsi="Times New Roman" w:cs="Times New Roman"/>
          <w:sz w:val="24"/>
          <w:szCs w:val="24"/>
        </w:rPr>
      </w:pPr>
      <w:r w:rsidRPr="0006136C">
        <w:rPr>
          <w:rFonts w:ascii="Times New Roman" w:hAnsi="Times New Roman" w:cs="Times New Roman"/>
          <w:sz w:val="24"/>
          <w:szCs w:val="24"/>
        </w:rPr>
        <w:t>How does credit risk</w:t>
      </w:r>
      <w:r w:rsidR="00371F47">
        <w:rPr>
          <w:rFonts w:ascii="Times New Roman" w:hAnsi="Times New Roman" w:cs="Times New Roman"/>
          <w:sz w:val="24"/>
          <w:szCs w:val="24"/>
        </w:rPr>
        <w:t xml:space="preserve"> policies and</w:t>
      </w:r>
      <w:r w:rsidRPr="0006136C">
        <w:rPr>
          <w:rFonts w:ascii="Times New Roman" w:hAnsi="Times New Roman" w:cs="Times New Roman"/>
          <w:sz w:val="24"/>
          <w:szCs w:val="24"/>
        </w:rPr>
        <w:t xml:space="preserve"> management in practice affect commercial banks profitability in Palestine?</w:t>
      </w:r>
    </w:p>
    <w:p w:rsidR="00C00C11" w:rsidRDefault="00393068" w:rsidP="00C00C11">
      <w:pPr>
        <w:spacing w:after="240" w:line="360" w:lineRule="auto"/>
        <w:contextualSpacing/>
        <w:jc w:val="lowKashida"/>
        <w:rPr>
          <w:rFonts w:ascii="Times New Roman" w:hAnsi="Times New Roman" w:cs="Times New Roman"/>
          <w:sz w:val="24"/>
          <w:szCs w:val="24"/>
        </w:rPr>
      </w:pPr>
      <w:r>
        <w:rPr>
          <w:rFonts w:ascii="Times New Roman" w:hAnsi="Times New Roman" w:cs="Times New Roman"/>
          <w:sz w:val="24"/>
          <w:szCs w:val="24"/>
        </w:rPr>
        <w:t>Another two questions</w:t>
      </w:r>
      <w:r w:rsidR="00384CD1">
        <w:rPr>
          <w:rFonts w:ascii="Times New Roman" w:hAnsi="Times New Roman" w:cs="Times New Roman"/>
          <w:sz w:val="24"/>
          <w:szCs w:val="24"/>
        </w:rPr>
        <w:t xml:space="preserve"> </w:t>
      </w:r>
      <w:r w:rsidRPr="00BE78AD">
        <w:rPr>
          <w:rFonts w:ascii="Times New Roman" w:hAnsi="Times New Roman" w:cs="Times New Roman"/>
          <w:sz w:val="24"/>
          <w:szCs w:val="24"/>
        </w:rPr>
        <w:t xml:space="preserve">could be formulated </w:t>
      </w:r>
      <w:r>
        <w:rPr>
          <w:rFonts w:ascii="Times New Roman" w:hAnsi="Times New Roman" w:cs="Times New Roman"/>
          <w:sz w:val="24"/>
          <w:szCs w:val="24"/>
        </w:rPr>
        <w:t>from the above question:</w:t>
      </w:r>
      <w:r w:rsidRPr="00BE78AD">
        <w:rPr>
          <w:rFonts w:ascii="Times New Roman" w:hAnsi="Times New Roman" w:cs="Times New Roman"/>
          <w:sz w:val="24"/>
          <w:szCs w:val="24"/>
        </w:rPr>
        <w:t xml:space="preserve"> </w:t>
      </w:r>
    </w:p>
    <w:p w:rsidR="00393068" w:rsidRPr="00C00C11" w:rsidRDefault="00393068" w:rsidP="00F873C9">
      <w:pPr>
        <w:pStyle w:val="ListParagraph"/>
        <w:numPr>
          <w:ilvl w:val="0"/>
          <w:numId w:val="26"/>
        </w:numPr>
        <w:spacing w:after="240" w:line="360" w:lineRule="auto"/>
        <w:jc w:val="lowKashida"/>
        <w:rPr>
          <w:rFonts w:ascii="Times New Roman" w:hAnsi="Times New Roman" w:cs="Times New Roman"/>
          <w:sz w:val="24"/>
          <w:szCs w:val="24"/>
        </w:rPr>
      </w:pPr>
      <w:r w:rsidRPr="00C00C11">
        <w:rPr>
          <w:rFonts w:ascii="Times New Roman" w:hAnsi="Times New Roman" w:cs="Times New Roman"/>
          <w:sz w:val="24"/>
          <w:szCs w:val="24"/>
        </w:rPr>
        <w:t>Do</w:t>
      </w:r>
      <w:r w:rsidR="00384CD1" w:rsidRPr="00C00C11">
        <w:rPr>
          <w:rFonts w:ascii="Times New Roman" w:hAnsi="Times New Roman" w:cs="Times New Roman"/>
          <w:sz w:val="24"/>
          <w:szCs w:val="24"/>
        </w:rPr>
        <w:t xml:space="preserve"> Palestinian </w:t>
      </w:r>
      <w:r w:rsidRPr="00C00C11">
        <w:rPr>
          <w:rFonts w:ascii="Times New Roman" w:hAnsi="Times New Roman" w:cs="Times New Roman"/>
          <w:sz w:val="24"/>
          <w:szCs w:val="24"/>
        </w:rPr>
        <w:t xml:space="preserve">commercial banks rely on good lending principles in managing credit portfolio risk, and what is </w:t>
      </w:r>
      <w:r w:rsidR="00556C01" w:rsidRPr="00C00C11">
        <w:rPr>
          <w:rFonts w:ascii="Times New Roman" w:hAnsi="Times New Roman" w:cs="Times New Roman"/>
          <w:sz w:val="24"/>
          <w:szCs w:val="24"/>
        </w:rPr>
        <w:t>the impact</w:t>
      </w:r>
      <w:r w:rsidRPr="00C00C11">
        <w:rPr>
          <w:rFonts w:ascii="Times New Roman" w:hAnsi="Times New Roman" w:cs="Times New Roman"/>
          <w:sz w:val="24"/>
          <w:szCs w:val="24"/>
        </w:rPr>
        <w:t xml:space="preserve"> of that on bank’s profitability?</w:t>
      </w:r>
    </w:p>
    <w:p w:rsidR="00C83E4D" w:rsidRPr="00393068" w:rsidRDefault="00393068" w:rsidP="00F873C9">
      <w:pPr>
        <w:pStyle w:val="ListParagraph"/>
        <w:numPr>
          <w:ilvl w:val="0"/>
          <w:numId w:val="26"/>
        </w:numPr>
        <w:spacing w:after="240" w:line="360" w:lineRule="auto"/>
        <w:jc w:val="both"/>
        <w:rPr>
          <w:rFonts w:ascii="Times New Roman" w:hAnsi="Times New Roman" w:cs="Times New Roman"/>
          <w:sz w:val="24"/>
          <w:szCs w:val="24"/>
        </w:rPr>
      </w:pPr>
      <w:r w:rsidRPr="005A159C">
        <w:rPr>
          <w:rFonts w:ascii="Times New Roman" w:hAnsi="Times New Roman" w:cs="Times New Roman"/>
          <w:sz w:val="24"/>
          <w:szCs w:val="24"/>
        </w:rPr>
        <w:t xml:space="preserve">What is the effect of credit risk mitigation techniques practiced by Palestinian banks, </w:t>
      </w:r>
      <w:r w:rsidR="00556C01" w:rsidRPr="005A159C">
        <w:rPr>
          <w:rFonts w:ascii="Times New Roman" w:hAnsi="Times New Roman" w:cs="Times New Roman"/>
          <w:sz w:val="24"/>
          <w:szCs w:val="24"/>
        </w:rPr>
        <w:t xml:space="preserve">and </w:t>
      </w:r>
      <w:r w:rsidR="00556C01">
        <w:rPr>
          <w:rFonts w:ascii="Times New Roman" w:hAnsi="Times New Roman" w:cs="Times New Roman"/>
          <w:sz w:val="24"/>
          <w:szCs w:val="24"/>
        </w:rPr>
        <w:t>what</w:t>
      </w:r>
      <w:r>
        <w:rPr>
          <w:rFonts w:ascii="Times New Roman" w:hAnsi="Times New Roman" w:cs="Times New Roman"/>
          <w:sz w:val="24"/>
          <w:szCs w:val="24"/>
        </w:rPr>
        <w:t xml:space="preserve"> is </w:t>
      </w:r>
      <w:r w:rsidRPr="005A159C">
        <w:rPr>
          <w:rFonts w:ascii="Times New Roman" w:hAnsi="Times New Roman" w:cs="Times New Roman"/>
          <w:sz w:val="24"/>
          <w:szCs w:val="24"/>
        </w:rPr>
        <w:t>impact of that on their profitability</w:t>
      </w:r>
      <w:r w:rsidRPr="00393068">
        <w:rPr>
          <w:rFonts w:ascii="Times New Roman" w:hAnsi="Times New Roman" w:cs="Times New Roman"/>
          <w:sz w:val="24"/>
          <w:szCs w:val="24"/>
        </w:rPr>
        <w:t>? This question raises four  sub-questions</w:t>
      </w:r>
    </w:p>
    <w:p w:rsidR="00265D3F" w:rsidRDefault="008C6A91" w:rsidP="00A63E7D">
      <w:pPr>
        <w:pStyle w:val="ListParagraph"/>
        <w:numPr>
          <w:ilvl w:val="0"/>
          <w:numId w:val="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To what extent </w:t>
      </w:r>
      <w:r w:rsidR="00393068">
        <w:rPr>
          <w:rFonts w:ascii="Times New Roman" w:hAnsi="Times New Roman" w:cs="Times New Roman"/>
          <w:sz w:val="24"/>
          <w:szCs w:val="24"/>
        </w:rPr>
        <w:t xml:space="preserve">do </w:t>
      </w:r>
      <w:r>
        <w:rPr>
          <w:rFonts w:ascii="Times New Roman" w:hAnsi="Times New Roman" w:cs="Times New Roman"/>
          <w:sz w:val="24"/>
          <w:szCs w:val="24"/>
        </w:rPr>
        <w:t>Palestinian Commercial Banks rely on Credit M</w:t>
      </w:r>
      <w:r w:rsidR="00265D3F" w:rsidRPr="00BE78AD">
        <w:rPr>
          <w:rFonts w:ascii="Times New Roman" w:hAnsi="Times New Roman" w:cs="Times New Roman"/>
          <w:sz w:val="24"/>
          <w:szCs w:val="24"/>
        </w:rPr>
        <w:t>onitoring in</w:t>
      </w:r>
      <w:r w:rsidR="00747021" w:rsidRPr="00BE78AD">
        <w:rPr>
          <w:rFonts w:ascii="Times New Roman" w:hAnsi="Times New Roman" w:cs="Times New Roman"/>
          <w:sz w:val="24"/>
          <w:szCs w:val="24"/>
        </w:rPr>
        <w:t xml:space="preserve"> managing and</w:t>
      </w:r>
      <w:r w:rsidR="00265D3F" w:rsidRPr="00BE78AD">
        <w:rPr>
          <w:rFonts w:ascii="Times New Roman" w:hAnsi="Times New Roman" w:cs="Times New Roman"/>
          <w:sz w:val="24"/>
          <w:szCs w:val="24"/>
        </w:rPr>
        <w:t xml:space="preserve"> mitig</w:t>
      </w:r>
      <w:r w:rsidR="00747021" w:rsidRPr="00BE78AD">
        <w:rPr>
          <w:rFonts w:ascii="Times New Roman" w:hAnsi="Times New Roman" w:cs="Times New Roman"/>
          <w:sz w:val="24"/>
          <w:szCs w:val="24"/>
        </w:rPr>
        <w:t>ating</w:t>
      </w:r>
      <w:r w:rsidR="00393068">
        <w:rPr>
          <w:rFonts w:ascii="Times New Roman" w:hAnsi="Times New Roman" w:cs="Times New Roman"/>
          <w:sz w:val="24"/>
          <w:szCs w:val="24"/>
        </w:rPr>
        <w:t xml:space="preserve"> their</w:t>
      </w:r>
      <w:r w:rsidR="00747021" w:rsidRPr="00BE78AD">
        <w:rPr>
          <w:rFonts w:ascii="Times New Roman" w:hAnsi="Times New Roman" w:cs="Times New Roman"/>
          <w:sz w:val="24"/>
          <w:szCs w:val="24"/>
        </w:rPr>
        <w:t xml:space="preserve"> credit portfolio risk</w:t>
      </w:r>
      <w:r w:rsidR="00265D3F" w:rsidRPr="00BE78AD">
        <w:rPr>
          <w:rFonts w:ascii="Times New Roman" w:hAnsi="Times New Roman" w:cs="Times New Roman"/>
          <w:sz w:val="24"/>
          <w:szCs w:val="24"/>
        </w:rPr>
        <w:t xml:space="preserve"> and its effect on banks profitability?</w:t>
      </w:r>
    </w:p>
    <w:p w:rsidR="00C96BBF" w:rsidRPr="00393068" w:rsidRDefault="00C96BBF" w:rsidP="00C96BBF">
      <w:pPr>
        <w:pStyle w:val="ListParagraph"/>
        <w:numPr>
          <w:ilvl w:val="0"/>
          <w:numId w:val="2"/>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To what extent do Palestinian commercial banks rely on capital adequacy </w:t>
      </w:r>
      <w:r w:rsidR="00556C01">
        <w:rPr>
          <w:rFonts w:ascii="Times New Roman" w:hAnsi="Times New Roman" w:cs="Times New Roman"/>
          <w:sz w:val="24"/>
          <w:szCs w:val="24"/>
        </w:rPr>
        <w:t>and</w:t>
      </w:r>
      <w:r w:rsidR="00556C01" w:rsidRPr="00BE78AD">
        <w:rPr>
          <w:rFonts w:ascii="Times New Roman" w:hAnsi="Times New Roman" w:cs="Times New Roman"/>
          <w:sz w:val="24"/>
          <w:szCs w:val="24"/>
        </w:rPr>
        <w:t xml:space="preserve"> </w:t>
      </w:r>
      <w:r w:rsidR="00556C01">
        <w:rPr>
          <w:rFonts w:ascii="Times New Roman" w:hAnsi="Times New Roman" w:cs="Times New Roman"/>
          <w:sz w:val="24"/>
          <w:szCs w:val="24"/>
        </w:rPr>
        <w:t>what</w:t>
      </w:r>
      <w:r>
        <w:rPr>
          <w:rFonts w:ascii="Times New Roman" w:hAnsi="Times New Roman" w:cs="Times New Roman"/>
          <w:sz w:val="24"/>
          <w:szCs w:val="24"/>
        </w:rPr>
        <w:t xml:space="preserve"> is </w:t>
      </w:r>
      <w:r w:rsidR="00556C01">
        <w:rPr>
          <w:rFonts w:ascii="Times New Roman" w:hAnsi="Times New Roman" w:cs="Times New Roman"/>
          <w:sz w:val="24"/>
          <w:szCs w:val="24"/>
        </w:rPr>
        <w:t xml:space="preserve">its </w:t>
      </w:r>
      <w:r w:rsidR="00556C01" w:rsidRPr="00BE78AD">
        <w:rPr>
          <w:rFonts w:ascii="Times New Roman" w:hAnsi="Times New Roman" w:cs="Times New Roman"/>
          <w:sz w:val="24"/>
          <w:szCs w:val="24"/>
        </w:rPr>
        <w:t>effect</w:t>
      </w:r>
      <w:r w:rsidRPr="00BE78AD">
        <w:rPr>
          <w:rFonts w:ascii="Times New Roman" w:hAnsi="Times New Roman" w:cs="Times New Roman"/>
          <w:sz w:val="24"/>
          <w:szCs w:val="24"/>
        </w:rPr>
        <w:t xml:space="preserve"> on banks profitability?</w:t>
      </w:r>
    </w:p>
    <w:p w:rsidR="00C96BBF" w:rsidRDefault="00C96BBF" w:rsidP="00C96BBF">
      <w:pPr>
        <w:pStyle w:val="ListParagraph"/>
        <w:numPr>
          <w:ilvl w:val="0"/>
          <w:numId w:val="2"/>
        </w:numPr>
        <w:spacing w:after="240" w:line="360" w:lineRule="auto"/>
        <w:jc w:val="both"/>
        <w:rPr>
          <w:rFonts w:ascii="Times New Roman" w:hAnsi="Times New Roman" w:cs="Times New Roman"/>
          <w:sz w:val="24"/>
          <w:szCs w:val="24"/>
        </w:rPr>
      </w:pPr>
      <w:r w:rsidRPr="00BE78AD">
        <w:rPr>
          <w:rFonts w:ascii="Times New Roman" w:hAnsi="Times New Roman" w:cs="Times New Roman"/>
          <w:sz w:val="24"/>
          <w:szCs w:val="24"/>
        </w:rPr>
        <w:t>To what extent</w:t>
      </w:r>
      <w:r>
        <w:rPr>
          <w:rFonts w:ascii="Times New Roman" w:hAnsi="Times New Roman" w:cs="Times New Roman"/>
          <w:sz w:val="24"/>
          <w:szCs w:val="24"/>
        </w:rPr>
        <w:t xml:space="preserve"> are</w:t>
      </w:r>
      <w:r w:rsidRPr="00BE78AD">
        <w:rPr>
          <w:rFonts w:ascii="Times New Roman" w:hAnsi="Times New Roman" w:cs="Times New Roman"/>
          <w:sz w:val="24"/>
          <w:szCs w:val="24"/>
        </w:rPr>
        <w:t xml:space="preserve"> Palest</w:t>
      </w:r>
      <w:r>
        <w:rPr>
          <w:rFonts w:ascii="Times New Roman" w:hAnsi="Times New Roman" w:cs="Times New Roman"/>
          <w:sz w:val="24"/>
          <w:szCs w:val="24"/>
        </w:rPr>
        <w:t>inian commercial banks efficient in diversifying their activities and their</w:t>
      </w:r>
      <w:r w:rsidRPr="00BE78AD">
        <w:rPr>
          <w:rFonts w:ascii="Times New Roman" w:hAnsi="Times New Roman" w:cs="Times New Roman"/>
          <w:sz w:val="24"/>
          <w:szCs w:val="24"/>
        </w:rPr>
        <w:t xml:space="preserve"> effect on banks profitability?</w:t>
      </w:r>
    </w:p>
    <w:p w:rsidR="00781959" w:rsidRPr="00C96BBF" w:rsidRDefault="00393068" w:rsidP="00C96BBF">
      <w:pPr>
        <w:pStyle w:val="ListParagraph"/>
        <w:numPr>
          <w:ilvl w:val="0"/>
          <w:numId w:val="2"/>
        </w:numPr>
        <w:spacing w:after="240" w:line="360" w:lineRule="auto"/>
        <w:jc w:val="both"/>
        <w:rPr>
          <w:rFonts w:ascii="Times New Roman" w:hAnsi="Times New Roman" w:cs="Times New Roman"/>
          <w:sz w:val="24"/>
          <w:szCs w:val="24"/>
        </w:rPr>
      </w:pPr>
      <w:r w:rsidRPr="00C96BBF">
        <w:rPr>
          <w:rFonts w:ascii="Times New Roman" w:hAnsi="Times New Roman" w:cs="Times New Roman"/>
          <w:sz w:val="24"/>
          <w:szCs w:val="24"/>
        </w:rPr>
        <w:t xml:space="preserve">To what extent are Palestinian commercial banks efficient in managing </w:t>
      </w:r>
      <w:r w:rsidR="00556C01" w:rsidRPr="00C96BBF">
        <w:rPr>
          <w:rFonts w:ascii="Times New Roman" w:hAnsi="Times New Roman" w:cs="Times New Roman"/>
          <w:sz w:val="24"/>
          <w:szCs w:val="24"/>
        </w:rPr>
        <w:t>their operational</w:t>
      </w:r>
      <w:r w:rsidR="00C96BBF" w:rsidRPr="00C96BBF">
        <w:rPr>
          <w:rFonts w:ascii="Times New Roman" w:hAnsi="Times New Roman" w:cs="Times New Roman"/>
          <w:sz w:val="24"/>
          <w:szCs w:val="24"/>
        </w:rPr>
        <w:t xml:space="preserve"> costs</w:t>
      </w:r>
      <w:r w:rsidRPr="00C96BBF">
        <w:rPr>
          <w:rFonts w:ascii="Times New Roman" w:hAnsi="Times New Roman" w:cs="Times New Roman"/>
          <w:sz w:val="24"/>
          <w:szCs w:val="24"/>
        </w:rPr>
        <w:t xml:space="preserve"> and what is </w:t>
      </w:r>
      <w:r w:rsidR="00556C01" w:rsidRPr="00C96BBF">
        <w:rPr>
          <w:rFonts w:ascii="Times New Roman" w:hAnsi="Times New Roman" w:cs="Times New Roman"/>
          <w:sz w:val="24"/>
          <w:szCs w:val="24"/>
        </w:rPr>
        <w:t>their effect</w:t>
      </w:r>
      <w:r w:rsidRPr="00C96BBF">
        <w:rPr>
          <w:rFonts w:ascii="Times New Roman" w:hAnsi="Times New Roman" w:cs="Times New Roman"/>
          <w:sz w:val="24"/>
          <w:szCs w:val="24"/>
        </w:rPr>
        <w:t xml:space="preserve"> on banks’ profitability?</w:t>
      </w:r>
    </w:p>
    <w:p w:rsidR="003C6613" w:rsidRDefault="00781959" w:rsidP="00F873C9">
      <w:pPr>
        <w:pStyle w:val="ListParagraph"/>
        <w:numPr>
          <w:ilvl w:val="0"/>
          <w:numId w:val="26"/>
        </w:numPr>
        <w:spacing w:after="240" w:line="360" w:lineRule="auto"/>
        <w:jc w:val="both"/>
        <w:rPr>
          <w:rFonts w:asciiTheme="majorBidi" w:hAnsiTheme="majorBidi" w:cstheme="majorBidi"/>
          <w:sz w:val="24"/>
          <w:szCs w:val="24"/>
        </w:rPr>
      </w:pPr>
      <w:r w:rsidRPr="006A535A">
        <w:rPr>
          <w:rFonts w:asciiTheme="majorBidi" w:hAnsiTheme="majorBidi" w:cstheme="majorBidi"/>
          <w:sz w:val="24"/>
          <w:szCs w:val="24"/>
        </w:rPr>
        <w:t>What t</w:t>
      </w:r>
      <w:r w:rsidR="008C6A91" w:rsidRPr="006A535A">
        <w:rPr>
          <w:rFonts w:asciiTheme="majorBidi" w:hAnsiTheme="majorBidi" w:cstheme="majorBidi"/>
          <w:sz w:val="24"/>
          <w:szCs w:val="24"/>
        </w:rPr>
        <w:t>echniques do major Palestinian B</w:t>
      </w:r>
      <w:r w:rsidRPr="006A535A">
        <w:rPr>
          <w:rFonts w:asciiTheme="majorBidi" w:hAnsiTheme="majorBidi" w:cstheme="majorBidi"/>
          <w:sz w:val="24"/>
          <w:szCs w:val="24"/>
        </w:rPr>
        <w:t xml:space="preserve">anks </w:t>
      </w:r>
      <w:r w:rsidR="00393068" w:rsidRPr="006A535A">
        <w:rPr>
          <w:rFonts w:asciiTheme="majorBidi" w:hAnsiTheme="majorBidi" w:cstheme="majorBidi"/>
          <w:sz w:val="24"/>
          <w:szCs w:val="24"/>
        </w:rPr>
        <w:t xml:space="preserve">currently </w:t>
      </w:r>
      <w:r w:rsidRPr="006A535A">
        <w:rPr>
          <w:rFonts w:asciiTheme="majorBidi" w:hAnsiTheme="majorBidi" w:cstheme="majorBidi"/>
          <w:sz w:val="24"/>
          <w:szCs w:val="24"/>
        </w:rPr>
        <w:t>adopt to manage their credit risk</w:t>
      </w:r>
      <w:r w:rsidR="00393068" w:rsidRPr="006A535A">
        <w:rPr>
          <w:rFonts w:asciiTheme="majorBidi" w:hAnsiTheme="majorBidi" w:cstheme="majorBidi"/>
          <w:sz w:val="24"/>
          <w:szCs w:val="24"/>
        </w:rPr>
        <w:t>s</w:t>
      </w:r>
      <w:r w:rsidRPr="006A535A">
        <w:rPr>
          <w:rFonts w:asciiTheme="majorBidi" w:hAnsiTheme="majorBidi" w:cstheme="majorBidi"/>
          <w:sz w:val="24"/>
          <w:szCs w:val="24"/>
        </w:rPr>
        <w:t>?</w:t>
      </w:r>
    </w:p>
    <w:p w:rsidR="00C15227" w:rsidRDefault="00C15227" w:rsidP="003C6613">
      <w:pPr>
        <w:spacing w:after="240" w:line="240" w:lineRule="auto"/>
        <w:jc w:val="both"/>
        <w:rPr>
          <w:rFonts w:ascii="Times New Roman" w:hAnsi="Times New Roman" w:cs="Times New Roman"/>
          <w:b/>
          <w:sz w:val="24"/>
          <w:szCs w:val="24"/>
        </w:rPr>
      </w:pPr>
    </w:p>
    <w:p w:rsidR="00C15227" w:rsidRDefault="00C15227" w:rsidP="003C6613">
      <w:pPr>
        <w:spacing w:after="240" w:line="240" w:lineRule="auto"/>
        <w:jc w:val="both"/>
        <w:rPr>
          <w:rFonts w:ascii="Times New Roman" w:hAnsi="Times New Roman" w:cs="Times New Roman"/>
          <w:b/>
          <w:sz w:val="24"/>
          <w:szCs w:val="24"/>
        </w:rPr>
      </w:pPr>
    </w:p>
    <w:p w:rsidR="00C15227" w:rsidRDefault="00C15227" w:rsidP="003C6613">
      <w:pPr>
        <w:spacing w:after="240" w:line="240" w:lineRule="auto"/>
        <w:jc w:val="both"/>
        <w:rPr>
          <w:rFonts w:ascii="Times New Roman" w:hAnsi="Times New Roman" w:cs="Times New Roman"/>
          <w:b/>
          <w:sz w:val="24"/>
          <w:szCs w:val="24"/>
        </w:rPr>
      </w:pPr>
    </w:p>
    <w:p w:rsidR="003C6613" w:rsidRDefault="001A3D66" w:rsidP="003C6613">
      <w:pPr>
        <w:spacing w:after="240" w:line="240" w:lineRule="auto"/>
        <w:jc w:val="both"/>
        <w:rPr>
          <w:rFonts w:asciiTheme="majorBidi" w:hAnsiTheme="majorBidi" w:cstheme="majorBidi"/>
          <w:sz w:val="24"/>
          <w:szCs w:val="24"/>
        </w:rPr>
      </w:pPr>
      <w:r w:rsidRPr="003C6613">
        <w:rPr>
          <w:rFonts w:ascii="Times New Roman" w:hAnsi="Times New Roman" w:cs="Times New Roman"/>
          <w:b/>
          <w:sz w:val="24"/>
          <w:szCs w:val="24"/>
        </w:rPr>
        <w:lastRenderedPageBreak/>
        <w:t xml:space="preserve">1.3 </w:t>
      </w:r>
      <w:r w:rsidR="00AF565A" w:rsidRPr="003C6613">
        <w:rPr>
          <w:rFonts w:ascii="Times New Roman" w:hAnsi="Times New Roman" w:cs="Times New Roman"/>
          <w:b/>
          <w:sz w:val="24"/>
          <w:szCs w:val="24"/>
        </w:rPr>
        <w:t>Objective of the Study</w:t>
      </w:r>
    </w:p>
    <w:p w:rsidR="008B7400" w:rsidRPr="00DC7CDE" w:rsidRDefault="00BB7AB3" w:rsidP="003C6613">
      <w:pPr>
        <w:spacing w:after="240" w:line="360" w:lineRule="auto"/>
        <w:jc w:val="both"/>
        <w:rPr>
          <w:rFonts w:asciiTheme="majorBidi" w:hAnsiTheme="majorBidi" w:cstheme="majorBidi"/>
          <w:sz w:val="24"/>
          <w:szCs w:val="24"/>
        </w:rPr>
      </w:pPr>
      <w:r>
        <w:rPr>
          <w:rFonts w:ascii="Times New Roman" w:hAnsi="Times New Roman" w:cs="Times New Roman"/>
          <w:sz w:val="24"/>
          <w:szCs w:val="24"/>
        </w:rPr>
        <w:t>Since credit risk remains the</w:t>
      </w:r>
      <w:r w:rsidRPr="00BE78AD">
        <w:rPr>
          <w:rFonts w:ascii="Times New Roman" w:hAnsi="Times New Roman" w:cs="Times New Roman"/>
          <w:sz w:val="24"/>
          <w:szCs w:val="24"/>
        </w:rPr>
        <w:t xml:space="preserve"> cruc</w:t>
      </w:r>
      <w:r>
        <w:rPr>
          <w:rFonts w:ascii="Times New Roman" w:hAnsi="Times New Roman" w:cs="Times New Roman"/>
          <w:sz w:val="24"/>
          <w:szCs w:val="24"/>
        </w:rPr>
        <w:t>ial</w:t>
      </w:r>
      <w:r w:rsidR="00393068">
        <w:rPr>
          <w:rFonts w:ascii="Times New Roman" w:hAnsi="Times New Roman" w:cs="Times New Roman"/>
          <w:sz w:val="24"/>
          <w:szCs w:val="24"/>
        </w:rPr>
        <w:t xml:space="preserve"> source of risk facing banks, causing</w:t>
      </w:r>
      <w:r w:rsidR="00AF565A" w:rsidRPr="00BE78AD">
        <w:rPr>
          <w:rFonts w:ascii="Times New Roman" w:hAnsi="Times New Roman" w:cs="Times New Roman"/>
          <w:sz w:val="24"/>
          <w:szCs w:val="24"/>
        </w:rPr>
        <w:t xml:space="preserve"> shortage in banks </w:t>
      </w:r>
      <w:r w:rsidR="003D72EE" w:rsidRPr="00BE78AD">
        <w:rPr>
          <w:rFonts w:ascii="Times New Roman" w:hAnsi="Times New Roman" w:cs="Times New Roman"/>
          <w:sz w:val="24"/>
          <w:szCs w:val="24"/>
        </w:rPr>
        <w:t>profits, managing</w:t>
      </w:r>
      <w:r w:rsidR="00324B85">
        <w:rPr>
          <w:rFonts w:ascii="Times New Roman" w:hAnsi="Times New Roman" w:cs="Times New Roman"/>
          <w:sz w:val="24"/>
          <w:szCs w:val="24"/>
        </w:rPr>
        <w:t xml:space="preserve"> this kind of risk had</w:t>
      </w:r>
      <w:r w:rsidR="00AF565A" w:rsidRPr="00BE78AD">
        <w:rPr>
          <w:rFonts w:ascii="Times New Roman" w:hAnsi="Times New Roman" w:cs="Times New Roman"/>
          <w:sz w:val="24"/>
          <w:szCs w:val="24"/>
        </w:rPr>
        <w:t xml:space="preserve"> always been one of primary challenges in running a </w:t>
      </w:r>
      <w:r w:rsidR="008B7400" w:rsidRPr="00BE78AD">
        <w:rPr>
          <w:rFonts w:ascii="Times New Roman" w:hAnsi="Times New Roman" w:cs="Times New Roman"/>
          <w:sz w:val="24"/>
          <w:szCs w:val="24"/>
        </w:rPr>
        <w:t xml:space="preserve">bank (Broll, et al., </w:t>
      </w:r>
      <w:r w:rsidR="00AF565A" w:rsidRPr="00BE78AD">
        <w:rPr>
          <w:rFonts w:ascii="Times New Roman" w:hAnsi="Times New Roman" w:cs="Times New Roman"/>
          <w:sz w:val="24"/>
          <w:szCs w:val="24"/>
        </w:rPr>
        <w:t>2002)</w:t>
      </w:r>
      <w:r w:rsidR="008B7400" w:rsidRPr="00BE78AD">
        <w:rPr>
          <w:rFonts w:ascii="Times New Roman" w:hAnsi="Times New Roman" w:cs="Times New Roman"/>
          <w:sz w:val="24"/>
          <w:szCs w:val="24"/>
        </w:rPr>
        <w:t>.</w:t>
      </w:r>
    </w:p>
    <w:p w:rsidR="00AF565A" w:rsidRPr="00BE78AD" w:rsidRDefault="008B7400" w:rsidP="00B61BC9">
      <w:pPr>
        <w:spacing w:after="240" w:line="360" w:lineRule="auto"/>
        <w:contextualSpacing/>
        <w:jc w:val="lowKashida"/>
        <w:rPr>
          <w:rFonts w:ascii="Times New Roman" w:hAnsi="Times New Roman" w:cs="Times New Roman"/>
          <w:sz w:val="24"/>
          <w:szCs w:val="24"/>
        </w:rPr>
      </w:pPr>
      <w:r w:rsidRPr="00BE78AD">
        <w:rPr>
          <w:rFonts w:ascii="Times New Roman" w:hAnsi="Times New Roman" w:cs="Times New Roman"/>
          <w:sz w:val="24"/>
          <w:szCs w:val="24"/>
        </w:rPr>
        <w:t>The</w:t>
      </w:r>
      <w:r w:rsidR="00AF565A" w:rsidRPr="00BE78AD">
        <w:rPr>
          <w:rFonts w:ascii="Times New Roman" w:hAnsi="Times New Roman" w:cs="Times New Roman"/>
          <w:sz w:val="24"/>
          <w:szCs w:val="24"/>
        </w:rPr>
        <w:t xml:space="preserve"> main aim of th</w:t>
      </w:r>
      <w:r w:rsidR="00035226">
        <w:rPr>
          <w:rFonts w:ascii="Times New Roman" w:hAnsi="Times New Roman" w:cs="Times New Roman"/>
          <w:sz w:val="24"/>
          <w:szCs w:val="24"/>
        </w:rPr>
        <w:t>is study was</w:t>
      </w:r>
      <w:r w:rsidR="00324B85">
        <w:rPr>
          <w:rFonts w:ascii="Times New Roman" w:hAnsi="Times New Roman" w:cs="Times New Roman"/>
          <w:sz w:val="24"/>
          <w:szCs w:val="24"/>
        </w:rPr>
        <w:t xml:space="preserve"> to find out</w:t>
      </w:r>
      <w:r w:rsidR="00A61E06" w:rsidRPr="00BE78AD">
        <w:rPr>
          <w:rFonts w:ascii="Times New Roman" w:hAnsi="Times New Roman" w:cs="Times New Roman"/>
          <w:sz w:val="24"/>
          <w:szCs w:val="24"/>
        </w:rPr>
        <w:t xml:space="preserve"> and describe </w:t>
      </w:r>
      <w:r w:rsidR="00AF565A" w:rsidRPr="00BE78AD">
        <w:rPr>
          <w:rFonts w:ascii="Times New Roman" w:hAnsi="Times New Roman" w:cs="Times New Roman"/>
          <w:sz w:val="24"/>
          <w:szCs w:val="24"/>
        </w:rPr>
        <w:t>the</w:t>
      </w:r>
      <w:r w:rsidR="00A61E06" w:rsidRPr="00BE78AD">
        <w:rPr>
          <w:rFonts w:ascii="Times New Roman" w:hAnsi="Times New Roman" w:cs="Times New Roman"/>
          <w:sz w:val="24"/>
          <w:szCs w:val="24"/>
        </w:rPr>
        <w:t xml:space="preserve"> impact level of</w:t>
      </w:r>
      <w:r w:rsidR="00AF565A" w:rsidRPr="00BE78AD">
        <w:rPr>
          <w:rFonts w:ascii="Times New Roman" w:hAnsi="Times New Roman" w:cs="Times New Roman"/>
          <w:sz w:val="24"/>
          <w:szCs w:val="24"/>
        </w:rPr>
        <w:t xml:space="preserve"> credit risk management policies in the Pa</w:t>
      </w:r>
      <w:r w:rsidR="00A61E06" w:rsidRPr="00BE78AD">
        <w:rPr>
          <w:rFonts w:ascii="Times New Roman" w:hAnsi="Times New Roman" w:cs="Times New Roman"/>
          <w:sz w:val="24"/>
          <w:szCs w:val="24"/>
        </w:rPr>
        <w:t>lestinian banks</w:t>
      </w:r>
      <w:r w:rsidR="00AF565A" w:rsidRPr="00BE78AD">
        <w:rPr>
          <w:rFonts w:ascii="Times New Roman" w:hAnsi="Times New Roman" w:cs="Times New Roman"/>
          <w:sz w:val="24"/>
          <w:szCs w:val="24"/>
        </w:rPr>
        <w:t xml:space="preserve"> on profitability levels. To this end, the following research objectives will be addressed:</w:t>
      </w:r>
    </w:p>
    <w:p w:rsidR="00AF565A" w:rsidRPr="001D5485" w:rsidRDefault="001D5485" w:rsidP="001D5485">
      <w:pPr>
        <w:spacing w:after="240" w:line="360" w:lineRule="auto"/>
        <w:contextualSpacing/>
        <w:jc w:val="lowKashida"/>
        <w:rPr>
          <w:rFonts w:ascii="Times New Roman" w:hAnsi="Times New Roman" w:cs="Times New Roman"/>
          <w:sz w:val="24"/>
          <w:szCs w:val="24"/>
        </w:rPr>
      </w:pPr>
      <w:r>
        <w:rPr>
          <w:rFonts w:ascii="Times New Roman" w:hAnsi="Times New Roman" w:cs="Times New Roman"/>
          <w:sz w:val="24"/>
          <w:szCs w:val="24"/>
        </w:rPr>
        <w:t>1-</w:t>
      </w:r>
      <w:r w:rsidR="00F50A4B" w:rsidRPr="001D5485">
        <w:rPr>
          <w:rFonts w:ascii="Times New Roman" w:hAnsi="Times New Roman" w:cs="Times New Roman"/>
          <w:sz w:val="24"/>
          <w:szCs w:val="24"/>
        </w:rPr>
        <w:t>To ident</w:t>
      </w:r>
      <w:r w:rsidR="008C6A91" w:rsidRPr="001D5485">
        <w:rPr>
          <w:rFonts w:ascii="Times New Roman" w:hAnsi="Times New Roman" w:cs="Times New Roman"/>
          <w:sz w:val="24"/>
          <w:szCs w:val="24"/>
        </w:rPr>
        <w:t>ify to what extent Palestinian C</w:t>
      </w:r>
      <w:r w:rsidR="00F50A4B" w:rsidRPr="001D5485">
        <w:rPr>
          <w:rFonts w:ascii="Times New Roman" w:hAnsi="Times New Roman" w:cs="Times New Roman"/>
          <w:sz w:val="24"/>
          <w:szCs w:val="24"/>
        </w:rPr>
        <w:t xml:space="preserve">ommercial </w:t>
      </w:r>
      <w:r w:rsidR="008C6A91" w:rsidRPr="001D5485">
        <w:rPr>
          <w:rFonts w:ascii="Times New Roman" w:hAnsi="Times New Roman" w:cs="Times New Roman"/>
          <w:sz w:val="24"/>
          <w:szCs w:val="24"/>
        </w:rPr>
        <w:t>B</w:t>
      </w:r>
      <w:r w:rsidR="00F50A4B" w:rsidRPr="001D5485">
        <w:rPr>
          <w:rFonts w:ascii="Times New Roman" w:hAnsi="Times New Roman" w:cs="Times New Roman"/>
          <w:sz w:val="24"/>
          <w:szCs w:val="24"/>
        </w:rPr>
        <w:t>anks practice and follow credit ris</w:t>
      </w:r>
      <w:r w:rsidR="00035226" w:rsidRPr="001D5485">
        <w:rPr>
          <w:rFonts w:ascii="Times New Roman" w:hAnsi="Times New Roman" w:cs="Times New Roman"/>
          <w:sz w:val="24"/>
          <w:szCs w:val="24"/>
        </w:rPr>
        <w:t>k mitigation techniques, and what their</w:t>
      </w:r>
      <w:r w:rsidR="00F50A4B" w:rsidRPr="001D5485">
        <w:rPr>
          <w:rFonts w:ascii="Times New Roman" w:hAnsi="Times New Roman" w:cs="Times New Roman"/>
          <w:sz w:val="24"/>
          <w:szCs w:val="24"/>
        </w:rPr>
        <w:t xml:space="preserve"> effects </w:t>
      </w:r>
      <w:r w:rsidR="00035226" w:rsidRPr="001D5485">
        <w:rPr>
          <w:rFonts w:ascii="Times New Roman" w:hAnsi="Times New Roman" w:cs="Times New Roman"/>
          <w:sz w:val="24"/>
          <w:szCs w:val="24"/>
        </w:rPr>
        <w:t xml:space="preserve">are </w:t>
      </w:r>
      <w:r w:rsidR="00F50A4B" w:rsidRPr="001D5485">
        <w:rPr>
          <w:rFonts w:ascii="Times New Roman" w:hAnsi="Times New Roman" w:cs="Times New Roman"/>
          <w:sz w:val="24"/>
          <w:szCs w:val="24"/>
        </w:rPr>
        <w:t>on bank’s profitability?</w:t>
      </w:r>
    </w:p>
    <w:p w:rsidR="00BB7AB3" w:rsidRPr="00B61BC9" w:rsidRDefault="00B61BC9" w:rsidP="00B61BC9">
      <w:pPr>
        <w:spacing w:after="240" w:line="360" w:lineRule="auto"/>
        <w:contextualSpacing/>
        <w:jc w:val="lowKashida"/>
        <w:rPr>
          <w:rFonts w:ascii="Times New Roman" w:hAnsi="Times New Roman" w:cs="Times New Roman"/>
          <w:sz w:val="24"/>
          <w:szCs w:val="24"/>
        </w:rPr>
      </w:pPr>
      <w:r>
        <w:rPr>
          <w:rFonts w:ascii="Times New Roman" w:hAnsi="Times New Roman" w:cs="Times New Roman"/>
          <w:sz w:val="24"/>
          <w:szCs w:val="24"/>
        </w:rPr>
        <w:t>2-</w:t>
      </w:r>
      <w:r w:rsidR="00035226" w:rsidRPr="00B61BC9">
        <w:rPr>
          <w:rFonts w:ascii="Times New Roman" w:hAnsi="Times New Roman" w:cs="Times New Roman"/>
          <w:sz w:val="24"/>
          <w:szCs w:val="24"/>
        </w:rPr>
        <w:t>To d</w:t>
      </w:r>
      <w:r w:rsidR="000162CF" w:rsidRPr="00B61BC9">
        <w:rPr>
          <w:rFonts w:ascii="Times New Roman" w:hAnsi="Times New Roman" w:cs="Times New Roman"/>
          <w:sz w:val="24"/>
          <w:szCs w:val="24"/>
        </w:rPr>
        <w:t xml:space="preserve">etermine the relationship between the theories, concepts and models of credit risk management and </w:t>
      </w:r>
      <w:r w:rsidR="008C6A91" w:rsidRPr="00B61BC9">
        <w:rPr>
          <w:rFonts w:ascii="Times New Roman" w:hAnsi="Times New Roman" w:cs="Times New Roman"/>
          <w:sz w:val="24"/>
          <w:szCs w:val="24"/>
        </w:rPr>
        <w:t>real practicing by Palestinian B</w:t>
      </w:r>
      <w:r w:rsidR="000162CF" w:rsidRPr="00B61BC9">
        <w:rPr>
          <w:rFonts w:ascii="Times New Roman" w:hAnsi="Times New Roman" w:cs="Times New Roman"/>
          <w:sz w:val="24"/>
          <w:szCs w:val="24"/>
        </w:rPr>
        <w:t>anks.</w:t>
      </w:r>
    </w:p>
    <w:p w:rsidR="003C6613" w:rsidRDefault="00B61BC9" w:rsidP="00A41BF9">
      <w:pPr>
        <w:spacing w:after="240" w:line="360" w:lineRule="auto"/>
        <w:contextualSpacing/>
        <w:jc w:val="lowKashida"/>
        <w:rPr>
          <w:rFonts w:ascii="Times New Roman" w:hAnsi="Times New Roman" w:cs="Times New Roman"/>
          <w:sz w:val="24"/>
          <w:szCs w:val="24"/>
        </w:rPr>
      </w:pPr>
      <w:r>
        <w:rPr>
          <w:rFonts w:ascii="Times New Roman" w:hAnsi="Times New Roman" w:cs="Times New Roman"/>
          <w:sz w:val="24"/>
          <w:szCs w:val="24"/>
        </w:rPr>
        <w:t>3-</w:t>
      </w:r>
      <w:r w:rsidR="00035226" w:rsidRPr="00B61BC9">
        <w:rPr>
          <w:rFonts w:ascii="Times New Roman" w:hAnsi="Times New Roman" w:cs="Times New Roman"/>
          <w:sz w:val="24"/>
          <w:szCs w:val="24"/>
        </w:rPr>
        <w:t>To give some important recommendations for the banks pertinent to credit risk management.</w:t>
      </w:r>
    </w:p>
    <w:p w:rsidR="00B61BC9" w:rsidRDefault="007F330C" w:rsidP="00A41BF9">
      <w:pPr>
        <w:spacing w:after="240" w:line="360" w:lineRule="auto"/>
        <w:contextualSpacing/>
        <w:jc w:val="lowKashida"/>
        <w:rPr>
          <w:rFonts w:ascii="Times New Roman" w:hAnsi="Times New Roman" w:cs="Times New Roman"/>
          <w:sz w:val="24"/>
          <w:szCs w:val="24"/>
        </w:rPr>
      </w:pPr>
      <w:r w:rsidRPr="00B61BC9">
        <w:rPr>
          <w:rFonts w:ascii="Times New Roman" w:hAnsi="Times New Roman" w:cs="Times New Roman"/>
          <w:sz w:val="24"/>
          <w:szCs w:val="24"/>
        </w:rPr>
        <w:t xml:space="preserve"> </w:t>
      </w:r>
    </w:p>
    <w:p w:rsidR="00B61BC9" w:rsidRDefault="001A3D66" w:rsidP="00A41BF9">
      <w:pPr>
        <w:spacing w:after="240" w:line="360" w:lineRule="auto"/>
        <w:contextualSpacing/>
        <w:jc w:val="lowKashida"/>
        <w:rPr>
          <w:rFonts w:ascii="Times New Roman" w:hAnsi="Times New Roman" w:cs="Times New Roman"/>
          <w:sz w:val="24"/>
          <w:szCs w:val="24"/>
        </w:rPr>
      </w:pPr>
      <w:r w:rsidRPr="004A0249">
        <w:rPr>
          <w:rFonts w:ascii="Times New Roman" w:hAnsi="Times New Roman" w:cs="Times New Roman"/>
          <w:b/>
          <w:sz w:val="24"/>
          <w:szCs w:val="24"/>
        </w:rPr>
        <w:t xml:space="preserve">1.4 </w:t>
      </w:r>
      <w:r w:rsidR="000162CF" w:rsidRPr="004A0249">
        <w:rPr>
          <w:rFonts w:ascii="Times New Roman" w:hAnsi="Times New Roman" w:cs="Times New Roman"/>
          <w:b/>
          <w:sz w:val="24"/>
          <w:szCs w:val="24"/>
        </w:rPr>
        <w:t>Significance of the Study</w:t>
      </w:r>
    </w:p>
    <w:p w:rsidR="00035226" w:rsidRPr="00BE78AD" w:rsidRDefault="00035226" w:rsidP="00A41BF9">
      <w:pPr>
        <w:spacing w:after="240" w:line="360" w:lineRule="auto"/>
        <w:contextualSpacing/>
        <w:jc w:val="lowKashida"/>
        <w:rPr>
          <w:rFonts w:ascii="Times New Roman" w:hAnsi="Times New Roman" w:cs="Times New Roman"/>
          <w:sz w:val="24"/>
          <w:szCs w:val="24"/>
        </w:rPr>
      </w:pPr>
      <w:r w:rsidRPr="00BE78AD">
        <w:rPr>
          <w:rFonts w:ascii="Times New Roman" w:hAnsi="Times New Roman" w:cs="Times New Roman"/>
          <w:sz w:val="24"/>
          <w:szCs w:val="24"/>
        </w:rPr>
        <w:t xml:space="preserve">The importance of </w:t>
      </w:r>
      <w:r>
        <w:rPr>
          <w:rFonts w:ascii="Times New Roman" w:hAnsi="Times New Roman" w:cs="Times New Roman"/>
          <w:sz w:val="24"/>
          <w:szCs w:val="24"/>
        </w:rPr>
        <w:t xml:space="preserve">credit risk management </w:t>
      </w:r>
      <w:r w:rsidRPr="00BE78AD">
        <w:rPr>
          <w:rFonts w:ascii="Times New Roman" w:hAnsi="Times New Roman" w:cs="Times New Roman"/>
          <w:sz w:val="24"/>
          <w:szCs w:val="24"/>
        </w:rPr>
        <w:t>arise</w:t>
      </w:r>
      <w:r>
        <w:rPr>
          <w:rFonts w:ascii="Times New Roman" w:hAnsi="Times New Roman" w:cs="Times New Roman"/>
          <w:sz w:val="24"/>
          <w:szCs w:val="24"/>
        </w:rPr>
        <w:t>s</w:t>
      </w:r>
      <w:r w:rsidRPr="00BE78AD">
        <w:rPr>
          <w:rFonts w:ascii="Times New Roman" w:hAnsi="Times New Roman" w:cs="Times New Roman"/>
          <w:sz w:val="24"/>
          <w:szCs w:val="24"/>
        </w:rPr>
        <w:t xml:space="preserve"> </w:t>
      </w:r>
      <w:r>
        <w:rPr>
          <w:rFonts w:ascii="Times New Roman" w:hAnsi="Times New Roman" w:cs="Times New Roman"/>
          <w:sz w:val="24"/>
          <w:szCs w:val="24"/>
        </w:rPr>
        <w:t>from</w:t>
      </w:r>
      <w:r w:rsidRPr="00BE78AD">
        <w:rPr>
          <w:rFonts w:ascii="Times New Roman" w:hAnsi="Times New Roman" w:cs="Times New Roman"/>
          <w:sz w:val="24"/>
          <w:szCs w:val="24"/>
        </w:rPr>
        <w:t xml:space="preserve"> the papers and documents issued by Basel </w:t>
      </w:r>
      <w:r>
        <w:rPr>
          <w:rFonts w:ascii="Times New Roman" w:hAnsi="Times New Roman" w:cs="Times New Roman"/>
          <w:sz w:val="24"/>
          <w:szCs w:val="24"/>
        </w:rPr>
        <w:t>C</w:t>
      </w:r>
      <w:r w:rsidRPr="00BE78AD">
        <w:rPr>
          <w:rFonts w:ascii="Times New Roman" w:hAnsi="Times New Roman" w:cs="Times New Roman"/>
          <w:sz w:val="24"/>
          <w:szCs w:val="24"/>
        </w:rPr>
        <w:t xml:space="preserve">ommittee on </w:t>
      </w:r>
      <w:r>
        <w:rPr>
          <w:rFonts w:ascii="Times New Roman" w:hAnsi="Times New Roman" w:cs="Times New Roman"/>
          <w:sz w:val="24"/>
          <w:szCs w:val="24"/>
        </w:rPr>
        <w:t>B</w:t>
      </w:r>
      <w:r w:rsidRPr="00BE78AD">
        <w:rPr>
          <w:rFonts w:ascii="Times New Roman" w:hAnsi="Times New Roman" w:cs="Times New Roman"/>
          <w:sz w:val="24"/>
          <w:szCs w:val="24"/>
        </w:rPr>
        <w:t xml:space="preserve">anks </w:t>
      </w:r>
      <w:r>
        <w:rPr>
          <w:rFonts w:ascii="Times New Roman" w:hAnsi="Times New Roman" w:cs="Times New Roman"/>
          <w:sz w:val="24"/>
          <w:szCs w:val="24"/>
        </w:rPr>
        <w:t>S</w:t>
      </w:r>
      <w:r w:rsidR="003775EB">
        <w:rPr>
          <w:rFonts w:ascii="Times New Roman" w:hAnsi="Times New Roman" w:cs="Times New Roman"/>
          <w:sz w:val="24"/>
          <w:szCs w:val="24"/>
        </w:rPr>
        <w:t xml:space="preserve">upervision </w:t>
      </w:r>
      <w:r w:rsidRPr="00BE78AD">
        <w:rPr>
          <w:rFonts w:ascii="Times New Roman" w:hAnsi="Times New Roman" w:cs="Times New Roman"/>
          <w:sz w:val="24"/>
          <w:szCs w:val="24"/>
        </w:rPr>
        <w:t>(BCBS)</w:t>
      </w:r>
      <w:r>
        <w:rPr>
          <w:rFonts w:ascii="Times New Roman" w:hAnsi="Times New Roman" w:cs="Times New Roman"/>
          <w:sz w:val="24"/>
          <w:szCs w:val="24"/>
        </w:rPr>
        <w:t xml:space="preserve">.This committee </w:t>
      </w:r>
      <w:r w:rsidR="00F739F9">
        <w:rPr>
          <w:rFonts w:ascii="Times New Roman" w:hAnsi="Times New Roman" w:cs="Times New Roman"/>
          <w:sz w:val="24"/>
          <w:szCs w:val="24"/>
        </w:rPr>
        <w:t xml:space="preserve">has </w:t>
      </w:r>
      <w:r w:rsidR="00F739F9" w:rsidRPr="00BE78AD">
        <w:rPr>
          <w:rFonts w:ascii="Times New Roman" w:hAnsi="Times New Roman" w:cs="Times New Roman"/>
          <w:sz w:val="24"/>
          <w:szCs w:val="24"/>
        </w:rPr>
        <w:t>provided</w:t>
      </w:r>
      <w:r w:rsidRPr="00BE78AD">
        <w:rPr>
          <w:rFonts w:ascii="Times New Roman" w:hAnsi="Times New Roman" w:cs="Times New Roman"/>
          <w:sz w:val="24"/>
          <w:szCs w:val="24"/>
        </w:rPr>
        <w:t xml:space="preserve"> recommendations on</w:t>
      </w:r>
      <w:r w:rsidR="002A4F43">
        <w:rPr>
          <w:rFonts w:ascii="Times New Roman" w:hAnsi="Times New Roman" w:cs="Times New Roman"/>
          <w:sz w:val="24"/>
          <w:szCs w:val="24"/>
        </w:rPr>
        <w:t xml:space="preserve"> </w:t>
      </w:r>
      <w:r w:rsidRPr="00BE78AD">
        <w:rPr>
          <w:rFonts w:ascii="Times New Roman" w:hAnsi="Times New Roman" w:cs="Times New Roman"/>
          <w:sz w:val="24"/>
          <w:szCs w:val="24"/>
        </w:rPr>
        <w:t>banking regulations in regards to capital risk</w:t>
      </w:r>
      <w:r>
        <w:rPr>
          <w:rFonts w:ascii="Times New Roman" w:hAnsi="Times New Roman" w:cs="Times New Roman"/>
          <w:sz w:val="24"/>
          <w:szCs w:val="24"/>
        </w:rPr>
        <w:t>,</w:t>
      </w:r>
      <w:r w:rsidRPr="00BE78AD">
        <w:rPr>
          <w:rFonts w:ascii="Times New Roman" w:hAnsi="Times New Roman" w:cs="Times New Roman"/>
          <w:sz w:val="24"/>
          <w:szCs w:val="24"/>
        </w:rPr>
        <w:t xml:space="preserve"> market risk and operational risk. The purpose of the Basel accord is to ensure that financial institutions have enough capital on account to meet obligations and absorb unexpected losses. The importance of this study can also be seen in the local banks’ trend nowadays, according to Basel Committee Accords, to apply the standard approach in classification of credit risks, in addition to the use of different types of credit risk mitigations to face levels of vulnerability to high risks.</w:t>
      </w:r>
    </w:p>
    <w:p w:rsidR="009A45C3" w:rsidRPr="00BE78AD" w:rsidRDefault="009A45C3" w:rsidP="00160577">
      <w:pPr>
        <w:spacing w:after="240" w:line="360" w:lineRule="auto"/>
        <w:contextualSpacing/>
        <w:jc w:val="lowKashida"/>
        <w:rPr>
          <w:rFonts w:ascii="Times New Roman" w:hAnsi="Times New Roman" w:cs="Times New Roman"/>
          <w:sz w:val="24"/>
          <w:szCs w:val="24"/>
        </w:rPr>
      </w:pPr>
      <w:r w:rsidRPr="00BE78AD">
        <w:rPr>
          <w:rFonts w:ascii="Times New Roman" w:hAnsi="Times New Roman" w:cs="Times New Roman"/>
          <w:sz w:val="24"/>
          <w:szCs w:val="24"/>
        </w:rPr>
        <w:t>Therefore, several factors have contributed to the risk of the need for such a banking study and its application on the local banks. Th</w:t>
      </w:r>
      <w:r w:rsidR="00B34F70" w:rsidRPr="00BE78AD">
        <w:rPr>
          <w:rFonts w:ascii="Times New Roman" w:hAnsi="Times New Roman" w:cs="Times New Roman"/>
          <w:sz w:val="24"/>
          <w:szCs w:val="24"/>
        </w:rPr>
        <w:t>ese factors include,</w:t>
      </w:r>
      <w:r w:rsidRPr="00BE78AD">
        <w:rPr>
          <w:rFonts w:ascii="Times New Roman" w:hAnsi="Times New Roman" w:cs="Times New Roman"/>
          <w:sz w:val="24"/>
          <w:szCs w:val="24"/>
        </w:rPr>
        <w:t xml:space="preserve"> the dramatic economic changes, the trend towards open market economies, weakness of regulations and legislations pertinent to banking operations, inability of some banks to keep abreast of </w:t>
      </w:r>
      <w:r w:rsidRPr="00BE78AD">
        <w:rPr>
          <w:rFonts w:ascii="Times New Roman" w:hAnsi="Times New Roman" w:cs="Times New Roman"/>
          <w:sz w:val="24"/>
          <w:szCs w:val="24"/>
        </w:rPr>
        <w:lastRenderedPageBreak/>
        <w:t>technological developments and technologies related to the mitigation of credit portfolio risks from an untraditional perspective. Current trends of many banks, to use different methods to mitigate the credit portfolio risks, include concentrations on principles of good borrowing, transfer of risks to other parties through credit derivatives, participation in risks through insurance on credit, efficient supervision of credit and the bank's strategy to mitigate the credit portfolio risks, using more advanced techniques and means.</w:t>
      </w:r>
    </w:p>
    <w:p w:rsidR="009A45C3" w:rsidRPr="00BE78AD" w:rsidRDefault="009A45C3" w:rsidP="00154AF3">
      <w:pPr>
        <w:spacing w:line="360" w:lineRule="auto"/>
        <w:contextualSpacing/>
        <w:jc w:val="both"/>
        <w:rPr>
          <w:sz w:val="24"/>
          <w:szCs w:val="24"/>
        </w:rPr>
      </w:pPr>
      <w:r w:rsidRPr="00BE78AD">
        <w:rPr>
          <w:rFonts w:ascii="Times New Roman" w:hAnsi="Times New Roman" w:cs="Times New Roman"/>
          <w:sz w:val="24"/>
          <w:szCs w:val="24"/>
        </w:rPr>
        <w:t>Recently, the focus began, practically and scientifically, to shift to value of the bank through protection of the types and assets’ quality and returns which make up the credit portfolio, protection of returns from fluctuations on the long term since the circumstances of the clients are changeable. This has led to the importance of using credit risk mitigations and their effect on the value of bank</w:t>
      </w:r>
      <w:r w:rsidRPr="00BE78AD">
        <w:rPr>
          <w:sz w:val="24"/>
          <w:szCs w:val="24"/>
        </w:rPr>
        <w:t>.</w:t>
      </w:r>
    </w:p>
    <w:p w:rsidR="00035226" w:rsidRPr="00BE78AD" w:rsidRDefault="00035226" w:rsidP="0003522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Pertaining</w:t>
      </w:r>
      <w:r w:rsidRPr="00BE78AD">
        <w:rPr>
          <w:rFonts w:ascii="Times New Roman" w:hAnsi="Times New Roman" w:cs="Times New Roman"/>
          <w:sz w:val="24"/>
          <w:szCs w:val="24"/>
        </w:rPr>
        <w:t xml:space="preserve"> to the Palestinian environment, the unstable political situation has led to a total deterioration of economic conditions,</w:t>
      </w:r>
      <w:r>
        <w:rPr>
          <w:rFonts w:ascii="Times New Roman" w:hAnsi="Times New Roman" w:cs="Times New Roman"/>
          <w:sz w:val="24"/>
          <w:szCs w:val="24"/>
        </w:rPr>
        <w:t xml:space="preserve"> thus</w:t>
      </w:r>
      <w:r w:rsidRPr="00BE78AD">
        <w:rPr>
          <w:rFonts w:ascii="Times New Roman" w:hAnsi="Times New Roman" w:cs="Times New Roman"/>
          <w:sz w:val="24"/>
          <w:szCs w:val="24"/>
        </w:rPr>
        <w:t xml:space="preserve"> increas</w:t>
      </w:r>
      <w:r>
        <w:rPr>
          <w:rFonts w:ascii="Times New Roman" w:hAnsi="Times New Roman" w:cs="Times New Roman"/>
          <w:sz w:val="24"/>
          <w:szCs w:val="24"/>
        </w:rPr>
        <w:t>ing</w:t>
      </w:r>
      <w:r w:rsidRPr="00BE78AD">
        <w:rPr>
          <w:rFonts w:ascii="Times New Roman" w:hAnsi="Times New Roman" w:cs="Times New Roman"/>
          <w:sz w:val="24"/>
          <w:szCs w:val="24"/>
        </w:rPr>
        <w:t xml:space="preserve"> the risks faced by banks and investors alike. The weakness of judicial authority contributes further to this risk. Moreover, the </w:t>
      </w:r>
      <w:r w:rsidR="00B56017" w:rsidRPr="00BE78AD">
        <w:rPr>
          <w:rFonts w:ascii="Times New Roman" w:hAnsi="Times New Roman" w:cs="Times New Roman"/>
          <w:sz w:val="24"/>
          <w:szCs w:val="24"/>
        </w:rPr>
        <w:t>agencies enforcing judicial rulings are inefficient,</w:t>
      </w:r>
      <w:r w:rsidR="00B56017">
        <w:rPr>
          <w:rFonts w:ascii="Times New Roman" w:hAnsi="Times New Roman" w:cs="Times New Roman"/>
          <w:sz w:val="24"/>
          <w:szCs w:val="24"/>
        </w:rPr>
        <w:t xml:space="preserve"> and subsequently</w:t>
      </w:r>
      <w:r w:rsidR="00B56017" w:rsidRPr="00BE78AD">
        <w:rPr>
          <w:rFonts w:ascii="Times New Roman" w:hAnsi="Times New Roman" w:cs="Times New Roman"/>
          <w:sz w:val="24"/>
          <w:szCs w:val="24"/>
        </w:rPr>
        <w:t xml:space="preserve"> undermine the security of the banking sector and marginalize</w:t>
      </w:r>
      <w:r w:rsidRPr="00BE78AD">
        <w:rPr>
          <w:rFonts w:ascii="Times New Roman" w:hAnsi="Times New Roman" w:cs="Times New Roman"/>
          <w:sz w:val="24"/>
          <w:szCs w:val="24"/>
        </w:rPr>
        <w:t xml:space="preserve"> its role in impacting economic activities.</w:t>
      </w:r>
    </w:p>
    <w:p w:rsidR="00035226" w:rsidRDefault="00035226" w:rsidP="00035226">
      <w:pPr>
        <w:spacing w:after="240" w:line="360" w:lineRule="auto"/>
        <w:contextualSpacing/>
        <w:jc w:val="both"/>
        <w:rPr>
          <w:rFonts w:ascii="Times New Roman" w:hAnsi="Times New Roman" w:cs="Times New Roman"/>
          <w:sz w:val="24"/>
          <w:szCs w:val="24"/>
        </w:rPr>
      </w:pPr>
      <w:r w:rsidRPr="00BE78AD">
        <w:rPr>
          <w:rFonts w:ascii="Times New Roman" w:hAnsi="Times New Roman" w:cs="Times New Roman"/>
          <w:sz w:val="24"/>
          <w:szCs w:val="24"/>
        </w:rPr>
        <w:t>This study will help to enrich local literatures on the subject matter. According to the researcher</w:t>
      </w:r>
      <w:r>
        <w:rPr>
          <w:rFonts w:ascii="Times New Roman" w:hAnsi="Times New Roman" w:cs="Times New Roman"/>
          <w:sz w:val="24"/>
          <w:szCs w:val="24"/>
        </w:rPr>
        <w:t>’s</w:t>
      </w:r>
      <w:r w:rsidRPr="00BE78AD">
        <w:rPr>
          <w:rFonts w:ascii="Times New Roman" w:hAnsi="Times New Roman" w:cs="Times New Roman"/>
          <w:sz w:val="24"/>
          <w:szCs w:val="24"/>
        </w:rPr>
        <w:t xml:space="preserve"> knowledge</w:t>
      </w:r>
      <w:r w:rsidR="00BB7AB3" w:rsidRPr="00BE78AD">
        <w:rPr>
          <w:rFonts w:ascii="Times New Roman" w:hAnsi="Times New Roman" w:cs="Times New Roman"/>
          <w:sz w:val="24"/>
          <w:szCs w:val="24"/>
        </w:rPr>
        <w:t xml:space="preserve">, </w:t>
      </w:r>
      <w:r w:rsidR="00BB7AB3">
        <w:rPr>
          <w:rFonts w:ascii="Times New Roman" w:hAnsi="Times New Roman" w:cs="Times New Roman"/>
          <w:sz w:val="24"/>
          <w:szCs w:val="24"/>
        </w:rPr>
        <w:t xml:space="preserve">no </w:t>
      </w:r>
      <w:r w:rsidR="00BB7AB3" w:rsidRPr="00BE78AD">
        <w:rPr>
          <w:rFonts w:ascii="Times New Roman" w:hAnsi="Times New Roman" w:cs="Times New Roman"/>
          <w:sz w:val="24"/>
          <w:szCs w:val="24"/>
        </w:rPr>
        <w:t>detailed</w:t>
      </w:r>
      <w:r w:rsidRPr="00BE78AD">
        <w:rPr>
          <w:rFonts w:ascii="Times New Roman" w:hAnsi="Times New Roman" w:cs="Times New Roman"/>
          <w:sz w:val="24"/>
          <w:szCs w:val="24"/>
        </w:rPr>
        <w:t xml:space="preserve"> stud</w:t>
      </w:r>
      <w:r>
        <w:rPr>
          <w:rFonts w:ascii="Times New Roman" w:hAnsi="Times New Roman" w:cs="Times New Roman"/>
          <w:sz w:val="24"/>
          <w:szCs w:val="24"/>
        </w:rPr>
        <w:t xml:space="preserve">ies </w:t>
      </w:r>
      <w:r w:rsidR="00BB7AB3">
        <w:rPr>
          <w:rFonts w:ascii="Times New Roman" w:hAnsi="Times New Roman" w:cs="Times New Roman"/>
          <w:sz w:val="24"/>
          <w:szCs w:val="24"/>
        </w:rPr>
        <w:t xml:space="preserve">were </w:t>
      </w:r>
      <w:r w:rsidR="00BB7AB3" w:rsidRPr="00BE78AD">
        <w:rPr>
          <w:rFonts w:ascii="Times New Roman" w:hAnsi="Times New Roman" w:cs="Times New Roman"/>
          <w:sz w:val="24"/>
          <w:szCs w:val="24"/>
        </w:rPr>
        <w:t>conducted</w:t>
      </w:r>
      <w:r w:rsidR="00BB7AB3">
        <w:rPr>
          <w:rFonts w:ascii="Times New Roman" w:hAnsi="Times New Roman" w:cs="Times New Roman"/>
          <w:sz w:val="24"/>
          <w:szCs w:val="24"/>
        </w:rPr>
        <w:t xml:space="preserve"> </w:t>
      </w:r>
      <w:r w:rsidR="00BB7AB3" w:rsidRPr="00BE78AD">
        <w:rPr>
          <w:rFonts w:ascii="Times New Roman" w:hAnsi="Times New Roman" w:cs="Times New Roman"/>
          <w:sz w:val="24"/>
          <w:szCs w:val="24"/>
        </w:rPr>
        <w:t>on</w:t>
      </w:r>
      <w:r w:rsidRPr="00BE78AD">
        <w:rPr>
          <w:rFonts w:ascii="Times New Roman" w:hAnsi="Times New Roman" w:cs="Times New Roman"/>
          <w:sz w:val="24"/>
          <w:szCs w:val="24"/>
        </w:rPr>
        <w:t xml:space="preserve"> the impa</w:t>
      </w:r>
      <w:r w:rsidR="00C00C11">
        <w:rPr>
          <w:rFonts w:ascii="Times New Roman" w:hAnsi="Times New Roman" w:cs="Times New Roman"/>
          <w:sz w:val="24"/>
          <w:szCs w:val="24"/>
        </w:rPr>
        <w:t>ct of credit risk management on</w:t>
      </w:r>
      <w:r w:rsidRPr="00BE78AD">
        <w:rPr>
          <w:rFonts w:ascii="Times New Roman" w:hAnsi="Times New Roman" w:cs="Times New Roman"/>
          <w:sz w:val="24"/>
          <w:szCs w:val="24"/>
        </w:rPr>
        <w:t xml:space="preserve"> commercial banks</w:t>
      </w:r>
      <w:r>
        <w:rPr>
          <w:rFonts w:ascii="Times New Roman" w:hAnsi="Times New Roman" w:cs="Times New Roman"/>
          <w:sz w:val="24"/>
          <w:szCs w:val="24"/>
        </w:rPr>
        <w:t>’</w:t>
      </w:r>
      <w:r w:rsidRPr="00BE78AD">
        <w:rPr>
          <w:rFonts w:ascii="Times New Roman" w:hAnsi="Times New Roman" w:cs="Times New Roman"/>
          <w:sz w:val="24"/>
          <w:szCs w:val="24"/>
        </w:rPr>
        <w:t xml:space="preserve"> profitability in Palestine. In addition, it will also </w:t>
      </w:r>
      <w:r w:rsidRPr="00035226">
        <w:rPr>
          <w:rFonts w:ascii="Times New Roman" w:hAnsi="Times New Roman" w:cs="Times New Roman"/>
          <w:sz w:val="24"/>
          <w:szCs w:val="24"/>
        </w:rPr>
        <w:t>allow</w:t>
      </w:r>
      <w:r w:rsidRPr="00BE78AD">
        <w:rPr>
          <w:rFonts w:ascii="Times New Roman" w:hAnsi="Times New Roman" w:cs="Times New Roman"/>
          <w:sz w:val="24"/>
          <w:szCs w:val="24"/>
        </w:rPr>
        <w:t xml:space="preserve"> commercial banks of the country to evaluate </w:t>
      </w:r>
      <w:r>
        <w:rPr>
          <w:rFonts w:ascii="Times New Roman" w:hAnsi="Times New Roman" w:cs="Times New Roman"/>
          <w:sz w:val="24"/>
          <w:szCs w:val="24"/>
        </w:rPr>
        <w:t>their</w:t>
      </w:r>
      <w:r w:rsidRPr="00BE78AD">
        <w:rPr>
          <w:rFonts w:ascii="Times New Roman" w:hAnsi="Times New Roman" w:cs="Times New Roman"/>
          <w:sz w:val="24"/>
          <w:szCs w:val="24"/>
        </w:rPr>
        <w:t xml:space="preserve"> credit risk management mechanisms in order to reduce loan loss and be</w:t>
      </w:r>
      <w:r>
        <w:rPr>
          <w:rFonts w:ascii="Times New Roman" w:hAnsi="Times New Roman" w:cs="Times New Roman"/>
          <w:sz w:val="24"/>
          <w:szCs w:val="24"/>
        </w:rPr>
        <w:t>come</w:t>
      </w:r>
      <w:r w:rsidR="00C00C11">
        <w:rPr>
          <w:rFonts w:ascii="Times New Roman" w:hAnsi="Times New Roman" w:cs="Times New Roman"/>
          <w:sz w:val="24"/>
          <w:szCs w:val="24"/>
        </w:rPr>
        <w:t xml:space="preserve"> more</w:t>
      </w:r>
      <w:r w:rsidRPr="00BE78AD">
        <w:rPr>
          <w:rFonts w:ascii="Times New Roman" w:hAnsi="Times New Roman" w:cs="Times New Roman"/>
          <w:sz w:val="24"/>
          <w:szCs w:val="24"/>
        </w:rPr>
        <w:t xml:space="preserve"> profitable. So the outcome of this </w:t>
      </w:r>
      <w:r>
        <w:rPr>
          <w:rFonts w:ascii="Times New Roman" w:hAnsi="Times New Roman" w:cs="Times New Roman"/>
          <w:sz w:val="24"/>
          <w:szCs w:val="24"/>
        </w:rPr>
        <w:t>study</w:t>
      </w:r>
      <w:r w:rsidRPr="00BE78AD">
        <w:rPr>
          <w:rFonts w:ascii="Times New Roman" w:hAnsi="Times New Roman" w:cs="Times New Roman"/>
          <w:sz w:val="24"/>
          <w:szCs w:val="24"/>
        </w:rPr>
        <w:t xml:space="preserve"> will </w:t>
      </w:r>
      <w:r>
        <w:rPr>
          <w:rFonts w:ascii="Times New Roman" w:hAnsi="Times New Roman" w:cs="Times New Roman"/>
          <w:sz w:val="24"/>
          <w:szCs w:val="24"/>
        </w:rPr>
        <w:t xml:space="preserve">be a </w:t>
      </w:r>
      <w:r w:rsidR="00556C01">
        <w:rPr>
          <w:rFonts w:ascii="Times New Roman" w:hAnsi="Times New Roman" w:cs="Times New Roman"/>
          <w:sz w:val="24"/>
          <w:szCs w:val="24"/>
        </w:rPr>
        <w:t xml:space="preserve">better </w:t>
      </w:r>
      <w:r w:rsidR="00556C01" w:rsidRPr="00BE78AD">
        <w:rPr>
          <w:rFonts w:ascii="Times New Roman" w:hAnsi="Times New Roman" w:cs="Times New Roman"/>
          <w:sz w:val="24"/>
          <w:szCs w:val="24"/>
        </w:rPr>
        <w:t>understanding</w:t>
      </w:r>
      <w:r w:rsidRPr="00BE78AD">
        <w:rPr>
          <w:rFonts w:ascii="Times New Roman" w:hAnsi="Times New Roman" w:cs="Times New Roman"/>
          <w:sz w:val="24"/>
          <w:szCs w:val="24"/>
        </w:rPr>
        <w:t xml:space="preserve"> and awareness of banks management</w:t>
      </w:r>
      <w:r>
        <w:rPr>
          <w:rFonts w:ascii="Times New Roman" w:hAnsi="Times New Roman" w:cs="Times New Roman"/>
          <w:sz w:val="24"/>
          <w:szCs w:val="24"/>
        </w:rPr>
        <w:t>s</w:t>
      </w:r>
      <w:r w:rsidRPr="00BE78AD">
        <w:rPr>
          <w:rFonts w:ascii="Times New Roman" w:hAnsi="Times New Roman" w:cs="Times New Roman"/>
          <w:sz w:val="24"/>
          <w:szCs w:val="24"/>
        </w:rPr>
        <w:t xml:space="preserve"> about the adverse effect of credit risk on their profit</w:t>
      </w:r>
      <w:r>
        <w:rPr>
          <w:rFonts w:ascii="Times New Roman" w:hAnsi="Times New Roman" w:cs="Times New Roman"/>
          <w:sz w:val="24"/>
          <w:szCs w:val="24"/>
        </w:rPr>
        <w:t>s</w:t>
      </w:r>
      <w:r w:rsidRPr="00BE78AD">
        <w:rPr>
          <w:rFonts w:ascii="Times New Roman" w:hAnsi="Times New Roman" w:cs="Times New Roman"/>
          <w:sz w:val="24"/>
          <w:szCs w:val="24"/>
        </w:rPr>
        <w:t>. Further, it</w:t>
      </w:r>
      <w:r>
        <w:rPr>
          <w:rFonts w:ascii="Times New Roman" w:hAnsi="Times New Roman" w:cs="Times New Roman"/>
          <w:sz w:val="24"/>
          <w:szCs w:val="24"/>
        </w:rPr>
        <w:t xml:space="preserve"> will</w:t>
      </w:r>
      <w:r w:rsidRPr="00BE78AD">
        <w:rPr>
          <w:rFonts w:ascii="Times New Roman" w:hAnsi="Times New Roman" w:cs="Times New Roman"/>
          <w:sz w:val="24"/>
          <w:szCs w:val="24"/>
        </w:rPr>
        <w:t xml:space="preserve"> help managers to minimize the credit risk level and improve their appropriate lending policies by taking in</w:t>
      </w:r>
      <w:r>
        <w:rPr>
          <w:rFonts w:ascii="Times New Roman" w:hAnsi="Times New Roman" w:cs="Times New Roman"/>
          <w:sz w:val="24"/>
          <w:szCs w:val="24"/>
        </w:rPr>
        <w:t>to</w:t>
      </w:r>
      <w:r w:rsidRPr="00BE78AD">
        <w:rPr>
          <w:rFonts w:ascii="Times New Roman" w:hAnsi="Times New Roman" w:cs="Times New Roman"/>
          <w:sz w:val="24"/>
          <w:szCs w:val="24"/>
        </w:rPr>
        <w:t xml:space="preserve"> consideration the significant variables included in this </w:t>
      </w:r>
      <w:r>
        <w:rPr>
          <w:rFonts w:ascii="Times New Roman" w:hAnsi="Times New Roman" w:cs="Times New Roman"/>
          <w:sz w:val="24"/>
          <w:szCs w:val="24"/>
        </w:rPr>
        <w:t>study</w:t>
      </w:r>
      <w:r w:rsidRPr="00BE78AD">
        <w:rPr>
          <w:rFonts w:ascii="Times New Roman" w:hAnsi="Times New Roman" w:cs="Times New Roman"/>
          <w:sz w:val="24"/>
          <w:szCs w:val="24"/>
        </w:rPr>
        <w:t xml:space="preserve">. This study's findings can be used for other findings that might prove to be helpful in introducing changes </w:t>
      </w:r>
      <w:r w:rsidR="00556C01">
        <w:rPr>
          <w:rFonts w:ascii="Times New Roman" w:hAnsi="Times New Roman" w:cs="Times New Roman"/>
          <w:sz w:val="24"/>
          <w:szCs w:val="24"/>
        </w:rPr>
        <w:t>to of</w:t>
      </w:r>
      <w:r>
        <w:rPr>
          <w:rFonts w:ascii="Times New Roman" w:hAnsi="Times New Roman" w:cs="Times New Roman"/>
          <w:sz w:val="24"/>
          <w:szCs w:val="24"/>
        </w:rPr>
        <w:t xml:space="preserve"> the practice of</w:t>
      </w:r>
      <w:r w:rsidRPr="00BE78AD">
        <w:rPr>
          <w:rFonts w:ascii="Times New Roman" w:hAnsi="Times New Roman" w:cs="Times New Roman"/>
          <w:sz w:val="24"/>
          <w:szCs w:val="24"/>
        </w:rPr>
        <w:t xml:space="preserve"> an effective credit risk management in the Palestinian banking sector.</w:t>
      </w:r>
    </w:p>
    <w:p w:rsidR="003C6613" w:rsidRDefault="003C6613" w:rsidP="00035226">
      <w:pPr>
        <w:spacing w:after="240" w:line="360" w:lineRule="auto"/>
        <w:contextualSpacing/>
        <w:jc w:val="both"/>
        <w:rPr>
          <w:rFonts w:ascii="Times New Roman" w:hAnsi="Times New Roman" w:cs="Times New Roman"/>
          <w:sz w:val="24"/>
          <w:szCs w:val="24"/>
        </w:rPr>
      </w:pPr>
    </w:p>
    <w:p w:rsidR="00DC2590" w:rsidRDefault="00DC2590" w:rsidP="00495435">
      <w:pPr>
        <w:autoSpaceDE w:val="0"/>
        <w:autoSpaceDN w:val="0"/>
        <w:adjustRightInd w:val="0"/>
        <w:spacing w:after="0" w:line="360" w:lineRule="auto"/>
        <w:jc w:val="both"/>
        <w:rPr>
          <w:rFonts w:asciiTheme="majorBidi" w:hAnsiTheme="majorBidi" w:cstheme="majorBidi"/>
          <w:b/>
          <w:sz w:val="24"/>
          <w:szCs w:val="24"/>
        </w:rPr>
      </w:pPr>
    </w:p>
    <w:p w:rsidR="00495435" w:rsidRDefault="00B00AA1" w:rsidP="00495435">
      <w:pPr>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lastRenderedPageBreak/>
        <w:t xml:space="preserve">1.5 </w:t>
      </w:r>
      <w:r w:rsidR="00495435" w:rsidRPr="00F4561D">
        <w:rPr>
          <w:rFonts w:asciiTheme="majorBidi" w:hAnsiTheme="majorBidi" w:cstheme="majorBidi"/>
          <w:b/>
          <w:sz w:val="24"/>
          <w:szCs w:val="24"/>
        </w:rPr>
        <w:t>Methodology</w:t>
      </w:r>
      <w:r>
        <w:rPr>
          <w:rFonts w:asciiTheme="majorBidi" w:hAnsiTheme="majorBidi" w:cstheme="majorBidi"/>
          <w:b/>
          <w:sz w:val="24"/>
          <w:szCs w:val="24"/>
        </w:rPr>
        <w:t xml:space="preserve"> of the Study</w:t>
      </w:r>
    </w:p>
    <w:p w:rsidR="00495435" w:rsidRDefault="00495435" w:rsidP="0049543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To achieve the</w:t>
      </w:r>
      <w:r w:rsidRPr="007A127E">
        <w:rPr>
          <w:rFonts w:asciiTheme="majorBidi" w:hAnsiTheme="majorBidi" w:cstheme="majorBidi"/>
          <w:sz w:val="24"/>
          <w:szCs w:val="24"/>
        </w:rPr>
        <w:t xml:space="preserve"> aims and objectives of this research, a combined methodology of both quantitative and qualitative approaches </w:t>
      </w:r>
      <w:r>
        <w:rPr>
          <w:rFonts w:asciiTheme="majorBidi" w:hAnsiTheme="majorBidi" w:cstheme="majorBidi"/>
          <w:sz w:val="24"/>
          <w:szCs w:val="24"/>
        </w:rPr>
        <w:t xml:space="preserve">was </w:t>
      </w:r>
      <w:r w:rsidRPr="007A127E">
        <w:rPr>
          <w:rFonts w:asciiTheme="majorBidi" w:hAnsiTheme="majorBidi" w:cstheme="majorBidi"/>
          <w:sz w:val="24"/>
          <w:szCs w:val="24"/>
        </w:rPr>
        <w:t xml:space="preserve">applied. The quantitative approach in this research </w:t>
      </w:r>
      <w:r>
        <w:rPr>
          <w:rFonts w:asciiTheme="majorBidi" w:hAnsiTheme="majorBidi" w:cstheme="majorBidi"/>
          <w:sz w:val="24"/>
          <w:szCs w:val="24"/>
        </w:rPr>
        <w:t>was</w:t>
      </w:r>
      <w:r w:rsidRPr="007A127E">
        <w:rPr>
          <w:rFonts w:asciiTheme="majorBidi" w:hAnsiTheme="majorBidi" w:cstheme="majorBidi"/>
          <w:sz w:val="24"/>
          <w:szCs w:val="24"/>
        </w:rPr>
        <w:t xml:space="preserve"> mainly</w:t>
      </w:r>
      <w:r>
        <w:rPr>
          <w:rFonts w:asciiTheme="majorBidi" w:hAnsiTheme="majorBidi" w:cstheme="majorBidi"/>
          <w:sz w:val="24"/>
          <w:szCs w:val="24"/>
        </w:rPr>
        <w:t xml:space="preserve"> used to</w:t>
      </w:r>
      <w:r w:rsidRPr="007A127E">
        <w:rPr>
          <w:rFonts w:asciiTheme="majorBidi" w:hAnsiTheme="majorBidi" w:cstheme="majorBidi"/>
          <w:sz w:val="24"/>
          <w:szCs w:val="24"/>
        </w:rPr>
        <w:t xml:space="preserve"> answer</w:t>
      </w:r>
      <w:r>
        <w:rPr>
          <w:rFonts w:asciiTheme="majorBidi" w:hAnsiTheme="majorBidi" w:cstheme="majorBidi"/>
          <w:sz w:val="24"/>
          <w:szCs w:val="24"/>
        </w:rPr>
        <w:t xml:space="preserve"> </w:t>
      </w:r>
      <w:r w:rsidRPr="007A127E">
        <w:rPr>
          <w:rFonts w:asciiTheme="majorBidi" w:hAnsiTheme="majorBidi" w:cstheme="majorBidi"/>
          <w:sz w:val="24"/>
          <w:szCs w:val="24"/>
        </w:rPr>
        <w:t>the first two research question</w:t>
      </w:r>
      <w:r>
        <w:rPr>
          <w:rFonts w:asciiTheme="majorBidi" w:hAnsiTheme="majorBidi" w:cstheme="majorBidi"/>
          <w:sz w:val="24"/>
          <w:szCs w:val="24"/>
        </w:rPr>
        <w:t>s</w:t>
      </w:r>
      <w:r w:rsidRPr="007A127E">
        <w:rPr>
          <w:rFonts w:asciiTheme="majorBidi" w:hAnsiTheme="majorBidi" w:cstheme="majorBidi"/>
          <w:sz w:val="24"/>
          <w:szCs w:val="24"/>
        </w:rPr>
        <w:t>. In order to get a general understanding of</w:t>
      </w:r>
      <w:r>
        <w:rPr>
          <w:rFonts w:asciiTheme="majorBidi" w:hAnsiTheme="majorBidi" w:cstheme="majorBidi"/>
          <w:sz w:val="24"/>
          <w:szCs w:val="24"/>
        </w:rPr>
        <w:t xml:space="preserve"> the </w:t>
      </w:r>
      <w:r w:rsidRPr="007A127E">
        <w:rPr>
          <w:rFonts w:asciiTheme="majorBidi" w:hAnsiTheme="majorBidi" w:cstheme="majorBidi"/>
          <w:sz w:val="24"/>
          <w:szCs w:val="24"/>
        </w:rPr>
        <w:t>major Palestinian banks’ credit risk ma</w:t>
      </w:r>
      <w:r>
        <w:rPr>
          <w:rFonts w:asciiTheme="majorBidi" w:hAnsiTheme="majorBidi" w:cstheme="majorBidi"/>
          <w:sz w:val="24"/>
          <w:szCs w:val="24"/>
        </w:rPr>
        <w:t>nagement level</w:t>
      </w:r>
      <w:r w:rsidRPr="007A127E">
        <w:rPr>
          <w:rFonts w:asciiTheme="majorBidi" w:hAnsiTheme="majorBidi" w:cstheme="majorBidi"/>
          <w:sz w:val="24"/>
          <w:szCs w:val="24"/>
        </w:rPr>
        <w:t xml:space="preserve"> of their lending decision quality performance</w:t>
      </w:r>
      <w:r>
        <w:rPr>
          <w:rFonts w:asciiTheme="majorBidi" w:hAnsiTheme="majorBidi" w:cstheme="majorBidi"/>
          <w:sz w:val="24"/>
          <w:szCs w:val="24"/>
        </w:rPr>
        <w:t>,</w:t>
      </w:r>
      <w:r w:rsidRPr="007A127E">
        <w:rPr>
          <w:rFonts w:asciiTheme="majorBidi" w:hAnsiTheme="majorBidi" w:cstheme="majorBidi"/>
          <w:sz w:val="24"/>
          <w:szCs w:val="24"/>
        </w:rPr>
        <w:t xml:space="preserve"> </w:t>
      </w:r>
      <w:r w:rsidRPr="00156004">
        <w:rPr>
          <w:rFonts w:asciiTheme="majorBidi" w:hAnsiTheme="majorBidi" w:cstheme="majorBidi"/>
          <w:sz w:val="24"/>
          <w:szCs w:val="24"/>
        </w:rPr>
        <w:t>within</w:t>
      </w:r>
      <w:r>
        <w:rPr>
          <w:rFonts w:asciiTheme="majorBidi" w:hAnsiTheme="majorBidi" w:cstheme="majorBidi"/>
          <w:sz w:val="24"/>
          <w:szCs w:val="24"/>
        </w:rPr>
        <w:t xml:space="preserve"> the</w:t>
      </w:r>
      <w:r w:rsidRPr="00156004">
        <w:rPr>
          <w:rFonts w:asciiTheme="majorBidi" w:hAnsiTheme="majorBidi" w:cstheme="majorBidi"/>
          <w:sz w:val="24"/>
          <w:szCs w:val="24"/>
        </w:rPr>
        <w:t xml:space="preserve"> study period, ratio analysis </w:t>
      </w:r>
      <w:r>
        <w:rPr>
          <w:rFonts w:asciiTheme="majorBidi" w:hAnsiTheme="majorBidi" w:cstheme="majorBidi"/>
          <w:sz w:val="24"/>
          <w:szCs w:val="24"/>
        </w:rPr>
        <w:t xml:space="preserve">was </w:t>
      </w:r>
      <w:r w:rsidRPr="00156004">
        <w:rPr>
          <w:rFonts w:asciiTheme="majorBidi" w:hAnsiTheme="majorBidi" w:cstheme="majorBidi"/>
          <w:sz w:val="24"/>
          <w:szCs w:val="24"/>
        </w:rPr>
        <w:t xml:space="preserve">adopted.  </w:t>
      </w:r>
      <w:r>
        <w:rPr>
          <w:rFonts w:asciiTheme="majorBidi" w:hAnsiTheme="majorBidi" w:cstheme="majorBidi"/>
          <w:sz w:val="24"/>
          <w:szCs w:val="24"/>
        </w:rPr>
        <w:t>That is, t</w:t>
      </w:r>
      <w:r w:rsidRPr="00156004">
        <w:rPr>
          <w:rFonts w:asciiTheme="majorBidi" w:hAnsiTheme="majorBidi" w:cstheme="majorBidi"/>
          <w:sz w:val="24"/>
          <w:szCs w:val="24"/>
        </w:rPr>
        <w:t>he researcher use</w:t>
      </w:r>
      <w:r>
        <w:rPr>
          <w:rFonts w:asciiTheme="majorBidi" w:hAnsiTheme="majorBidi" w:cstheme="majorBidi"/>
          <w:sz w:val="24"/>
          <w:szCs w:val="24"/>
        </w:rPr>
        <w:t xml:space="preserve">d the </w:t>
      </w:r>
      <w:r w:rsidRPr="00156004">
        <w:rPr>
          <w:rFonts w:asciiTheme="majorBidi" w:hAnsiTheme="majorBidi" w:cstheme="majorBidi"/>
          <w:sz w:val="24"/>
          <w:szCs w:val="24"/>
        </w:rPr>
        <w:t xml:space="preserve"> </w:t>
      </w:r>
      <w:r w:rsidRPr="00373537">
        <w:rPr>
          <w:rFonts w:asciiTheme="majorBidi" w:hAnsiTheme="majorBidi" w:cstheme="majorBidi"/>
          <w:sz w:val="24"/>
          <w:szCs w:val="24"/>
        </w:rPr>
        <w:t>regression model to analyze the data collected from the annual audited reports of  the Palestinian banks, Association of Banks in Palestine and  the</w:t>
      </w:r>
      <w:r w:rsidRPr="00373537">
        <w:rPr>
          <w:rFonts w:asciiTheme="majorBidi" w:hAnsiTheme="majorBidi" w:cstheme="majorBidi"/>
          <w:b/>
          <w:bCs/>
          <w:color w:val="000000" w:themeColor="text1"/>
          <w:sz w:val="24"/>
          <w:szCs w:val="24"/>
        </w:rPr>
        <w:t xml:space="preserve"> </w:t>
      </w:r>
      <w:r w:rsidRPr="00373537">
        <w:rPr>
          <w:rFonts w:asciiTheme="majorBidi" w:hAnsiTheme="majorBidi" w:cstheme="majorBidi"/>
          <w:color w:val="000000" w:themeColor="text1"/>
          <w:sz w:val="24"/>
          <w:szCs w:val="24"/>
        </w:rPr>
        <w:t>Palestinian Monetary Authority (PMA).</w:t>
      </w:r>
      <w:r w:rsidRPr="00373537">
        <w:rPr>
          <w:rFonts w:asciiTheme="majorBidi" w:hAnsiTheme="majorBidi" w:cstheme="majorBidi"/>
          <w:sz w:val="24"/>
          <w:szCs w:val="24"/>
        </w:rPr>
        <w:t xml:space="preserve"> Based on the</w:t>
      </w:r>
      <w:r w:rsidRPr="00156004">
        <w:rPr>
          <w:rFonts w:asciiTheme="majorBidi" w:hAnsiTheme="majorBidi" w:cstheme="majorBidi"/>
          <w:sz w:val="24"/>
          <w:szCs w:val="24"/>
        </w:rPr>
        <w:t xml:space="preserve"> result of regression output and feedback from </w:t>
      </w:r>
      <w:r>
        <w:rPr>
          <w:rFonts w:asciiTheme="majorBidi" w:hAnsiTheme="majorBidi" w:cstheme="majorBidi"/>
          <w:sz w:val="24"/>
          <w:szCs w:val="24"/>
        </w:rPr>
        <w:t xml:space="preserve">the </w:t>
      </w:r>
      <w:r w:rsidRPr="00156004">
        <w:rPr>
          <w:rFonts w:asciiTheme="majorBidi" w:hAnsiTheme="majorBidi" w:cstheme="majorBidi"/>
          <w:sz w:val="24"/>
          <w:szCs w:val="24"/>
        </w:rPr>
        <w:t>research question</w:t>
      </w:r>
      <w:r>
        <w:rPr>
          <w:rFonts w:asciiTheme="majorBidi" w:hAnsiTheme="majorBidi" w:cstheme="majorBidi"/>
          <w:sz w:val="24"/>
          <w:szCs w:val="24"/>
        </w:rPr>
        <w:t>s</w:t>
      </w:r>
      <w:r w:rsidRPr="00156004">
        <w:rPr>
          <w:rFonts w:asciiTheme="majorBidi" w:hAnsiTheme="majorBidi" w:cstheme="majorBidi"/>
          <w:sz w:val="24"/>
          <w:szCs w:val="24"/>
        </w:rPr>
        <w:t xml:space="preserve">, </w:t>
      </w:r>
      <w:r>
        <w:rPr>
          <w:rFonts w:asciiTheme="majorBidi" w:hAnsiTheme="majorBidi" w:cstheme="majorBidi"/>
          <w:sz w:val="24"/>
          <w:szCs w:val="24"/>
        </w:rPr>
        <w:t>an</w:t>
      </w:r>
      <w:r w:rsidRPr="00156004">
        <w:rPr>
          <w:rFonts w:asciiTheme="majorBidi" w:hAnsiTheme="majorBidi" w:cstheme="majorBidi"/>
          <w:sz w:val="24"/>
          <w:szCs w:val="24"/>
        </w:rPr>
        <w:t xml:space="preserve"> analysis w</w:t>
      </w:r>
      <w:r>
        <w:rPr>
          <w:rFonts w:asciiTheme="majorBidi" w:hAnsiTheme="majorBidi" w:cstheme="majorBidi"/>
          <w:sz w:val="24"/>
          <w:szCs w:val="24"/>
        </w:rPr>
        <w:t>as</w:t>
      </w:r>
      <w:r w:rsidRPr="00156004">
        <w:rPr>
          <w:rFonts w:asciiTheme="majorBidi" w:hAnsiTheme="majorBidi" w:cstheme="majorBidi"/>
          <w:sz w:val="24"/>
          <w:szCs w:val="24"/>
        </w:rPr>
        <w:t xml:space="preserve"> conducted and res</w:t>
      </w:r>
      <w:r>
        <w:rPr>
          <w:rFonts w:asciiTheme="majorBidi" w:hAnsiTheme="majorBidi" w:cstheme="majorBidi"/>
          <w:sz w:val="24"/>
          <w:szCs w:val="24"/>
        </w:rPr>
        <w:t>earch questions were answered.</w:t>
      </w:r>
      <w:r w:rsidRPr="00156004">
        <w:rPr>
          <w:rFonts w:asciiTheme="majorBidi" w:hAnsiTheme="majorBidi" w:cstheme="majorBidi"/>
          <w:sz w:val="24"/>
          <w:szCs w:val="24"/>
        </w:rPr>
        <w:t xml:space="preserve"> </w:t>
      </w:r>
      <w:r>
        <w:rPr>
          <w:rFonts w:asciiTheme="majorBidi" w:hAnsiTheme="majorBidi" w:cstheme="majorBidi"/>
          <w:sz w:val="24"/>
          <w:szCs w:val="24"/>
        </w:rPr>
        <w:t>T</w:t>
      </w:r>
      <w:r w:rsidRPr="00156004">
        <w:rPr>
          <w:rFonts w:asciiTheme="majorBidi" w:hAnsiTheme="majorBidi" w:cstheme="majorBidi"/>
          <w:sz w:val="24"/>
          <w:szCs w:val="24"/>
        </w:rPr>
        <w:t xml:space="preserve">he major hypothesis for testing </w:t>
      </w:r>
      <w:r>
        <w:rPr>
          <w:rFonts w:asciiTheme="majorBidi" w:hAnsiTheme="majorBidi" w:cstheme="majorBidi"/>
          <w:sz w:val="24"/>
          <w:szCs w:val="24"/>
        </w:rPr>
        <w:t>was</w:t>
      </w:r>
      <w:r w:rsidRPr="00156004">
        <w:rPr>
          <w:rFonts w:asciiTheme="majorBidi" w:hAnsiTheme="majorBidi" w:cstheme="majorBidi"/>
          <w:sz w:val="24"/>
          <w:szCs w:val="24"/>
        </w:rPr>
        <w:t xml:space="preserve"> whether credit risk policies and techniques adopted by Palestinian banks affect</w:t>
      </w:r>
      <w:r>
        <w:rPr>
          <w:rFonts w:asciiTheme="majorBidi" w:hAnsiTheme="majorBidi" w:cstheme="majorBidi"/>
          <w:sz w:val="24"/>
          <w:szCs w:val="24"/>
        </w:rPr>
        <w:t>ed</w:t>
      </w:r>
      <w:r w:rsidRPr="00156004">
        <w:rPr>
          <w:rFonts w:asciiTheme="majorBidi" w:hAnsiTheme="majorBidi" w:cstheme="majorBidi"/>
          <w:sz w:val="24"/>
          <w:szCs w:val="24"/>
        </w:rPr>
        <w:t xml:space="preserve"> their profitability. </w:t>
      </w:r>
      <w:r>
        <w:rPr>
          <w:rFonts w:asciiTheme="majorBidi" w:hAnsiTheme="majorBidi" w:cstheme="majorBidi"/>
          <w:sz w:val="24"/>
          <w:szCs w:val="24"/>
        </w:rPr>
        <w:t>Palestinian commercial banking</w:t>
      </w:r>
      <w:r w:rsidRPr="00AF51E3">
        <w:rPr>
          <w:rFonts w:asciiTheme="majorBidi" w:hAnsiTheme="majorBidi" w:cstheme="majorBidi"/>
          <w:sz w:val="24"/>
          <w:szCs w:val="24"/>
        </w:rPr>
        <w:t xml:space="preserve"> sector has been chosen for </w:t>
      </w:r>
      <w:r>
        <w:rPr>
          <w:rFonts w:asciiTheme="majorBidi" w:hAnsiTheme="majorBidi" w:cstheme="majorBidi"/>
          <w:sz w:val="24"/>
          <w:szCs w:val="24"/>
        </w:rPr>
        <w:t>the purpose of</w:t>
      </w:r>
      <w:r w:rsidRPr="00AF51E3">
        <w:rPr>
          <w:rFonts w:asciiTheme="majorBidi" w:hAnsiTheme="majorBidi" w:cstheme="majorBidi"/>
          <w:sz w:val="24"/>
          <w:szCs w:val="24"/>
        </w:rPr>
        <w:t xml:space="preserve"> this study; </w:t>
      </w:r>
      <w:r>
        <w:rPr>
          <w:rFonts w:asciiTheme="majorBidi" w:hAnsiTheme="majorBidi" w:cstheme="majorBidi"/>
          <w:sz w:val="24"/>
          <w:szCs w:val="24"/>
        </w:rPr>
        <w:t>however,</w:t>
      </w:r>
      <w:r w:rsidRPr="00AF51E3">
        <w:rPr>
          <w:rFonts w:asciiTheme="majorBidi" w:hAnsiTheme="majorBidi" w:cstheme="majorBidi"/>
          <w:sz w:val="24"/>
          <w:szCs w:val="24"/>
        </w:rPr>
        <w:t xml:space="preserve"> two Islamic banks</w:t>
      </w:r>
      <w:r>
        <w:rPr>
          <w:rFonts w:asciiTheme="majorBidi" w:hAnsiTheme="majorBidi" w:cstheme="majorBidi"/>
          <w:sz w:val="24"/>
          <w:szCs w:val="24"/>
        </w:rPr>
        <w:t xml:space="preserve"> have been excluded from this study. In other words, five</w:t>
      </w:r>
      <w:r w:rsidRPr="00AF51E3">
        <w:rPr>
          <w:rFonts w:asciiTheme="majorBidi" w:hAnsiTheme="majorBidi" w:cstheme="majorBidi"/>
          <w:sz w:val="24"/>
          <w:szCs w:val="24"/>
        </w:rPr>
        <w:t xml:space="preserve"> Palestinian commercial banks </w:t>
      </w:r>
      <w:r>
        <w:rPr>
          <w:rFonts w:asciiTheme="majorBidi" w:hAnsiTheme="majorBidi" w:cstheme="majorBidi"/>
          <w:sz w:val="24"/>
          <w:szCs w:val="24"/>
        </w:rPr>
        <w:t>were the</w:t>
      </w:r>
      <w:r w:rsidRPr="00AF51E3">
        <w:rPr>
          <w:rFonts w:asciiTheme="majorBidi" w:hAnsiTheme="majorBidi" w:cstheme="majorBidi"/>
          <w:sz w:val="24"/>
          <w:szCs w:val="24"/>
        </w:rPr>
        <w:t xml:space="preserve"> study sample</w:t>
      </w:r>
      <w:r>
        <w:rPr>
          <w:rFonts w:asciiTheme="majorBidi" w:hAnsiTheme="majorBidi" w:cstheme="majorBidi"/>
          <w:sz w:val="24"/>
          <w:szCs w:val="24"/>
        </w:rPr>
        <w:t>.</w:t>
      </w:r>
      <w:r w:rsidRPr="00AF51E3">
        <w:rPr>
          <w:rFonts w:asciiTheme="majorBidi" w:hAnsiTheme="majorBidi" w:cstheme="majorBidi"/>
          <w:sz w:val="24"/>
          <w:szCs w:val="24"/>
        </w:rPr>
        <w:t xml:space="preserve"> </w:t>
      </w:r>
      <w:r w:rsidRPr="001E48EF">
        <w:rPr>
          <w:rFonts w:asciiTheme="majorBidi" w:hAnsiTheme="majorBidi" w:cstheme="majorBidi"/>
          <w:sz w:val="24"/>
          <w:szCs w:val="24"/>
        </w:rPr>
        <w:t>For that r</w:t>
      </w:r>
      <w:r>
        <w:rPr>
          <w:rFonts w:asciiTheme="majorBidi" w:hAnsiTheme="majorBidi" w:cstheme="majorBidi"/>
          <w:sz w:val="24"/>
          <w:szCs w:val="24"/>
        </w:rPr>
        <w:t>eason, the researcher made 35</w:t>
      </w:r>
      <w:r w:rsidRPr="001E48EF">
        <w:rPr>
          <w:rFonts w:asciiTheme="majorBidi" w:hAnsiTheme="majorBidi" w:cstheme="majorBidi"/>
          <w:sz w:val="24"/>
          <w:szCs w:val="24"/>
        </w:rPr>
        <w:t xml:space="preserve"> observations in the regression analysis</w:t>
      </w:r>
      <w:r>
        <w:rPr>
          <w:rFonts w:asciiTheme="majorBidi" w:hAnsiTheme="majorBidi" w:cstheme="majorBidi"/>
          <w:sz w:val="24"/>
          <w:szCs w:val="24"/>
        </w:rPr>
        <w:t xml:space="preserve">. </w:t>
      </w:r>
      <w:r w:rsidRPr="00B26F2B">
        <w:rPr>
          <w:rFonts w:asciiTheme="majorBidi" w:hAnsiTheme="majorBidi" w:cstheme="majorBidi"/>
          <w:sz w:val="24"/>
          <w:szCs w:val="24"/>
        </w:rPr>
        <w:t>The primary data used for the study were from 2005-2011.</w:t>
      </w:r>
    </w:p>
    <w:p w:rsidR="002A4F43" w:rsidRPr="002A4F43" w:rsidRDefault="00495435" w:rsidP="004A024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393FD3">
        <w:rPr>
          <w:rFonts w:asciiTheme="majorBidi" w:hAnsiTheme="majorBidi" w:cstheme="majorBidi"/>
          <w:sz w:val="24"/>
          <w:szCs w:val="24"/>
        </w:rPr>
        <w:t>he qualitative study part i</w:t>
      </w:r>
      <w:r>
        <w:rPr>
          <w:rFonts w:asciiTheme="majorBidi" w:hAnsiTheme="majorBidi" w:cstheme="majorBidi"/>
          <w:sz w:val="24"/>
          <w:szCs w:val="24"/>
        </w:rPr>
        <w:t xml:space="preserve">n this research provides </w:t>
      </w:r>
      <w:r w:rsidRPr="00393FD3">
        <w:rPr>
          <w:rFonts w:asciiTheme="majorBidi" w:hAnsiTheme="majorBidi" w:cstheme="majorBidi"/>
          <w:sz w:val="24"/>
          <w:szCs w:val="24"/>
        </w:rPr>
        <w:t>can actually be viewed as a collective case study, which, as defined by Silverman (2005), means a number of cases are studied in order to inve</w:t>
      </w:r>
      <w:r>
        <w:rPr>
          <w:rFonts w:asciiTheme="majorBidi" w:hAnsiTheme="majorBidi" w:cstheme="majorBidi"/>
          <w:sz w:val="24"/>
          <w:szCs w:val="24"/>
        </w:rPr>
        <w:t>stigate some general phenomenon and answer the third question of this study.</w:t>
      </w:r>
      <w:r w:rsidRPr="00393FD3">
        <w:rPr>
          <w:rFonts w:asciiTheme="majorBidi" w:hAnsiTheme="majorBidi" w:cstheme="majorBidi"/>
          <w:sz w:val="24"/>
          <w:szCs w:val="24"/>
        </w:rPr>
        <w:t xml:space="preserve"> As to the techniques chosen for this</w:t>
      </w:r>
      <w:r>
        <w:rPr>
          <w:rFonts w:asciiTheme="majorBidi" w:hAnsiTheme="majorBidi" w:cstheme="majorBidi"/>
          <w:sz w:val="24"/>
          <w:szCs w:val="24"/>
        </w:rPr>
        <w:t xml:space="preserve"> part of the</w:t>
      </w:r>
      <w:r w:rsidRPr="00393FD3">
        <w:rPr>
          <w:rFonts w:asciiTheme="majorBidi" w:hAnsiTheme="majorBidi" w:cstheme="majorBidi"/>
          <w:sz w:val="24"/>
          <w:szCs w:val="24"/>
        </w:rPr>
        <w:t xml:space="preserve"> research, textual analysis </w:t>
      </w:r>
      <w:r>
        <w:rPr>
          <w:rFonts w:asciiTheme="majorBidi" w:hAnsiTheme="majorBidi" w:cstheme="majorBidi"/>
          <w:sz w:val="24"/>
          <w:szCs w:val="24"/>
        </w:rPr>
        <w:t>was</w:t>
      </w:r>
      <w:r w:rsidRPr="00393FD3">
        <w:rPr>
          <w:rFonts w:asciiTheme="majorBidi" w:hAnsiTheme="majorBidi" w:cstheme="majorBidi"/>
          <w:sz w:val="24"/>
          <w:szCs w:val="24"/>
        </w:rPr>
        <w:t xml:space="preserve"> employed and a comparison method </w:t>
      </w:r>
      <w:r>
        <w:rPr>
          <w:rFonts w:asciiTheme="majorBidi" w:hAnsiTheme="majorBidi" w:cstheme="majorBidi"/>
          <w:sz w:val="24"/>
          <w:szCs w:val="24"/>
        </w:rPr>
        <w:t>was</w:t>
      </w:r>
      <w:r w:rsidRPr="00393FD3">
        <w:rPr>
          <w:rFonts w:asciiTheme="majorBidi" w:hAnsiTheme="majorBidi" w:cstheme="majorBidi"/>
          <w:sz w:val="24"/>
          <w:szCs w:val="24"/>
        </w:rPr>
        <w:t xml:space="preserve"> also </w:t>
      </w:r>
      <w:r>
        <w:rPr>
          <w:rFonts w:asciiTheme="majorBidi" w:hAnsiTheme="majorBidi" w:cstheme="majorBidi"/>
          <w:sz w:val="24"/>
          <w:szCs w:val="24"/>
        </w:rPr>
        <w:t>used.</w:t>
      </w:r>
      <w:r w:rsidRPr="00393FD3">
        <w:rPr>
          <w:rFonts w:asciiTheme="majorBidi" w:hAnsiTheme="majorBidi" w:cstheme="majorBidi"/>
          <w:sz w:val="24"/>
          <w:szCs w:val="24"/>
        </w:rPr>
        <w:t xml:space="preserve"> It is believed that th</w:t>
      </w:r>
      <w:r>
        <w:rPr>
          <w:rFonts w:asciiTheme="majorBidi" w:hAnsiTheme="majorBidi" w:cstheme="majorBidi"/>
          <w:sz w:val="24"/>
          <w:szCs w:val="24"/>
        </w:rPr>
        <w:t>ese methods are suitable for this part of the</w:t>
      </w:r>
      <w:r w:rsidRPr="00393FD3">
        <w:rPr>
          <w:rFonts w:asciiTheme="majorBidi" w:hAnsiTheme="majorBidi" w:cstheme="majorBidi"/>
          <w:sz w:val="24"/>
          <w:szCs w:val="24"/>
        </w:rPr>
        <w:t xml:space="preserve"> research because through analy</w:t>
      </w:r>
      <w:r>
        <w:rPr>
          <w:rFonts w:asciiTheme="majorBidi" w:hAnsiTheme="majorBidi" w:cstheme="majorBidi"/>
          <w:sz w:val="24"/>
          <w:szCs w:val="24"/>
        </w:rPr>
        <w:t xml:space="preserve">sis of </w:t>
      </w:r>
      <w:r w:rsidRPr="00393FD3">
        <w:rPr>
          <w:rFonts w:asciiTheme="majorBidi" w:hAnsiTheme="majorBidi" w:cstheme="majorBidi"/>
          <w:sz w:val="24"/>
          <w:szCs w:val="24"/>
        </w:rPr>
        <w:t>the performance reports</w:t>
      </w:r>
      <w:r>
        <w:rPr>
          <w:rFonts w:asciiTheme="majorBidi" w:hAnsiTheme="majorBidi" w:cstheme="majorBidi"/>
          <w:sz w:val="24"/>
          <w:szCs w:val="24"/>
        </w:rPr>
        <w:t xml:space="preserve"> of banks in question</w:t>
      </w:r>
      <w:r w:rsidRPr="00393FD3">
        <w:rPr>
          <w:rFonts w:asciiTheme="majorBidi" w:hAnsiTheme="majorBidi" w:cstheme="majorBidi"/>
          <w:sz w:val="24"/>
          <w:szCs w:val="24"/>
        </w:rPr>
        <w:t xml:space="preserve">, </w:t>
      </w:r>
      <w:r>
        <w:rPr>
          <w:rFonts w:asciiTheme="majorBidi" w:hAnsiTheme="majorBidi" w:cstheme="majorBidi"/>
          <w:sz w:val="24"/>
          <w:szCs w:val="24"/>
        </w:rPr>
        <w:t>A</w:t>
      </w:r>
      <w:r w:rsidRPr="00393FD3">
        <w:rPr>
          <w:rFonts w:asciiTheme="majorBidi" w:hAnsiTheme="majorBidi" w:cstheme="majorBidi"/>
          <w:sz w:val="24"/>
          <w:szCs w:val="24"/>
        </w:rPr>
        <w:t>ccess to all the available information needed in the research can be gained</w:t>
      </w:r>
      <w:r>
        <w:rPr>
          <w:rFonts w:asciiTheme="majorBidi" w:hAnsiTheme="majorBidi" w:cstheme="majorBidi"/>
          <w:sz w:val="24"/>
          <w:szCs w:val="24"/>
        </w:rPr>
        <w:t>,</w:t>
      </w:r>
      <w:r w:rsidRPr="00393FD3">
        <w:rPr>
          <w:rFonts w:asciiTheme="majorBidi" w:hAnsiTheme="majorBidi" w:cstheme="majorBidi"/>
          <w:sz w:val="24"/>
          <w:szCs w:val="24"/>
        </w:rPr>
        <w:t xml:space="preserve"> and assessment can be made, provid</w:t>
      </w:r>
      <w:r>
        <w:rPr>
          <w:rFonts w:asciiTheme="majorBidi" w:hAnsiTheme="majorBidi" w:cstheme="majorBidi"/>
          <w:sz w:val="24"/>
          <w:szCs w:val="24"/>
        </w:rPr>
        <w:t>ing</w:t>
      </w:r>
      <w:r w:rsidRPr="00393FD3">
        <w:rPr>
          <w:rFonts w:asciiTheme="majorBidi" w:hAnsiTheme="majorBidi" w:cstheme="majorBidi"/>
          <w:sz w:val="24"/>
          <w:szCs w:val="24"/>
        </w:rPr>
        <w:t xml:space="preserve"> both a separate evaluation and generalization on the sample banks’ credit risk management practices.</w:t>
      </w:r>
    </w:p>
    <w:p w:rsidR="003C6613" w:rsidRDefault="003C6613" w:rsidP="00A52DD8">
      <w:pPr>
        <w:spacing w:after="240" w:line="360" w:lineRule="auto"/>
        <w:contextualSpacing/>
        <w:jc w:val="lowKashida"/>
        <w:rPr>
          <w:rFonts w:ascii="Times New Roman" w:hAnsi="Times New Roman" w:cs="Times New Roman"/>
          <w:b/>
          <w:sz w:val="24"/>
          <w:szCs w:val="24"/>
        </w:rPr>
      </w:pPr>
    </w:p>
    <w:p w:rsidR="00A52DD8" w:rsidRDefault="00495435" w:rsidP="00A52DD8">
      <w:pPr>
        <w:spacing w:after="240" w:line="360" w:lineRule="auto"/>
        <w:contextualSpacing/>
        <w:jc w:val="lowKashida"/>
        <w:rPr>
          <w:rFonts w:ascii="Times New Roman" w:hAnsi="Times New Roman" w:cs="Times New Roman"/>
          <w:b/>
          <w:sz w:val="24"/>
          <w:szCs w:val="24"/>
        </w:rPr>
      </w:pPr>
      <w:r>
        <w:rPr>
          <w:rFonts w:ascii="Times New Roman" w:hAnsi="Times New Roman" w:cs="Times New Roman"/>
          <w:b/>
          <w:sz w:val="24"/>
          <w:szCs w:val="24"/>
        </w:rPr>
        <w:t>1.6</w:t>
      </w:r>
      <w:r w:rsidR="00F46784" w:rsidRPr="00D4262C">
        <w:rPr>
          <w:rFonts w:ascii="Times New Roman" w:hAnsi="Times New Roman" w:cs="Times New Roman"/>
          <w:b/>
          <w:sz w:val="24"/>
          <w:szCs w:val="24"/>
        </w:rPr>
        <w:t xml:space="preserve"> Limitation of the Study</w:t>
      </w:r>
    </w:p>
    <w:p w:rsidR="0097092C" w:rsidRDefault="00137445" w:rsidP="002A4F43">
      <w:pPr>
        <w:spacing w:after="240" w:line="360" w:lineRule="auto"/>
        <w:contextualSpacing/>
        <w:jc w:val="lowKashida"/>
        <w:rPr>
          <w:rFonts w:asciiTheme="majorBidi" w:hAnsiTheme="majorBidi" w:cstheme="majorBidi"/>
          <w:sz w:val="24"/>
          <w:szCs w:val="24"/>
        </w:rPr>
      </w:pPr>
      <w:r w:rsidRPr="00097EAB">
        <w:rPr>
          <w:rFonts w:asciiTheme="majorBidi" w:hAnsiTheme="majorBidi" w:cstheme="majorBidi"/>
          <w:sz w:val="24"/>
          <w:szCs w:val="24"/>
        </w:rPr>
        <w:t>Th</w:t>
      </w:r>
      <w:r>
        <w:rPr>
          <w:rFonts w:asciiTheme="majorBidi" w:hAnsiTheme="majorBidi" w:cstheme="majorBidi"/>
          <w:sz w:val="24"/>
          <w:szCs w:val="24"/>
        </w:rPr>
        <w:t>is study</w:t>
      </w:r>
      <w:r w:rsidRPr="00097EAB">
        <w:rPr>
          <w:rFonts w:asciiTheme="majorBidi" w:hAnsiTheme="majorBidi" w:cstheme="majorBidi"/>
          <w:sz w:val="24"/>
          <w:szCs w:val="24"/>
        </w:rPr>
        <w:t xml:space="preserve"> is limited </w:t>
      </w:r>
      <w:r>
        <w:rPr>
          <w:rFonts w:asciiTheme="majorBidi" w:hAnsiTheme="majorBidi" w:cstheme="majorBidi"/>
          <w:sz w:val="24"/>
          <w:szCs w:val="24"/>
        </w:rPr>
        <w:t>to</w:t>
      </w:r>
      <w:r w:rsidRPr="00097EAB">
        <w:rPr>
          <w:rFonts w:asciiTheme="majorBidi" w:hAnsiTheme="majorBidi" w:cstheme="majorBidi"/>
          <w:sz w:val="24"/>
          <w:szCs w:val="24"/>
        </w:rPr>
        <w:t xml:space="preserve"> identifying </w:t>
      </w:r>
      <w:r>
        <w:rPr>
          <w:rFonts w:asciiTheme="majorBidi" w:hAnsiTheme="majorBidi" w:cstheme="majorBidi"/>
          <w:sz w:val="24"/>
          <w:szCs w:val="24"/>
        </w:rPr>
        <w:t xml:space="preserve">and describes </w:t>
      </w:r>
      <w:r w:rsidR="00B54DE6">
        <w:rPr>
          <w:rFonts w:asciiTheme="majorBidi" w:hAnsiTheme="majorBidi" w:cstheme="majorBidi"/>
          <w:sz w:val="24"/>
          <w:szCs w:val="24"/>
        </w:rPr>
        <w:t>the effects of</w:t>
      </w:r>
      <w:r w:rsidR="00384CD1">
        <w:rPr>
          <w:rFonts w:asciiTheme="majorBidi" w:hAnsiTheme="majorBidi" w:cstheme="majorBidi"/>
          <w:sz w:val="24"/>
          <w:szCs w:val="24"/>
        </w:rPr>
        <w:t xml:space="preserve"> </w:t>
      </w:r>
      <w:r w:rsidR="00035226" w:rsidRPr="00097EAB">
        <w:rPr>
          <w:rFonts w:asciiTheme="majorBidi" w:hAnsiTheme="majorBidi" w:cstheme="majorBidi"/>
          <w:sz w:val="24"/>
          <w:szCs w:val="24"/>
        </w:rPr>
        <w:t>credit risk</w:t>
      </w:r>
      <w:r w:rsidR="00B54DE6">
        <w:rPr>
          <w:rFonts w:asciiTheme="majorBidi" w:hAnsiTheme="majorBidi" w:cstheme="majorBidi"/>
          <w:sz w:val="24"/>
          <w:szCs w:val="24"/>
        </w:rPr>
        <w:t xml:space="preserve"> policies on </w:t>
      </w:r>
      <w:r w:rsidR="00035226" w:rsidRPr="00097EAB">
        <w:rPr>
          <w:rFonts w:asciiTheme="majorBidi" w:hAnsiTheme="majorBidi" w:cstheme="majorBidi"/>
          <w:sz w:val="24"/>
          <w:szCs w:val="24"/>
        </w:rPr>
        <w:t xml:space="preserve">commercial </w:t>
      </w:r>
      <w:r w:rsidR="00B54DE6" w:rsidRPr="00097EAB">
        <w:rPr>
          <w:rFonts w:asciiTheme="majorBidi" w:hAnsiTheme="majorBidi" w:cstheme="majorBidi"/>
          <w:sz w:val="24"/>
          <w:szCs w:val="24"/>
        </w:rPr>
        <w:t>bank</w:t>
      </w:r>
      <w:r w:rsidR="00B54DE6">
        <w:rPr>
          <w:rFonts w:asciiTheme="majorBidi" w:hAnsiTheme="majorBidi" w:cstheme="majorBidi"/>
          <w:sz w:val="24"/>
          <w:szCs w:val="24"/>
        </w:rPr>
        <w:t xml:space="preserve">’s </w:t>
      </w:r>
      <w:r w:rsidR="00B54DE6" w:rsidRPr="00097EAB">
        <w:rPr>
          <w:rFonts w:asciiTheme="majorBidi" w:hAnsiTheme="majorBidi" w:cstheme="majorBidi"/>
          <w:sz w:val="24"/>
          <w:szCs w:val="24"/>
        </w:rPr>
        <w:t xml:space="preserve">profitability </w:t>
      </w:r>
      <w:r w:rsidR="00035226" w:rsidRPr="00097EAB">
        <w:rPr>
          <w:rFonts w:asciiTheme="majorBidi" w:hAnsiTheme="majorBidi" w:cstheme="majorBidi"/>
          <w:sz w:val="24"/>
          <w:szCs w:val="24"/>
        </w:rPr>
        <w:t xml:space="preserve">in Palestine. Thus, the other risks mentioned in Basel </w:t>
      </w:r>
      <w:r w:rsidR="00035226" w:rsidRPr="00097EAB">
        <w:rPr>
          <w:rFonts w:asciiTheme="majorBidi" w:hAnsiTheme="majorBidi" w:cstheme="majorBidi"/>
          <w:sz w:val="24"/>
          <w:szCs w:val="24"/>
        </w:rPr>
        <w:lastRenderedPageBreak/>
        <w:t xml:space="preserve">Accords are not discussed. </w:t>
      </w:r>
      <w:r w:rsidR="00035226" w:rsidRPr="00035226">
        <w:rPr>
          <w:rFonts w:asciiTheme="majorBidi" w:hAnsiTheme="majorBidi" w:cstheme="majorBidi"/>
          <w:sz w:val="24"/>
          <w:szCs w:val="24"/>
        </w:rPr>
        <w:t xml:space="preserve">Due to the unavailability of information in annual reports, our sample </w:t>
      </w:r>
      <w:r w:rsidR="00B56017" w:rsidRPr="00035226">
        <w:rPr>
          <w:rFonts w:asciiTheme="majorBidi" w:hAnsiTheme="majorBidi" w:cstheme="majorBidi"/>
          <w:sz w:val="24"/>
          <w:szCs w:val="24"/>
        </w:rPr>
        <w:t>was limited to the</w:t>
      </w:r>
      <w:r>
        <w:rPr>
          <w:rFonts w:asciiTheme="majorBidi" w:hAnsiTheme="majorBidi" w:cstheme="majorBidi"/>
          <w:sz w:val="24"/>
          <w:szCs w:val="24"/>
        </w:rPr>
        <w:t xml:space="preserve"> Palestinian Commercial B</w:t>
      </w:r>
      <w:r w:rsidR="00384CD1">
        <w:rPr>
          <w:rFonts w:asciiTheme="majorBidi" w:hAnsiTheme="majorBidi" w:cstheme="majorBidi"/>
          <w:sz w:val="24"/>
          <w:szCs w:val="24"/>
        </w:rPr>
        <w:t xml:space="preserve">anks’. </w:t>
      </w:r>
      <w:r w:rsidR="00035226" w:rsidRPr="00035226">
        <w:rPr>
          <w:rFonts w:asciiTheme="majorBidi" w:hAnsiTheme="majorBidi" w:cstheme="majorBidi"/>
          <w:sz w:val="24"/>
          <w:szCs w:val="24"/>
        </w:rPr>
        <w:t xml:space="preserve">Not all </w:t>
      </w:r>
      <w:r w:rsidR="00B56017" w:rsidRPr="00035226">
        <w:rPr>
          <w:rFonts w:asciiTheme="majorBidi" w:hAnsiTheme="majorBidi" w:cstheme="majorBidi"/>
          <w:sz w:val="24"/>
          <w:szCs w:val="24"/>
        </w:rPr>
        <w:t>the annual</w:t>
      </w:r>
      <w:r w:rsidR="00035226" w:rsidRPr="00035226">
        <w:rPr>
          <w:rFonts w:asciiTheme="majorBidi" w:hAnsiTheme="majorBidi" w:cstheme="majorBidi"/>
          <w:sz w:val="24"/>
          <w:szCs w:val="24"/>
        </w:rPr>
        <w:t xml:space="preserve"> reports from 2005 to 2011.</w:t>
      </w:r>
      <w:r w:rsidR="00035226" w:rsidRPr="001852EA">
        <w:rPr>
          <w:rFonts w:ascii="Times New Roman" w:hAnsi="Times New Roman" w:cs="Times New Roman"/>
          <w:bCs/>
          <w:sz w:val="24"/>
          <w:szCs w:val="24"/>
        </w:rPr>
        <w:t>Though</w:t>
      </w:r>
      <w:r w:rsidR="00035226" w:rsidRPr="001852EA">
        <w:rPr>
          <w:rFonts w:asciiTheme="majorBidi" w:hAnsiTheme="majorBidi" w:cstheme="majorBidi"/>
          <w:color w:val="000000" w:themeColor="text1"/>
          <w:sz w:val="24"/>
          <w:szCs w:val="24"/>
        </w:rPr>
        <w:t xml:space="preserve"> </w:t>
      </w:r>
      <w:r w:rsidR="00035226" w:rsidRPr="001852EA">
        <w:rPr>
          <w:rFonts w:asciiTheme="majorBidi" w:hAnsiTheme="majorBidi" w:cstheme="majorBidi"/>
          <w:sz w:val="24"/>
          <w:szCs w:val="24"/>
        </w:rPr>
        <w:t>the five</w:t>
      </w:r>
      <w:r w:rsidR="00035226" w:rsidRPr="00035226">
        <w:rPr>
          <w:rFonts w:asciiTheme="majorBidi" w:hAnsiTheme="majorBidi" w:cstheme="majorBidi"/>
          <w:sz w:val="24"/>
          <w:szCs w:val="24"/>
        </w:rPr>
        <w:t xml:space="preserve"> ratios selected for the quantitative research are widely accepted as related to banks’ credit risk and quality</w:t>
      </w:r>
      <w:r w:rsidR="00035226" w:rsidRPr="00097EAB">
        <w:rPr>
          <w:rFonts w:asciiTheme="majorBidi" w:hAnsiTheme="majorBidi" w:cstheme="majorBidi"/>
          <w:sz w:val="24"/>
          <w:szCs w:val="24"/>
        </w:rPr>
        <w:t xml:space="preserve"> level and are already used in other literatures, their representat</w:t>
      </w:r>
      <w:r w:rsidR="00035226">
        <w:rPr>
          <w:rFonts w:asciiTheme="majorBidi" w:hAnsiTheme="majorBidi" w:cstheme="majorBidi"/>
          <w:sz w:val="24"/>
          <w:szCs w:val="24"/>
        </w:rPr>
        <w:t>ion</w:t>
      </w:r>
      <w:r w:rsidR="00035226" w:rsidRPr="00097EAB">
        <w:rPr>
          <w:rFonts w:asciiTheme="majorBidi" w:hAnsiTheme="majorBidi" w:cstheme="majorBidi"/>
          <w:sz w:val="24"/>
          <w:szCs w:val="24"/>
        </w:rPr>
        <w:t xml:space="preserve"> cannot be guaranteed. After all, it is difficult to find </w:t>
      </w:r>
      <w:r w:rsidR="00B56017" w:rsidRPr="00097EAB">
        <w:rPr>
          <w:rFonts w:asciiTheme="majorBidi" w:hAnsiTheme="majorBidi" w:cstheme="majorBidi"/>
          <w:sz w:val="24"/>
          <w:szCs w:val="24"/>
        </w:rPr>
        <w:t>out how</w:t>
      </w:r>
      <w:r w:rsidR="00035226" w:rsidRPr="00097EAB">
        <w:rPr>
          <w:rFonts w:asciiTheme="majorBidi" w:hAnsiTheme="majorBidi" w:cstheme="majorBidi"/>
          <w:sz w:val="24"/>
          <w:szCs w:val="24"/>
        </w:rPr>
        <w:t xml:space="preserve"> many ratios w</w:t>
      </w:r>
      <w:r w:rsidR="00035226">
        <w:rPr>
          <w:rFonts w:asciiTheme="majorBidi" w:hAnsiTheme="majorBidi" w:cstheme="majorBidi"/>
          <w:sz w:val="24"/>
          <w:szCs w:val="24"/>
        </w:rPr>
        <w:t>ould</w:t>
      </w:r>
      <w:r w:rsidR="00035226" w:rsidRPr="00097EAB">
        <w:rPr>
          <w:rFonts w:asciiTheme="majorBidi" w:hAnsiTheme="majorBidi" w:cstheme="majorBidi"/>
          <w:sz w:val="24"/>
          <w:szCs w:val="24"/>
        </w:rPr>
        <w:t xml:space="preserve"> be enough </w:t>
      </w:r>
      <w:r w:rsidR="00556C01">
        <w:rPr>
          <w:rFonts w:asciiTheme="majorBidi" w:hAnsiTheme="majorBidi" w:cstheme="majorBidi"/>
          <w:sz w:val="24"/>
          <w:szCs w:val="24"/>
        </w:rPr>
        <w:t xml:space="preserve">to </w:t>
      </w:r>
      <w:r w:rsidR="00556C01" w:rsidRPr="00097EAB">
        <w:rPr>
          <w:rFonts w:asciiTheme="majorBidi" w:hAnsiTheme="majorBidi" w:cstheme="majorBidi"/>
          <w:sz w:val="24"/>
          <w:szCs w:val="24"/>
        </w:rPr>
        <w:t>provide</w:t>
      </w:r>
      <w:r w:rsidR="00035226" w:rsidRPr="00097EAB">
        <w:rPr>
          <w:rFonts w:asciiTheme="majorBidi" w:hAnsiTheme="majorBidi" w:cstheme="majorBidi"/>
          <w:sz w:val="24"/>
          <w:szCs w:val="24"/>
        </w:rPr>
        <w:t xml:space="preserve"> a comprehensive measure, or whether the ratios chosen in this research are the most important ones related to the management of credit risk.</w:t>
      </w:r>
      <w:r w:rsidR="00035226">
        <w:rPr>
          <w:rFonts w:asciiTheme="majorBidi" w:hAnsiTheme="majorBidi" w:cstheme="majorBidi"/>
          <w:sz w:val="24"/>
          <w:szCs w:val="24"/>
        </w:rPr>
        <w:t xml:space="preserve"> </w:t>
      </w:r>
    </w:p>
    <w:p w:rsidR="003C6613" w:rsidRPr="002A4F43" w:rsidRDefault="003C6613" w:rsidP="002A4F43">
      <w:pPr>
        <w:spacing w:after="240" w:line="360" w:lineRule="auto"/>
        <w:contextualSpacing/>
        <w:jc w:val="lowKashida"/>
        <w:rPr>
          <w:rFonts w:asciiTheme="majorBidi" w:hAnsiTheme="majorBidi" w:cstheme="majorBidi"/>
          <w:sz w:val="24"/>
          <w:szCs w:val="24"/>
        </w:rPr>
      </w:pPr>
    </w:p>
    <w:p w:rsidR="00C00449" w:rsidRPr="00C00449" w:rsidRDefault="00495435" w:rsidP="00097EA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1.7</w:t>
      </w:r>
      <w:r w:rsidR="00C00449" w:rsidRPr="00C00449">
        <w:rPr>
          <w:rFonts w:asciiTheme="majorBidi" w:hAnsiTheme="majorBidi" w:cstheme="majorBidi"/>
          <w:b/>
          <w:bCs/>
          <w:sz w:val="24"/>
          <w:szCs w:val="24"/>
        </w:rPr>
        <w:t xml:space="preserve"> </w:t>
      </w:r>
      <w:r w:rsidR="00035226">
        <w:rPr>
          <w:rFonts w:asciiTheme="majorBidi" w:hAnsiTheme="majorBidi" w:cstheme="majorBidi"/>
          <w:b/>
          <w:bCs/>
          <w:sz w:val="24"/>
          <w:szCs w:val="24"/>
        </w:rPr>
        <w:t>Structure of the Study</w:t>
      </w:r>
    </w:p>
    <w:p w:rsidR="00F46784" w:rsidRPr="00C00449" w:rsidRDefault="00C00449" w:rsidP="00C00449">
      <w:pPr>
        <w:spacing w:after="240" w:line="360" w:lineRule="auto"/>
        <w:jc w:val="both"/>
        <w:rPr>
          <w:rFonts w:asciiTheme="majorBidi" w:hAnsiTheme="majorBidi" w:cstheme="majorBidi"/>
          <w:b/>
          <w:sz w:val="24"/>
          <w:szCs w:val="24"/>
        </w:rPr>
      </w:pPr>
      <w:r w:rsidRPr="00C00449">
        <w:rPr>
          <w:rFonts w:asciiTheme="majorBidi" w:hAnsiTheme="majorBidi" w:cstheme="majorBidi"/>
          <w:sz w:val="24"/>
          <w:szCs w:val="24"/>
        </w:rPr>
        <w:t>The struct</w:t>
      </w:r>
      <w:r w:rsidR="00035226">
        <w:rPr>
          <w:rFonts w:asciiTheme="majorBidi" w:hAnsiTheme="majorBidi" w:cstheme="majorBidi"/>
          <w:sz w:val="24"/>
          <w:szCs w:val="24"/>
        </w:rPr>
        <w:t xml:space="preserve">ure of </w:t>
      </w:r>
      <w:r w:rsidR="00556C01">
        <w:rPr>
          <w:rFonts w:asciiTheme="majorBidi" w:hAnsiTheme="majorBidi" w:cstheme="majorBidi"/>
          <w:sz w:val="24"/>
          <w:szCs w:val="24"/>
        </w:rPr>
        <w:t>the</w:t>
      </w:r>
      <w:r w:rsidRPr="00C00449">
        <w:rPr>
          <w:rFonts w:asciiTheme="majorBidi" w:hAnsiTheme="majorBidi" w:cstheme="majorBidi"/>
          <w:sz w:val="24"/>
          <w:szCs w:val="24"/>
        </w:rPr>
        <w:t xml:space="preserve"> dissertation will be organized as follows</w:t>
      </w:r>
      <w:r w:rsidR="000F50AD">
        <w:rPr>
          <w:rFonts w:asciiTheme="majorBidi" w:hAnsiTheme="majorBidi" w:cstheme="majorBidi"/>
          <w:sz w:val="24"/>
          <w:szCs w:val="24"/>
        </w:rPr>
        <w:t>:</w:t>
      </w:r>
    </w:p>
    <w:p w:rsidR="002A4F43" w:rsidRDefault="00B9572C" w:rsidP="002A4F43">
      <w:pPr>
        <w:spacing w:after="240" w:line="360" w:lineRule="auto"/>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708890" cy="3243532"/>
            <wp:effectExtent l="38100" t="0" r="6326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61BC9" w:rsidRDefault="00B61BC9" w:rsidP="007B33EE">
      <w:pPr>
        <w:spacing w:after="240" w:line="360" w:lineRule="auto"/>
        <w:jc w:val="center"/>
        <w:rPr>
          <w:rFonts w:asciiTheme="majorBidi" w:hAnsiTheme="majorBidi" w:cstheme="majorBidi"/>
          <w:b/>
          <w:sz w:val="24"/>
          <w:szCs w:val="24"/>
        </w:rPr>
      </w:pPr>
    </w:p>
    <w:p w:rsidR="00DC2590" w:rsidRDefault="00DC2590" w:rsidP="007B33EE">
      <w:pPr>
        <w:spacing w:after="240" w:line="360" w:lineRule="auto"/>
        <w:jc w:val="center"/>
        <w:rPr>
          <w:rFonts w:asciiTheme="majorBidi" w:hAnsiTheme="majorBidi" w:cstheme="majorBidi"/>
          <w:b/>
          <w:sz w:val="24"/>
          <w:szCs w:val="24"/>
        </w:rPr>
      </w:pPr>
    </w:p>
    <w:p w:rsidR="00DC2590" w:rsidRDefault="00DC2590" w:rsidP="007B33EE">
      <w:pPr>
        <w:spacing w:after="240" w:line="360" w:lineRule="auto"/>
        <w:jc w:val="center"/>
        <w:rPr>
          <w:rFonts w:asciiTheme="majorBidi" w:hAnsiTheme="majorBidi" w:cstheme="majorBidi"/>
          <w:b/>
          <w:sz w:val="24"/>
          <w:szCs w:val="24"/>
        </w:rPr>
      </w:pPr>
    </w:p>
    <w:p w:rsidR="00D16756" w:rsidRPr="002A4F43" w:rsidRDefault="00D16756" w:rsidP="007B33EE">
      <w:pPr>
        <w:spacing w:after="240" w:line="360" w:lineRule="auto"/>
        <w:jc w:val="center"/>
        <w:rPr>
          <w:rFonts w:ascii="Times New Roman" w:hAnsi="Times New Roman" w:cs="Times New Roman"/>
          <w:bCs/>
          <w:sz w:val="28"/>
          <w:szCs w:val="28"/>
        </w:rPr>
      </w:pPr>
      <w:r w:rsidRPr="00F233E0">
        <w:rPr>
          <w:rFonts w:asciiTheme="majorBidi" w:hAnsiTheme="majorBidi" w:cstheme="majorBidi"/>
          <w:b/>
          <w:sz w:val="24"/>
          <w:szCs w:val="24"/>
        </w:rPr>
        <w:lastRenderedPageBreak/>
        <w:t>CHAPTER TWO</w:t>
      </w:r>
    </w:p>
    <w:p w:rsidR="00D16756" w:rsidRPr="00F233E0" w:rsidRDefault="00D16756" w:rsidP="00C60E1B">
      <w:pPr>
        <w:spacing w:after="240" w:line="240" w:lineRule="auto"/>
        <w:jc w:val="center"/>
        <w:rPr>
          <w:rFonts w:ascii="Times New Roman" w:hAnsi="Times New Roman" w:cs="Times New Roman"/>
          <w:b/>
          <w:sz w:val="24"/>
          <w:szCs w:val="24"/>
        </w:rPr>
      </w:pPr>
      <w:r w:rsidRPr="00F233E0">
        <w:rPr>
          <w:rFonts w:ascii="Times New Roman" w:hAnsi="Times New Roman" w:cs="Times New Roman"/>
          <w:b/>
          <w:sz w:val="24"/>
          <w:szCs w:val="24"/>
        </w:rPr>
        <w:t>THEORETICAL FRAMEWORK</w:t>
      </w:r>
    </w:p>
    <w:p w:rsidR="00246D0E" w:rsidRPr="00F233E0" w:rsidRDefault="0064055B" w:rsidP="00B43D3E">
      <w:pPr>
        <w:spacing w:after="240" w:line="240" w:lineRule="auto"/>
        <w:jc w:val="center"/>
        <w:rPr>
          <w:rFonts w:ascii="Times New Roman" w:hAnsi="Times New Roman" w:cs="Times New Roman"/>
          <w:b/>
          <w:sz w:val="23"/>
          <w:szCs w:val="23"/>
        </w:rPr>
      </w:pPr>
      <w:r w:rsidRPr="00F233E0">
        <w:rPr>
          <w:rFonts w:ascii="Times New Roman" w:hAnsi="Times New Roman" w:cs="Times New Roman"/>
          <w:b/>
          <w:sz w:val="23"/>
          <w:szCs w:val="23"/>
        </w:rPr>
        <w:t>SECTION ONE</w:t>
      </w:r>
    </w:p>
    <w:p w:rsidR="002220E3" w:rsidRDefault="0064055B" w:rsidP="002220E3">
      <w:pPr>
        <w:spacing w:line="240" w:lineRule="auto"/>
        <w:jc w:val="center"/>
        <w:rPr>
          <w:rFonts w:ascii="Times New Roman" w:hAnsi="Times New Roman" w:cs="Times New Roman"/>
          <w:b/>
          <w:sz w:val="23"/>
          <w:szCs w:val="23"/>
        </w:rPr>
      </w:pPr>
      <w:r w:rsidRPr="00F233E0">
        <w:rPr>
          <w:rFonts w:ascii="Times New Roman" w:hAnsi="Times New Roman" w:cs="Times New Roman"/>
          <w:b/>
          <w:sz w:val="23"/>
          <w:szCs w:val="23"/>
        </w:rPr>
        <w:t>RISK AND BANKING RISKS</w:t>
      </w:r>
    </w:p>
    <w:p w:rsidR="002220E3" w:rsidRDefault="002220E3" w:rsidP="002220E3">
      <w:pPr>
        <w:spacing w:line="240" w:lineRule="auto"/>
        <w:jc w:val="center"/>
        <w:rPr>
          <w:rFonts w:ascii="Times New Roman" w:hAnsi="Times New Roman" w:cs="Times New Roman"/>
          <w:b/>
          <w:sz w:val="23"/>
          <w:szCs w:val="23"/>
        </w:rPr>
      </w:pPr>
    </w:p>
    <w:p w:rsidR="002220E3" w:rsidRDefault="002220E3" w:rsidP="002220E3">
      <w:pPr>
        <w:spacing w:line="240" w:lineRule="auto"/>
        <w:jc w:val="center"/>
        <w:rPr>
          <w:rFonts w:ascii="Times New Roman" w:hAnsi="Times New Roman" w:cs="Times New Roman"/>
          <w:b/>
          <w:sz w:val="23"/>
          <w:szCs w:val="23"/>
        </w:rPr>
      </w:pPr>
    </w:p>
    <w:p w:rsidR="002220E3" w:rsidRDefault="002220E3" w:rsidP="002220E3">
      <w:pPr>
        <w:spacing w:line="240" w:lineRule="auto"/>
        <w:jc w:val="center"/>
        <w:rPr>
          <w:rFonts w:ascii="Times New Roman" w:hAnsi="Times New Roman" w:cs="Times New Roman"/>
          <w:b/>
          <w:sz w:val="23"/>
          <w:szCs w:val="23"/>
        </w:rPr>
      </w:pPr>
    </w:p>
    <w:p w:rsidR="0034478C" w:rsidRDefault="0034478C" w:rsidP="004F754C">
      <w:pPr>
        <w:spacing w:after="120" w:line="240" w:lineRule="auto"/>
        <w:rPr>
          <w:rFonts w:asciiTheme="majorBidi" w:hAnsiTheme="majorBidi" w:cstheme="majorBidi"/>
          <w:b/>
          <w:sz w:val="24"/>
          <w:szCs w:val="24"/>
        </w:rPr>
      </w:pPr>
      <w:r w:rsidRPr="002220E3">
        <w:rPr>
          <w:rFonts w:asciiTheme="majorBidi" w:hAnsiTheme="majorBidi" w:cstheme="majorBidi"/>
          <w:b/>
          <w:sz w:val="24"/>
          <w:szCs w:val="24"/>
        </w:rPr>
        <w:t>2.1 Risk and Banking Risks</w:t>
      </w:r>
    </w:p>
    <w:p w:rsidR="004F754C" w:rsidRDefault="004F754C" w:rsidP="004F754C">
      <w:pPr>
        <w:spacing w:after="120" w:line="240" w:lineRule="auto"/>
        <w:rPr>
          <w:rFonts w:asciiTheme="majorBidi" w:hAnsiTheme="majorBidi" w:cstheme="majorBidi"/>
          <w:b/>
          <w:sz w:val="24"/>
          <w:szCs w:val="24"/>
        </w:rPr>
      </w:pPr>
    </w:p>
    <w:p w:rsidR="001176C5" w:rsidRDefault="00F9770B" w:rsidP="004F754C">
      <w:pPr>
        <w:spacing w:after="120" w:line="240" w:lineRule="auto"/>
        <w:jc w:val="both"/>
        <w:rPr>
          <w:rFonts w:ascii="Times New Roman" w:hAnsi="Times New Roman" w:cs="Times New Roman"/>
          <w:b/>
          <w:sz w:val="24"/>
          <w:szCs w:val="24"/>
        </w:rPr>
      </w:pPr>
      <w:r w:rsidRPr="002220E3">
        <w:rPr>
          <w:rFonts w:asciiTheme="majorBidi" w:hAnsiTheme="majorBidi" w:cstheme="majorBidi"/>
          <w:b/>
          <w:sz w:val="24"/>
          <w:szCs w:val="24"/>
        </w:rPr>
        <w:t>2.1</w:t>
      </w:r>
      <w:r w:rsidR="0034478C" w:rsidRPr="002220E3">
        <w:rPr>
          <w:rFonts w:asciiTheme="majorBidi" w:hAnsiTheme="majorBidi" w:cstheme="majorBidi"/>
          <w:b/>
          <w:sz w:val="24"/>
          <w:szCs w:val="24"/>
        </w:rPr>
        <w:t>.1 Introduction</w:t>
      </w:r>
    </w:p>
    <w:p w:rsidR="00E86A17" w:rsidRDefault="00AE0201" w:rsidP="00E86A17">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 xml:space="preserve">This section </w:t>
      </w:r>
      <w:r>
        <w:rPr>
          <w:rFonts w:ascii="Times New Roman" w:hAnsi="Times New Roman" w:cs="Times New Roman"/>
          <w:sz w:val="24"/>
          <w:szCs w:val="24"/>
        </w:rPr>
        <w:t>begins with a</w:t>
      </w:r>
      <w:r w:rsidRPr="00945168">
        <w:rPr>
          <w:rFonts w:ascii="Times New Roman" w:hAnsi="Times New Roman" w:cs="Times New Roman"/>
          <w:sz w:val="24"/>
          <w:szCs w:val="24"/>
        </w:rPr>
        <w:t xml:space="preserve"> review</w:t>
      </w:r>
      <w:r>
        <w:rPr>
          <w:rFonts w:ascii="Times New Roman" w:hAnsi="Times New Roman" w:cs="Times New Roman"/>
          <w:sz w:val="24"/>
          <w:szCs w:val="24"/>
        </w:rPr>
        <w:t xml:space="preserve"> of</w:t>
      </w:r>
      <w:r w:rsidRPr="00945168">
        <w:rPr>
          <w:rFonts w:ascii="Times New Roman" w:hAnsi="Times New Roman" w:cs="Times New Roman"/>
          <w:sz w:val="24"/>
          <w:szCs w:val="24"/>
        </w:rPr>
        <w:t xml:space="preserve"> some definitions of several key words and concepts that will</w:t>
      </w:r>
      <w:r>
        <w:rPr>
          <w:rFonts w:ascii="Times New Roman" w:hAnsi="Times New Roman" w:cs="Times New Roman"/>
          <w:sz w:val="24"/>
          <w:szCs w:val="24"/>
        </w:rPr>
        <w:t xml:space="preserve"> be later dealt with</w:t>
      </w:r>
      <w:r w:rsidRPr="00945168">
        <w:rPr>
          <w:rFonts w:ascii="Times New Roman" w:hAnsi="Times New Roman" w:cs="Times New Roman"/>
          <w:sz w:val="24"/>
          <w:szCs w:val="24"/>
        </w:rPr>
        <w:t xml:space="preserve"> </w:t>
      </w:r>
      <w:r>
        <w:rPr>
          <w:rFonts w:ascii="Times New Roman" w:hAnsi="Times New Roman" w:cs="Times New Roman"/>
          <w:sz w:val="24"/>
          <w:szCs w:val="24"/>
        </w:rPr>
        <w:t>in</w:t>
      </w:r>
      <w:r w:rsidRPr="00945168">
        <w:rPr>
          <w:rFonts w:ascii="Times New Roman" w:hAnsi="Times New Roman" w:cs="Times New Roman"/>
          <w:sz w:val="24"/>
          <w:szCs w:val="24"/>
        </w:rPr>
        <w:t xml:space="preserve"> this thesis. First</w:t>
      </w:r>
      <w:r>
        <w:rPr>
          <w:rFonts w:ascii="Times New Roman" w:hAnsi="Times New Roman" w:cs="Times New Roman"/>
          <w:sz w:val="24"/>
          <w:szCs w:val="24"/>
        </w:rPr>
        <w:t>,</w:t>
      </w:r>
      <w:r w:rsidRPr="00945168">
        <w:rPr>
          <w:rFonts w:ascii="Times New Roman" w:hAnsi="Times New Roman" w:cs="Times New Roman"/>
          <w:sz w:val="24"/>
          <w:szCs w:val="24"/>
        </w:rPr>
        <w:t xml:space="preserve"> the readers will have a chance to </w:t>
      </w:r>
      <w:r>
        <w:rPr>
          <w:rFonts w:ascii="Times New Roman" w:hAnsi="Times New Roman" w:cs="Times New Roman"/>
          <w:sz w:val="24"/>
          <w:szCs w:val="24"/>
        </w:rPr>
        <w:t>become familiar</w:t>
      </w:r>
      <w:r w:rsidRPr="00945168">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B56017">
        <w:rPr>
          <w:rFonts w:ascii="Times New Roman" w:hAnsi="Times New Roman" w:cs="Times New Roman"/>
          <w:sz w:val="24"/>
          <w:szCs w:val="24"/>
        </w:rPr>
        <w:t xml:space="preserve">the </w:t>
      </w:r>
      <w:r w:rsidR="00B56017" w:rsidRPr="00945168">
        <w:rPr>
          <w:rFonts w:ascii="Times New Roman" w:hAnsi="Times New Roman" w:cs="Times New Roman"/>
          <w:sz w:val="24"/>
          <w:szCs w:val="24"/>
        </w:rPr>
        <w:t>risk</w:t>
      </w:r>
      <w:r w:rsidRPr="00945168">
        <w:rPr>
          <w:rFonts w:ascii="Times New Roman" w:hAnsi="Times New Roman" w:cs="Times New Roman"/>
          <w:sz w:val="24"/>
          <w:szCs w:val="24"/>
        </w:rPr>
        <w:t xml:space="preserve"> concept and various kinds of banking risks in </w:t>
      </w:r>
      <w:r w:rsidR="00556C01" w:rsidRPr="00945168">
        <w:rPr>
          <w:rFonts w:ascii="Times New Roman" w:hAnsi="Times New Roman" w:cs="Times New Roman"/>
          <w:sz w:val="24"/>
          <w:szCs w:val="24"/>
        </w:rPr>
        <w:t>order to</w:t>
      </w:r>
      <w:r w:rsidRPr="00945168">
        <w:rPr>
          <w:rFonts w:ascii="Times New Roman" w:hAnsi="Times New Roman" w:cs="Times New Roman"/>
          <w:sz w:val="24"/>
          <w:szCs w:val="24"/>
        </w:rPr>
        <w:t xml:space="preserve"> understand the position of credit risk among</w:t>
      </w:r>
      <w:r>
        <w:rPr>
          <w:rFonts w:ascii="Times New Roman" w:hAnsi="Times New Roman" w:cs="Times New Roman"/>
          <w:sz w:val="24"/>
          <w:szCs w:val="24"/>
        </w:rPr>
        <w:t xml:space="preserve"> </w:t>
      </w:r>
      <w:r w:rsidR="00556C01">
        <w:rPr>
          <w:rFonts w:ascii="Times New Roman" w:hAnsi="Times New Roman" w:cs="Times New Roman"/>
          <w:sz w:val="24"/>
          <w:szCs w:val="24"/>
        </w:rPr>
        <w:t xml:space="preserve">other </w:t>
      </w:r>
      <w:r w:rsidR="00556C01" w:rsidRPr="00945168">
        <w:rPr>
          <w:rFonts w:ascii="Times New Roman" w:hAnsi="Times New Roman" w:cs="Times New Roman"/>
          <w:sz w:val="24"/>
          <w:szCs w:val="24"/>
        </w:rPr>
        <w:t>banking</w:t>
      </w:r>
      <w:r w:rsidRPr="00945168">
        <w:rPr>
          <w:rFonts w:ascii="Times New Roman" w:hAnsi="Times New Roman" w:cs="Times New Roman"/>
          <w:sz w:val="24"/>
          <w:szCs w:val="24"/>
        </w:rPr>
        <w:t xml:space="preserve"> risks and the significance of an effective credit risk management on banks</w:t>
      </w:r>
      <w:r>
        <w:rPr>
          <w:rFonts w:ascii="Times New Roman" w:hAnsi="Times New Roman" w:cs="Times New Roman"/>
          <w:sz w:val="24"/>
          <w:szCs w:val="24"/>
        </w:rPr>
        <w:t>’</w:t>
      </w:r>
      <w:r w:rsidRPr="00945168">
        <w:rPr>
          <w:rFonts w:ascii="Times New Roman" w:hAnsi="Times New Roman" w:cs="Times New Roman"/>
          <w:sz w:val="24"/>
          <w:szCs w:val="24"/>
        </w:rPr>
        <w:t xml:space="preserve"> performance and profitability. </w:t>
      </w:r>
      <w:r>
        <w:rPr>
          <w:rFonts w:ascii="Times New Roman" w:hAnsi="Times New Roman" w:cs="Times New Roman"/>
          <w:sz w:val="24"/>
          <w:szCs w:val="24"/>
        </w:rPr>
        <w:t xml:space="preserve"> The section then moves to s</w:t>
      </w:r>
      <w:r w:rsidRPr="00945168">
        <w:rPr>
          <w:rFonts w:ascii="Times New Roman" w:hAnsi="Times New Roman" w:cs="Times New Roman"/>
          <w:sz w:val="24"/>
          <w:szCs w:val="24"/>
        </w:rPr>
        <w:t>ome details</w:t>
      </w:r>
      <w:r>
        <w:rPr>
          <w:rFonts w:ascii="Times New Roman" w:hAnsi="Times New Roman" w:cs="Times New Roman"/>
          <w:sz w:val="24"/>
          <w:szCs w:val="24"/>
        </w:rPr>
        <w:t xml:space="preserve"> on</w:t>
      </w:r>
      <w:r w:rsidRPr="00945168">
        <w:rPr>
          <w:rFonts w:ascii="Times New Roman" w:hAnsi="Times New Roman" w:cs="Times New Roman"/>
          <w:sz w:val="24"/>
          <w:szCs w:val="24"/>
        </w:rPr>
        <w:t xml:space="preserve"> risk management and related issues.</w:t>
      </w:r>
      <w:r>
        <w:rPr>
          <w:rFonts w:ascii="Times New Roman" w:hAnsi="Times New Roman" w:cs="Times New Roman"/>
          <w:sz w:val="24"/>
          <w:szCs w:val="24"/>
        </w:rPr>
        <w:t xml:space="preserve"> The section concludes with an examination of</w:t>
      </w:r>
      <w:r w:rsidRPr="00945168">
        <w:rPr>
          <w:rFonts w:ascii="Times New Roman" w:hAnsi="Times New Roman" w:cs="Times New Roman"/>
          <w:sz w:val="24"/>
          <w:szCs w:val="24"/>
        </w:rPr>
        <w:t xml:space="preserve"> credit risk management </w:t>
      </w:r>
      <w:r w:rsidR="00556C01" w:rsidRPr="00945168">
        <w:rPr>
          <w:rFonts w:ascii="Times New Roman" w:hAnsi="Times New Roman" w:cs="Times New Roman"/>
          <w:sz w:val="24"/>
          <w:szCs w:val="24"/>
        </w:rPr>
        <w:t>and evaluation</w:t>
      </w:r>
      <w:r w:rsidRPr="00945168">
        <w:rPr>
          <w:rFonts w:ascii="Times New Roman" w:hAnsi="Times New Roman" w:cs="Times New Roman"/>
          <w:sz w:val="24"/>
          <w:szCs w:val="24"/>
        </w:rPr>
        <w:t xml:space="preserve"> criteria for an effective credit risk management framework</w:t>
      </w:r>
      <w:r w:rsidR="00E86A17">
        <w:rPr>
          <w:rFonts w:ascii="Times New Roman" w:hAnsi="Times New Roman" w:cs="Times New Roman"/>
          <w:sz w:val="24"/>
          <w:szCs w:val="24"/>
        </w:rPr>
        <w:t>.</w:t>
      </w:r>
    </w:p>
    <w:p w:rsidR="00E86A17" w:rsidRDefault="00E86A17" w:rsidP="00E86A17">
      <w:pPr>
        <w:spacing w:line="360" w:lineRule="auto"/>
        <w:contextualSpacing/>
        <w:jc w:val="both"/>
        <w:rPr>
          <w:rFonts w:ascii="Times New Roman" w:hAnsi="Times New Roman" w:cs="Times New Roman"/>
          <w:b/>
          <w:sz w:val="24"/>
          <w:szCs w:val="24"/>
        </w:rPr>
      </w:pPr>
    </w:p>
    <w:p w:rsidR="000F04C1" w:rsidRDefault="00F9770B" w:rsidP="00E86A17">
      <w:pPr>
        <w:spacing w:line="360" w:lineRule="auto"/>
        <w:contextualSpacing/>
        <w:jc w:val="both"/>
        <w:rPr>
          <w:rFonts w:ascii="Times New Roman" w:hAnsi="Times New Roman" w:cs="Times New Roman"/>
          <w:b/>
          <w:sz w:val="24"/>
          <w:szCs w:val="24"/>
        </w:rPr>
      </w:pPr>
      <w:r w:rsidRPr="00271AAD">
        <w:rPr>
          <w:rFonts w:ascii="Times New Roman" w:hAnsi="Times New Roman" w:cs="Times New Roman"/>
          <w:b/>
          <w:sz w:val="24"/>
          <w:szCs w:val="24"/>
        </w:rPr>
        <w:t>2.1</w:t>
      </w:r>
      <w:r w:rsidR="0034478C" w:rsidRPr="00271AAD">
        <w:rPr>
          <w:rFonts w:ascii="Times New Roman" w:hAnsi="Times New Roman" w:cs="Times New Roman"/>
          <w:b/>
          <w:sz w:val="24"/>
          <w:szCs w:val="24"/>
        </w:rPr>
        <w:t>.2</w:t>
      </w:r>
      <w:r w:rsidR="008C6A91">
        <w:rPr>
          <w:rFonts w:ascii="Times New Roman" w:hAnsi="Times New Roman" w:cs="Times New Roman"/>
          <w:b/>
          <w:sz w:val="24"/>
          <w:szCs w:val="24"/>
        </w:rPr>
        <w:t xml:space="preserve"> </w:t>
      </w:r>
      <w:r w:rsidR="00F233E0">
        <w:rPr>
          <w:rFonts w:ascii="Times New Roman" w:hAnsi="Times New Roman" w:cs="Times New Roman"/>
          <w:b/>
          <w:sz w:val="24"/>
          <w:szCs w:val="24"/>
        </w:rPr>
        <w:t>Concept of R</w:t>
      </w:r>
      <w:r w:rsidR="003B2CFB" w:rsidRPr="00271AAD">
        <w:rPr>
          <w:rFonts w:ascii="Times New Roman" w:hAnsi="Times New Roman" w:cs="Times New Roman"/>
          <w:b/>
          <w:sz w:val="24"/>
          <w:szCs w:val="24"/>
        </w:rPr>
        <w:t>isk</w:t>
      </w:r>
    </w:p>
    <w:p w:rsidR="0053341E" w:rsidRPr="00FE75FC" w:rsidRDefault="003B2CFB" w:rsidP="00D965D5">
      <w:pPr>
        <w:spacing w:after="0" w:line="360" w:lineRule="auto"/>
        <w:contextualSpacing/>
        <w:jc w:val="both"/>
        <w:rPr>
          <w:rFonts w:ascii="Times New Roman" w:hAnsi="Times New Roman" w:cs="Times New Roman"/>
          <w:b/>
          <w:sz w:val="24"/>
          <w:szCs w:val="24"/>
        </w:rPr>
      </w:pPr>
      <w:r w:rsidRPr="00945168">
        <w:rPr>
          <w:rFonts w:ascii="Times New Roman" w:hAnsi="Times New Roman" w:cs="Times New Roman"/>
          <w:color w:val="000000" w:themeColor="text1"/>
          <w:sz w:val="24"/>
          <w:szCs w:val="24"/>
        </w:rPr>
        <w:t>Risk is a result of the uncertainty of future events and inherent in any conduct of life in general and in financial sectors in pa</w:t>
      </w:r>
      <w:r w:rsidR="00CA7208">
        <w:rPr>
          <w:rFonts w:ascii="Times New Roman" w:hAnsi="Times New Roman" w:cs="Times New Roman"/>
          <w:color w:val="000000" w:themeColor="text1"/>
          <w:sz w:val="24"/>
          <w:szCs w:val="24"/>
        </w:rPr>
        <w:t xml:space="preserve">rticular. </w:t>
      </w:r>
      <w:r w:rsidR="00AE0201">
        <w:rPr>
          <w:rFonts w:ascii="Times New Roman" w:hAnsi="Times New Roman" w:cs="Times New Roman"/>
          <w:color w:val="000000" w:themeColor="text1"/>
          <w:sz w:val="24"/>
          <w:szCs w:val="24"/>
        </w:rPr>
        <w:t>When risk cannot be avoided, one</w:t>
      </w:r>
      <w:r w:rsidRPr="00945168">
        <w:rPr>
          <w:rFonts w:ascii="Times New Roman" w:hAnsi="Times New Roman" w:cs="Times New Roman"/>
          <w:color w:val="000000" w:themeColor="text1"/>
          <w:sz w:val="24"/>
          <w:szCs w:val="24"/>
        </w:rPr>
        <w:t xml:space="preserve"> look</w:t>
      </w:r>
      <w:r w:rsidR="00AE0201">
        <w:rPr>
          <w:rFonts w:ascii="Times New Roman" w:hAnsi="Times New Roman" w:cs="Times New Roman"/>
          <w:color w:val="000000" w:themeColor="text1"/>
          <w:sz w:val="24"/>
          <w:szCs w:val="24"/>
        </w:rPr>
        <w:t>s</w:t>
      </w:r>
      <w:r w:rsidRPr="00945168">
        <w:rPr>
          <w:rFonts w:ascii="Times New Roman" w:hAnsi="Times New Roman" w:cs="Times New Roman"/>
          <w:color w:val="000000" w:themeColor="text1"/>
          <w:sz w:val="24"/>
          <w:szCs w:val="24"/>
        </w:rPr>
        <w:t xml:space="preserve"> for ways to reduce the </w:t>
      </w:r>
      <w:r w:rsidR="00AE0201">
        <w:rPr>
          <w:rFonts w:ascii="Times New Roman" w:hAnsi="Times New Roman" w:cs="Times New Roman"/>
          <w:color w:val="000000" w:themeColor="text1"/>
          <w:sz w:val="24"/>
          <w:szCs w:val="24"/>
        </w:rPr>
        <w:t>risk or its impact. But e</w:t>
      </w:r>
      <w:r w:rsidRPr="00945168">
        <w:rPr>
          <w:rFonts w:ascii="Times New Roman" w:hAnsi="Times New Roman" w:cs="Times New Roman"/>
          <w:color w:val="000000" w:themeColor="text1"/>
          <w:sz w:val="24"/>
          <w:szCs w:val="24"/>
        </w:rPr>
        <w:t xml:space="preserve">ven with careful planning and preparation, risks cannot be completely eliminated or avoided because they cannot all be identified in advance. </w:t>
      </w:r>
      <w:r w:rsidR="00FE75FC">
        <w:rPr>
          <w:rFonts w:ascii="Times New Roman" w:hAnsi="Times New Roman" w:cs="Times New Roman"/>
          <w:color w:val="000000" w:themeColor="text1"/>
          <w:sz w:val="24"/>
          <w:szCs w:val="24"/>
        </w:rPr>
        <w:t>Risks are much more complex in recent years</w:t>
      </w:r>
      <w:r w:rsidRPr="00945168">
        <w:rPr>
          <w:rFonts w:ascii="Times New Roman" w:hAnsi="Times New Roman" w:cs="Times New Roman"/>
          <w:color w:val="000000" w:themeColor="text1"/>
          <w:sz w:val="24"/>
          <w:szCs w:val="24"/>
        </w:rPr>
        <w:t xml:space="preserve"> since one single activity can involve several risks. Risks are inside risks. Risks overlap risks. Risks contain</w:t>
      </w:r>
      <w:r w:rsidR="00FE75FC">
        <w:rPr>
          <w:rFonts w:ascii="Times New Roman" w:hAnsi="Times New Roman" w:cs="Times New Roman"/>
          <w:color w:val="000000" w:themeColor="text1"/>
          <w:sz w:val="24"/>
          <w:szCs w:val="24"/>
        </w:rPr>
        <w:t xml:space="preserve"> </w:t>
      </w:r>
      <w:r w:rsidRPr="00945168">
        <w:rPr>
          <w:rFonts w:ascii="Times New Roman" w:hAnsi="Times New Roman" w:cs="Times New Roman"/>
          <w:color w:val="000000" w:themeColor="text1"/>
          <w:sz w:val="24"/>
          <w:szCs w:val="24"/>
        </w:rPr>
        <w:t xml:space="preserve">risks. </w:t>
      </w:r>
      <w:r w:rsidR="0053341E" w:rsidRPr="007757FB">
        <w:rPr>
          <w:rFonts w:ascii="Times New Roman" w:hAnsi="Times New Roman" w:cs="Times New Roman"/>
          <w:sz w:val="24"/>
          <w:szCs w:val="24"/>
        </w:rPr>
        <w:t>Risk-related concepts are many. The following are the most important concepts:</w:t>
      </w:r>
    </w:p>
    <w:p w:rsidR="003B2CFB" w:rsidRPr="00945168" w:rsidRDefault="003B2CFB" w:rsidP="00F873C9">
      <w:pPr>
        <w:pStyle w:val="Default"/>
        <w:numPr>
          <w:ilvl w:val="0"/>
          <w:numId w:val="3"/>
        </w:numPr>
        <w:spacing w:line="360" w:lineRule="auto"/>
        <w:jc w:val="both"/>
        <w:rPr>
          <w:color w:val="auto"/>
        </w:rPr>
      </w:pPr>
      <w:r w:rsidRPr="00945168">
        <w:rPr>
          <w:b/>
        </w:rPr>
        <w:lastRenderedPageBreak/>
        <w:t>Risk</w:t>
      </w:r>
      <w:r w:rsidRPr="00945168">
        <w:t xml:space="preserve"> can be used to describe </w:t>
      </w:r>
      <w:r w:rsidR="004A0249">
        <w:t>“</w:t>
      </w:r>
      <w:r w:rsidRPr="00945168">
        <w:t xml:space="preserve">the uncertainty surrounding events and their </w:t>
      </w:r>
      <w:r w:rsidR="00AE0201">
        <w:t>outcomes, which either enhance or inhibit</w:t>
      </w:r>
      <w:r w:rsidRPr="00945168">
        <w:t xml:space="preserve"> operational performance</w:t>
      </w:r>
      <w:r w:rsidR="0053341E" w:rsidRPr="00945168">
        <w:t>, achievement</w:t>
      </w:r>
      <w:r w:rsidRPr="00945168">
        <w:t xml:space="preserve"> of aims and objectives or meeting</w:t>
      </w:r>
      <w:r w:rsidR="00E32222">
        <w:t xml:space="preserve"> of</w:t>
      </w:r>
      <w:r w:rsidRPr="00945168">
        <w:t xml:space="preserve"> expectations of stakeholders</w:t>
      </w:r>
      <w:r w:rsidR="004A0249">
        <w:t>”</w:t>
      </w:r>
      <w:r w:rsidR="003775EB">
        <w:t xml:space="preserve"> </w:t>
      </w:r>
      <w:r w:rsidRPr="00945168">
        <w:t>(</w:t>
      </w:r>
      <w:r w:rsidR="00D14F25">
        <w:rPr>
          <w:color w:val="auto"/>
        </w:rPr>
        <w:t>Spedding and</w:t>
      </w:r>
      <w:r w:rsidRPr="00945168">
        <w:rPr>
          <w:color w:val="auto"/>
        </w:rPr>
        <w:t xml:space="preserve"> Rose</w:t>
      </w:r>
      <w:r w:rsidR="0063349F">
        <w:rPr>
          <w:color w:val="auto"/>
        </w:rPr>
        <w:t>,</w:t>
      </w:r>
      <w:r w:rsidRPr="00945168">
        <w:rPr>
          <w:color w:val="auto"/>
        </w:rPr>
        <w:t xml:space="preserve"> 2008).</w:t>
      </w:r>
    </w:p>
    <w:p w:rsidR="00602F31" w:rsidRDefault="003B2CFB" w:rsidP="00F873C9">
      <w:pPr>
        <w:pStyle w:val="ListParagraph"/>
        <w:numPr>
          <w:ilvl w:val="0"/>
          <w:numId w:val="43"/>
        </w:numPr>
        <w:spacing w:line="360" w:lineRule="auto"/>
        <w:jc w:val="both"/>
        <w:rPr>
          <w:rFonts w:asciiTheme="majorBidi" w:hAnsiTheme="majorBidi" w:cstheme="majorBidi"/>
          <w:sz w:val="24"/>
          <w:szCs w:val="24"/>
        </w:rPr>
      </w:pPr>
      <w:r w:rsidRPr="00602F31">
        <w:rPr>
          <w:rFonts w:asciiTheme="majorBidi" w:hAnsiTheme="majorBidi" w:cstheme="majorBidi"/>
          <w:b/>
          <w:sz w:val="24"/>
          <w:szCs w:val="24"/>
        </w:rPr>
        <w:t>Risk</w:t>
      </w:r>
      <w:r w:rsidR="00E32222" w:rsidRPr="00602F31">
        <w:rPr>
          <w:rFonts w:asciiTheme="majorBidi" w:hAnsiTheme="majorBidi" w:cstheme="majorBidi"/>
          <w:b/>
          <w:sz w:val="24"/>
          <w:szCs w:val="24"/>
        </w:rPr>
        <w:t xml:space="preserve"> </w:t>
      </w:r>
      <w:r w:rsidR="00E32222" w:rsidRPr="00602F31">
        <w:rPr>
          <w:rFonts w:asciiTheme="majorBidi" w:hAnsiTheme="majorBidi" w:cstheme="majorBidi"/>
          <w:bCs/>
          <w:sz w:val="24"/>
          <w:szCs w:val="24"/>
        </w:rPr>
        <w:t>is</w:t>
      </w:r>
      <w:r w:rsidR="00FE75FC" w:rsidRPr="00602F31">
        <w:rPr>
          <w:rFonts w:asciiTheme="majorBidi" w:hAnsiTheme="majorBidi" w:cstheme="majorBidi"/>
          <w:b/>
          <w:sz w:val="24"/>
          <w:szCs w:val="24"/>
        </w:rPr>
        <w:t xml:space="preserve"> </w:t>
      </w:r>
      <w:r w:rsidRPr="00602F31">
        <w:rPr>
          <w:rFonts w:asciiTheme="majorBidi" w:hAnsiTheme="majorBidi" w:cstheme="majorBidi"/>
          <w:sz w:val="24"/>
          <w:szCs w:val="24"/>
        </w:rPr>
        <w:t>defined as</w:t>
      </w:r>
      <w:r w:rsidR="00602F31" w:rsidRPr="00602F31">
        <w:rPr>
          <w:rFonts w:asciiTheme="majorBidi" w:hAnsiTheme="majorBidi" w:cstheme="majorBidi"/>
          <w:sz w:val="24"/>
          <w:szCs w:val="24"/>
        </w:rPr>
        <w:t xml:space="preserve"> something occurs that might affect the achievements of goals and objectives. It </w:t>
      </w:r>
      <w:r w:rsidR="001178DC" w:rsidRPr="00602F31">
        <w:rPr>
          <w:rFonts w:asciiTheme="majorBidi" w:hAnsiTheme="majorBidi" w:cstheme="majorBidi"/>
          <w:sz w:val="24"/>
          <w:szCs w:val="24"/>
        </w:rPr>
        <w:t>contains</w:t>
      </w:r>
      <w:r w:rsidR="00602F31" w:rsidRPr="00602F31">
        <w:rPr>
          <w:rFonts w:asciiTheme="majorBidi" w:hAnsiTheme="majorBidi" w:cstheme="majorBidi"/>
          <w:sz w:val="24"/>
          <w:szCs w:val="24"/>
        </w:rPr>
        <w:t xml:space="preserve"> risks as an opportunity or </w:t>
      </w:r>
      <w:r w:rsidR="001178DC" w:rsidRPr="00602F31">
        <w:rPr>
          <w:rFonts w:asciiTheme="majorBidi" w:hAnsiTheme="majorBidi" w:cstheme="majorBidi"/>
          <w:sz w:val="24"/>
          <w:szCs w:val="24"/>
        </w:rPr>
        <w:t>threats (</w:t>
      </w:r>
      <w:r w:rsidR="0053341E" w:rsidRPr="00602F31">
        <w:rPr>
          <w:rFonts w:asciiTheme="majorBidi" w:hAnsiTheme="majorBidi" w:cstheme="majorBidi"/>
          <w:sz w:val="24"/>
          <w:szCs w:val="24"/>
        </w:rPr>
        <w:t>National</w:t>
      </w:r>
      <w:r w:rsidRPr="00602F31">
        <w:rPr>
          <w:rFonts w:asciiTheme="majorBidi" w:hAnsiTheme="majorBidi" w:cstheme="majorBidi"/>
          <w:sz w:val="24"/>
          <w:szCs w:val="24"/>
        </w:rPr>
        <w:t xml:space="preserve"> Audit Office, 2000)</w:t>
      </w:r>
      <w:r w:rsidR="0053341E" w:rsidRPr="00602F31">
        <w:rPr>
          <w:rFonts w:asciiTheme="majorBidi" w:hAnsiTheme="majorBidi" w:cstheme="majorBidi"/>
          <w:sz w:val="24"/>
          <w:szCs w:val="24"/>
        </w:rPr>
        <w:t>.</w:t>
      </w:r>
    </w:p>
    <w:p w:rsidR="00D219E1" w:rsidRPr="00A80614" w:rsidRDefault="003B2CFB" w:rsidP="00F873C9">
      <w:pPr>
        <w:pStyle w:val="ListParagraph"/>
        <w:numPr>
          <w:ilvl w:val="0"/>
          <w:numId w:val="43"/>
        </w:numPr>
        <w:spacing w:line="360" w:lineRule="auto"/>
        <w:ind w:left="714" w:hanging="357"/>
        <w:rPr>
          <w:rFonts w:asciiTheme="majorBidi" w:hAnsiTheme="majorBidi" w:cstheme="majorBidi"/>
          <w:sz w:val="24"/>
          <w:szCs w:val="24"/>
        </w:rPr>
      </w:pPr>
      <w:r w:rsidRPr="00A80614">
        <w:rPr>
          <w:rFonts w:asciiTheme="majorBidi" w:hAnsiTheme="majorBidi" w:cstheme="majorBidi"/>
          <w:b/>
          <w:sz w:val="24"/>
          <w:szCs w:val="24"/>
        </w:rPr>
        <w:t>Risk</w:t>
      </w:r>
      <w:r w:rsidR="00E32222" w:rsidRPr="00A80614">
        <w:rPr>
          <w:rFonts w:asciiTheme="majorBidi" w:hAnsiTheme="majorBidi" w:cstheme="majorBidi"/>
          <w:b/>
          <w:sz w:val="24"/>
          <w:szCs w:val="24"/>
        </w:rPr>
        <w:t xml:space="preserve"> </w:t>
      </w:r>
      <w:r w:rsidR="00E32222" w:rsidRPr="00A80614">
        <w:rPr>
          <w:rFonts w:asciiTheme="majorBidi" w:hAnsiTheme="majorBidi" w:cstheme="majorBidi"/>
          <w:bCs/>
          <w:sz w:val="24"/>
          <w:szCs w:val="24"/>
        </w:rPr>
        <w:t>is also</w:t>
      </w:r>
      <w:r w:rsidR="00D14F25" w:rsidRPr="00A80614">
        <w:rPr>
          <w:rFonts w:asciiTheme="majorBidi" w:hAnsiTheme="majorBidi" w:cstheme="majorBidi"/>
          <w:b/>
          <w:sz w:val="24"/>
          <w:szCs w:val="24"/>
        </w:rPr>
        <w:t xml:space="preserve"> </w:t>
      </w:r>
      <w:r w:rsidR="001178DC" w:rsidRPr="00A80614">
        <w:rPr>
          <w:rFonts w:asciiTheme="majorBidi" w:hAnsiTheme="majorBidi" w:cstheme="majorBidi"/>
          <w:sz w:val="24"/>
          <w:szCs w:val="24"/>
        </w:rPr>
        <w:t>defined the</w:t>
      </w:r>
      <w:r w:rsidR="00A80614" w:rsidRPr="00A80614">
        <w:rPr>
          <w:rFonts w:asciiTheme="majorBidi" w:hAnsiTheme="majorBidi" w:cstheme="majorBidi"/>
          <w:sz w:val="24"/>
          <w:szCs w:val="24"/>
        </w:rPr>
        <w:t xml:space="preserve"> possibility of events and outcomes that comprise opportunities for benefits or threats</w:t>
      </w:r>
      <w:r w:rsidR="00A80614">
        <w:rPr>
          <w:rFonts w:asciiTheme="majorBidi" w:hAnsiTheme="majorBidi" w:cstheme="majorBidi"/>
          <w:sz w:val="24"/>
          <w:szCs w:val="24"/>
        </w:rPr>
        <w:t xml:space="preserve"> to success (</w:t>
      </w:r>
      <w:r w:rsidR="00E32222" w:rsidRPr="00A80614">
        <w:rPr>
          <w:rFonts w:asciiTheme="majorBidi" w:hAnsiTheme="majorBidi" w:cstheme="majorBidi"/>
          <w:sz w:val="24"/>
          <w:szCs w:val="24"/>
        </w:rPr>
        <w:t>IRM</w:t>
      </w:r>
      <w:r w:rsidR="00D219E1" w:rsidRPr="00A80614">
        <w:rPr>
          <w:rFonts w:asciiTheme="majorBidi" w:hAnsiTheme="majorBidi" w:cstheme="majorBidi"/>
          <w:sz w:val="24"/>
          <w:szCs w:val="24"/>
        </w:rPr>
        <w:t>, 2002</w:t>
      </w:r>
      <w:r w:rsidR="001C4EFC" w:rsidRPr="00A80614">
        <w:rPr>
          <w:rFonts w:asciiTheme="majorBidi" w:hAnsiTheme="majorBidi" w:cstheme="majorBidi"/>
          <w:sz w:val="24"/>
          <w:szCs w:val="24"/>
        </w:rPr>
        <w:t>)</w:t>
      </w:r>
      <w:r w:rsidR="0053341E" w:rsidRPr="00A80614">
        <w:rPr>
          <w:rFonts w:asciiTheme="majorBidi" w:hAnsiTheme="majorBidi" w:cstheme="majorBidi"/>
          <w:sz w:val="24"/>
          <w:szCs w:val="24"/>
        </w:rPr>
        <w:t>.</w:t>
      </w:r>
      <w:r w:rsidR="00A80614">
        <w:rPr>
          <w:rFonts w:asciiTheme="majorBidi" w:hAnsiTheme="majorBidi" w:cstheme="majorBidi"/>
          <w:sz w:val="24"/>
          <w:szCs w:val="24"/>
        </w:rPr>
        <w:t xml:space="preserve"> In other words it contains upside or downside results.</w:t>
      </w:r>
    </w:p>
    <w:p w:rsidR="0053341E" w:rsidRPr="007C0E1F" w:rsidRDefault="0053341E" w:rsidP="00F873C9">
      <w:pPr>
        <w:pStyle w:val="ListParagraph"/>
        <w:numPr>
          <w:ilvl w:val="0"/>
          <w:numId w:val="31"/>
        </w:numPr>
        <w:spacing w:line="360" w:lineRule="auto"/>
        <w:jc w:val="both"/>
        <w:rPr>
          <w:rFonts w:asciiTheme="majorBidi" w:hAnsiTheme="majorBidi" w:cstheme="majorBidi"/>
          <w:sz w:val="24"/>
          <w:szCs w:val="24"/>
        </w:rPr>
      </w:pPr>
      <w:r w:rsidRPr="007C0E1F">
        <w:rPr>
          <w:rFonts w:asciiTheme="majorBidi" w:hAnsiTheme="majorBidi" w:cstheme="majorBidi"/>
          <w:b/>
          <w:sz w:val="24"/>
          <w:szCs w:val="24"/>
        </w:rPr>
        <w:t>Risk</w:t>
      </w:r>
      <w:r w:rsidR="00E32222" w:rsidRPr="007C0E1F">
        <w:rPr>
          <w:rFonts w:asciiTheme="majorBidi" w:hAnsiTheme="majorBidi" w:cstheme="majorBidi"/>
          <w:b/>
          <w:sz w:val="24"/>
          <w:szCs w:val="24"/>
        </w:rPr>
        <w:t xml:space="preserve"> </w:t>
      </w:r>
      <w:r w:rsidR="00E32222" w:rsidRPr="007C0E1F">
        <w:rPr>
          <w:rFonts w:asciiTheme="majorBidi" w:hAnsiTheme="majorBidi" w:cstheme="majorBidi"/>
          <w:bCs/>
          <w:sz w:val="24"/>
          <w:szCs w:val="24"/>
        </w:rPr>
        <w:t>is</w:t>
      </w:r>
      <w:r w:rsidRPr="007C0E1F">
        <w:rPr>
          <w:rFonts w:asciiTheme="majorBidi" w:hAnsiTheme="majorBidi" w:cstheme="majorBidi"/>
          <w:b/>
          <w:sz w:val="24"/>
          <w:szCs w:val="24"/>
        </w:rPr>
        <w:t xml:space="preserve"> </w:t>
      </w:r>
      <w:r w:rsidRPr="007C0E1F">
        <w:rPr>
          <w:rFonts w:asciiTheme="majorBidi" w:hAnsiTheme="majorBidi" w:cstheme="majorBidi"/>
          <w:sz w:val="24"/>
          <w:szCs w:val="24"/>
        </w:rPr>
        <w:t xml:space="preserve">defined as </w:t>
      </w:r>
      <w:r w:rsidR="007C0E1F" w:rsidRPr="007C0E1F">
        <w:rPr>
          <w:rFonts w:asciiTheme="majorBidi" w:hAnsiTheme="majorBidi" w:cstheme="majorBidi"/>
          <w:sz w:val="24"/>
          <w:szCs w:val="24"/>
        </w:rPr>
        <w:t>t</w:t>
      </w:r>
      <w:r w:rsidR="00897867" w:rsidRPr="007C0E1F">
        <w:rPr>
          <w:rFonts w:asciiTheme="majorBidi" w:hAnsiTheme="majorBidi" w:cstheme="majorBidi"/>
          <w:sz w:val="24"/>
          <w:szCs w:val="24"/>
        </w:rPr>
        <w:t>he direct possible loss which happen as a result of losses in the bank's operations or any losses in the bank's capital. Risk also can results from any indirect factors affecting bank's ability to achieve its goals and objectives, that results in the bank's ability to keep continuing its services or limiting its ability to capture available opportunities (</w:t>
      </w:r>
      <w:r w:rsidRPr="007C0E1F">
        <w:rPr>
          <w:rFonts w:asciiTheme="majorBidi" w:hAnsiTheme="majorBidi" w:cstheme="majorBidi"/>
          <w:sz w:val="24"/>
          <w:szCs w:val="24"/>
        </w:rPr>
        <w:t>The Financial Ser</w:t>
      </w:r>
      <w:r w:rsidR="006C6722" w:rsidRPr="007C0E1F">
        <w:rPr>
          <w:rFonts w:asciiTheme="majorBidi" w:hAnsiTheme="majorBidi" w:cstheme="majorBidi"/>
          <w:sz w:val="24"/>
          <w:szCs w:val="24"/>
        </w:rPr>
        <w:t>v</w:t>
      </w:r>
      <w:r w:rsidR="002842B6" w:rsidRPr="007C0E1F">
        <w:rPr>
          <w:rFonts w:asciiTheme="majorBidi" w:hAnsiTheme="majorBidi" w:cstheme="majorBidi"/>
          <w:sz w:val="24"/>
          <w:szCs w:val="24"/>
        </w:rPr>
        <w:t>ices Roundtable (FSR), 1999</w:t>
      </w:r>
      <w:r w:rsidRPr="007C0E1F">
        <w:rPr>
          <w:rFonts w:asciiTheme="majorBidi" w:hAnsiTheme="majorBidi" w:cstheme="majorBidi"/>
          <w:sz w:val="24"/>
          <w:szCs w:val="24"/>
        </w:rPr>
        <w:t>).</w:t>
      </w:r>
    </w:p>
    <w:p w:rsidR="0053341E" w:rsidRPr="00945168" w:rsidRDefault="0053341E" w:rsidP="00F873C9">
      <w:pPr>
        <w:pStyle w:val="ListParagraph"/>
        <w:numPr>
          <w:ilvl w:val="0"/>
          <w:numId w:val="3"/>
        </w:numPr>
        <w:spacing w:line="360" w:lineRule="auto"/>
        <w:jc w:val="both"/>
        <w:rPr>
          <w:rFonts w:ascii="Times New Roman" w:hAnsi="Times New Roman" w:cs="Times New Roman"/>
          <w:sz w:val="24"/>
          <w:szCs w:val="24"/>
        </w:rPr>
      </w:pPr>
      <w:r w:rsidRPr="00945168">
        <w:rPr>
          <w:rFonts w:ascii="Times New Roman" w:hAnsi="Times New Roman" w:cs="Times New Roman"/>
          <w:b/>
          <w:sz w:val="24"/>
          <w:szCs w:val="24"/>
        </w:rPr>
        <w:t>Risks</w:t>
      </w:r>
      <w:r w:rsidRPr="00945168">
        <w:rPr>
          <w:rFonts w:ascii="Times New Roman" w:hAnsi="Times New Roman" w:cs="Times New Roman"/>
          <w:sz w:val="24"/>
          <w:szCs w:val="24"/>
        </w:rPr>
        <w:t xml:space="preserve"> are </w:t>
      </w:r>
      <w:r w:rsidR="007C0E1F" w:rsidRPr="004D1D01">
        <w:rPr>
          <w:rFonts w:asciiTheme="majorBidi" w:hAnsiTheme="majorBidi" w:cstheme="majorBidi"/>
          <w:sz w:val="24"/>
          <w:szCs w:val="24"/>
        </w:rPr>
        <w:t>The possible sensitivity to unplanned or unexpected for losses resulted from any fluctuation in the expected return or credit portfolio</w:t>
      </w:r>
      <w:r w:rsidR="007C0E1F" w:rsidRPr="00945168">
        <w:rPr>
          <w:rFonts w:ascii="Times New Roman" w:hAnsi="Times New Roman" w:cs="Times New Roman"/>
          <w:sz w:val="24"/>
          <w:szCs w:val="24"/>
        </w:rPr>
        <w:t xml:space="preserve"> </w:t>
      </w:r>
      <w:r w:rsidRPr="00945168">
        <w:rPr>
          <w:rFonts w:ascii="Times New Roman" w:hAnsi="Times New Roman" w:cs="Times New Roman"/>
          <w:sz w:val="24"/>
          <w:szCs w:val="24"/>
        </w:rPr>
        <w:t>That is, a risk represents deviation of actual figures from expected/ predict</w:t>
      </w:r>
      <w:r w:rsidR="007C0E1F">
        <w:rPr>
          <w:rFonts w:ascii="Times New Roman" w:hAnsi="Times New Roman" w:cs="Times New Roman"/>
          <w:sz w:val="24"/>
          <w:szCs w:val="24"/>
        </w:rPr>
        <w:t>ed figures</w:t>
      </w:r>
      <w:r w:rsidR="002842B6">
        <w:rPr>
          <w:rFonts w:ascii="Times New Roman" w:hAnsi="Times New Roman" w:cs="Times New Roman"/>
          <w:sz w:val="24"/>
          <w:szCs w:val="24"/>
        </w:rPr>
        <w:t xml:space="preserve"> (Dorfman, 1998</w:t>
      </w:r>
      <w:r w:rsidRPr="00945168">
        <w:rPr>
          <w:rFonts w:ascii="Times New Roman" w:hAnsi="Times New Roman" w:cs="Times New Roman"/>
          <w:sz w:val="24"/>
          <w:szCs w:val="24"/>
        </w:rPr>
        <w:t>).</w:t>
      </w:r>
    </w:p>
    <w:p w:rsidR="008D0C58" w:rsidRPr="003D631D" w:rsidRDefault="00BF7AF5" w:rsidP="003D631D">
      <w:pPr>
        <w:spacing w:line="360" w:lineRule="auto"/>
        <w:rPr>
          <w:rFonts w:asciiTheme="majorBidi" w:hAnsiTheme="majorBidi" w:cstheme="majorBidi"/>
          <w:sz w:val="24"/>
          <w:szCs w:val="24"/>
        </w:rPr>
      </w:pPr>
      <w:r w:rsidRPr="00945168">
        <w:rPr>
          <w:rFonts w:ascii="Times New Roman" w:hAnsi="Times New Roman" w:cs="Times New Roman"/>
          <w:sz w:val="24"/>
          <w:szCs w:val="24"/>
        </w:rPr>
        <w:t xml:space="preserve">As a result, </w:t>
      </w:r>
      <w:r w:rsidR="003D631D">
        <w:rPr>
          <w:rFonts w:asciiTheme="majorBidi" w:hAnsiTheme="majorBidi" w:cstheme="majorBidi"/>
          <w:sz w:val="24"/>
          <w:szCs w:val="24"/>
        </w:rPr>
        <w:t xml:space="preserve">Risk must be considered as potential unpredicted event that happen in the future and could carry benefits or threats to its receiver. </w:t>
      </w:r>
      <w:r w:rsidRPr="00945168">
        <w:rPr>
          <w:rFonts w:ascii="Times New Roman" w:hAnsi="Times New Roman" w:cs="Times New Roman"/>
          <w:sz w:val="24"/>
          <w:szCs w:val="24"/>
        </w:rPr>
        <w:t>A balance between the gains and losses is essential and risk management will take care of that balance.</w:t>
      </w:r>
    </w:p>
    <w:p w:rsidR="003B2CFB" w:rsidRPr="007757FB" w:rsidRDefault="00F9770B" w:rsidP="00BE668C">
      <w:pPr>
        <w:contextualSpacing/>
        <w:jc w:val="both"/>
        <w:rPr>
          <w:rFonts w:ascii="Times New Roman" w:hAnsi="Times New Roman" w:cs="Times New Roman"/>
          <w:bCs/>
          <w:sz w:val="24"/>
          <w:szCs w:val="24"/>
        </w:rPr>
      </w:pPr>
      <w:r w:rsidRPr="007757FB">
        <w:rPr>
          <w:rFonts w:ascii="Times New Roman" w:hAnsi="Times New Roman" w:cs="Times New Roman"/>
          <w:b/>
          <w:sz w:val="24"/>
          <w:szCs w:val="24"/>
        </w:rPr>
        <w:t>2.1</w:t>
      </w:r>
      <w:r w:rsidR="0034478C" w:rsidRPr="007757FB">
        <w:rPr>
          <w:rFonts w:ascii="Times New Roman" w:hAnsi="Times New Roman" w:cs="Times New Roman"/>
          <w:b/>
          <w:sz w:val="24"/>
          <w:szCs w:val="24"/>
        </w:rPr>
        <w:t>.3</w:t>
      </w:r>
      <w:r w:rsidR="00E339A2">
        <w:rPr>
          <w:rFonts w:ascii="Times New Roman" w:hAnsi="Times New Roman" w:cs="Times New Roman"/>
          <w:b/>
          <w:sz w:val="24"/>
          <w:szCs w:val="24"/>
        </w:rPr>
        <w:t xml:space="preserve"> </w:t>
      </w:r>
      <w:r w:rsidR="00F233E0">
        <w:rPr>
          <w:rFonts w:ascii="Times New Roman" w:hAnsi="Times New Roman" w:cs="Times New Roman"/>
          <w:b/>
          <w:sz w:val="24"/>
          <w:szCs w:val="24"/>
        </w:rPr>
        <w:t>Banking Risks C</w:t>
      </w:r>
      <w:r w:rsidR="003B2CFB" w:rsidRPr="007757FB">
        <w:rPr>
          <w:rFonts w:ascii="Times New Roman" w:hAnsi="Times New Roman" w:cs="Times New Roman"/>
          <w:b/>
          <w:sz w:val="24"/>
          <w:szCs w:val="24"/>
        </w:rPr>
        <w:t>lassification</w:t>
      </w:r>
    </w:p>
    <w:p w:rsidR="003B2CFB" w:rsidRPr="00945168" w:rsidRDefault="009053B9" w:rsidP="009053B9">
      <w:pPr>
        <w:pStyle w:val="Default"/>
        <w:spacing w:line="360" w:lineRule="auto"/>
        <w:contextualSpacing/>
        <w:jc w:val="both"/>
        <w:rPr>
          <w:color w:val="000000" w:themeColor="text1"/>
        </w:rPr>
      </w:pPr>
      <w:r>
        <w:rPr>
          <w:color w:val="000000" w:themeColor="text1"/>
        </w:rPr>
        <w:t>I</w:t>
      </w:r>
      <w:r w:rsidRPr="00945168">
        <w:rPr>
          <w:color w:val="000000" w:themeColor="text1"/>
        </w:rPr>
        <w:t>n this ever-changing competitive environment</w:t>
      </w:r>
      <w:r>
        <w:rPr>
          <w:color w:val="000000" w:themeColor="text1"/>
        </w:rPr>
        <w:t>,</w:t>
      </w:r>
      <w:r w:rsidRPr="00945168">
        <w:rPr>
          <w:color w:val="000000" w:themeColor="text1"/>
        </w:rPr>
        <w:t xml:space="preserve"> </w:t>
      </w:r>
      <w:r>
        <w:rPr>
          <w:color w:val="000000" w:themeColor="text1"/>
        </w:rPr>
        <w:t>t</w:t>
      </w:r>
      <w:r w:rsidR="003B2CFB" w:rsidRPr="00945168">
        <w:rPr>
          <w:color w:val="000000" w:themeColor="text1"/>
        </w:rPr>
        <w:t>he banking business, compared to other ty</w:t>
      </w:r>
      <w:r>
        <w:rPr>
          <w:color w:val="000000" w:themeColor="text1"/>
        </w:rPr>
        <w:t>pes of business, is ultimately</w:t>
      </w:r>
      <w:r w:rsidR="003B2CFB" w:rsidRPr="00945168">
        <w:rPr>
          <w:color w:val="000000" w:themeColor="text1"/>
        </w:rPr>
        <w:t xml:space="preserve"> exposed to risk</w:t>
      </w:r>
      <w:r>
        <w:rPr>
          <w:color w:val="000000" w:themeColor="text1"/>
        </w:rPr>
        <w:t>s.</w:t>
      </w:r>
      <w:r w:rsidR="00A80220" w:rsidRPr="00945168">
        <w:rPr>
          <w:color w:val="000000" w:themeColor="text1"/>
        </w:rPr>
        <w:t xml:space="preserve"> Banks now days</w:t>
      </w:r>
      <w:r w:rsidR="003B2CFB" w:rsidRPr="00945168">
        <w:rPr>
          <w:color w:val="000000" w:themeColor="text1"/>
        </w:rPr>
        <w:t xml:space="preserve"> are operating in a rapidly innovative industry with a lot of profit pressure that encourage them to create more and more value-added serv</w:t>
      </w:r>
      <w:r w:rsidR="00E339A2">
        <w:rPr>
          <w:color w:val="000000" w:themeColor="text1"/>
        </w:rPr>
        <w:t xml:space="preserve">ices to offer </w:t>
      </w:r>
      <w:r w:rsidR="003B2CFB" w:rsidRPr="00945168">
        <w:rPr>
          <w:color w:val="000000" w:themeColor="text1"/>
        </w:rPr>
        <w:t>and better satisfy the customers.</w:t>
      </w:r>
    </w:p>
    <w:p w:rsidR="003B2CFB" w:rsidRPr="00945168" w:rsidRDefault="003B2CFB" w:rsidP="00154AF3">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lastRenderedPageBreak/>
        <w:t xml:space="preserve">The primary goal of any bank management </w:t>
      </w:r>
      <w:r w:rsidR="009053B9">
        <w:rPr>
          <w:rFonts w:ascii="Times New Roman" w:hAnsi="Times New Roman" w:cs="Times New Roman"/>
          <w:sz w:val="24"/>
          <w:szCs w:val="24"/>
        </w:rPr>
        <w:t>is to maximize the wealth of</w:t>
      </w:r>
      <w:r w:rsidRPr="00945168">
        <w:rPr>
          <w:rFonts w:ascii="Times New Roman" w:hAnsi="Times New Roman" w:cs="Times New Roman"/>
          <w:sz w:val="24"/>
          <w:szCs w:val="24"/>
        </w:rPr>
        <w:t xml:space="preserve"> shareholders. This accordingly results in maximizing the marke</w:t>
      </w:r>
      <w:r w:rsidR="008A7EF1">
        <w:rPr>
          <w:rFonts w:ascii="Times New Roman" w:hAnsi="Times New Roman" w:cs="Times New Roman"/>
          <w:sz w:val="24"/>
          <w:szCs w:val="24"/>
        </w:rPr>
        <w:t>t value of the ordinary shares.</w:t>
      </w:r>
      <w:r w:rsidR="008A7EF1" w:rsidRPr="00945168">
        <w:rPr>
          <w:rFonts w:ascii="Times New Roman" w:hAnsi="Times New Roman" w:cs="Times New Roman"/>
          <w:sz w:val="24"/>
          <w:szCs w:val="24"/>
        </w:rPr>
        <w:t xml:space="preserve"> This</w:t>
      </w:r>
      <w:r w:rsidRPr="00945168">
        <w:rPr>
          <w:rFonts w:ascii="Times New Roman" w:hAnsi="Times New Roman" w:cs="Times New Roman"/>
          <w:sz w:val="24"/>
          <w:szCs w:val="24"/>
        </w:rPr>
        <w:t xml:space="preserve"> m</w:t>
      </w:r>
      <w:r w:rsidR="00152FC7">
        <w:rPr>
          <w:rFonts w:ascii="Times New Roman" w:hAnsi="Times New Roman" w:cs="Times New Roman"/>
          <w:sz w:val="24"/>
          <w:szCs w:val="24"/>
        </w:rPr>
        <w:t xml:space="preserve">aximization </w:t>
      </w:r>
      <w:r w:rsidR="00556C01">
        <w:rPr>
          <w:rFonts w:ascii="Times New Roman" w:hAnsi="Times New Roman" w:cs="Times New Roman"/>
          <w:sz w:val="24"/>
          <w:szCs w:val="24"/>
        </w:rPr>
        <w:t xml:space="preserve">of </w:t>
      </w:r>
      <w:r w:rsidR="00556C01" w:rsidRPr="00945168">
        <w:rPr>
          <w:rFonts w:ascii="Times New Roman" w:hAnsi="Times New Roman" w:cs="Times New Roman"/>
          <w:sz w:val="24"/>
          <w:szCs w:val="24"/>
        </w:rPr>
        <w:t>shareholders’</w:t>
      </w:r>
      <w:r w:rsidRPr="00945168">
        <w:rPr>
          <w:rFonts w:ascii="Times New Roman" w:hAnsi="Times New Roman" w:cs="Times New Roman"/>
          <w:sz w:val="24"/>
          <w:szCs w:val="24"/>
        </w:rPr>
        <w:t xml:space="preserve"> </w:t>
      </w:r>
      <w:r w:rsidR="00556C01" w:rsidRPr="00945168">
        <w:rPr>
          <w:rFonts w:ascii="Times New Roman" w:hAnsi="Times New Roman" w:cs="Times New Roman"/>
          <w:sz w:val="24"/>
          <w:szCs w:val="24"/>
        </w:rPr>
        <w:t>profit</w:t>
      </w:r>
      <w:r w:rsidR="00556C01">
        <w:rPr>
          <w:rFonts w:ascii="Times New Roman" w:hAnsi="Times New Roman" w:cs="Times New Roman"/>
          <w:sz w:val="24"/>
          <w:szCs w:val="24"/>
        </w:rPr>
        <w:t>s</w:t>
      </w:r>
      <w:r w:rsidR="00152FC7">
        <w:rPr>
          <w:rFonts w:ascii="Times New Roman" w:hAnsi="Times New Roman" w:cs="Times New Roman"/>
          <w:sz w:val="24"/>
          <w:szCs w:val="24"/>
        </w:rPr>
        <w:t xml:space="preserve"> necessitates that</w:t>
      </w:r>
      <w:r w:rsidRPr="00945168">
        <w:rPr>
          <w:rFonts w:ascii="Times New Roman" w:hAnsi="Times New Roman" w:cs="Times New Roman"/>
          <w:sz w:val="24"/>
          <w:szCs w:val="24"/>
        </w:rPr>
        <w:t xml:space="preserve"> </w:t>
      </w:r>
      <w:r w:rsidR="00223FD2" w:rsidRPr="00945168">
        <w:rPr>
          <w:rFonts w:ascii="Times New Roman" w:hAnsi="Times New Roman" w:cs="Times New Roman"/>
          <w:sz w:val="24"/>
          <w:szCs w:val="24"/>
        </w:rPr>
        <w:t>manager’s</w:t>
      </w:r>
      <w:r w:rsidRPr="00945168">
        <w:rPr>
          <w:rFonts w:ascii="Times New Roman" w:hAnsi="Times New Roman" w:cs="Times New Roman"/>
          <w:sz w:val="24"/>
          <w:szCs w:val="24"/>
        </w:rPr>
        <w:t xml:space="preserve"> conduct an evaluation of the cash flows and any risks the bank would bear (Koch</w:t>
      </w:r>
      <w:r w:rsidR="004253EC" w:rsidRPr="00945168">
        <w:rPr>
          <w:rFonts w:ascii="Times New Roman" w:hAnsi="Times New Roman" w:cs="Times New Roman"/>
          <w:sz w:val="24"/>
          <w:szCs w:val="24"/>
        </w:rPr>
        <w:t xml:space="preserve"> an</w:t>
      </w:r>
      <w:r w:rsidR="00106E0A" w:rsidRPr="00945168">
        <w:rPr>
          <w:rFonts w:ascii="Times New Roman" w:hAnsi="Times New Roman" w:cs="Times New Roman"/>
          <w:sz w:val="24"/>
          <w:szCs w:val="24"/>
        </w:rPr>
        <w:t>d MacDonald,</w:t>
      </w:r>
      <w:r w:rsidR="002842B6">
        <w:rPr>
          <w:rFonts w:ascii="Times New Roman" w:hAnsi="Times New Roman" w:cs="Times New Roman"/>
          <w:sz w:val="24"/>
          <w:szCs w:val="24"/>
        </w:rPr>
        <w:t xml:space="preserve"> 2005</w:t>
      </w:r>
      <w:r w:rsidRPr="00945168">
        <w:rPr>
          <w:rFonts w:ascii="Times New Roman" w:hAnsi="Times New Roman" w:cs="Times New Roman"/>
          <w:sz w:val="24"/>
          <w:szCs w:val="24"/>
        </w:rPr>
        <w:t>).</w:t>
      </w:r>
    </w:p>
    <w:p w:rsidR="003B2CFB" w:rsidRPr="00945168" w:rsidRDefault="003B2CFB" w:rsidP="00152FC7">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It should be maintained that</w:t>
      </w:r>
      <w:r w:rsidR="00E32222">
        <w:rPr>
          <w:rFonts w:ascii="Times New Roman" w:hAnsi="Times New Roman" w:cs="Times New Roman"/>
          <w:sz w:val="24"/>
          <w:szCs w:val="24"/>
        </w:rPr>
        <w:t xml:space="preserve"> an</w:t>
      </w:r>
      <w:r w:rsidRPr="00945168">
        <w:rPr>
          <w:rFonts w:ascii="Times New Roman" w:hAnsi="Times New Roman" w:cs="Times New Roman"/>
          <w:sz w:val="24"/>
          <w:szCs w:val="24"/>
        </w:rPr>
        <w:t xml:space="preserve"> increase of profitability indicates that the bank management is investing in assets which generate the maximum amount of return possible coupled with reducti</w:t>
      </w:r>
      <w:r w:rsidR="00691350">
        <w:rPr>
          <w:rFonts w:ascii="Times New Roman" w:hAnsi="Times New Roman" w:cs="Times New Roman"/>
          <w:sz w:val="24"/>
          <w:szCs w:val="24"/>
        </w:rPr>
        <w:t xml:space="preserve">on of cost. However, there is a </w:t>
      </w:r>
      <w:r w:rsidRPr="00945168">
        <w:rPr>
          <w:rFonts w:ascii="Times New Roman" w:hAnsi="Times New Roman" w:cs="Times New Roman"/>
          <w:sz w:val="24"/>
          <w:szCs w:val="24"/>
        </w:rPr>
        <w:t>differenc</w:t>
      </w:r>
      <w:r w:rsidR="00E339A2">
        <w:rPr>
          <w:rFonts w:ascii="Times New Roman" w:hAnsi="Times New Roman" w:cs="Times New Roman"/>
          <w:sz w:val="24"/>
          <w:szCs w:val="24"/>
        </w:rPr>
        <w:t xml:space="preserve">e </w:t>
      </w:r>
      <w:r w:rsidRPr="00945168">
        <w:rPr>
          <w:rFonts w:ascii="Times New Roman" w:hAnsi="Times New Roman" w:cs="Times New Roman"/>
          <w:sz w:val="24"/>
          <w:szCs w:val="24"/>
        </w:rPr>
        <w:t>between maximization of profit and maximization of wealth. To make it possible for the bank to realize high returns, it has to hold more risks or reduce operating costs. In contrast, maximization of wealth requires that the bank management evaluate and strike a balance continually between the opportunity to obtain high returns and risks resulting from that endeavor (</w:t>
      </w:r>
      <w:r w:rsidR="00106E0A" w:rsidRPr="00945168">
        <w:rPr>
          <w:rFonts w:ascii="Times New Roman" w:hAnsi="Times New Roman" w:cs="Times New Roman"/>
          <w:sz w:val="24"/>
          <w:szCs w:val="24"/>
        </w:rPr>
        <w:t>Koch and MacDonald,</w:t>
      </w:r>
      <w:r w:rsidR="002842B6">
        <w:rPr>
          <w:rFonts w:ascii="Times New Roman" w:hAnsi="Times New Roman" w:cs="Times New Roman"/>
          <w:sz w:val="24"/>
          <w:szCs w:val="24"/>
        </w:rPr>
        <w:t xml:space="preserve"> 2005</w:t>
      </w:r>
      <w:r w:rsidRPr="00945168">
        <w:rPr>
          <w:rFonts w:ascii="Times New Roman" w:hAnsi="Times New Roman" w:cs="Times New Roman"/>
          <w:sz w:val="24"/>
          <w:szCs w:val="24"/>
        </w:rPr>
        <w:t>).</w:t>
      </w:r>
      <w:r w:rsidR="00E32222">
        <w:rPr>
          <w:rFonts w:ascii="Times New Roman" w:hAnsi="Times New Roman" w:cs="Times New Roman"/>
          <w:sz w:val="24"/>
          <w:szCs w:val="24"/>
        </w:rPr>
        <w:t xml:space="preserve"> </w:t>
      </w:r>
      <w:r w:rsidR="00E32222" w:rsidRPr="00945168">
        <w:rPr>
          <w:rFonts w:ascii="Times New Roman" w:hAnsi="Times New Roman" w:cs="Times New Roman"/>
          <w:sz w:val="24"/>
          <w:szCs w:val="24"/>
        </w:rPr>
        <w:t>Banks are prone to many kinds of risks</w:t>
      </w:r>
      <w:r w:rsidR="00E32222">
        <w:rPr>
          <w:rFonts w:ascii="Times New Roman" w:hAnsi="Times New Roman" w:cs="Times New Roman"/>
          <w:sz w:val="24"/>
          <w:szCs w:val="24"/>
        </w:rPr>
        <w:t>.</w:t>
      </w:r>
      <w:r w:rsidR="00E32222" w:rsidRPr="00945168">
        <w:rPr>
          <w:rFonts w:ascii="Times New Roman" w:hAnsi="Times New Roman" w:cs="Times New Roman"/>
          <w:sz w:val="24"/>
          <w:szCs w:val="24"/>
        </w:rPr>
        <w:t xml:space="preserve"> </w:t>
      </w:r>
      <w:r w:rsidR="00E32222">
        <w:rPr>
          <w:rFonts w:ascii="Times New Roman" w:hAnsi="Times New Roman" w:cs="Times New Roman"/>
          <w:sz w:val="24"/>
          <w:szCs w:val="24"/>
        </w:rPr>
        <w:t>S</w:t>
      </w:r>
      <w:r w:rsidR="00E32222" w:rsidRPr="00945168">
        <w:rPr>
          <w:rFonts w:ascii="Times New Roman" w:hAnsi="Times New Roman" w:cs="Times New Roman"/>
          <w:sz w:val="24"/>
          <w:szCs w:val="24"/>
        </w:rPr>
        <w:t xml:space="preserve">ome of </w:t>
      </w:r>
      <w:r w:rsidR="00E32222">
        <w:rPr>
          <w:rFonts w:ascii="Times New Roman" w:hAnsi="Times New Roman" w:cs="Times New Roman"/>
          <w:sz w:val="24"/>
          <w:szCs w:val="24"/>
        </w:rPr>
        <w:t>them</w:t>
      </w:r>
      <w:r w:rsidRPr="00945168">
        <w:rPr>
          <w:rFonts w:ascii="Times New Roman" w:hAnsi="Times New Roman" w:cs="Times New Roman"/>
          <w:sz w:val="24"/>
          <w:szCs w:val="24"/>
        </w:rPr>
        <w:t xml:space="preserve"> are operation-related while others are asset-related. These risks might check on their ability to carry out their missions or they might affect their ability to achieve their goals: current and future. In the final analysis, these risks have an impact on bank returns and market value of assets and obligations. </w:t>
      </w:r>
    </w:p>
    <w:p w:rsidR="006A535A" w:rsidRDefault="005D1B38" w:rsidP="00D14F25">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There are many different ways</w:t>
      </w:r>
      <w:r w:rsidR="00E32222">
        <w:rPr>
          <w:rFonts w:ascii="Times New Roman" w:hAnsi="Times New Roman" w:cs="Times New Roman"/>
          <w:sz w:val="24"/>
          <w:szCs w:val="24"/>
        </w:rPr>
        <w:t xml:space="preserve"> on</w:t>
      </w:r>
      <w:r w:rsidRPr="00945168">
        <w:rPr>
          <w:rFonts w:ascii="Times New Roman" w:hAnsi="Times New Roman" w:cs="Times New Roman"/>
          <w:sz w:val="24"/>
          <w:szCs w:val="24"/>
        </w:rPr>
        <w:t xml:space="preserve"> how to define and classify banking risks. </w:t>
      </w:r>
      <w:r w:rsidR="003B2CFB" w:rsidRPr="00945168">
        <w:rPr>
          <w:rFonts w:ascii="Times New Roman" w:hAnsi="Times New Roman" w:cs="Times New Roman"/>
          <w:sz w:val="24"/>
          <w:szCs w:val="24"/>
        </w:rPr>
        <w:t>Scholars and analysts in recent decades have been trying to group banking risks into categories. The Basel Accords issued by the Basel Committee on Bank Supervisi</w:t>
      </w:r>
      <w:r w:rsidR="00E32222">
        <w:rPr>
          <w:rFonts w:ascii="Times New Roman" w:hAnsi="Times New Roman" w:cs="Times New Roman"/>
          <w:sz w:val="24"/>
          <w:szCs w:val="24"/>
        </w:rPr>
        <w:t>on (BCBS) mention three broad</w:t>
      </w:r>
      <w:r w:rsidR="003B2CFB" w:rsidRPr="00945168">
        <w:rPr>
          <w:rFonts w:ascii="Times New Roman" w:hAnsi="Times New Roman" w:cs="Times New Roman"/>
          <w:sz w:val="24"/>
          <w:szCs w:val="24"/>
        </w:rPr>
        <w:t xml:space="preserve"> risk types in the first pillar: credit, mar</w:t>
      </w:r>
      <w:r w:rsidR="0091581E">
        <w:rPr>
          <w:rFonts w:ascii="Times New Roman" w:hAnsi="Times New Roman" w:cs="Times New Roman"/>
          <w:sz w:val="24"/>
          <w:szCs w:val="24"/>
        </w:rPr>
        <w:t xml:space="preserve">ket and operational risks. </w:t>
      </w:r>
      <w:r w:rsidR="0091581E" w:rsidRPr="00945168">
        <w:rPr>
          <w:rFonts w:ascii="Times New Roman" w:hAnsi="Times New Roman" w:cs="Times New Roman"/>
          <w:sz w:val="24"/>
          <w:szCs w:val="24"/>
        </w:rPr>
        <w:t>The</w:t>
      </w:r>
      <w:r w:rsidR="003B2CFB" w:rsidRPr="00945168">
        <w:rPr>
          <w:rFonts w:ascii="Times New Roman" w:hAnsi="Times New Roman" w:cs="Times New Roman"/>
          <w:sz w:val="24"/>
          <w:szCs w:val="24"/>
        </w:rPr>
        <w:t xml:space="preserve"> second pillar deals with all other </w:t>
      </w:r>
      <w:r w:rsidR="00A253C9" w:rsidRPr="00945168">
        <w:rPr>
          <w:rFonts w:ascii="Times New Roman" w:hAnsi="Times New Roman" w:cs="Times New Roman"/>
          <w:sz w:val="24"/>
          <w:szCs w:val="24"/>
        </w:rPr>
        <w:t>risks (</w:t>
      </w:r>
      <w:r w:rsidR="00F70A29" w:rsidRPr="00945168">
        <w:rPr>
          <w:rFonts w:ascii="Times New Roman" w:hAnsi="Times New Roman" w:cs="Times New Roman"/>
          <w:sz w:val="24"/>
          <w:szCs w:val="24"/>
        </w:rPr>
        <w:t>Basel, 2006)</w:t>
      </w:r>
      <w:r w:rsidR="00617A09">
        <w:rPr>
          <w:rFonts w:ascii="Times New Roman" w:hAnsi="Times New Roman" w:cs="Times New Roman"/>
          <w:sz w:val="24"/>
          <w:szCs w:val="24"/>
        </w:rPr>
        <w:t xml:space="preserve">. </w:t>
      </w:r>
      <w:r w:rsidR="00E32222">
        <w:rPr>
          <w:rFonts w:ascii="Times New Roman" w:hAnsi="Times New Roman" w:cs="Times New Roman"/>
          <w:sz w:val="24"/>
          <w:szCs w:val="24"/>
        </w:rPr>
        <w:t>Another classification of bank</w:t>
      </w:r>
      <w:r w:rsidR="00851F58" w:rsidRPr="00945168">
        <w:rPr>
          <w:rFonts w:ascii="Times New Roman" w:hAnsi="Times New Roman" w:cs="Times New Roman"/>
          <w:sz w:val="24"/>
          <w:szCs w:val="24"/>
        </w:rPr>
        <w:t xml:space="preserve"> risks is introduced in “The Essentials of Risk Management” </w:t>
      </w:r>
      <w:r w:rsidR="00D14F25">
        <w:rPr>
          <w:rFonts w:ascii="Times New Roman" w:hAnsi="Times New Roman" w:cs="Times New Roman"/>
          <w:sz w:val="24"/>
          <w:szCs w:val="24"/>
        </w:rPr>
        <w:t>by</w:t>
      </w:r>
      <w:r w:rsidR="00851F58" w:rsidRPr="00945168">
        <w:rPr>
          <w:rFonts w:ascii="Times New Roman" w:hAnsi="Times New Roman" w:cs="Times New Roman"/>
          <w:sz w:val="24"/>
          <w:szCs w:val="24"/>
        </w:rPr>
        <w:t xml:space="preserve"> Cr</w:t>
      </w:r>
      <w:r w:rsidR="00617A09">
        <w:rPr>
          <w:rFonts w:ascii="Times New Roman" w:hAnsi="Times New Roman" w:cs="Times New Roman"/>
          <w:sz w:val="24"/>
          <w:szCs w:val="24"/>
        </w:rPr>
        <w:t>ouhy,</w:t>
      </w:r>
      <w:r w:rsidR="008934D8">
        <w:rPr>
          <w:rFonts w:ascii="Times New Roman" w:hAnsi="Times New Roman" w:cs="Times New Roman"/>
          <w:sz w:val="24"/>
          <w:szCs w:val="24"/>
        </w:rPr>
        <w:t xml:space="preserve"> et al., 2006.</w:t>
      </w:r>
    </w:p>
    <w:p w:rsidR="00DC2590" w:rsidRPr="00DC2590" w:rsidRDefault="00DC2590" w:rsidP="00D14F25">
      <w:pPr>
        <w:spacing w:line="360" w:lineRule="auto"/>
        <w:contextualSpacing/>
        <w:jc w:val="both"/>
        <w:rPr>
          <w:rFonts w:ascii="Times New Roman" w:hAnsi="Times New Roman" w:cs="Times New Roman"/>
          <w:sz w:val="10"/>
          <w:szCs w:val="10"/>
        </w:rPr>
      </w:pPr>
    </w:p>
    <w:p w:rsidR="00A54767" w:rsidRDefault="00A54767" w:rsidP="008C6A91">
      <w:pPr>
        <w:spacing w:line="360" w:lineRule="auto"/>
        <w:jc w:val="center"/>
        <w:rPr>
          <w:rFonts w:ascii="Times New Roman" w:hAnsi="Times New Roman" w:cs="Times New Roman"/>
          <w:b/>
        </w:rPr>
      </w:pPr>
    </w:p>
    <w:p w:rsidR="00A54767" w:rsidRDefault="00A54767" w:rsidP="008C6A91">
      <w:pPr>
        <w:spacing w:line="360" w:lineRule="auto"/>
        <w:jc w:val="center"/>
        <w:rPr>
          <w:rFonts w:ascii="Times New Roman" w:hAnsi="Times New Roman" w:cs="Times New Roman"/>
          <w:b/>
        </w:rPr>
      </w:pPr>
    </w:p>
    <w:p w:rsidR="00C15227" w:rsidRDefault="00C15227" w:rsidP="008C6A91">
      <w:pPr>
        <w:spacing w:line="360" w:lineRule="auto"/>
        <w:jc w:val="center"/>
        <w:rPr>
          <w:rFonts w:ascii="Times New Roman" w:hAnsi="Times New Roman" w:cs="Times New Roman"/>
          <w:b/>
        </w:rPr>
      </w:pPr>
    </w:p>
    <w:p w:rsidR="00C15227" w:rsidRDefault="00C15227" w:rsidP="008C6A91">
      <w:pPr>
        <w:spacing w:line="360" w:lineRule="auto"/>
        <w:jc w:val="center"/>
        <w:rPr>
          <w:rFonts w:ascii="Times New Roman" w:hAnsi="Times New Roman" w:cs="Times New Roman"/>
          <w:b/>
        </w:rPr>
      </w:pPr>
    </w:p>
    <w:p w:rsidR="00C15227" w:rsidRDefault="00C15227" w:rsidP="008C6A91">
      <w:pPr>
        <w:spacing w:line="360" w:lineRule="auto"/>
        <w:jc w:val="center"/>
        <w:rPr>
          <w:rFonts w:ascii="Times New Roman" w:hAnsi="Times New Roman" w:cs="Times New Roman"/>
          <w:b/>
        </w:rPr>
      </w:pPr>
    </w:p>
    <w:p w:rsidR="00C15227" w:rsidRDefault="00C15227" w:rsidP="008C6A91">
      <w:pPr>
        <w:spacing w:line="360" w:lineRule="auto"/>
        <w:jc w:val="center"/>
        <w:rPr>
          <w:rFonts w:ascii="Times New Roman" w:hAnsi="Times New Roman" w:cs="Times New Roman"/>
          <w:b/>
        </w:rPr>
      </w:pPr>
    </w:p>
    <w:p w:rsidR="00226573" w:rsidRPr="00F233E0" w:rsidRDefault="00226573" w:rsidP="008C6A91">
      <w:pPr>
        <w:spacing w:line="360" w:lineRule="auto"/>
        <w:jc w:val="center"/>
        <w:rPr>
          <w:rFonts w:ascii="Times New Roman" w:hAnsi="Times New Roman" w:cs="Times New Roman"/>
          <w:b/>
        </w:rPr>
      </w:pPr>
      <w:r w:rsidRPr="00F233E0">
        <w:rPr>
          <w:rFonts w:ascii="Times New Roman" w:hAnsi="Times New Roman" w:cs="Times New Roman"/>
          <w:b/>
        </w:rPr>
        <w:lastRenderedPageBreak/>
        <w:t>Figure</w:t>
      </w:r>
      <w:r w:rsidR="001331F3">
        <w:rPr>
          <w:rFonts w:ascii="Times New Roman" w:hAnsi="Times New Roman" w:cs="Times New Roman"/>
          <w:b/>
        </w:rPr>
        <w:t xml:space="preserve"> </w:t>
      </w:r>
      <w:r w:rsidR="00505631">
        <w:rPr>
          <w:rFonts w:ascii="Times New Roman" w:hAnsi="Times New Roman" w:cs="Times New Roman"/>
          <w:b/>
        </w:rPr>
        <w:t>2.1:</w:t>
      </w:r>
      <w:r w:rsidR="00505631" w:rsidRPr="00F233E0">
        <w:rPr>
          <w:rFonts w:ascii="Times New Roman" w:hAnsi="Times New Roman" w:cs="Times New Roman"/>
          <w:b/>
        </w:rPr>
        <w:t xml:space="preserve"> Typology</w:t>
      </w:r>
      <w:r w:rsidRPr="00F233E0">
        <w:rPr>
          <w:rFonts w:ascii="Times New Roman" w:hAnsi="Times New Roman" w:cs="Times New Roman"/>
          <w:b/>
        </w:rPr>
        <w:t xml:space="preserve"> of Risks</w:t>
      </w:r>
    </w:p>
    <w:p w:rsidR="00851F58" w:rsidRPr="00945168" w:rsidRDefault="00851F58" w:rsidP="00617A09">
      <w:pPr>
        <w:spacing w:line="360" w:lineRule="auto"/>
        <w:jc w:val="center"/>
        <w:rPr>
          <w:rFonts w:ascii="Times New Roman" w:hAnsi="Times New Roman" w:cs="Times New Roman"/>
          <w:sz w:val="24"/>
          <w:szCs w:val="24"/>
        </w:rPr>
      </w:pPr>
      <w:r w:rsidRPr="00945168">
        <w:rPr>
          <w:rFonts w:ascii="Times New Roman" w:hAnsi="Times New Roman" w:cs="Times New Roman"/>
          <w:noProof/>
          <w:sz w:val="24"/>
          <w:szCs w:val="24"/>
        </w:rPr>
        <w:drawing>
          <wp:inline distT="0" distB="0" distL="0" distR="0">
            <wp:extent cx="5440045" cy="157162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40045" cy="1571625"/>
                    </a:xfrm>
                    <a:prstGeom prst="rect">
                      <a:avLst/>
                    </a:prstGeom>
                    <a:noFill/>
                    <a:ln w="9525">
                      <a:noFill/>
                      <a:miter lim="800000"/>
                      <a:headEnd/>
                      <a:tailEnd/>
                    </a:ln>
                  </pic:spPr>
                </pic:pic>
              </a:graphicData>
            </a:graphic>
          </wp:inline>
        </w:drawing>
      </w:r>
    </w:p>
    <w:p w:rsidR="00F739F9" w:rsidRPr="00C12167" w:rsidRDefault="00226573" w:rsidP="001A617E">
      <w:pPr>
        <w:spacing w:line="360" w:lineRule="auto"/>
        <w:jc w:val="center"/>
        <w:rPr>
          <w:rFonts w:asciiTheme="majorBidi" w:hAnsiTheme="majorBidi" w:cstheme="majorBidi"/>
          <w:sz w:val="20"/>
          <w:szCs w:val="20"/>
        </w:rPr>
      </w:pPr>
      <w:r w:rsidRPr="00C12167">
        <w:rPr>
          <w:rFonts w:asciiTheme="majorBidi" w:hAnsiTheme="majorBidi" w:cstheme="majorBidi"/>
          <w:sz w:val="20"/>
          <w:szCs w:val="20"/>
        </w:rPr>
        <w:t xml:space="preserve">Source: </w:t>
      </w:r>
      <w:r w:rsidR="00D14F25" w:rsidRPr="00C12167">
        <w:rPr>
          <w:rFonts w:asciiTheme="majorBidi" w:hAnsiTheme="majorBidi" w:cstheme="majorBidi"/>
          <w:sz w:val="20"/>
          <w:szCs w:val="20"/>
        </w:rPr>
        <w:t>Crouhy, et al.,</w:t>
      </w:r>
      <w:r w:rsidR="00256E98" w:rsidRPr="00C12167">
        <w:rPr>
          <w:rFonts w:asciiTheme="majorBidi" w:hAnsiTheme="majorBidi" w:cstheme="majorBidi"/>
          <w:sz w:val="20"/>
          <w:szCs w:val="20"/>
        </w:rPr>
        <w:t xml:space="preserve"> 2006.</w:t>
      </w:r>
    </w:p>
    <w:p w:rsidR="00DC2590" w:rsidRDefault="00152FC7" w:rsidP="00DC2590">
      <w:pPr>
        <w:pStyle w:val="Default"/>
        <w:spacing w:line="360" w:lineRule="auto"/>
      </w:pPr>
      <w:r>
        <w:t xml:space="preserve">According </w:t>
      </w:r>
      <w:r w:rsidR="0091581E">
        <w:t>to Greuning</w:t>
      </w:r>
      <w:r w:rsidR="00CC282D">
        <w:t xml:space="preserve"> and </w:t>
      </w:r>
      <w:r>
        <w:t xml:space="preserve">Bratanovic </w:t>
      </w:r>
      <w:r w:rsidRPr="00945168">
        <w:t>(2009)</w:t>
      </w:r>
      <w:r w:rsidR="00CC282D">
        <w:t xml:space="preserve">, </w:t>
      </w:r>
      <w:r w:rsidR="00CC282D" w:rsidRPr="00945168">
        <w:t xml:space="preserve">banking </w:t>
      </w:r>
      <w:r w:rsidR="00CC282D">
        <w:t xml:space="preserve">risks can be classified into different types as reported in table </w:t>
      </w:r>
      <w:r w:rsidR="00041766">
        <w:t>2.1</w:t>
      </w:r>
      <w:r w:rsidR="002813B1">
        <w:t>.</w:t>
      </w:r>
    </w:p>
    <w:p w:rsidR="00DC2590" w:rsidRPr="00DC2590" w:rsidRDefault="00DC2590" w:rsidP="00DC2590">
      <w:pPr>
        <w:pStyle w:val="Default"/>
        <w:spacing w:line="360" w:lineRule="auto"/>
        <w:jc w:val="center"/>
        <w:rPr>
          <w:sz w:val="10"/>
          <w:szCs w:val="10"/>
        </w:rPr>
      </w:pPr>
    </w:p>
    <w:p w:rsidR="00A50D7A" w:rsidRPr="00DC2590" w:rsidRDefault="00A50D7A" w:rsidP="00DC2590">
      <w:pPr>
        <w:pStyle w:val="Default"/>
        <w:spacing w:line="360" w:lineRule="auto"/>
        <w:jc w:val="center"/>
      </w:pPr>
      <w:r w:rsidRPr="00AF7426">
        <w:rPr>
          <w:b/>
          <w:bCs/>
          <w:sz w:val="22"/>
          <w:szCs w:val="22"/>
        </w:rPr>
        <w:t>Table</w:t>
      </w:r>
      <w:r w:rsidR="001331F3">
        <w:rPr>
          <w:b/>
          <w:bCs/>
          <w:sz w:val="22"/>
          <w:szCs w:val="22"/>
        </w:rPr>
        <w:t xml:space="preserve"> </w:t>
      </w:r>
      <w:r w:rsidR="00BA4FB9" w:rsidRPr="00AF7426">
        <w:rPr>
          <w:b/>
          <w:bCs/>
          <w:sz w:val="22"/>
          <w:szCs w:val="22"/>
        </w:rPr>
        <w:t>2.1</w:t>
      </w:r>
      <w:r w:rsidR="00505631">
        <w:rPr>
          <w:b/>
          <w:bCs/>
          <w:sz w:val="22"/>
          <w:szCs w:val="22"/>
        </w:rPr>
        <w:t>:</w:t>
      </w:r>
      <w:r w:rsidR="00505631" w:rsidRPr="00AF7426">
        <w:rPr>
          <w:b/>
          <w:bCs/>
          <w:sz w:val="22"/>
          <w:szCs w:val="22"/>
        </w:rPr>
        <w:t xml:space="preserve"> Different</w:t>
      </w:r>
      <w:r w:rsidRPr="00AF7426">
        <w:rPr>
          <w:b/>
          <w:bCs/>
          <w:sz w:val="22"/>
          <w:szCs w:val="22"/>
        </w:rPr>
        <w:t xml:space="preserve"> Types of Banking Ri</w:t>
      </w:r>
      <w:r w:rsidR="002842B6" w:rsidRPr="00AF7426">
        <w:rPr>
          <w:b/>
          <w:bCs/>
          <w:sz w:val="22"/>
          <w:szCs w:val="22"/>
        </w:rPr>
        <w:t>sks</w:t>
      </w:r>
    </w:p>
    <w:p w:rsidR="00A50D7A" w:rsidRPr="00945168" w:rsidRDefault="00A50D7A" w:rsidP="00505631">
      <w:pPr>
        <w:pStyle w:val="Default"/>
      </w:pPr>
    </w:p>
    <w:p w:rsidR="00A50D7A" w:rsidRPr="00945168" w:rsidRDefault="00A50D7A" w:rsidP="00CC282D">
      <w:pPr>
        <w:pStyle w:val="Default"/>
        <w:jc w:val="center"/>
      </w:pPr>
      <w:r w:rsidRPr="00945168">
        <w:rPr>
          <w:noProof/>
        </w:rPr>
        <w:drawing>
          <wp:inline distT="0" distB="0" distL="0" distR="0">
            <wp:extent cx="5314950" cy="2162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15692" cy="2162477"/>
                    </a:xfrm>
                    <a:prstGeom prst="rect">
                      <a:avLst/>
                    </a:prstGeom>
                    <a:noFill/>
                    <a:ln w="9525">
                      <a:noFill/>
                      <a:miter lim="800000"/>
                      <a:headEnd/>
                      <a:tailEnd/>
                    </a:ln>
                  </pic:spPr>
                </pic:pic>
              </a:graphicData>
            </a:graphic>
          </wp:inline>
        </w:drawing>
      </w:r>
    </w:p>
    <w:p w:rsidR="00381CE4" w:rsidRDefault="00381CE4" w:rsidP="00381CE4">
      <w:pPr>
        <w:pStyle w:val="Default"/>
        <w:ind w:right="-173"/>
        <w:jc w:val="center"/>
        <w:rPr>
          <w:sz w:val="20"/>
          <w:szCs w:val="20"/>
        </w:rPr>
      </w:pPr>
    </w:p>
    <w:p w:rsidR="00381CE4" w:rsidRDefault="00381CE4" w:rsidP="00381CE4">
      <w:pPr>
        <w:pStyle w:val="Default"/>
        <w:ind w:right="-173"/>
        <w:jc w:val="center"/>
        <w:rPr>
          <w:sz w:val="20"/>
          <w:szCs w:val="20"/>
        </w:rPr>
      </w:pPr>
      <w:r w:rsidRPr="00C12167">
        <w:rPr>
          <w:sz w:val="20"/>
          <w:szCs w:val="20"/>
        </w:rPr>
        <w:t>Source: Greuning and Bratanovic, 2009</w:t>
      </w:r>
    </w:p>
    <w:p w:rsidR="00381CE4" w:rsidRPr="00C12167" w:rsidRDefault="00381CE4" w:rsidP="001A617E">
      <w:pPr>
        <w:pStyle w:val="Default"/>
        <w:spacing w:after="240"/>
        <w:ind w:right="-173"/>
        <w:jc w:val="center"/>
        <w:rPr>
          <w:sz w:val="20"/>
          <w:szCs w:val="20"/>
        </w:rPr>
      </w:pPr>
    </w:p>
    <w:p w:rsidR="002614E7" w:rsidRPr="009165E4" w:rsidRDefault="008934D8" w:rsidP="009165E4">
      <w:pPr>
        <w:spacing w:line="360" w:lineRule="auto"/>
        <w:ind w:right="-170"/>
        <w:contextualSpacing/>
        <w:jc w:val="both"/>
        <w:rPr>
          <w:rFonts w:ascii="Times New Roman" w:hAnsi="Times New Roman" w:cs="Times New Roman"/>
          <w:bCs/>
          <w:sz w:val="24"/>
          <w:szCs w:val="24"/>
        </w:rPr>
      </w:pPr>
      <w:r>
        <w:rPr>
          <w:rFonts w:ascii="Times New Roman" w:hAnsi="Times New Roman" w:cs="Times New Roman"/>
          <w:sz w:val="24"/>
          <w:szCs w:val="24"/>
        </w:rPr>
        <w:t>Q</w:t>
      </w:r>
      <w:r w:rsidRPr="00945168">
        <w:rPr>
          <w:rFonts w:ascii="Times New Roman" w:hAnsi="Times New Roman" w:cs="Times New Roman"/>
          <w:sz w:val="24"/>
          <w:szCs w:val="24"/>
        </w:rPr>
        <w:t>uite</w:t>
      </w:r>
      <w:r w:rsidR="00BA1B3D">
        <w:rPr>
          <w:rFonts w:ascii="Times New Roman" w:hAnsi="Times New Roman" w:cs="Times New Roman"/>
          <w:bCs/>
          <w:sz w:val="24"/>
          <w:szCs w:val="24"/>
        </w:rPr>
        <w:t xml:space="preserve"> comprehensive </w:t>
      </w:r>
      <w:r>
        <w:rPr>
          <w:rFonts w:ascii="Times New Roman" w:hAnsi="Times New Roman" w:cs="Times New Roman"/>
          <w:bCs/>
          <w:sz w:val="24"/>
          <w:szCs w:val="24"/>
        </w:rPr>
        <w:t>classification of banking risks are presented by</w:t>
      </w:r>
      <w:r w:rsidR="00CC282D">
        <w:rPr>
          <w:rFonts w:ascii="Times New Roman" w:hAnsi="Times New Roman" w:cs="Times New Roman"/>
          <w:bCs/>
          <w:sz w:val="24"/>
          <w:szCs w:val="24"/>
        </w:rPr>
        <w:t xml:space="preserve"> Koch and MacDonald</w:t>
      </w:r>
      <w:r w:rsidR="00CC282D" w:rsidRPr="00AF0790">
        <w:rPr>
          <w:rFonts w:ascii="Times New Roman" w:hAnsi="Times New Roman" w:cs="Times New Roman"/>
          <w:bCs/>
          <w:sz w:val="24"/>
          <w:szCs w:val="24"/>
        </w:rPr>
        <w:t xml:space="preserve"> (2005</w:t>
      </w:r>
      <w:r w:rsidR="00CC282D">
        <w:rPr>
          <w:rFonts w:ascii="Times New Roman" w:hAnsi="Times New Roman" w:cs="Times New Roman"/>
          <w:bCs/>
          <w:sz w:val="24"/>
          <w:szCs w:val="24"/>
        </w:rPr>
        <w:t>)</w:t>
      </w:r>
      <w:r w:rsidR="00D14F25">
        <w:rPr>
          <w:rFonts w:ascii="Times New Roman" w:hAnsi="Times New Roman" w:cs="Times New Roman"/>
          <w:bCs/>
          <w:sz w:val="24"/>
          <w:szCs w:val="24"/>
        </w:rPr>
        <w:t>,</w:t>
      </w:r>
      <w:r>
        <w:rPr>
          <w:rFonts w:ascii="Times New Roman" w:hAnsi="Times New Roman" w:cs="Times New Roman"/>
          <w:bCs/>
          <w:sz w:val="24"/>
          <w:szCs w:val="24"/>
        </w:rPr>
        <w:t xml:space="preserve"> that b</w:t>
      </w:r>
      <w:r w:rsidR="00CC282D">
        <w:rPr>
          <w:rFonts w:ascii="Times New Roman" w:hAnsi="Times New Roman" w:cs="Times New Roman"/>
          <w:bCs/>
          <w:sz w:val="24"/>
          <w:szCs w:val="24"/>
        </w:rPr>
        <w:t>anks are v</w:t>
      </w:r>
      <w:r>
        <w:rPr>
          <w:rFonts w:ascii="Times New Roman" w:hAnsi="Times New Roman" w:cs="Times New Roman"/>
          <w:bCs/>
          <w:sz w:val="24"/>
          <w:szCs w:val="24"/>
        </w:rPr>
        <w:t>ulnerable to, presented as follows:</w:t>
      </w:r>
    </w:p>
    <w:p w:rsidR="005A7898" w:rsidRDefault="00F9770B" w:rsidP="005A7898">
      <w:pPr>
        <w:spacing w:line="360" w:lineRule="auto"/>
        <w:contextualSpacing/>
        <w:jc w:val="both"/>
        <w:rPr>
          <w:rFonts w:ascii="Times New Roman" w:hAnsi="Times New Roman" w:cs="Times New Roman"/>
          <w:bCs/>
          <w:sz w:val="24"/>
          <w:szCs w:val="24"/>
        </w:rPr>
      </w:pPr>
      <w:r w:rsidRPr="0072510E">
        <w:rPr>
          <w:rFonts w:asciiTheme="majorBidi" w:hAnsiTheme="majorBidi" w:cstheme="majorBidi"/>
          <w:b/>
          <w:sz w:val="24"/>
          <w:szCs w:val="24"/>
        </w:rPr>
        <w:t>2.1</w:t>
      </w:r>
      <w:r w:rsidR="0034478C" w:rsidRPr="0072510E">
        <w:rPr>
          <w:rFonts w:asciiTheme="majorBidi" w:hAnsiTheme="majorBidi" w:cstheme="majorBidi"/>
          <w:b/>
          <w:sz w:val="24"/>
          <w:szCs w:val="24"/>
        </w:rPr>
        <w:t>.3</w:t>
      </w:r>
      <w:r w:rsidR="00233221" w:rsidRPr="0072510E">
        <w:rPr>
          <w:rFonts w:asciiTheme="majorBidi" w:hAnsiTheme="majorBidi" w:cstheme="majorBidi"/>
          <w:b/>
          <w:sz w:val="24"/>
          <w:szCs w:val="24"/>
        </w:rPr>
        <w:t>.1</w:t>
      </w:r>
      <w:r w:rsidR="008B674F" w:rsidRPr="0072510E">
        <w:rPr>
          <w:rFonts w:asciiTheme="majorBidi" w:hAnsiTheme="majorBidi" w:cstheme="majorBidi"/>
          <w:b/>
          <w:sz w:val="24"/>
          <w:szCs w:val="24"/>
        </w:rPr>
        <w:t xml:space="preserve"> Credit R</w:t>
      </w:r>
      <w:r w:rsidR="00720826" w:rsidRPr="0072510E">
        <w:rPr>
          <w:rFonts w:asciiTheme="majorBidi" w:hAnsiTheme="majorBidi" w:cstheme="majorBidi"/>
          <w:b/>
          <w:sz w:val="24"/>
          <w:szCs w:val="24"/>
        </w:rPr>
        <w:t>isk</w:t>
      </w:r>
    </w:p>
    <w:p w:rsidR="00720826" w:rsidRPr="005A7898" w:rsidRDefault="00720826" w:rsidP="005A7898">
      <w:pPr>
        <w:spacing w:line="360" w:lineRule="auto"/>
        <w:contextualSpacing/>
        <w:jc w:val="both"/>
        <w:rPr>
          <w:rFonts w:ascii="Times New Roman" w:hAnsi="Times New Roman" w:cs="Times New Roman"/>
          <w:bCs/>
          <w:sz w:val="24"/>
          <w:szCs w:val="24"/>
        </w:rPr>
      </w:pPr>
      <w:r w:rsidRPr="00945168">
        <w:rPr>
          <w:rFonts w:ascii="Times New Roman" w:hAnsi="Times New Roman" w:cs="Times New Roman"/>
          <w:sz w:val="24"/>
          <w:szCs w:val="24"/>
        </w:rPr>
        <w:t xml:space="preserve">This type of risk is associated with quality of assets and probabilities of failure to repay. There is a huge difficulty which faces the evaluation process of assets quality due to the </w:t>
      </w:r>
      <w:r w:rsidRPr="00945168">
        <w:rPr>
          <w:rFonts w:ascii="Times New Roman" w:hAnsi="Times New Roman" w:cs="Times New Roman"/>
          <w:sz w:val="24"/>
          <w:szCs w:val="24"/>
        </w:rPr>
        <w:lastRenderedPageBreak/>
        <w:t>limitations and scarcity of published available information. Whenever the bank acquires one of the profitable assets, it bears the risk of failing to repay or because of bank borrower's failure to repay the asset amount. This in addition to interest on due dates and according to agreed upon conditions.</w:t>
      </w:r>
    </w:p>
    <w:p w:rsidR="0091581E" w:rsidRDefault="00720826" w:rsidP="005B093E">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 xml:space="preserve"> Credit risk is one key variable which affects net income and market value of equity resulting from failure to repay or delay of </w:t>
      </w:r>
      <w:r w:rsidR="00182094" w:rsidRPr="00945168">
        <w:rPr>
          <w:rFonts w:ascii="Times New Roman" w:hAnsi="Times New Roman" w:cs="Times New Roman"/>
          <w:sz w:val="24"/>
          <w:szCs w:val="24"/>
        </w:rPr>
        <w:t>repayment. There</w:t>
      </w:r>
      <w:r w:rsidRPr="00945168">
        <w:rPr>
          <w:rFonts w:ascii="Times New Roman" w:hAnsi="Times New Roman" w:cs="Times New Roman"/>
          <w:sz w:val="24"/>
          <w:szCs w:val="24"/>
        </w:rPr>
        <w:t xml:space="preserve"> are different kinds of assets which are characterized by probability of failure of repayment in them. These items include what is inside the budget such as loans and bonds. Items off the budget include credit letters and/ or credit documents. Loans are the biggest type and are characterized by a high degree of credit risk. Changes in general economic circumstances and enterprise operation environment affect cash flows available for repayment or servicing of debt. However, it is difficult to predict these circumstances. In addition, the individual's ability to repay the debt differs according to changes taking place in employment and his\her net wealth. Therefore, banks analyze the credit of each loan applicant separately to assess the borrower’s ability long before the accounting date reveals any problem.</w:t>
      </w:r>
    </w:p>
    <w:p w:rsidR="002614E7" w:rsidRPr="005B093E" w:rsidRDefault="002614E7" w:rsidP="005B093E">
      <w:pPr>
        <w:spacing w:line="360" w:lineRule="auto"/>
        <w:contextualSpacing/>
        <w:jc w:val="both"/>
        <w:rPr>
          <w:rFonts w:ascii="Times New Roman" w:hAnsi="Times New Roman" w:cs="Times New Roman"/>
          <w:sz w:val="24"/>
          <w:szCs w:val="24"/>
        </w:rPr>
      </w:pPr>
    </w:p>
    <w:p w:rsidR="009165E4" w:rsidRDefault="00F9770B" w:rsidP="009165E4">
      <w:pPr>
        <w:spacing w:line="360" w:lineRule="auto"/>
        <w:contextualSpacing/>
        <w:jc w:val="both"/>
        <w:rPr>
          <w:rFonts w:asciiTheme="majorBidi" w:hAnsiTheme="majorBidi" w:cstheme="majorBidi"/>
          <w:b/>
          <w:sz w:val="24"/>
          <w:szCs w:val="24"/>
        </w:rPr>
      </w:pPr>
      <w:r w:rsidRPr="00146760">
        <w:rPr>
          <w:rFonts w:asciiTheme="majorBidi" w:hAnsiTheme="majorBidi" w:cstheme="majorBidi"/>
          <w:b/>
          <w:sz w:val="24"/>
          <w:szCs w:val="24"/>
        </w:rPr>
        <w:t>2.</w:t>
      </w:r>
      <w:r w:rsidRPr="0072510E">
        <w:rPr>
          <w:rFonts w:asciiTheme="majorBidi" w:hAnsiTheme="majorBidi" w:cstheme="majorBidi"/>
          <w:b/>
          <w:sz w:val="24"/>
          <w:szCs w:val="24"/>
        </w:rPr>
        <w:t>1</w:t>
      </w:r>
      <w:r w:rsidR="0034478C" w:rsidRPr="0072510E">
        <w:rPr>
          <w:rFonts w:asciiTheme="majorBidi" w:hAnsiTheme="majorBidi" w:cstheme="majorBidi"/>
          <w:b/>
          <w:sz w:val="24"/>
          <w:szCs w:val="24"/>
        </w:rPr>
        <w:t>.3</w:t>
      </w:r>
      <w:r w:rsidR="00233221" w:rsidRPr="0072510E">
        <w:rPr>
          <w:rFonts w:asciiTheme="majorBidi" w:hAnsiTheme="majorBidi" w:cstheme="majorBidi"/>
          <w:b/>
          <w:sz w:val="24"/>
          <w:szCs w:val="24"/>
        </w:rPr>
        <w:t>.2</w:t>
      </w:r>
      <w:r w:rsidR="00720826" w:rsidRPr="0072510E">
        <w:rPr>
          <w:rFonts w:asciiTheme="majorBidi" w:hAnsiTheme="majorBidi" w:cstheme="majorBidi"/>
          <w:b/>
          <w:sz w:val="24"/>
          <w:szCs w:val="24"/>
        </w:rPr>
        <w:t xml:space="preserve"> Liquidity </w:t>
      </w:r>
      <w:r w:rsidR="00720826" w:rsidRPr="009165E4">
        <w:rPr>
          <w:rFonts w:asciiTheme="majorBidi" w:hAnsiTheme="majorBidi" w:cstheme="majorBidi"/>
          <w:b/>
          <w:sz w:val="24"/>
          <w:szCs w:val="24"/>
        </w:rPr>
        <w:t>Risks</w:t>
      </w:r>
    </w:p>
    <w:p w:rsidR="00720826" w:rsidRPr="002614E7" w:rsidRDefault="00720826" w:rsidP="009165E4">
      <w:pPr>
        <w:spacing w:line="360" w:lineRule="auto"/>
        <w:contextualSpacing/>
        <w:jc w:val="both"/>
        <w:rPr>
          <w:rFonts w:asciiTheme="majorBidi" w:hAnsiTheme="majorBidi" w:cstheme="majorBidi"/>
          <w:b/>
          <w:sz w:val="24"/>
          <w:szCs w:val="24"/>
        </w:rPr>
      </w:pPr>
      <w:r w:rsidRPr="009165E4">
        <w:rPr>
          <w:rFonts w:ascii="Times New Roman" w:hAnsi="Times New Roman" w:cs="Times New Roman"/>
          <w:sz w:val="24"/>
          <w:szCs w:val="24"/>
        </w:rPr>
        <w:t>These r</w:t>
      </w:r>
      <w:r w:rsidRPr="00945168">
        <w:rPr>
          <w:rFonts w:ascii="Times New Roman" w:hAnsi="Times New Roman" w:cs="Times New Roman"/>
          <w:sz w:val="24"/>
          <w:szCs w:val="24"/>
        </w:rPr>
        <w:t xml:space="preserve">isks represent current and potential risks in net income and market value of shareholders' </w:t>
      </w:r>
      <w:r w:rsidR="00FD119C" w:rsidRPr="00945168">
        <w:rPr>
          <w:rFonts w:ascii="Times New Roman" w:hAnsi="Times New Roman" w:cs="Times New Roman"/>
          <w:sz w:val="24"/>
          <w:szCs w:val="24"/>
        </w:rPr>
        <w:t>equity. These</w:t>
      </w:r>
      <w:r w:rsidRPr="00945168">
        <w:rPr>
          <w:rFonts w:ascii="Times New Roman" w:hAnsi="Times New Roman" w:cs="Times New Roman"/>
          <w:sz w:val="24"/>
          <w:szCs w:val="24"/>
        </w:rPr>
        <w:t xml:space="preserve"> usually ori</w:t>
      </w:r>
      <w:r w:rsidR="00194A63" w:rsidRPr="00945168">
        <w:rPr>
          <w:rFonts w:ascii="Times New Roman" w:hAnsi="Times New Roman" w:cs="Times New Roman"/>
          <w:sz w:val="24"/>
          <w:szCs w:val="24"/>
        </w:rPr>
        <w:t>ginate as a result of the bank’s</w:t>
      </w:r>
      <w:r w:rsidRPr="00945168">
        <w:rPr>
          <w:rFonts w:ascii="Times New Roman" w:hAnsi="Times New Roman" w:cs="Times New Roman"/>
          <w:sz w:val="24"/>
          <w:szCs w:val="24"/>
        </w:rPr>
        <w:t xml:space="preserve"> failure to meet its payments and financial obligations at maturity dates at reasonable cost whether through the selling of assets or obtaining of new loans (deposits) or their repayment at a higher cost .These ris</w:t>
      </w:r>
      <w:r w:rsidR="00194A63" w:rsidRPr="00945168">
        <w:rPr>
          <w:rFonts w:ascii="Times New Roman" w:hAnsi="Times New Roman" w:cs="Times New Roman"/>
          <w:sz w:val="24"/>
          <w:szCs w:val="24"/>
        </w:rPr>
        <w:t>ks increase when the bank hasn’t</w:t>
      </w:r>
      <w:r w:rsidRPr="00945168">
        <w:rPr>
          <w:rFonts w:ascii="Times New Roman" w:hAnsi="Times New Roman" w:cs="Times New Roman"/>
          <w:sz w:val="24"/>
          <w:szCs w:val="24"/>
        </w:rPr>
        <w:t xml:space="preserve"> the necessary finances to repay without incurring unreasonable losses and ownership of appropriate liquid assets that can be transformed into cash to meet the demand on withdrawal of deposits and applications for </w:t>
      </w:r>
      <w:r w:rsidR="00106E0A" w:rsidRPr="00945168">
        <w:rPr>
          <w:rFonts w:ascii="Times New Roman" w:hAnsi="Times New Roman" w:cs="Times New Roman"/>
          <w:sz w:val="24"/>
          <w:szCs w:val="24"/>
        </w:rPr>
        <w:t xml:space="preserve">different loans (Koch and MacDonald, </w:t>
      </w:r>
      <w:r w:rsidR="002842B6">
        <w:rPr>
          <w:rFonts w:ascii="Times New Roman" w:hAnsi="Times New Roman" w:cs="Times New Roman"/>
          <w:sz w:val="24"/>
          <w:szCs w:val="24"/>
        </w:rPr>
        <w:t>2005</w:t>
      </w:r>
      <w:r w:rsidRPr="00945168">
        <w:rPr>
          <w:rFonts w:ascii="Times New Roman" w:hAnsi="Times New Roman" w:cs="Times New Roman"/>
          <w:sz w:val="24"/>
          <w:szCs w:val="24"/>
        </w:rPr>
        <w:t>).</w:t>
      </w:r>
    </w:p>
    <w:p w:rsidR="00720826" w:rsidRPr="00945168" w:rsidRDefault="00720826" w:rsidP="00146760">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 xml:space="preserve">Liquidity risks originate as a result of failing to match between the due dates of assets and receivables and due to lack of follow up of deviations between the expected and the current money surplus. This is in addition to the failure of following up the swift statement which shows the condition of current accounts of the bank at the correspondence banks pertaining </w:t>
      </w:r>
      <w:r w:rsidRPr="00945168">
        <w:rPr>
          <w:rFonts w:ascii="Times New Roman" w:hAnsi="Times New Roman" w:cs="Times New Roman"/>
          <w:sz w:val="24"/>
          <w:szCs w:val="24"/>
        </w:rPr>
        <w:lastRenderedPageBreak/>
        <w:t>to foreign/hard currency and the consequences emanating from mismanagement of liquidity, increase of money cost, loss of alternative opportunity, drop of bank profits due to lack of employment of these funds (</w:t>
      </w:r>
      <w:r w:rsidR="00106E0A" w:rsidRPr="00945168">
        <w:rPr>
          <w:rFonts w:ascii="Times New Roman" w:hAnsi="Times New Roman" w:cs="Times New Roman"/>
          <w:sz w:val="24"/>
          <w:szCs w:val="24"/>
        </w:rPr>
        <w:t>Koch and MacDonald, 2005</w:t>
      </w:r>
      <w:r w:rsidRPr="00945168">
        <w:rPr>
          <w:rFonts w:ascii="Times New Roman" w:hAnsi="Times New Roman" w:cs="Times New Roman"/>
          <w:sz w:val="24"/>
          <w:szCs w:val="24"/>
        </w:rPr>
        <w:t>).</w:t>
      </w:r>
      <w:r w:rsidR="005A7898">
        <w:rPr>
          <w:rFonts w:ascii="Times New Roman" w:hAnsi="Times New Roman" w:cs="Times New Roman"/>
          <w:sz w:val="24"/>
          <w:szCs w:val="24"/>
        </w:rPr>
        <w:t xml:space="preserve"> </w:t>
      </w:r>
      <w:r w:rsidRPr="00945168">
        <w:rPr>
          <w:rFonts w:ascii="Times New Roman" w:hAnsi="Times New Roman" w:cs="Times New Roman"/>
          <w:sz w:val="24"/>
          <w:szCs w:val="24"/>
        </w:rPr>
        <w:t>Liquidity risks usually appear due to external and internal factors.</w:t>
      </w:r>
    </w:p>
    <w:p w:rsidR="004E284C" w:rsidRDefault="00720826" w:rsidP="00D965D5">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Internal factors include weakness of liquidity planning, poor distribution of assets on facilities of various degrees, sudden change of some obligations. External factors include economic recession and severe crises which originate in capital markets. (Sau</w:t>
      </w:r>
      <w:r w:rsidR="002842B6">
        <w:rPr>
          <w:rFonts w:ascii="Times New Roman" w:hAnsi="Times New Roman" w:cs="Times New Roman"/>
          <w:sz w:val="24"/>
          <w:szCs w:val="24"/>
        </w:rPr>
        <w:t>nders, et al., 2002</w:t>
      </w:r>
      <w:r w:rsidRPr="00945168">
        <w:rPr>
          <w:rFonts w:ascii="Times New Roman" w:hAnsi="Times New Roman" w:cs="Times New Roman"/>
          <w:sz w:val="24"/>
          <w:szCs w:val="24"/>
        </w:rPr>
        <w:t>).</w:t>
      </w:r>
      <w:r w:rsidR="00381CE4">
        <w:rPr>
          <w:rFonts w:ascii="Times New Roman" w:hAnsi="Times New Roman" w:cs="Times New Roman"/>
          <w:sz w:val="24"/>
          <w:szCs w:val="24"/>
        </w:rPr>
        <w:t xml:space="preserve"> </w:t>
      </w:r>
      <w:r w:rsidRPr="00945168">
        <w:rPr>
          <w:rFonts w:ascii="Times New Roman" w:hAnsi="Times New Roman" w:cs="Times New Roman"/>
          <w:sz w:val="24"/>
          <w:szCs w:val="24"/>
        </w:rPr>
        <w:t>Management of liquidity risks is done throu</w:t>
      </w:r>
      <w:r w:rsidR="00194A63" w:rsidRPr="00945168">
        <w:rPr>
          <w:rFonts w:ascii="Times New Roman" w:hAnsi="Times New Roman" w:cs="Times New Roman"/>
          <w:sz w:val="24"/>
          <w:szCs w:val="24"/>
        </w:rPr>
        <w:t>gh diversification of the bank’s</w:t>
      </w:r>
      <w:r w:rsidRPr="00945168">
        <w:rPr>
          <w:rFonts w:ascii="Times New Roman" w:hAnsi="Times New Roman" w:cs="Times New Roman"/>
          <w:sz w:val="24"/>
          <w:szCs w:val="24"/>
        </w:rPr>
        <w:t xml:space="preserve"> financial resources, study of assets in the frame of a monetary policy which represents preservation of a reasonable balance of liquidity, financial instruments that can be liquidated in the financial market, the daily flow of liquidity conditions at the bank, keeping a certain percentage of deposits and distribution of financing, diversification of financing decisions given to clients, diversification of installment due periods, coverage of deficit in liquidity through borrowing from the central bank or other banks, and refraining from focusing on a certain client or a group of clients and dealing with the surplus liquidity.</w:t>
      </w:r>
    </w:p>
    <w:p w:rsidR="002614E7" w:rsidRPr="005B093E" w:rsidRDefault="002614E7" w:rsidP="00D965D5">
      <w:pPr>
        <w:spacing w:line="360" w:lineRule="auto"/>
        <w:contextualSpacing/>
        <w:jc w:val="both"/>
        <w:rPr>
          <w:rFonts w:ascii="Times New Roman" w:hAnsi="Times New Roman" w:cs="Times New Roman"/>
          <w:sz w:val="24"/>
          <w:szCs w:val="24"/>
        </w:rPr>
      </w:pPr>
    </w:p>
    <w:p w:rsidR="00720826" w:rsidRPr="00D965D5" w:rsidRDefault="00573B40" w:rsidP="00D965D5">
      <w:pPr>
        <w:spacing w:line="360" w:lineRule="auto"/>
        <w:contextualSpacing/>
        <w:jc w:val="both"/>
        <w:rPr>
          <w:rFonts w:ascii="Times New Roman" w:hAnsi="Times New Roman" w:cs="Times New Roman"/>
          <w:b/>
          <w:sz w:val="24"/>
          <w:szCs w:val="24"/>
        </w:rPr>
      </w:pPr>
      <w:r w:rsidRPr="0072510E">
        <w:rPr>
          <w:rFonts w:asciiTheme="majorBidi" w:hAnsiTheme="majorBidi" w:cstheme="majorBidi"/>
          <w:b/>
          <w:sz w:val="24"/>
          <w:szCs w:val="24"/>
        </w:rPr>
        <w:t xml:space="preserve">2.1.3.3 </w:t>
      </w:r>
      <w:r w:rsidR="00720826" w:rsidRPr="0072510E">
        <w:rPr>
          <w:rFonts w:asciiTheme="majorBidi" w:hAnsiTheme="majorBidi" w:cstheme="majorBidi"/>
          <w:b/>
          <w:sz w:val="24"/>
          <w:szCs w:val="24"/>
        </w:rPr>
        <w:t>Market Risks</w:t>
      </w:r>
    </w:p>
    <w:p w:rsidR="00F739F9" w:rsidRDefault="000D4629" w:rsidP="00256E98">
      <w:pPr>
        <w:autoSpaceDE w:val="0"/>
        <w:autoSpaceDN w:val="0"/>
        <w:adjustRightInd w:val="0"/>
        <w:spacing w:after="0" w:line="360" w:lineRule="auto"/>
        <w:contextualSpacing/>
        <w:rPr>
          <w:rFonts w:ascii="Times New Roman" w:hAnsi="Times New Roman" w:cs="Times New Roman"/>
          <w:sz w:val="24"/>
          <w:szCs w:val="24"/>
        </w:rPr>
      </w:pPr>
      <w:r w:rsidRPr="00945168">
        <w:rPr>
          <w:rFonts w:ascii="Times New Roman" w:hAnsi="Times New Roman" w:cs="Times New Roman"/>
          <w:sz w:val="24"/>
          <w:szCs w:val="24"/>
        </w:rPr>
        <w:t>Market Risk is the risk of losses in on- and off-balance sheet positions arising from movements in market p</w:t>
      </w:r>
      <w:r w:rsidR="002842B6">
        <w:rPr>
          <w:rFonts w:ascii="Times New Roman" w:hAnsi="Times New Roman" w:cs="Times New Roman"/>
          <w:sz w:val="24"/>
          <w:szCs w:val="24"/>
        </w:rPr>
        <w:t>rices (Bangkok Bank, 2009</w:t>
      </w:r>
      <w:r w:rsidRPr="00945168">
        <w:rPr>
          <w:rFonts w:ascii="Times New Roman" w:hAnsi="Times New Roman" w:cs="Times New Roman"/>
          <w:sz w:val="24"/>
          <w:szCs w:val="24"/>
        </w:rPr>
        <w:t>).</w:t>
      </w:r>
    </w:p>
    <w:p w:rsidR="002813B1" w:rsidRDefault="007875D0" w:rsidP="002813B1">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Market risks r</w:t>
      </w:r>
      <w:r w:rsidR="00720826" w:rsidRPr="00945168">
        <w:rPr>
          <w:rFonts w:ascii="Times New Roman" w:hAnsi="Times New Roman" w:cs="Times New Roman"/>
          <w:sz w:val="24"/>
          <w:szCs w:val="24"/>
        </w:rPr>
        <w:t>epresent both current and potential risks. These risks, in turn, have an impact on both net income a</w:t>
      </w:r>
      <w:r w:rsidR="00D01907" w:rsidRPr="00945168">
        <w:rPr>
          <w:rFonts w:ascii="Times New Roman" w:hAnsi="Times New Roman" w:cs="Times New Roman"/>
          <w:sz w:val="24"/>
          <w:szCs w:val="24"/>
        </w:rPr>
        <w:t>nd market value of shareholders’</w:t>
      </w:r>
      <w:r w:rsidR="00720826" w:rsidRPr="00945168">
        <w:rPr>
          <w:rFonts w:ascii="Times New Roman" w:hAnsi="Times New Roman" w:cs="Times New Roman"/>
          <w:sz w:val="24"/>
          <w:szCs w:val="24"/>
        </w:rPr>
        <w:t xml:space="preserve"> equity. They usually originate from changes or moves in market rates and rates of</w:t>
      </w:r>
      <w:r w:rsidR="00194A63" w:rsidRPr="00945168">
        <w:rPr>
          <w:rFonts w:ascii="Times New Roman" w:hAnsi="Times New Roman" w:cs="Times New Roman"/>
          <w:sz w:val="24"/>
          <w:szCs w:val="24"/>
        </w:rPr>
        <w:t xml:space="preserve"> prices. These risks are systematic</w:t>
      </w:r>
      <w:r w:rsidR="00720826" w:rsidRPr="00945168">
        <w:rPr>
          <w:rFonts w:ascii="Times New Roman" w:hAnsi="Times New Roman" w:cs="Times New Roman"/>
          <w:sz w:val="24"/>
          <w:szCs w:val="24"/>
        </w:rPr>
        <w:t xml:space="preserve"> and their effect is reflected on both assets and obligations. Market risks include interest rate risks, asset pricing risks</w:t>
      </w:r>
      <w:r w:rsidR="000D4629" w:rsidRPr="00945168">
        <w:rPr>
          <w:rFonts w:ascii="Times New Roman" w:hAnsi="Times New Roman" w:cs="Times New Roman"/>
          <w:sz w:val="24"/>
          <w:szCs w:val="24"/>
        </w:rPr>
        <w:t xml:space="preserve"> (equity and commodity prices)</w:t>
      </w:r>
      <w:r w:rsidR="00720826" w:rsidRPr="00945168">
        <w:rPr>
          <w:rFonts w:ascii="Times New Roman" w:hAnsi="Times New Roman" w:cs="Times New Roman"/>
          <w:sz w:val="24"/>
          <w:szCs w:val="24"/>
        </w:rPr>
        <w:t xml:space="preserve"> and currency exchange risks (Santo</w:t>
      </w:r>
      <w:r w:rsidR="008934D8">
        <w:rPr>
          <w:rFonts w:ascii="Times New Roman" w:hAnsi="Times New Roman" w:cs="Times New Roman"/>
          <w:sz w:val="24"/>
          <w:szCs w:val="24"/>
        </w:rPr>
        <w:t>mmero and</w:t>
      </w:r>
      <w:r w:rsidR="002842B6">
        <w:rPr>
          <w:rFonts w:ascii="Times New Roman" w:hAnsi="Times New Roman" w:cs="Times New Roman"/>
          <w:sz w:val="24"/>
          <w:szCs w:val="24"/>
        </w:rPr>
        <w:t xml:space="preserve"> Babble, 2004</w:t>
      </w:r>
      <w:r w:rsidR="00661420" w:rsidRPr="00945168">
        <w:rPr>
          <w:rFonts w:ascii="Times New Roman" w:hAnsi="Times New Roman" w:cs="Times New Roman"/>
          <w:sz w:val="24"/>
          <w:szCs w:val="24"/>
        </w:rPr>
        <w:t>).</w:t>
      </w:r>
    </w:p>
    <w:p w:rsidR="00720826" w:rsidRPr="002813B1" w:rsidRDefault="00AF7426" w:rsidP="00F873C9">
      <w:pPr>
        <w:pStyle w:val="ListParagraph"/>
        <w:numPr>
          <w:ilvl w:val="0"/>
          <w:numId w:val="31"/>
        </w:numPr>
        <w:spacing w:line="360" w:lineRule="auto"/>
        <w:jc w:val="both"/>
        <w:rPr>
          <w:rFonts w:ascii="Times New Roman" w:hAnsi="Times New Roman" w:cs="Times New Roman"/>
          <w:sz w:val="24"/>
          <w:szCs w:val="24"/>
        </w:rPr>
      </w:pPr>
      <w:r w:rsidRPr="002813B1">
        <w:rPr>
          <w:rFonts w:ascii="Times New Roman" w:hAnsi="Times New Roman" w:cs="Times New Roman"/>
          <w:b/>
          <w:sz w:val="24"/>
          <w:szCs w:val="24"/>
        </w:rPr>
        <w:t>Interest Rate R</w:t>
      </w:r>
      <w:r w:rsidR="00720826" w:rsidRPr="002813B1">
        <w:rPr>
          <w:rFonts w:ascii="Times New Roman" w:hAnsi="Times New Roman" w:cs="Times New Roman"/>
          <w:b/>
          <w:sz w:val="24"/>
          <w:szCs w:val="24"/>
        </w:rPr>
        <w:t>isks</w:t>
      </w:r>
    </w:p>
    <w:p w:rsidR="00D01907" w:rsidRPr="00945168" w:rsidRDefault="00720826" w:rsidP="00D01907">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These risks originate as a result of mismatch betwee</w:t>
      </w:r>
      <w:r w:rsidR="00194A63" w:rsidRPr="00945168">
        <w:rPr>
          <w:rFonts w:ascii="Times New Roman" w:hAnsi="Times New Roman" w:cs="Times New Roman"/>
          <w:sz w:val="24"/>
          <w:szCs w:val="24"/>
        </w:rPr>
        <w:t>n the due assets and liabilities</w:t>
      </w:r>
      <w:r w:rsidRPr="00945168">
        <w:rPr>
          <w:rFonts w:ascii="Times New Roman" w:hAnsi="Times New Roman" w:cs="Times New Roman"/>
          <w:sz w:val="24"/>
          <w:szCs w:val="24"/>
        </w:rPr>
        <w:t>, thus leading to difference in cost of refinance or reinvestmen</w:t>
      </w:r>
      <w:r w:rsidR="002842B6">
        <w:rPr>
          <w:rFonts w:ascii="Times New Roman" w:hAnsi="Times New Roman" w:cs="Times New Roman"/>
          <w:sz w:val="24"/>
          <w:szCs w:val="24"/>
        </w:rPr>
        <w:t>t (Rose and Hudgins, 2005</w:t>
      </w:r>
      <w:r w:rsidRPr="00945168">
        <w:rPr>
          <w:rFonts w:ascii="Times New Roman" w:hAnsi="Times New Roman" w:cs="Times New Roman"/>
          <w:sz w:val="24"/>
          <w:szCs w:val="24"/>
        </w:rPr>
        <w:t xml:space="preserve">).These </w:t>
      </w:r>
      <w:r w:rsidRPr="00945168">
        <w:rPr>
          <w:rFonts w:ascii="Times New Roman" w:hAnsi="Times New Roman" w:cs="Times New Roman"/>
          <w:sz w:val="24"/>
          <w:szCs w:val="24"/>
        </w:rPr>
        <w:lastRenderedPageBreak/>
        <w:t>interest rate risks show the basic change in net of bank interest income and market value of equity in comparison with the changes which occur in market</w:t>
      </w:r>
      <w:r w:rsidR="00106E0A" w:rsidRPr="00945168">
        <w:rPr>
          <w:rFonts w:ascii="Times New Roman" w:hAnsi="Times New Roman" w:cs="Times New Roman"/>
          <w:sz w:val="24"/>
          <w:szCs w:val="24"/>
        </w:rPr>
        <w:t xml:space="preserve"> interest rates (Koch and MacDonald,</w:t>
      </w:r>
      <w:r w:rsidR="002842B6">
        <w:rPr>
          <w:rFonts w:ascii="Times New Roman" w:hAnsi="Times New Roman" w:cs="Times New Roman"/>
          <w:sz w:val="24"/>
          <w:szCs w:val="24"/>
        </w:rPr>
        <w:t xml:space="preserve"> 2005</w:t>
      </w:r>
      <w:r w:rsidRPr="00945168">
        <w:rPr>
          <w:rFonts w:ascii="Times New Roman" w:hAnsi="Times New Roman" w:cs="Times New Roman"/>
          <w:sz w:val="24"/>
          <w:szCs w:val="24"/>
        </w:rPr>
        <w:t>).</w:t>
      </w:r>
    </w:p>
    <w:p w:rsidR="00720826" w:rsidRPr="00945168" w:rsidRDefault="00AF7426" w:rsidP="00F873C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b/>
          <w:sz w:val="24"/>
          <w:szCs w:val="24"/>
        </w:rPr>
        <w:t>Asset Pricing R</w:t>
      </w:r>
      <w:r w:rsidR="00720826" w:rsidRPr="00945168">
        <w:rPr>
          <w:rFonts w:ascii="Times New Roman" w:hAnsi="Times New Roman" w:cs="Times New Roman"/>
          <w:b/>
          <w:sz w:val="24"/>
          <w:szCs w:val="24"/>
        </w:rPr>
        <w:t>isks</w:t>
      </w:r>
    </w:p>
    <w:p w:rsidR="006A535A" w:rsidRPr="00945168" w:rsidRDefault="00720826" w:rsidP="00720826">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These risks originate due to</w:t>
      </w:r>
      <w:r w:rsidR="00194A63" w:rsidRPr="00945168">
        <w:rPr>
          <w:rFonts w:ascii="Times New Roman" w:hAnsi="Times New Roman" w:cs="Times New Roman"/>
          <w:sz w:val="24"/>
          <w:szCs w:val="24"/>
        </w:rPr>
        <w:t xml:space="preserve"> changes in assets prices and changes</w:t>
      </w:r>
      <w:r w:rsidRPr="00945168">
        <w:rPr>
          <w:rFonts w:ascii="Times New Roman" w:hAnsi="Times New Roman" w:cs="Times New Roman"/>
          <w:sz w:val="24"/>
          <w:szCs w:val="24"/>
        </w:rPr>
        <w:t xml:space="preserve"> in investment and credit portfolios in particular. These risks depend on internal factors, such as financing structure, and external factors </w:t>
      </w:r>
      <w:r w:rsidR="00E86A17">
        <w:rPr>
          <w:rFonts w:ascii="Times New Roman" w:hAnsi="Times New Roman" w:cs="Times New Roman"/>
          <w:sz w:val="24"/>
          <w:szCs w:val="24"/>
        </w:rPr>
        <w:t xml:space="preserve">such as economic circumstances </w:t>
      </w:r>
      <w:r w:rsidRPr="00945168">
        <w:rPr>
          <w:rFonts w:ascii="Times New Roman" w:hAnsi="Times New Roman" w:cs="Times New Roman"/>
          <w:sz w:val="24"/>
          <w:szCs w:val="24"/>
        </w:rPr>
        <w:t>(</w:t>
      </w:r>
      <w:r w:rsidR="00106E0A" w:rsidRPr="00945168">
        <w:rPr>
          <w:rFonts w:ascii="Times New Roman" w:hAnsi="Times New Roman" w:cs="Times New Roman"/>
          <w:sz w:val="24"/>
          <w:szCs w:val="24"/>
        </w:rPr>
        <w:t>Koch and</w:t>
      </w:r>
      <w:r w:rsidR="00727CB9">
        <w:rPr>
          <w:rFonts w:ascii="Times New Roman" w:hAnsi="Times New Roman" w:cs="Times New Roman"/>
          <w:sz w:val="24"/>
          <w:szCs w:val="24"/>
        </w:rPr>
        <w:t xml:space="preserve"> </w:t>
      </w:r>
      <w:r w:rsidR="00556C01" w:rsidRPr="00945168">
        <w:rPr>
          <w:rFonts w:ascii="Times New Roman" w:hAnsi="Times New Roman" w:cs="Times New Roman"/>
          <w:sz w:val="24"/>
          <w:szCs w:val="24"/>
        </w:rPr>
        <w:t>MacDonald, 2005</w:t>
      </w:r>
      <w:r w:rsidRPr="00945168">
        <w:rPr>
          <w:rFonts w:ascii="Times New Roman" w:hAnsi="Times New Roman" w:cs="Times New Roman"/>
          <w:sz w:val="24"/>
          <w:szCs w:val="24"/>
        </w:rPr>
        <w:t>).</w:t>
      </w:r>
    </w:p>
    <w:p w:rsidR="00720826" w:rsidRPr="00AF7426" w:rsidRDefault="00AF7426" w:rsidP="00F873C9">
      <w:pPr>
        <w:pStyle w:val="ListParagraph"/>
        <w:numPr>
          <w:ilvl w:val="0"/>
          <w:numId w:val="12"/>
        </w:numPr>
        <w:jc w:val="both"/>
        <w:rPr>
          <w:rFonts w:asciiTheme="majorBidi" w:hAnsiTheme="majorBidi" w:cstheme="majorBidi"/>
          <w:b/>
          <w:sz w:val="24"/>
          <w:szCs w:val="24"/>
        </w:rPr>
      </w:pPr>
      <w:r w:rsidRPr="00AF7426">
        <w:rPr>
          <w:rFonts w:asciiTheme="majorBidi" w:hAnsiTheme="majorBidi" w:cstheme="majorBidi"/>
          <w:b/>
          <w:sz w:val="24"/>
          <w:szCs w:val="24"/>
        </w:rPr>
        <w:t>Exchange Rate R</w:t>
      </w:r>
      <w:r w:rsidR="00720826" w:rsidRPr="00AF7426">
        <w:rPr>
          <w:rFonts w:asciiTheme="majorBidi" w:hAnsiTheme="majorBidi" w:cstheme="majorBidi"/>
          <w:b/>
          <w:sz w:val="24"/>
          <w:szCs w:val="24"/>
        </w:rPr>
        <w:t>isks</w:t>
      </w:r>
    </w:p>
    <w:p w:rsidR="00097D04" w:rsidRDefault="00720826" w:rsidP="005B093E">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These risks arise from dealing with foreign currencies and fluctuation of currency exchange rates. These risks usually impact foreign currency, price of assets and obligations and activities outside the budget. These risks increase when a change occurs in exchange rates of foreign currencies and when amounts of assets differ from obligations as a result of currency difference. Any change in exchange rates results in profit or loss and its impact appears in t</w:t>
      </w:r>
      <w:r w:rsidR="004A7E27" w:rsidRPr="00945168">
        <w:rPr>
          <w:rFonts w:ascii="Times New Roman" w:hAnsi="Times New Roman" w:cs="Times New Roman"/>
          <w:sz w:val="24"/>
          <w:szCs w:val="24"/>
        </w:rPr>
        <w:t>he market value of shareholders’</w:t>
      </w:r>
      <w:r w:rsidRPr="00945168">
        <w:rPr>
          <w:rFonts w:ascii="Times New Roman" w:hAnsi="Times New Roman" w:cs="Times New Roman"/>
          <w:sz w:val="24"/>
          <w:szCs w:val="24"/>
        </w:rPr>
        <w:t xml:space="preserve"> equity (</w:t>
      </w:r>
      <w:r w:rsidR="00106E0A" w:rsidRPr="00945168">
        <w:rPr>
          <w:rFonts w:ascii="Times New Roman" w:hAnsi="Times New Roman" w:cs="Times New Roman"/>
          <w:sz w:val="24"/>
          <w:szCs w:val="24"/>
        </w:rPr>
        <w:t>Koch and MacDonald,</w:t>
      </w:r>
      <w:r w:rsidR="002842B6">
        <w:rPr>
          <w:rFonts w:ascii="Times New Roman" w:hAnsi="Times New Roman" w:cs="Times New Roman"/>
          <w:sz w:val="24"/>
          <w:szCs w:val="24"/>
        </w:rPr>
        <w:t xml:space="preserve"> 2005</w:t>
      </w:r>
      <w:r w:rsidRPr="00945168">
        <w:rPr>
          <w:rFonts w:ascii="Times New Roman" w:hAnsi="Times New Roman" w:cs="Times New Roman"/>
          <w:sz w:val="24"/>
          <w:szCs w:val="24"/>
        </w:rPr>
        <w:t>).</w:t>
      </w:r>
    </w:p>
    <w:p w:rsidR="002614E7" w:rsidRPr="005B093E" w:rsidRDefault="002614E7" w:rsidP="005B093E">
      <w:pPr>
        <w:spacing w:line="360" w:lineRule="auto"/>
        <w:contextualSpacing/>
        <w:jc w:val="both"/>
        <w:rPr>
          <w:rFonts w:ascii="Times New Roman" w:hAnsi="Times New Roman" w:cs="Times New Roman"/>
          <w:sz w:val="24"/>
          <w:szCs w:val="24"/>
        </w:rPr>
      </w:pPr>
    </w:p>
    <w:p w:rsidR="00D965D5" w:rsidRPr="0072510E" w:rsidRDefault="00F9770B" w:rsidP="00B65226">
      <w:pPr>
        <w:spacing w:line="360" w:lineRule="auto"/>
        <w:ind w:right="-284"/>
        <w:contextualSpacing/>
        <w:jc w:val="both"/>
        <w:rPr>
          <w:rFonts w:asciiTheme="majorBidi" w:hAnsiTheme="majorBidi" w:cstheme="majorBidi"/>
          <w:b/>
          <w:sz w:val="24"/>
          <w:szCs w:val="24"/>
        </w:rPr>
      </w:pPr>
      <w:r w:rsidRPr="0072510E">
        <w:rPr>
          <w:rFonts w:asciiTheme="majorBidi" w:hAnsiTheme="majorBidi" w:cstheme="majorBidi"/>
          <w:b/>
          <w:sz w:val="24"/>
          <w:szCs w:val="24"/>
        </w:rPr>
        <w:t>2.1</w:t>
      </w:r>
      <w:r w:rsidR="0034478C" w:rsidRPr="0072510E">
        <w:rPr>
          <w:rFonts w:asciiTheme="majorBidi" w:hAnsiTheme="majorBidi" w:cstheme="majorBidi"/>
          <w:b/>
          <w:sz w:val="24"/>
          <w:szCs w:val="24"/>
        </w:rPr>
        <w:t>.3</w:t>
      </w:r>
      <w:r w:rsidR="00233221" w:rsidRPr="0072510E">
        <w:rPr>
          <w:rFonts w:asciiTheme="majorBidi" w:hAnsiTheme="majorBidi" w:cstheme="majorBidi"/>
          <w:b/>
          <w:sz w:val="24"/>
          <w:szCs w:val="24"/>
        </w:rPr>
        <w:t xml:space="preserve">.4 </w:t>
      </w:r>
      <w:r w:rsidR="00720826" w:rsidRPr="0072510E">
        <w:rPr>
          <w:rFonts w:asciiTheme="majorBidi" w:hAnsiTheme="majorBidi" w:cstheme="majorBidi"/>
          <w:b/>
          <w:sz w:val="24"/>
          <w:szCs w:val="24"/>
        </w:rPr>
        <w:t>Operational Risks</w:t>
      </w:r>
    </w:p>
    <w:p w:rsidR="00406052" w:rsidRPr="00945168" w:rsidRDefault="00406052" w:rsidP="00B65226">
      <w:pPr>
        <w:autoSpaceDE w:val="0"/>
        <w:autoSpaceDN w:val="0"/>
        <w:adjustRightInd w:val="0"/>
        <w:spacing w:after="0" w:line="360" w:lineRule="auto"/>
        <w:ind w:right="-170"/>
        <w:contextualSpacing/>
        <w:rPr>
          <w:rFonts w:ascii="Times New Roman" w:hAnsi="Times New Roman" w:cs="Times New Roman"/>
          <w:sz w:val="24"/>
          <w:szCs w:val="24"/>
        </w:rPr>
      </w:pPr>
      <w:r w:rsidRPr="00945168">
        <w:rPr>
          <w:rFonts w:ascii="Times New Roman" w:hAnsi="Times New Roman" w:cs="Times New Roman"/>
          <w:sz w:val="24"/>
          <w:szCs w:val="24"/>
        </w:rPr>
        <w:t>Operational risk is “the risk of loss from failed or inadequate internal processes, people and systems, or from external events. This includes legal risks, but does not include strategic risks and reputation risks” (monetary Aut</w:t>
      </w:r>
      <w:r w:rsidR="002842B6">
        <w:rPr>
          <w:rFonts w:ascii="Times New Roman" w:hAnsi="Times New Roman" w:cs="Times New Roman"/>
          <w:sz w:val="24"/>
          <w:szCs w:val="24"/>
        </w:rPr>
        <w:t>hority of Singapore, 2009</w:t>
      </w:r>
      <w:r w:rsidRPr="00945168">
        <w:rPr>
          <w:rFonts w:ascii="Times New Roman" w:hAnsi="Times New Roman" w:cs="Times New Roman"/>
          <w:sz w:val="24"/>
          <w:szCs w:val="24"/>
        </w:rPr>
        <w:t>).</w:t>
      </w:r>
    </w:p>
    <w:p w:rsidR="006A535A" w:rsidRDefault="009A02F5" w:rsidP="00406052">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These risks</w:t>
      </w:r>
      <w:r w:rsidR="00406052" w:rsidRPr="00945168">
        <w:rPr>
          <w:rFonts w:ascii="Times New Roman" w:hAnsi="Times New Roman" w:cs="Times New Roman"/>
          <w:sz w:val="24"/>
          <w:szCs w:val="24"/>
        </w:rPr>
        <w:t xml:space="preserve"> originate as a result of market</w:t>
      </w:r>
      <w:r w:rsidRPr="00945168">
        <w:rPr>
          <w:rFonts w:ascii="Times New Roman" w:hAnsi="Times New Roman" w:cs="Times New Roman"/>
          <w:sz w:val="24"/>
          <w:szCs w:val="24"/>
        </w:rPr>
        <w:t xml:space="preserve"> changes in operational expenses of what would be expected. This in turn leads to drop in net income and e</w:t>
      </w:r>
      <w:r w:rsidR="00D01907" w:rsidRPr="00945168">
        <w:rPr>
          <w:rFonts w:ascii="Times New Roman" w:hAnsi="Times New Roman" w:cs="Times New Roman"/>
          <w:sz w:val="24"/>
          <w:szCs w:val="24"/>
        </w:rPr>
        <w:t>nterprise value. Some banks don’</w:t>
      </w:r>
      <w:r w:rsidRPr="00945168">
        <w:rPr>
          <w:rFonts w:ascii="Times New Roman" w:hAnsi="Times New Roman" w:cs="Times New Roman"/>
          <w:sz w:val="24"/>
          <w:szCs w:val="24"/>
        </w:rPr>
        <w:t>t have competency to have control on direct costs</w:t>
      </w:r>
      <w:r w:rsidR="00E86A17">
        <w:rPr>
          <w:rFonts w:ascii="Times New Roman" w:hAnsi="Times New Roman" w:cs="Times New Roman"/>
          <w:sz w:val="24"/>
          <w:szCs w:val="24"/>
        </w:rPr>
        <w:t xml:space="preserve"> </w:t>
      </w:r>
      <w:r w:rsidR="00661420" w:rsidRPr="00945168">
        <w:rPr>
          <w:rFonts w:ascii="Times New Roman" w:hAnsi="Times New Roman" w:cs="Times New Roman"/>
          <w:sz w:val="24"/>
          <w:szCs w:val="24"/>
        </w:rPr>
        <w:t>(Koch</w:t>
      </w:r>
      <w:r w:rsidR="005426F2">
        <w:rPr>
          <w:rFonts w:ascii="Times New Roman" w:hAnsi="Times New Roman" w:cs="Times New Roman"/>
          <w:sz w:val="24"/>
          <w:szCs w:val="24"/>
        </w:rPr>
        <w:t>and MacDonald, 2005</w:t>
      </w:r>
      <w:r w:rsidRPr="00945168">
        <w:rPr>
          <w:rFonts w:ascii="Times New Roman" w:hAnsi="Times New Roman" w:cs="Times New Roman"/>
          <w:sz w:val="24"/>
          <w:szCs w:val="24"/>
        </w:rPr>
        <w:t>). Success of control and supervision of this type/category of risks depends on whether the bank system, through which products, financial services and different jobs are distributed,</w:t>
      </w:r>
      <w:r w:rsidR="00750260" w:rsidRPr="00945168">
        <w:rPr>
          <w:rFonts w:ascii="Times New Roman" w:hAnsi="Times New Roman" w:cs="Times New Roman"/>
          <w:sz w:val="24"/>
          <w:szCs w:val="24"/>
        </w:rPr>
        <w:t xml:space="preserve"> is run efficiently or not. It’s</w:t>
      </w:r>
      <w:r w:rsidRPr="00945168">
        <w:rPr>
          <w:rFonts w:ascii="Times New Roman" w:hAnsi="Times New Roman" w:cs="Times New Roman"/>
          <w:sz w:val="24"/>
          <w:szCs w:val="24"/>
        </w:rPr>
        <w:t xml:space="preserve"> also</w:t>
      </w:r>
      <w:r w:rsidR="0091581E">
        <w:rPr>
          <w:rFonts w:ascii="Times New Roman" w:hAnsi="Times New Roman" w:cs="Times New Roman"/>
          <w:sz w:val="24"/>
          <w:szCs w:val="24"/>
        </w:rPr>
        <w:t>\</w:t>
      </w:r>
      <w:r w:rsidRPr="00945168">
        <w:rPr>
          <w:rFonts w:ascii="Times New Roman" w:hAnsi="Times New Roman" w:cs="Times New Roman"/>
          <w:sz w:val="24"/>
          <w:szCs w:val="24"/>
        </w:rPr>
        <w:t>related to the presence of internal support systems providing processes efficiently (</w:t>
      </w:r>
      <w:r w:rsidR="00106E0A" w:rsidRPr="00945168">
        <w:rPr>
          <w:rFonts w:ascii="Times New Roman" w:hAnsi="Times New Roman" w:cs="Times New Roman"/>
          <w:sz w:val="24"/>
          <w:szCs w:val="24"/>
        </w:rPr>
        <w:t>Koch and MacDonald,</w:t>
      </w:r>
      <w:r w:rsidR="002842B6">
        <w:rPr>
          <w:rFonts w:ascii="Times New Roman" w:hAnsi="Times New Roman" w:cs="Times New Roman"/>
          <w:sz w:val="24"/>
          <w:szCs w:val="24"/>
        </w:rPr>
        <w:t xml:space="preserve"> 2005</w:t>
      </w:r>
      <w:r w:rsidRPr="00945168">
        <w:rPr>
          <w:rFonts w:ascii="Times New Roman" w:hAnsi="Times New Roman" w:cs="Times New Roman"/>
          <w:sz w:val="24"/>
          <w:szCs w:val="24"/>
        </w:rPr>
        <w:t>).</w:t>
      </w:r>
    </w:p>
    <w:p w:rsidR="00095558" w:rsidRDefault="00095558" w:rsidP="00B65226">
      <w:pPr>
        <w:spacing w:line="360" w:lineRule="auto"/>
        <w:contextualSpacing/>
        <w:jc w:val="both"/>
        <w:rPr>
          <w:rFonts w:asciiTheme="majorBidi" w:hAnsiTheme="majorBidi" w:cstheme="majorBidi"/>
          <w:b/>
          <w:sz w:val="24"/>
          <w:szCs w:val="24"/>
        </w:rPr>
      </w:pPr>
    </w:p>
    <w:p w:rsidR="009A02F5" w:rsidRPr="0072510E" w:rsidRDefault="00F9770B" w:rsidP="00B65226">
      <w:pPr>
        <w:spacing w:line="360" w:lineRule="auto"/>
        <w:contextualSpacing/>
        <w:jc w:val="both"/>
        <w:rPr>
          <w:rFonts w:asciiTheme="majorBidi" w:hAnsiTheme="majorBidi" w:cstheme="majorBidi"/>
          <w:b/>
          <w:sz w:val="24"/>
          <w:szCs w:val="24"/>
        </w:rPr>
      </w:pPr>
      <w:r w:rsidRPr="0072510E">
        <w:rPr>
          <w:rFonts w:asciiTheme="majorBidi" w:hAnsiTheme="majorBidi" w:cstheme="majorBidi"/>
          <w:b/>
          <w:sz w:val="24"/>
          <w:szCs w:val="24"/>
        </w:rPr>
        <w:lastRenderedPageBreak/>
        <w:t>2.1</w:t>
      </w:r>
      <w:r w:rsidR="0034478C" w:rsidRPr="0072510E">
        <w:rPr>
          <w:rFonts w:asciiTheme="majorBidi" w:hAnsiTheme="majorBidi" w:cstheme="majorBidi"/>
          <w:b/>
          <w:sz w:val="24"/>
          <w:szCs w:val="24"/>
        </w:rPr>
        <w:t>.3</w:t>
      </w:r>
      <w:r w:rsidR="00233221" w:rsidRPr="0072510E">
        <w:rPr>
          <w:rFonts w:asciiTheme="majorBidi" w:hAnsiTheme="majorBidi" w:cstheme="majorBidi"/>
          <w:b/>
          <w:sz w:val="24"/>
          <w:szCs w:val="24"/>
        </w:rPr>
        <w:t xml:space="preserve">.5 </w:t>
      </w:r>
      <w:r w:rsidR="007875D0" w:rsidRPr="0072510E">
        <w:rPr>
          <w:rFonts w:asciiTheme="majorBidi" w:hAnsiTheme="majorBidi" w:cstheme="majorBidi"/>
          <w:b/>
          <w:sz w:val="24"/>
          <w:szCs w:val="24"/>
        </w:rPr>
        <w:t>Capital Adequacy Risk</w:t>
      </w:r>
    </w:p>
    <w:p w:rsidR="006A535A" w:rsidRDefault="007875D0" w:rsidP="00B65226">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 xml:space="preserve">Capital Adequacy Risk is the risk that the Bank may not have sufficient capital reserves to operate its business or to absorb unexpected losses arising from credit, market and operational </w:t>
      </w:r>
      <w:r w:rsidR="002842B6">
        <w:rPr>
          <w:rFonts w:ascii="Times New Roman" w:hAnsi="Times New Roman" w:cs="Times New Roman"/>
          <w:sz w:val="24"/>
          <w:szCs w:val="24"/>
        </w:rPr>
        <w:t>risks (Bangkok Bank, 2009</w:t>
      </w:r>
      <w:r w:rsidRPr="00945168">
        <w:rPr>
          <w:rFonts w:ascii="Times New Roman" w:hAnsi="Times New Roman" w:cs="Times New Roman"/>
          <w:sz w:val="24"/>
          <w:szCs w:val="24"/>
        </w:rPr>
        <w:t xml:space="preserve">). </w:t>
      </w:r>
      <w:r w:rsidR="009A02F5" w:rsidRPr="00945168">
        <w:rPr>
          <w:rFonts w:ascii="Times New Roman" w:hAnsi="Times New Roman" w:cs="Times New Roman"/>
          <w:sz w:val="24"/>
          <w:szCs w:val="24"/>
        </w:rPr>
        <w:t>Capital risks arise as a result of insufficient capital to protect interests of all parties dealing with the bank. These parties are namely depositors, borrowers and investors as well as other stakeholder. Capital market risks cause a drop in market value of assets over market value of obligation (Koch</w:t>
      </w:r>
      <w:r w:rsidR="009165E4">
        <w:rPr>
          <w:rFonts w:ascii="Times New Roman" w:hAnsi="Times New Roman" w:cs="Times New Roman"/>
          <w:sz w:val="24"/>
          <w:szCs w:val="24"/>
        </w:rPr>
        <w:t xml:space="preserve"> </w:t>
      </w:r>
      <w:r w:rsidR="00106E0A" w:rsidRPr="00945168">
        <w:rPr>
          <w:rFonts w:ascii="Times New Roman" w:hAnsi="Times New Roman" w:cs="Times New Roman"/>
          <w:sz w:val="24"/>
          <w:szCs w:val="24"/>
        </w:rPr>
        <w:t>and MacDonald,</w:t>
      </w:r>
      <w:r w:rsidR="002842B6">
        <w:rPr>
          <w:rFonts w:ascii="Times New Roman" w:hAnsi="Times New Roman" w:cs="Times New Roman"/>
          <w:sz w:val="24"/>
          <w:szCs w:val="24"/>
        </w:rPr>
        <w:t xml:space="preserve"> 2005</w:t>
      </w:r>
      <w:r w:rsidR="009A02F5" w:rsidRPr="00945168">
        <w:rPr>
          <w:rFonts w:ascii="Times New Roman" w:hAnsi="Times New Roman" w:cs="Times New Roman"/>
          <w:sz w:val="24"/>
          <w:szCs w:val="24"/>
        </w:rPr>
        <w:t>).</w:t>
      </w:r>
    </w:p>
    <w:p w:rsidR="002614E7" w:rsidRPr="00945168" w:rsidRDefault="002614E7" w:rsidP="00B65226">
      <w:pPr>
        <w:spacing w:line="360" w:lineRule="auto"/>
        <w:contextualSpacing/>
        <w:jc w:val="both"/>
        <w:rPr>
          <w:rFonts w:ascii="Times New Roman" w:hAnsi="Times New Roman" w:cs="Times New Roman"/>
          <w:sz w:val="24"/>
          <w:szCs w:val="24"/>
        </w:rPr>
      </w:pPr>
    </w:p>
    <w:p w:rsidR="00D5366C" w:rsidRPr="0072510E" w:rsidRDefault="00F9770B" w:rsidP="00B65226">
      <w:pPr>
        <w:spacing w:line="360" w:lineRule="auto"/>
        <w:contextualSpacing/>
        <w:jc w:val="both"/>
        <w:rPr>
          <w:rFonts w:asciiTheme="majorBidi" w:hAnsiTheme="majorBidi" w:cstheme="majorBidi"/>
          <w:b/>
          <w:sz w:val="24"/>
          <w:szCs w:val="24"/>
        </w:rPr>
      </w:pPr>
      <w:r w:rsidRPr="0072510E">
        <w:rPr>
          <w:rFonts w:asciiTheme="majorBidi" w:hAnsiTheme="majorBidi" w:cstheme="majorBidi"/>
          <w:b/>
          <w:sz w:val="24"/>
          <w:szCs w:val="24"/>
        </w:rPr>
        <w:t>2.1</w:t>
      </w:r>
      <w:r w:rsidR="0034478C" w:rsidRPr="0072510E">
        <w:rPr>
          <w:rFonts w:asciiTheme="majorBidi" w:hAnsiTheme="majorBidi" w:cstheme="majorBidi"/>
          <w:b/>
          <w:sz w:val="24"/>
          <w:szCs w:val="24"/>
        </w:rPr>
        <w:t>.3</w:t>
      </w:r>
      <w:r w:rsidR="00233221" w:rsidRPr="0072510E">
        <w:rPr>
          <w:rFonts w:asciiTheme="majorBidi" w:hAnsiTheme="majorBidi" w:cstheme="majorBidi"/>
          <w:b/>
          <w:sz w:val="24"/>
          <w:szCs w:val="24"/>
        </w:rPr>
        <w:t xml:space="preserve">.6 </w:t>
      </w:r>
      <w:r w:rsidR="00D5366C" w:rsidRPr="0072510E">
        <w:rPr>
          <w:rFonts w:asciiTheme="majorBidi" w:hAnsiTheme="majorBidi" w:cstheme="majorBidi"/>
          <w:b/>
          <w:sz w:val="24"/>
          <w:szCs w:val="24"/>
        </w:rPr>
        <w:t>Legal Risks</w:t>
      </w:r>
    </w:p>
    <w:p w:rsidR="008D38BA" w:rsidRPr="00945168" w:rsidRDefault="005C5AAE" w:rsidP="00B65226">
      <w:pPr>
        <w:autoSpaceDE w:val="0"/>
        <w:autoSpaceDN w:val="0"/>
        <w:adjustRightInd w:val="0"/>
        <w:spacing w:after="0"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Legal risks affect</w:t>
      </w:r>
      <w:r w:rsidR="008D38BA" w:rsidRPr="00945168">
        <w:rPr>
          <w:rFonts w:ascii="Times New Roman" w:hAnsi="Times New Roman" w:cs="Times New Roman"/>
          <w:sz w:val="24"/>
          <w:szCs w:val="24"/>
        </w:rPr>
        <w:t xml:space="preserve"> the bank’s income and capital resulting from unexpected events such as legal claims, including class-action suits, inability to enforce contracts, or rulings against the bank, which may cause damage to the Group's profitability. According to the Bank of Israel’s definition, legal risk is “the risk of a loss due to the inability to enforce an agreement </w:t>
      </w:r>
      <w:r w:rsidR="00434668" w:rsidRPr="00945168">
        <w:rPr>
          <w:rFonts w:ascii="Times New Roman" w:hAnsi="Times New Roman" w:cs="Times New Roman"/>
          <w:sz w:val="24"/>
          <w:szCs w:val="24"/>
        </w:rPr>
        <w:t>by legal actions”.</w:t>
      </w:r>
      <w:r w:rsidR="008D38BA" w:rsidRPr="00945168">
        <w:rPr>
          <w:rFonts w:ascii="Times New Roman" w:hAnsi="Times New Roman" w:cs="Times New Roman"/>
          <w:sz w:val="24"/>
          <w:szCs w:val="24"/>
        </w:rPr>
        <w:t xml:space="preserve"> Risks of this kind in the Bank's work may arise from a wide range of diverse circumstances. Thus, for example, risks may arise from the absence of written documentation of contractual engagements between the Bank and its customers, or between the Bank and its suppliers or others.</w:t>
      </w:r>
    </w:p>
    <w:p w:rsidR="006A535A" w:rsidRPr="00945168" w:rsidRDefault="00D5366C" w:rsidP="002842B6">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 xml:space="preserve">These risks arise when the contracts between parties </w:t>
      </w:r>
      <w:r w:rsidR="00D501B4" w:rsidRPr="00945168">
        <w:rPr>
          <w:rFonts w:ascii="Times New Roman" w:hAnsi="Times New Roman" w:cs="Times New Roman"/>
          <w:sz w:val="24"/>
          <w:szCs w:val="24"/>
        </w:rPr>
        <w:t>are ambiguous or when they don’t</w:t>
      </w:r>
      <w:r w:rsidRPr="00945168">
        <w:rPr>
          <w:rFonts w:ascii="Times New Roman" w:hAnsi="Times New Roman" w:cs="Times New Roman"/>
          <w:sz w:val="24"/>
          <w:szCs w:val="24"/>
        </w:rPr>
        <w:t xml:space="preserve"> clearly and specifically spell out the rights and obligations (</w:t>
      </w:r>
      <w:r w:rsidR="00106E0A" w:rsidRPr="00945168">
        <w:rPr>
          <w:rFonts w:ascii="Times New Roman" w:hAnsi="Times New Roman" w:cs="Times New Roman"/>
          <w:sz w:val="24"/>
          <w:szCs w:val="24"/>
        </w:rPr>
        <w:t>Koch and MacDonald</w:t>
      </w:r>
      <w:r w:rsidR="002842B6">
        <w:rPr>
          <w:rFonts w:ascii="Times New Roman" w:hAnsi="Times New Roman" w:cs="Times New Roman"/>
          <w:sz w:val="24"/>
          <w:szCs w:val="24"/>
        </w:rPr>
        <w:t xml:space="preserve"> 2005</w:t>
      </w:r>
      <w:r w:rsidRPr="00945168">
        <w:rPr>
          <w:rFonts w:ascii="Times New Roman" w:hAnsi="Times New Roman" w:cs="Times New Roman"/>
          <w:sz w:val="24"/>
          <w:szCs w:val="24"/>
        </w:rPr>
        <w:t>).</w:t>
      </w:r>
      <w:r w:rsidR="004E0EF3">
        <w:rPr>
          <w:rFonts w:ascii="Times New Roman" w:hAnsi="Times New Roman" w:cs="Times New Roman"/>
          <w:sz w:val="24"/>
          <w:szCs w:val="24"/>
        </w:rPr>
        <w:t xml:space="preserve"> </w:t>
      </w:r>
      <w:r w:rsidR="002842B6">
        <w:rPr>
          <w:rFonts w:ascii="Times New Roman" w:hAnsi="Times New Roman" w:cs="Times New Roman"/>
          <w:sz w:val="24"/>
          <w:szCs w:val="24"/>
        </w:rPr>
        <w:t>According to Ghosh (2012</w:t>
      </w:r>
      <w:r w:rsidR="00D501B4" w:rsidRPr="00945168">
        <w:rPr>
          <w:rFonts w:ascii="Times New Roman" w:hAnsi="Times New Roman" w:cs="Times New Roman"/>
          <w:sz w:val="24"/>
          <w:szCs w:val="24"/>
        </w:rPr>
        <w:t xml:space="preserve">), legal risk is the risk of financial loss that arises from uncertainty of outcomes of legal suits filed by the bank in a court of law or from legal actions taken against it by third party. </w:t>
      </w:r>
    </w:p>
    <w:p w:rsidR="002614E7" w:rsidRDefault="002614E7" w:rsidP="00B65226">
      <w:pPr>
        <w:spacing w:line="360" w:lineRule="auto"/>
        <w:contextualSpacing/>
        <w:jc w:val="both"/>
        <w:rPr>
          <w:rFonts w:asciiTheme="majorBidi" w:hAnsiTheme="majorBidi" w:cstheme="majorBidi"/>
          <w:b/>
          <w:sz w:val="24"/>
          <w:szCs w:val="24"/>
        </w:rPr>
      </w:pPr>
    </w:p>
    <w:p w:rsidR="00D5366C" w:rsidRPr="0072510E" w:rsidRDefault="00F9770B" w:rsidP="00B65226">
      <w:pPr>
        <w:spacing w:line="360" w:lineRule="auto"/>
        <w:contextualSpacing/>
        <w:jc w:val="both"/>
        <w:rPr>
          <w:rFonts w:asciiTheme="majorBidi" w:hAnsiTheme="majorBidi" w:cstheme="majorBidi"/>
          <w:b/>
          <w:sz w:val="24"/>
          <w:szCs w:val="24"/>
        </w:rPr>
      </w:pPr>
      <w:r w:rsidRPr="0072510E">
        <w:rPr>
          <w:rFonts w:asciiTheme="majorBidi" w:hAnsiTheme="majorBidi" w:cstheme="majorBidi"/>
          <w:b/>
          <w:sz w:val="24"/>
          <w:szCs w:val="24"/>
        </w:rPr>
        <w:t>2.1</w:t>
      </w:r>
      <w:r w:rsidR="0034478C" w:rsidRPr="0072510E">
        <w:rPr>
          <w:rFonts w:asciiTheme="majorBidi" w:hAnsiTheme="majorBidi" w:cstheme="majorBidi"/>
          <w:b/>
          <w:sz w:val="24"/>
          <w:szCs w:val="24"/>
        </w:rPr>
        <w:t>.3</w:t>
      </w:r>
      <w:r w:rsidR="00233221" w:rsidRPr="0072510E">
        <w:rPr>
          <w:rFonts w:asciiTheme="majorBidi" w:hAnsiTheme="majorBidi" w:cstheme="majorBidi"/>
          <w:b/>
          <w:sz w:val="24"/>
          <w:szCs w:val="24"/>
        </w:rPr>
        <w:t xml:space="preserve">.7 </w:t>
      </w:r>
      <w:r w:rsidR="00D5366C" w:rsidRPr="0072510E">
        <w:rPr>
          <w:rFonts w:asciiTheme="majorBidi" w:hAnsiTheme="majorBidi" w:cstheme="majorBidi"/>
          <w:b/>
          <w:sz w:val="24"/>
          <w:szCs w:val="24"/>
        </w:rPr>
        <w:t>Reputation</w:t>
      </w:r>
      <w:r w:rsidR="00724401">
        <w:rPr>
          <w:rFonts w:asciiTheme="majorBidi" w:hAnsiTheme="majorBidi" w:cstheme="majorBidi"/>
          <w:b/>
          <w:sz w:val="24"/>
          <w:szCs w:val="24"/>
        </w:rPr>
        <w:t>al</w:t>
      </w:r>
      <w:r w:rsidR="00D5366C" w:rsidRPr="0072510E">
        <w:rPr>
          <w:rFonts w:asciiTheme="majorBidi" w:hAnsiTheme="majorBidi" w:cstheme="majorBidi"/>
          <w:b/>
          <w:sz w:val="24"/>
          <w:szCs w:val="24"/>
        </w:rPr>
        <w:t xml:space="preserve"> Risks</w:t>
      </w:r>
    </w:p>
    <w:p w:rsidR="006A535A" w:rsidRDefault="00D5366C" w:rsidP="00C055AE">
      <w:pPr>
        <w:spacing w:line="360" w:lineRule="auto"/>
        <w:contextualSpacing/>
        <w:jc w:val="both"/>
        <w:rPr>
          <w:rFonts w:ascii="Times New Roman" w:hAnsi="Times New Roman" w:cs="Times New Roman"/>
          <w:sz w:val="24"/>
          <w:szCs w:val="24"/>
          <w:lang w:bidi="ar-JO"/>
        </w:rPr>
      </w:pPr>
      <w:r w:rsidRPr="00945168">
        <w:rPr>
          <w:rFonts w:ascii="Times New Roman" w:hAnsi="Times New Roman" w:cs="Times New Roman"/>
          <w:sz w:val="24"/>
          <w:szCs w:val="24"/>
        </w:rPr>
        <w:t xml:space="preserve">Reputational risks arise due to the presence of a negative impression about the bank, thus causing losses in financing resources or </w:t>
      </w:r>
      <w:r w:rsidR="00CF2618" w:rsidRPr="00945168">
        <w:rPr>
          <w:rFonts w:ascii="Times New Roman" w:hAnsi="Times New Roman" w:cs="Times New Roman"/>
          <w:sz w:val="24"/>
          <w:szCs w:val="24"/>
        </w:rPr>
        <w:t>client’s</w:t>
      </w:r>
      <w:r w:rsidRPr="00945168">
        <w:rPr>
          <w:rFonts w:ascii="Times New Roman" w:hAnsi="Times New Roman" w:cs="Times New Roman"/>
          <w:sz w:val="24"/>
          <w:szCs w:val="24"/>
        </w:rPr>
        <w:t xml:space="preserve"> switching to competitive banks. These losses </w:t>
      </w:r>
      <w:r w:rsidR="004C7FCB" w:rsidRPr="00945168">
        <w:rPr>
          <w:rFonts w:ascii="Times New Roman" w:hAnsi="Times New Roman" w:cs="Times New Roman"/>
          <w:sz w:val="24"/>
          <w:szCs w:val="24"/>
        </w:rPr>
        <w:t>and drop in the number of bank’s</w:t>
      </w:r>
      <w:r w:rsidRPr="00945168">
        <w:rPr>
          <w:rFonts w:ascii="Times New Roman" w:hAnsi="Times New Roman" w:cs="Times New Roman"/>
          <w:sz w:val="24"/>
          <w:szCs w:val="24"/>
        </w:rPr>
        <w:t xml:space="preserve"> c</w:t>
      </w:r>
      <w:r w:rsidR="00750260" w:rsidRPr="00945168">
        <w:rPr>
          <w:rFonts w:ascii="Times New Roman" w:hAnsi="Times New Roman" w:cs="Times New Roman"/>
          <w:sz w:val="24"/>
          <w:szCs w:val="24"/>
        </w:rPr>
        <w:t>lients are due to bank managers’ and employees’</w:t>
      </w:r>
      <w:r w:rsidRPr="00945168">
        <w:rPr>
          <w:rFonts w:ascii="Times New Roman" w:hAnsi="Times New Roman" w:cs="Times New Roman"/>
          <w:sz w:val="24"/>
          <w:szCs w:val="24"/>
        </w:rPr>
        <w:t xml:space="preserve"> wrong practices\behaviors or due to failure to serve the clients quickly, accurately and with </w:t>
      </w:r>
      <w:r w:rsidRPr="00945168">
        <w:rPr>
          <w:rFonts w:ascii="Times New Roman" w:hAnsi="Times New Roman" w:cs="Times New Roman"/>
          <w:sz w:val="24"/>
          <w:szCs w:val="24"/>
        </w:rPr>
        <w:lastRenderedPageBreak/>
        <w:t xml:space="preserve">the expected </w:t>
      </w:r>
      <w:r w:rsidR="008934D8" w:rsidRPr="00945168">
        <w:rPr>
          <w:rFonts w:ascii="Times New Roman" w:hAnsi="Times New Roman" w:cs="Times New Roman"/>
          <w:sz w:val="24"/>
          <w:szCs w:val="24"/>
        </w:rPr>
        <w:t>quality. In</w:t>
      </w:r>
      <w:r w:rsidRPr="00945168">
        <w:rPr>
          <w:rFonts w:ascii="Times New Roman" w:hAnsi="Times New Roman" w:cs="Times New Roman"/>
          <w:sz w:val="24"/>
          <w:szCs w:val="24"/>
        </w:rPr>
        <w:t xml:space="preserve"> the final analysis, all this </w:t>
      </w:r>
      <w:r w:rsidR="004C7FCB" w:rsidRPr="00945168">
        <w:rPr>
          <w:rFonts w:ascii="Times New Roman" w:hAnsi="Times New Roman" w:cs="Times New Roman"/>
          <w:sz w:val="24"/>
          <w:szCs w:val="24"/>
        </w:rPr>
        <w:t>leads to shaking of the client’s</w:t>
      </w:r>
      <w:r w:rsidRPr="00945168">
        <w:rPr>
          <w:rFonts w:ascii="Times New Roman" w:hAnsi="Times New Roman" w:cs="Times New Roman"/>
          <w:sz w:val="24"/>
          <w:szCs w:val="24"/>
        </w:rPr>
        <w:t xml:space="preserve"> confidence in the bank. One example of that is the bank’s illegal practice, such as money laundering or financing of undesirable </w:t>
      </w:r>
      <w:r w:rsidR="009165E4">
        <w:rPr>
          <w:rFonts w:ascii="Times New Roman" w:hAnsi="Times New Roman" w:cs="Times New Roman"/>
          <w:sz w:val="24"/>
          <w:szCs w:val="24"/>
        </w:rPr>
        <w:t xml:space="preserve">sectors </w:t>
      </w:r>
      <w:r w:rsidRPr="00945168">
        <w:rPr>
          <w:rFonts w:ascii="Times New Roman" w:hAnsi="Times New Roman" w:cs="Times New Roman"/>
          <w:sz w:val="24"/>
          <w:szCs w:val="24"/>
        </w:rPr>
        <w:t>(</w:t>
      </w:r>
      <w:r w:rsidR="00106E0A" w:rsidRPr="00945168">
        <w:rPr>
          <w:rFonts w:ascii="Times New Roman" w:hAnsi="Times New Roman" w:cs="Times New Roman"/>
          <w:sz w:val="24"/>
          <w:szCs w:val="24"/>
        </w:rPr>
        <w:t>Koch and MacDonald,</w:t>
      </w:r>
      <w:r w:rsidR="008934D8">
        <w:rPr>
          <w:rFonts w:ascii="Times New Roman" w:hAnsi="Times New Roman" w:cs="Times New Roman"/>
          <w:sz w:val="24"/>
          <w:szCs w:val="24"/>
        </w:rPr>
        <w:t xml:space="preserve"> 2005</w:t>
      </w:r>
      <w:r w:rsidR="00381CE4">
        <w:rPr>
          <w:rFonts w:ascii="Times New Roman" w:hAnsi="Times New Roman" w:cs="Times New Roman"/>
          <w:sz w:val="24"/>
          <w:szCs w:val="24"/>
          <w:lang w:bidi="ar-JO"/>
        </w:rPr>
        <w:t>).</w:t>
      </w:r>
    </w:p>
    <w:p w:rsidR="002614E7" w:rsidRPr="00C055AE" w:rsidRDefault="002614E7" w:rsidP="00C055AE">
      <w:pPr>
        <w:spacing w:line="360" w:lineRule="auto"/>
        <w:contextualSpacing/>
        <w:jc w:val="both"/>
        <w:rPr>
          <w:rFonts w:ascii="Times New Roman" w:hAnsi="Times New Roman" w:cs="Times New Roman"/>
          <w:sz w:val="24"/>
          <w:szCs w:val="24"/>
          <w:lang w:bidi="ar-JO"/>
        </w:rPr>
      </w:pPr>
    </w:p>
    <w:p w:rsidR="00D5366C" w:rsidRDefault="0034478C" w:rsidP="00B65226">
      <w:pPr>
        <w:spacing w:line="360" w:lineRule="auto"/>
        <w:contextualSpacing/>
        <w:jc w:val="both"/>
        <w:rPr>
          <w:rFonts w:asciiTheme="majorBidi" w:hAnsiTheme="majorBidi" w:cstheme="majorBidi"/>
          <w:b/>
          <w:sz w:val="24"/>
          <w:szCs w:val="24"/>
        </w:rPr>
      </w:pPr>
      <w:r w:rsidRPr="007757FB">
        <w:rPr>
          <w:rFonts w:asciiTheme="majorBidi" w:hAnsiTheme="majorBidi" w:cstheme="majorBidi"/>
          <w:b/>
          <w:sz w:val="24"/>
          <w:szCs w:val="24"/>
        </w:rPr>
        <w:t>2.1.4</w:t>
      </w:r>
      <w:r w:rsidR="00F6304B">
        <w:rPr>
          <w:rFonts w:asciiTheme="majorBidi" w:hAnsiTheme="majorBidi" w:cstheme="majorBidi"/>
          <w:b/>
          <w:sz w:val="24"/>
          <w:szCs w:val="24"/>
        </w:rPr>
        <w:t xml:space="preserve"> </w:t>
      </w:r>
      <w:r w:rsidR="00DF5A0D" w:rsidRPr="007757FB">
        <w:rPr>
          <w:rFonts w:asciiTheme="majorBidi" w:hAnsiTheme="majorBidi" w:cstheme="majorBidi"/>
          <w:b/>
          <w:sz w:val="24"/>
          <w:szCs w:val="24"/>
        </w:rPr>
        <w:t>Banking Risk Management</w:t>
      </w:r>
    </w:p>
    <w:p w:rsidR="0001065D" w:rsidRPr="0091581E" w:rsidRDefault="00BE668C" w:rsidP="008D0C58">
      <w:pPr>
        <w:autoSpaceDE w:val="0"/>
        <w:autoSpaceDN w:val="0"/>
        <w:adjustRightInd w:val="0"/>
        <w:spacing w:after="0" w:line="360" w:lineRule="auto"/>
        <w:contextualSpacing/>
        <w:jc w:val="both"/>
        <w:rPr>
          <w:rFonts w:asciiTheme="majorBidi" w:hAnsiTheme="majorBidi" w:cstheme="majorBidi"/>
          <w:sz w:val="24"/>
          <w:szCs w:val="24"/>
        </w:rPr>
      </w:pPr>
      <w:r w:rsidRPr="00086DC1">
        <w:rPr>
          <w:rFonts w:asciiTheme="majorBidi" w:hAnsiTheme="majorBidi" w:cstheme="majorBidi"/>
          <w:sz w:val="24"/>
          <w:szCs w:val="24"/>
        </w:rPr>
        <w:t>Bank</w:t>
      </w:r>
      <w:r w:rsidR="00004C7D" w:rsidRPr="00086DC1">
        <w:rPr>
          <w:rFonts w:asciiTheme="majorBidi" w:hAnsiTheme="majorBidi" w:cstheme="majorBidi"/>
          <w:sz w:val="24"/>
          <w:szCs w:val="24"/>
        </w:rPr>
        <w:t>s</w:t>
      </w:r>
      <w:r w:rsidRPr="00086DC1">
        <w:rPr>
          <w:rFonts w:asciiTheme="majorBidi" w:hAnsiTheme="majorBidi" w:cstheme="majorBidi"/>
          <w:sz w:val="24"/>
          <w:szCs w:val="24"/>
        </w:rPr>
        <w:t xml:space="preserve"> nowadays are vulnerable to numerous risks due to the dramatic developments in different activities / operations, namely emergence of new products, introduction of new investment services and expansion in investment portfolio, let alone the huge developments in technology, telecoms and information </w:t>
      </w:r>
      <w:r w:rsidR="00540348" w:rsidRPr="00086DC1">
        <w:rPr>
          <w:rFonts w:asciiTheme="majorBidi" w:hAnsiTheme="majorBidi" w:cstheme="majorBidi"/>
          <w:sz w:val="24"/>
          <w:szCs w:val="24"/>
        </w:rPr>
        <w:t>systems.</w:t>
      </w:r>
      <w:r w:rsidR="00086DC1" w:rsidRPr="00086DC1">
        <w:rPr>
          <w:rFonts w:asciiTheme="majorBidi" w:hAnsiTheme="majorBidi" w:cstheme="majorBidi"/>
          <w:sz w:val="24"/>
          <w:szCs w:val="24"/>
        </w:rPr>
        <w:t xml:space="preserve"> The growing complexity of financial technology that arise from Deregulation and globalization of financial services, are making banking activities more varied and complicated</w:t>
      </w:r>
      <w:r w:rsidR="00086DC1">
        <w:rPr>
          <w:rFonts w:asciiTheme="majorBidi" w:hAnsiTheme="majorBidi" w:cstheme="majorBidi"/>
          <w:sz w:val="24"/>
          <w:szCs w:val="24"/>
        </w:rPr>
        <w:t xml:space="preserve">. </w:t>
      </w:r>
      <w:r w:rsidR="00512694" w:rsidRPr="00086DC1">
        <w:rPr>
          <w:rFonts w:asciiTheme="majorBidi" w:hAnsiTheme="majorBidi" w:cstheme="majorBidi"/>
          <w:sz w:val="24"/>
          <w:szCs w:val="24"/>
        </w:rPr>
        <w:t>Therefore</w:t>
      </w:r>
      <w:r w:rsidRPr="00086DC1">
        <w:rPr>
          <w:rFonts w:asciiTheme="majorBidi" w:hAnsiTheme="majorBidi" w:cstheme="majorBidi"/>
          <w:sz w:val="24"/>
          <w:szCs w:val="24"/>
        </w:rPr>
        <w:t xml:space="preserve">, it has become a must </w:t>
      </w:r>
      <w:r w:rsidR="00512694" w:rsidRPr="00086DC1">
        <w:rPr>
          <w:rFonts w:asciiTheme="majorBidi" w:hAnsiTheme="majorBidi" w:cstheme="majorBidi"/>
          <w:sz w:val="24"/>
          <w:szCs w:val="24"/>
        </w:rPr>
        <w:t xml:space="preserve">for banks to take the necessary </w:t>
      </w:r>
      <w:r w:rsidRPr="00086DC1">
        <w:rPr>
          <w:rFonts w:asciiTheme="majorBidi" w:hAnsiTheme="majorBidi" w:cstheme="majorBidi"/>
          <w:sz w:val="24"/>
          <w:szCs w:val="24"/>
        </w:rPr>
        <w:t>measures to identify these risks and set up appropriate mea</w:t>
      </w:r>
      <w:r w:rsidR="0091581E">
        <w:rPr>
          <w:rFonts w:asciiTheme="majorBidi" w:hAnsiTheme="majorBidi" w:cstheme="majorBidi"/>
          <w:sz w:val="24"/>
          <w:szCs w:val="24"/>
        </w:rPr>
        <w:t>sures to check on their effects.</w:t>
      </w:r>
    </w:p>
    <w:p w:rsidR="00430078" w:rsidRDefault="00AF1F66" w:rsidP="000469E9">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Risk management in banks became the hot issue after the 2008 financial crisis. The crisis appears as the most important one in the modern period. It is systematic in nature, in that it involves the entire financial system, from the capital markets, to banks</w:t>
      </w:r>
      <w:r w:rsidR="00D43A51" w:rsidRPr="00945168">
        <w:rPr>
          <w:rFonts w:ascii="Times New Roman" w:hAnsi="Times New Roman" w:cs="Times New Roman"/>
          <w:sz w:val="24"/>
          <w:szCs w:val="24"/>
        </w:rPr>
        <w:t>,</w:t>
      </w:r>
      <w:r w:rsidRPr="00945168">
        <w:rPr>
          <w:rFonts w:ascii="Times New Roman" w:hAnsi="Times New Roman" w:cs="Times New Roman"/>
          <w:sz w:val="24"/>
          <w:szCs w:val="24"/>
        </w:rPr>
        <w:t xml:space="preserve"> and all financial firms</w:t>
      </w:r>
      <w:r w:rsidR="000469E9">
        <w:rPr>
          <w:rFonts w:ascii="Times New Roman" w:hAnsi="Times New Roman" w:cs="Times New Roman"/>
          <w:sz w:val="24"/>
          <w:szCs w:val="24"/>
        </w:rPr>
        <w:t>.</w:t>
      </w:r>
    </w:p>
    <w:p w:rsidR="002614E7" w:rsidRPr="00945168" w:rsidRDefault="002614E7" w:rsidP="000469E9">
      <w:pPr>
        <w:spacing w:line="360" w:lineRule="auto"/>
        <w:contextualSpacing/>
        <w:jc w:val="both"/>
        <w:rPr>
          <w:rFonts w:ascii="Times New Roman" w:hAnsi="Times New Roman" w:cs="Times New Roman"/>
          <w:sz w:val="24"/>
          <w:szCs w:val="24"/>
        </w:rPr>
      </w:pPr>
    </w:p>
    <w:p w:rsidR="00DF5A0D" w:rsidRPr="007757FB" w:rsidRDefault="005B47E0" w:rsidP="000C32AE">
      <w:pPr>
        <w:spacing w:line="360" w:lineRule="auto"/>
        <w:contextualSpacing/>
        <w:jc w:val="both"/>
        <w:rPr>
          <w:rFonts w:ascii="Times New Roman" w:hAnsi="Times New Roman" w:cs="Times New Roman"/>
          <w:b/>
          <w:sz w:val="24"/>
          <w:szCs w:val="24"/>
        </w:rPr>
      </w:pPr>
      <w:r w:rsidRPr="007757FB">
        <w:rPr>
          <w:rFonts w:ascii="Times New Roman" w:hAnsi="Times New Roman" w:cs="Times New Roman"/>
          <w:b/>
          <w:sz w:val="24"/>
          <w:szCs w:val="24"/>
        </w:rPr>
        <w:t>2.1.4</w:t>
      </w:r>
      <w:r w:rsidR="000C32AE" w:rsidRPr="007757FB">
        <w:rPr>
          <w:rFonts w:ascii="Times New Roman" w:hAnsi="Times New Roman" w:cs="Times New Roman"/>
          <w:b/>
          <w:sz w:val="24"/>
          <w:szCs w:val="24"/>
        </w:rPr>
        <w:t>.1</w:t>
      </w:r>
      <w:r w:rsidR="00DF5A0D" w:rsidRPr="007757FB">
        <w:rPr>
          <w:rFonts w:ascii="Times New Roman" w:hAnsi="Times New Roman" w:cs="Times New Roman"/>
          <w:b/>
          <w:sz w:val="24"/>
          <w:szCs w:val="24"/>
        </w:rPr>
        <w:t>Risk Management</w:t>
      </w:r>
    </w:p>
    <w:p w:rsidR="00DF5A0D" w:rsidRPr="00127DD9" w:rsidRDefault="001C031E" w:rsidP="007B33EE">
      <w:pPr>
        <w:spacing w:line="360" w:lineRule="auto"/>
        <w:jc w:val="both"/>
        <w:rPr>
          <w:rFonts w:ascii="Times New Roman" w:hAnsi="Times New Roman" w:cs="Times New Roman"/>
          <w:sz w:val="24"/>
          <w:szCs w:val="24"/>
        </w:rPr>
      </w:pPr>
      <w:r w:rsidRPr="00945168">
        <w:rPr>
          <w:rFonts w:ascii="Times New Roman" w:hAnsi="Times New Roman" w:cs="Times New Roman"/>
          <w:sz w:val="24"/>
          <w:szCs w:val="24"/>
        </w:rPr>
        <w:t xml:space="preserve">As mentioned above, ‘risk is always bad’ is a wrong </w:t>
      </w:r>
      <w:r w:rsidR="002D620D">
        <w:rPr>
          <w:rFonts w:ascii="Times New Roman" w:hAnsi="Times New Roman" w:cs="Times New Roman"/>
          <w:sz w:val="24"/>
          <w:szCs w:val="24"/>
        </w:rPr>
        <w:t xml:space="preserve">supposition </w:t>
      </w:r>
      <w:r w:rsidRPr="00945168">
        <w:rPr>
          <w:rFonts w:ascii="Times New Roman" w:hAnsi="Times New Roman" w:cs="Times New Roman"/>
          <w:sz w:val="24"/>
          <w:szCs w:val="24"/>
        </w:rPr>
        <w:t xml:space="preserve">and can </w:t>
      </w:r>
      <w:r w:rsidR="002D620D">
        <w:rPr>
          <w:rFonts w:ascii="Times New Roman" w:hAnsi="Times New Roman" w:cs="Times New Roman"/>
          <w:sz w:val="24"/>
          <w:szCs w:val="24"/>
        </w:rPr>
        <w:t xml:space="preserve">misdirect </w:t>
      </w:r>
      <w:r w:rsidRPr="00945168">
        <w:rPr>
          <w:rFonts w:ascii="Times New Roman" w:hAnsi="Times New Roman" w:cs="Times New Roman"/>
          <w:sz w:val="24"/>
          <w:szCs w:val="24"/>
        </w:rPr>
        <w:t>the way people</w:t>
      </w:r>
      <w:r w:rsidR="0020780A" w:rsidRPr="00945168">
        <w:rPr>
          <w:rFonts w:ascii="Times New Roman" w:hAnsi="Times New Roman" w:cs="Times New Roman"/>
          <w:sz w:val="24"/>
          <w:szCs w:val="24"/>
        </w:rPr>
        <w:t xml:space="preserve"> and organizations</w:t>
      </w:r>
      <w:r w:rsidRPr="00945168">
        <w:rPr>
          <w:rFonts w:ascii="Times New Roman" w:hAnsi="Times New Roman" w:cs="Times New Roman"/>
          <w:sz w:val="24"/>
          <w:szCs w:val="24"/>
        </w:rPr>
        <w:t xml:space="preserve"> deal with risks. Eliminating each and every risk absolutely is not the way because risk is an unavoidable element of life. </w:t>
      </w:r>
      <w:r w:rsidR="00127DD9" w:rsidRPr="00894191">
        <w:rPr>
          <w:rFonts w:ascii="Times New Roman" w:hAnsi="Times New Roman" w:cs="Times New Roman"/>
          <w:sz w:val="24"/>
          <w:szCs w:val="24"/>
        </w:rPr>
        <w:t>Furthermore, there is particular relationship risk and return. Looking for higher rate of return, so be willing to take risks, which depend on your risk tolerance. The point is how to select, manage and control risk correctly, profitably and beneficially. That is the question that risk management must achieve.</w:t>
      </w:r>
      <w:r w:rsidR="00127DD9">
        <w:rPr>
          <w:rFonts w:ascii="Times New Roman" w:hAnsi="Times New Roman" w:cs="Times New Roman"/>
          <w:sz w:val="24"/>
          <w:szCs w:val="24"/>
        </w:rPr>
        <w:t xml:space="preserve"> </w:t>
      </w:r>
      <w:r w:rsidR="000D2CA4" w:rsidRPr="00945168">
        <w:rPr>
          <w:rFonts w:ascii="Times New Roman" w:hAnsi="Times New Roman" w:cs="Times New Roman"/>
          <w:color w:val="000000"/>
          <w:sz w:val="24"/>
          <w:szCs w:val="24"/>
        </w:rPr>
        <w:t>Companies faced different types of risks in a specific and unconnected manner; today, instead, there are methods of “definition and control”, which are collected in a systematic approach known as “risk management”, which provides reasonable defense against the possible verification of harmful events.</w:t>
      </w:r>
    </w:p>
    <w:p w:rsidR="002B5516" w:rsidRPr="00945168" w:rsidRDefault="0024279A" w:rsidP="0024279A">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lastRenderedPageBreak/>
        <w:t>Like risk, risk management has been attempted to</w:t>
      </w:r>
      <w:r w:rsidR="008934D8">
        <w:rPr>
          <w:rFonts w:ascii="Times New Roman" w:hAnsi="Times New Roman" w:cs="Times New Roman"/>
          <w:sz w:val="24"/>
          <w:szCs w:val="24"/>
        </w:rPr>
        <w:t xml:space="preserve"> be</w:t>
      </w:r>
      <w:r w:rsidRPr="00945168">
        <w:rPr>
          <w:rFonts w:ascii="Times New Roman" w:hAnsi="Times New Roman" w:cs="Times New Roman"/>
          <w:sz w:val="24"/>
          <w:szCs w:val="24"/>
        </w:rPr>
        <w:t xml:space="preserve"> define in various ways in the literature. But there is one definition from the International Organization for Standardization (ISO) that is typical and covers most of general issues: </w:t>
      </w:r>
      <w:r w:rsidRPr="00717174">
        <w:rPr>
          <w:rFonts w:ascii="Times New Roman" w:hAnsi="Times New Roman" w:cs="Times New Roman"/>
          <w:sz w:val="24"/>
          <w:szCs w:val="24"/>
        </w:rPr>
        <w:t xml:space="preserve">“Risk management is a central part of any </w:t>
      </w:r>
      <w:r w:rsidR="00051A8F">
        <w:rPr>
          <w:rFonts w:ascii="Times New Roman" w:hAnsi="Times New Roman" w:cs="Times New Roman"/>
          <w:sz w:val="24"/>
          <w:szCs w:val="24"/>
        </w:rPr>
        <w:t xml:space="preserve">organization’s </w:t>
      </w:r>
      <w:r w:rsidRPr="00717174">
        <w:rPr>
          <w:rFonts w:ascii="Times New Roman" w:hAnsi="Times New Roman" w:cs="Times New Roman"/>
          <w:sz w:val="24"/>
          <w:szCs w:val="24"/>
        </w:rPr>
        <w:t>strategic management. It is the process whereby organizations methodically</w:t>
      </w:r>
      <w:r w:rsidRPr="00945168">
        <w:rPr>
          <w:rFonts w:ascii="Times New Roman" w:hAnsi="Times New Roman" w:cs="Times New Roman"/>
          <w:sz w:val="24"/>
          <w:szCs w:val="24"/>
        </w:rPr>
        <w:t xml:space="preserve"> address the risks attaching to their activities with </w:t>
      </w:r>
      <w:r w:rsidRPr="0072510E">
        <w:rPr>
          <w:rFonts w:ascii="Times New Roman" w:hAnsi="Times New Roman" w:cs="Times New Roman"/>
          <w:sz w:val="24"/>
          <w:szCs w:val="24"/>
        </w:rPr>
        <w:t>the goal of achieving sustained benefit within</w:t>
      </w:r>
      <w:r w:rsidRPr="00945168">
        <w:rPr>
          <w:rFonts w:ascii="Times New Roman" w:hAnsi="Times New Roman" w:cs="Times New Roman"/>
          <w:sz w:val="24"/>
          <w:szCs w:val="24"/>
        </w:rPr>
        <w:t xml:space="preserve"> each activity and across the portfolio of a</w:t>
      </w:r>
      <w:r w:rsidR="007941D2">
        <w:rPr>
          <w:rFonts w:ascii="Times New Roman" w:hAnsi="Times New Roman" w:cs="Times New Roman"/>
          <w:sz w:val="24"/>
          <w:szCs w:val="24"/>
        </w:rPr>
        <w:t>ll activities.” (IRM, 2008</w:t>
      </w:r>
      <w:r w:rsidRPr="00945168">
        <w:rPr>
          <w:rFonts w:ascii="Times New Roman" w:hAnsi="Times New Roman" w:cs="Times New Roman"/>
          <w:sz w:val="24"/>
          <w:szCs w:val="24"/>
        </w:rPr>
        <w:t>).</w:t>
      </w:r>
      <w:r w:rsidR="00313F31" w:rsidRPr="00945168">
        <w:rPr>
          <w:rFonts w:ascii="Times New Roman" w:hAnsi="Times New Roman" w:cs="Times New Roman"/>
          <w:sz w:val="24"/>
          <w:szCs w:val="24"/>
        </w:rPr>
        <w:t>The above definition of risk management is an indication to:</w:t>
      </w:r>
    </w:p>
    <w:p w:rsidR="00313F31" w:rsidRPr="00945168" w:rsidRDefault="00313F31" w:rsidP="004A3D13">
      <w:pPr>
        <w:pStyle w:val="ListParagraph"/>
        <w:numPr>
          <w:ilvl w:val="0"/>
          <w:numId w:val="1"/>
        </w:numPr>
        <w:spacing w:line="360" w:lineRule="auto"/>
        <w:jc w:val="both"/>
        <w:rPr>
          <w:rFonts w:ascii="Times New Roman" w:hAnsi="Times New Roman" w:cs="Times New Roman"/>
          <w:sz w:val="24"/>
          <w:szCs w:val="24"/>
        </w:rPr>
      </w:pPr>
      <w:r w:rsidRPr="00945168">
        <w:rPr>
          <w:rFonts w:ascii="Times New Roman" w:hAnsi="Times New Roman" w:cs="Times New Roman"/>
          <w:sz w:val="24"/>
          <w:szCs w:val="24"/>
        </w:rPr>
        <w:t xml:space="preserve">Risk management’s primary </w:t>
      </w:r>
      <w:r w:rsidR="00AE4247">
        <w:rPr>
          <w:rFonts w:ascii="Times New Roman" w:hAnsi="Times New Roman" w:cs="Times New Roman"/>
          <w:sz w:val="24"/>
          <w:szCs w:val="24"/>
        </w:rPr>
        <w:t xml:space="preserve">task is to </w:t>
      </w:r>
      <w:r w:rsidR="008A7EF1">
        <w:rPr>
          <w:rFonts w:ascii="Times New Roman" w:hAnsi="Times New Roman" w:cs="Times New Roman"/>
          <w:sz w:val="24"/>
          <w:szCs w:val="24"/>
        </w:rPr>
        <w:t>create</w:t>
      </w:r>
      <w:r w:rsidRPr="00945168">
        <w:rPr>
          <w:rFonts w:ascii="Times New Roman" w:hAnsi="Times New Roman" w:cs="Times New Roman"/>
          <w:sz w:val="24"/>
          <w:szCs w:val="24"/>
        </w:rPr>
        <w:t xml:space="preserve"> benefits to the companies and makes them sustainable.</w:t>
      </w:r>
    </w:p>
    <w:p w:rsidR="00313F31" w:rsidRPr="00945168" w:rsidRDefault="00313F31" w:rsidP="004A3D13">
      <w:pPr>
        <w:pStyle w:val="ListParagraph"/>
        <w:numPr>
          <w:ilvl w:val="0"/>
          <w:numId w:val="1"/>
        </w:numPr>
        <w:spacing w:line="360" w:lineRule="auto"/>
        <w:jc w:val="both"/>
        <w:rPr>
          <w:rFonts w:ascii="Times New Roman" w:hAnsi="Times New Roman" w:cs="Times New Roman"/>
          <w:sz w:val="24"/>
          <w:szCs w:val="24"/>
        </w:rPr>
      </w:pPr>
      <w:r w:rsidRPr="00945168">
        <w:rPr>
          <w:rFonts w:ascii="Times New Roman" w:hAnsi="Times New Roman" w:cs="Times New Roman"/>
          <w:sz w:val="24"/>
          <w:szCs w:val="24"/>
        </w:rPr>
        <w:t>Risk management is central in any firm’s strategy</w:t>
      </w:r>
      <w:r w:rsidR="007413AA" w:rsidRPr="00945168">
        <w:rPr>
          <w:rFonts w:ascii="Times New Roman" w:hAnsi="Times New Roman" w:cs="Times New Roman"/>
          <w:sz w:val="24"/>
          <w:szCs w:val="24"/>
        </w:rPr>
        <w:t>.</w:t>
      </w:r>
    </w:p>
    <w:p w:rsidR="009A1DCB" w:rsidRPr="009A1DCB" w:rsidRDefault="007413AA" w:rsidP="009A1DCB">
      <w:pPr>
        <w:pStyle w:val="ListParagraph"/>
        <w:numPr>
          <w:ilvl w:val="0"/>
          <w:numId w:val="1"/>
        </w:numPr>
        <w:spacing w:line="360" w:lineRule="auto"/>
        <w:jc w:val="both"/>
        <w:rPr>
          <w:rFonts w:ascii="Times New Roman" w:hAnsi="Times New Roman" w:cs="Times New Roman"/>
          <w:sz w:val="24"/>
          <w:szCs w:val="24"/>
        </w:rPr>
      </w:pPr>
      <w:r w:rsidRPr="00945168">
        <w:rPr>
          <w:rFonts w:ascii="Times New Roman" w:hAnsi="Times New Roman" w:cs="Times New Roman"/>
          <w:sz w:val="24"/>
          <w:szCs w:val="24"/>
        </w:rPr>
        <w:t>Risk management is an ongoing and continuously developing process</w:t>
      </w:r>
      <w:r w:rsidR="007F6E1C">
        <w:rPr>
          <w:rFonts w:ascii="Times New Roman" w:hAnsi="Times New Roman" w:cs="Times New Roman"/>
          <w:sz w:val="24"/>
          <w:szCs w:val="24"/>
        </w:rPr>
        <w:t>.</w:t>
      </w:r>
    </w:p>
    <w:p w:rsidR="00B75254" w:rsidRPr="009A1DCB" w:rsidRDefault="0072510E" w:rsidP="009A1DCB">
      <w:pPr>
        <w:spacing w:line="360" w:lineRule="auto"/>
        <w:ind w:left="360"/>
        <w:jc w:val="center"/>
        <w:rPr>
          <w:rFonts w:ascii="Times New Roman" w:hAnsi="Times New Roman" w:cs="Times New Roman"/>
          <w:sz w:val="24"/>
          <w:szCs w:val="24"/>
        </w:rPr>
      </w:pPr>
      <w:r w:rsidRPr="009A1DCB">
        <w:rPr>
          <w:rFonts w:asciiTheme="majorBidi" w:hAnsiTheme="majorBidi" w:cstheme="majorBidi"/>
          <w:b/>
          <w:bCs/>
        </w:rPr>
        <w:t>Figure 2.2: Risk Management Process</w:t>
      </w:r>
    </w:p>
    <w:p w:rsidR="00004C7D" w:rsidRPr="00F52111" w:rsidRDefault="00B75254" w:rsidP="009A1DCB">
      <w:pPr>
        <w:spacing w:line="360" w:lineRule="auto"/>
        <w:rPr>
          <w:rFonts w:ascii="Times New Roman" w:hAnsi="Times New Roman" w:cs="Times New Roman"/>
          <w:b/>
        </w:rPr>
      </w:pPr>
      <w:r w:rsidRPr="00B75254">
        <w:rPr>
          <w:rFonts w:ascii="Times New Roman" w:hAnsi="Times New Roman" w:cs="Times New Roman"/>
          <w:b/>
          <w:noProof/>
          <w:sz w:val="24"/>
          <w:szCs w:val="24"/>
        </w:rPr>
        <w:drawing>
          <wp:inline distT="0" distB="0" distL="0" distR="0">
            <wp:extent cx="5514120" cy="1606164"/>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32864" cy="1611624"/>
                    </a:xfrm>
                    <a:prstGeom prst="rect">
                      <a:avLst/>
                    </a:prstGeom>
                    <a:noFill/>
                    <a:ln w="9525">
                      <a:noFill/>
                      <a:miter lim="800000"/>
                      <a:headEnd/>
                      <a:tailEnd/>
                    </a:ln>
                  </pic:spPr>
                </pic:pic>
              </a:graphicData>
            </a:graphic>
          </wp:inline>
        </w:drawing>
      </w:r>
    </w:p>
    <w:p w:rsidR="009A1DCB" w:rsidRPr="00F52111" w:rsidRDefault="009A1DCB" w:rsidP="009A1DCB">
      <w:pPr>
        <w:spacing w:line="360" w:lineRule="auto"/>
        <w:jc w:val="center"/>
        <w:rPr>
          <w:rFonts w:ascii="Times New Roman" w:hAnsi="Times New Roman" w:cs="Times New Roman"/>
          <w:b/>
        </w:rPr>
      </w:pPr>
      <w:r w:rsidRPr="00C12167">
        <w:rPr>
          <w:rFonts w:asciiTheme="majorBidi" w:hAnsiTheme="majorBidi" w:cstheme="majorBidi"/>
          <w:sz w:val="20"/>
          <w:szCs w:val="20"/>
        </w:rPr>
        <w:t>Source: International Standards Organization, 2008.</w:t>
      </w:r>
    </w:p>
    <w:p w:rsidR="0069442A" w:rsidRPr="00945168" w:rsidRDefault="00161B93" w:rsidP="00223FD2">
      <w:pPr>
        <w:spacing w:line="360" w:lineRule="auto"/>
        <w:contextualSpacing/>
        <w:jc w:val="both"/>
        <w:rPr>
          <w:rFonts w:ascii="Times New Roman" w:hAnsi="Times New Roman" w:cs="Times New Roman"/>
          <w:sz w:val="24"/>
          <w:szCs w:val="24"/>
        </w:rPr>
      </w:pPr>
      <w:r w:rsidRPr="00945168">
        <w:rPr>
          <w:rFonts w:ascii="Times New Roman" w:hAnsi="Times New Roman" w:cs="Times New Roman"/>
          <w:sz w:val="24"/>
          <w:szCs w:val="24"/>
        </w:rPr>
        <w:t>To conclude</w:t>
      </w:r>
      <w:r w:rsidR="0069442A" w:rsidRPr="00945168">
        <w:rPr>
          <w:rFonts w:ascii="Times New Roman" w:hAnsi="Times New Roman" w:cs="Times New Roman"/>
          <w:sz w:val="24"/>
          <w:szCs w:val="24"/>
        </w:rPr>
        <w:t>, risk management is considered a discipline or a system that all financial and banking institutions should respect in all its totality.</w:t>
      </w:r>
      <w:r w:rsidR="00A73794">
        <w:rPr>
          <w:rFonts w:ascii="Times New Roman" w:hAnsi="Times New Roman" w:cs="Times New Roman"/>
          <w:sz w:val="24"/>
          <w:szCs w:val="24"/>
        </w:rPr>
        <w:t xml:space="preserve"> </w:t>
      </w:r>
      <w:r w:rsidR="0069442A" w:rsidRPr="00945168">
        <w:rPr>
          <w:rFonts w:ascii="Times New Roman" w:hAnsi="Times New Roman" w:cs="Times New Roman"/>
          <w:sz w:val="24"/>
          <w:szCs w:val="24"/>
        </w:rPr>
        <w:t>This system covers all banking a</w:t>
      </w:r>
      <w:r w:rsidR="00A73794">
        <w:rPr>
          <w:rFonts w:ascii="Times New Roman" w:hAnsi="Times New Roman" w:cs="Times New Roman"/>
          <w:sz w:val="24"/>
          <w:szCs w:val="24"/>
        </w:rPr>
        <w:t>ctivities</w:t>
      </w:r>
      <w:r w:rsidR="0069442A" w:rsidRPr="00945168">
        <w:rPr>
          <w:rFonts w:ascii="Times New Roman" w:hAnsi="Times New Roman" w:cs="Times New Roman"/>
          <w:sz w:val="24"/>
          <w:szCs w:val="24"/>
        </w:rPr>
        <w:t xml:space="preserve"> and it aims at realizing optimum return upon entering business risks. Through identification,</w:t>
      </w:r>
      <w:r w:rsidR="007F6E1C">
        <w:rPr>
          <w:rFonts w:ascii="Times New Roman" w:hAnsi="Times New Roman" w:cs="Times New Roman"/>
          <w:sz w:val="24"/>
          <w:szCs w:val="24"/>
        </w:rPr>
        <w:t xml:space="preserve"> </w:t>
      </w:r>
      <w:r w:rsidR="0069442A" w:rsidRPr="00945168">
        <w:rPr>
          <w:rFonts w:ascii="Times New Roman" w:hAnsi="Times New Roman" w:cs="Times New Roman"/>
          <w:sz w:val="24"/>
          <w:szCs w:val="24"/>
        </w:rPr>
        <w:t>measurement, follow up and control of risk facing these financial and banking institutions, one can be sure that:</w:t>
      </w:r>
    </w:p>
    <w:p w:rsidR="0069442A" w:rsidRPr="00945168" w:rsidRDefault="0069442A" w:rsidP="0069442A">
      <w:pPr>
        <w:autoSpaceDE w:val="0"/>
        <w:autoSpaceDN w:val="0"/>
        <w:adjustRightInd w:val="0"/>
        <w:spacing w:after="0" w:line="360" w:lineRule="auto"/>
        <w:contextualSpacing/>
        <w:rPr>
          <w:rFonts w:ascii="Times New Roman" w:hAnsi="Times New Roman" w:cs="Times New Roman"/>
          <w:sz w:val="24"/>
          <w:szCs w:val="24"/>
        </w:rPr>
      </w:pPr>
      <w:r w:rsidRPr="00945168">
        <w:rPr>
          <w:rFonts w:ascii="Times New Roman" w:hAnsi="Times New Roman" w:cs="Times New Roman"/>
          <w:sz w:val="24"/>
          <w:szCs w:val="24"/>
        </w:rPr>
        <w:t xml:space="preserve"> - The individuals who take or manage risks clearly understand it.</w:t>
      </w:r>
    </w:p>
    <w:p w:rsidR="0069442A" w:rsidRPr="00945168" w:rsidRDefault="0069442A" w:rsidP="0069442A">
      <w:pPr>
        <w:autoSpaceDE w:val="0"/>
        <w:autoSpaceDN w:val="0"/>
        <w:adjustRightInd w:val="0"/>
        <w:spacing w:after="0" w:line="360" w:lineRule="auto"/>
        <w:contextualSpacing/>
        <w:rPr>
          <w:rFonts w:ascii="Times New Roman" w:hAnsi="Times New Roman" w:cs="Times New Roman"/>
          <w:sz w:val="24"/>
          <w:szCs w:val="24"/>
        </w:rPr>
      </w:pPr>
      <w:r w:rsidRPr="00945168">
        <w:rPr>
          <w:rFonts w:ascii="Times New Roman" w:hAnsi="Times New Roman" w:cs="Times New Roman"/>
          <w:sz w:val="24"/>
          <w:szCs w:val="24"/>
        </w:rPr>
        <w:t>- The organization’s Risk exposure is within the limits established by Board of Directors.</w:t>
      </w:r>
    </w:p>
    <w:p w:rsidR="0069442A" w:rsidRPr="00945168" w:rsidRDefault="0069442A" w:rsidP="0069442A">
      <w:pPr>
        <w:autoSpaceDE w:val="0"/>
        <w:autoSpaceDN w:val="0"/>
        <w:adjustRightInd w:val="0"/>
        <w:spacing w:after="0" w:line="360" w:lineRule="auto"/>
        <w:contextualSpacing/>
        <w:rPr>
          <w:rFonts w:ascii="Times New Roman" w:hAnsi="Times New Roman" w:cs="Times New Roman"/>
          <w:sz w:val="24"/>
          <w:szCs w:val="24"/>
        </w:rPr>
      </w:pPr>
      <w:r w:rsidRPr="00945168">
        <w:rPr>
          <w:rFonts w:ascii="Times New Roman" w:hAnsi="Times New Roman" w:cs="Times New Roman"/>
          <w:sz w:val="24"/>
          <w:szCs w:val="24"/>
        </w:rPr>
        <w:lastRenderedPageBreak/>
        <w:t xml:space="preserve">- Risk taking Decisions are in line with the business strategy and objectives </w:t>
      </w:r>
      <w:r w:rsidR="00701B0F" w:rsidRPr="00945168">
        <w:rPr>
          <w:rFonts w:ascii="Times New Roman" w:hAnsi="Times New Roman" w:cs="Times New Roman"/>
          <w:sz w:val="24"/>
          <w:szCs w:val="24"/>
        </w:rPr>
        <w:t>set by board of directors</w:t>
      </w:r>
      <w:r w:rsidRPr="00945168">
        <w:rPr>
          <w:rFonts w:ascii="Times New Roman" w:hAnsi="Times New Roman" w:cs="Times New Roman"/>
          <w:sz w:val="24"/>
          <w:szCs w:val="24"/>
        </w:rPr>
        <w:t>.</w:t>
      </w:r>
    </w:p>
    <w:p w:rsidR="0069442A" w:rsidRPr="00945168" w:rsidRDefault="0069442A" w:rsidP="0069442A">
      <w:pPr>
        <w:autoSpaceDE w:val="0"/>
        <w:autoSpaceDN w:val="0"/>
        <w:adjustRightInd w:val="0"/>
        <w:spacing w:after="0" w:line="360" w:lineRule="auto"/>
        <w:contextualSpacing/>
        <w:rPr>
          <w:rFonts w:ascii="Times New Roman" w:hAnsi="Times New Roman" w:cs="Times New Roman"/>
          <w:sz w:val="24"/>
          <w:szCs w:val="24"/>
        </w:rPr>
      </w:pPr>
      <w:r w:rsidRPr="00945168">
        <w:rPr>
          <w:rFonts w:ascii="Times New Roman" w:hAnsi="Times New Roman" w:cs="Times New Roman"/>
          <w:sz w:val="24"/>
          <w:szCs w:val="24"/>
        </w:rPr>
        <w:t>- The expected payoffs compensate for the risks taken</w:t>
      </w:r>
    </w:p>
    <w:p w:rsidR="0069442A" w:rsidRPr="00945168" w:rsidRDefault="0069442A" w:rsidP="0069442A">
      <w:pPr>
        <w:autoSpaceDE w:val="0"/>
        <w:autoSpaceDN w:val="0"/>
        <w:adjustRightInd w:val="0"/>
        <w:spacing w:after="0" w:line="360" w:lineRule="auto"/>
        <w:contextualSpacing/>
        <w:rPr>
          <w:rFonts w:ascii="Times New Roman" w:hAnsi="Times New Roman" w:cs="Times New Roman"/>
          <w:sz w:val="24"/>
          <w:szCs w:val="24"/>
        </w:rPr>
      </w:pPr>
      <w:r w:rsidRPr="00945168">
        <w:rPr>
          <w:rFonts w:ascii="Times New Roman" w:hAnsi="Times New Roman" w:cs="Times New Roman"/>
          <w:sz w:val="24"/>
          <w:szCs w:val="24"/>
        </w:rPr>
        <w:t>-Risk taking decisions are explicit and clear.</w:t>
      </w:r>
    </w:p>
    <w:p w:rsidR="005537B9" w:rsidRDefault="0069442A" w:rsidP="00216452">
      <w:pPr>
        <w:spacing w:line="360" w:lineRule="auto"/>
        <w:contextualSpacing/>
        <w:rPr>
          <w:rFonts w:ascii="Times New Roman" w:hAnsi="Times New Roman" w:cs="Times New Roman"/>
          <w:sz w:val="24"/>
          <w:szCs w:val="24"/>
        </w:rPr>
      </w:pPr>
      <w:r w:rsidRPr="00945168">
        <w:rPr>
          <w:rFonts w:ascii="Times New Roman" w:hAnsi="Times New Roman" w:cs="Times New Roman"/>
          <w:sz w:val="24"/>
          <w:szCs w:val="24"/>
        </w:rPr>
        <w:t>- Sufficient capital as a buffer is available to take risk</w:t>
      </w:r>
      <w:r w:rsidR="00AB0D3F">
        <w:rPr>
          <w:rFonts w:ascii="Times New Roman" w:hAnsi="Times New Roman" w:cs="Times New Roman"/>
          <w:sz w:val="24"/>
          <w:szCs w:val="24"/>
        </w:rPr>
        <w:t>.</w:t>
      </w:r>
    </w:p>
    <w:p w:rsidR="006A535A" w:rsidRPr="00216452" w:rsidRDefault="006A535A" w:rsidP="00216452">
      <w:pPr>
        <w:spacing w:line="360" w:lineRule="auto"/>
        <w:contextualSpacing/>
        <w:rPr>
          <w:rFonts w:ascii="Times New Roman" w:hAnsi="Times New Roman" w:cs="Times New Roman"/>
          <w:sz w:val="24"/>
          <w:szCs w:val="24"/>
        </w:rPr>
      </w:pPr>
    </w:p>
    <w:p w:rsidR="00973932" w:rsidRDefault="005B47E0" w:rsidP="00B65226">
      <w:pPr>
        <w:spacing w:line="360" w:lineRule="auto"/>
        <w:contextualSpacing/>
        <w:rPr>
          <w:rFonts w:ascii="Times New Roman" w:hAnsi="Times New Roman" w:cs="Times New Roman"/>
          <w:sz w:val="24"/>
          <w:szCs w:val="24"/>
        </w:rPr>
      </w:pPr>
      <w:r w:rsidRPr="00AF7426">
        <w:rPr>
          <w:rFonts w:asciiTheme="majorBidi" w:hAnsiTheme="majorBidi" w:cstheme="majorBidi"/>
          <w:b/>
          <w:sz w:val="24"/>
          <w:szCs w:val="24"/>
        </w:rPr>
        <w:t>2.1.4</w:t>
      </w:r>
      <w:r w:rsidR="000C32AE" w:rsidRPr="00AF7426">
        <w:rPr>
          <w:rFonts w:asciiTheme="majorBidi" w:hAnsiTheme="majorBidi" w:cstheme="majorBidi"/>
          <w:b/>
          <w:sz w:val="24"/>
          <w:szCs w:val="24"/>
        </w:rPr>
        <w:t>.2</w:t>
      </w:r>
      <w:r w:rsidR="00F6304B">
        <w:rPr>
          <w:rFonts w:asciiTheme="majorBidi" w:hAnsiTheme="majorBidi" w:cstheme="majorBidi"/>
          <w:b/>
          <w:color w:val="000000" w:themeColor="text1"/>
          <w:sz w:val="24"/>
          <w:szCs w:val="24"/>
        </w:rPr>
        <w:t xml:space="preserve"> </w:t>
      </w:r>
      <w:r w:rsidR="00004C7D" w:rsidRPr="00015231">
        <w:rPr>
          <w:rFonts w:asciiTheme="majorBidi" w:hAnsiTheme="majorBidi" w:cstheme="majorBidi"/>
          <w:b/>
          <w:color w:val="000000" w:themeColor="text1"/>
          <w:sz w:val="24"/>
          <w:szCs w:val="24"/>
        </w:rPr>
        <w:t>Risk</w:t>
      </w:r>
      <w:r w:rsidR="00DF5A0D" w:rsidRPr="00015231">
        <w:rPr>
          <w:rFonts w:asciiTheme="majorBidi" w:hAnsiTheme="majorBidi" w:cstheme="majorBidi"/>
          <w:b/>
          <w:color w:val="000000" w:themeColor="text1"/>
          <w:sz w:val="24"/>
          <w:szCs w:val="24"/>
        </w:rPr>
        <w:t xml:space="preserve"> Management in Banking Firms</w:t>
      </w:r>
    </w:p>
    <w:p w:rsidR="007F6E1C" w:rsidRPr="002D7D1A" w:rsidRDefault="002D7D1A" w:rsidP="002D7D1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Banking risk management indicates to the whole group of </w:t>
      </w:r>
      <w:r w:rsidRPr="00331DDD">
        <w:rPr>
          <w:rFonts w:asciiTheme="majorBidi" w:hAnsiTheme="majorBidi" w:cstheme="majorBidi"/>
          <w:color w:val="000000" w:themeColor="text1"/>
          <w:sz w:val="24"/>
          <w:szCs w:val="24"/>
        </w:rPr>
        <w:t>risk management processes and models</w:t>
      </w:r>
      <w:r>
        <w:rPr>
          <w:rFonts w:asciiTheme="majorBidi" w:hAnsiTheme="majorBidi" w:cstheme="majorBidi"/>
          <w:sz w:val="24"/>
          <w:szCs w:val="24"/>
        </w:rPr>
        <w:t xml:space="preserve"> which allow banks to execute all techniques and management instruments necessary for identifying, measuring, monitoring and controlling risks </w:t>
      </w:r>
      <w:r w:rsidR="009165E4">
        <w:rPr>
          <w:rFonts w:ascii="Times New Roman" w:hAnsi="Times New Roman" w:cs="Times New Roman"/>
          <w:color w:val="000000" w:themeColor="text1"/>
          <w:sz w:val="24"/>
          <w:szCs w:val="24"/>
        </w:rPr>
        <w:t>(Bessis,</w:t>
      </w:r>
      <w:r w:rsidR="009165E4" w:rsidRPr="0071418B">
        <w:rPr>
          <w:rFonts w:ascii="Times New Roman" w:hAnsi="Times New Roman" w:cs="Times New Roman"/>
          <w:color w:val="000000" w:themeColor="text1"/>
          <w:sz w:val="24"/>
          <w:szCs w:val="24"/>
        </w:rPr>
        <w:t xml:space="preserve"> 2002</w:t>
      </w:r>
      <w:r w:rsidR="004C1930" w:rsidRPr="0071418B">
        <w:rPr>
          <w:rFonts w:ascii="Times New Roman" w:hAnsi="Times New Roman" w:cs="Times New Roman"/>
          <w:color w:val="000000" w:themeColor="text1"/>
          <w:sz w:val="24"/>
          <w:szCs w:val="24"/>
        </w:rPr>
        <w:t>)</w:t>
      </w:r>
      <w:r w:rsidR="00973A98" w:rsidRPr="0071418B">
        <w:rPr>
          <w:rFonts w:ascii="Times New Roman" w:hAnsi="Times New Roman" w:cs="Times New Roman"/>
          <w:color w:val="000000" w:themeColor="text1"/>
          <w:sz w:val="24"/>
          <w:szCs w:val="24"/>
        </w:rPr>
        <w:t xml:space="preserve">. </w:t>
      </w:r>
      <w:r w:rsidR="007F6E1C" w:rsidRPr="007F6E1C">
        <w:rPr>
          <w:rFonts w:ascii="Times New Roman" w:hAnsi="Times New Roman" w:cs="Times New Roman"/>
          <w:color w:val="000000" w:themeColor="text1"/>
          <w:sz w:val="24"/>
          <w:szCs w:val="24"/>
        </w:rPr>
        <w:t>According to that,</w:t>
      </w:r>
      <w:r w:rsidR="00C615C9">
        <w:rPr>
          <w:rFonts w:ascii="Times New Roman" w:hAnsi="Times New Roman" w:cs="Times New Roman"/>
          <w:color w:val="000000" w:themeColor="text1"/>
          <w:sz w:val="24"/>
          <w:szCs w:val="24"/>
        </w:rPr>
        <w:t xml:space="preserve"> a cornerstone to solid and efficient risk management in banks is not </w:t>
      </w:r>
      <w:r w:rsidR="00C615C9" w:rsidRPr="007F6E1C">
        <w:rPr>
          <w:rFonts w:ascii="Times New Roman" w:hAnsi="Times New Roman" w:cs="Times New Roman"/>
          <w:color w:val="000000" w:themeColor="text1"/>
          <w:sz w:val="24"/>
          <w:szCs w:val="24"/>
        </w:rPr>
        <w:t>necessarily</w:t>
      </w:r>
      <w:r w:rsidR="00C615C9">
        <w:rPr>
          <w:rFonts w:ascii="Times New Roman" w:hAnsi="Times New Roman" w:cs="Times New Roman"/>
          <w:color w:val="000000" w:themeColor="text1"/>
          <w:sz w:val="24"/>
          <w:szCs w:val="24"/>
        </w:rPr>
        <w:t xml:space="preserve"> to reduce or minimize all various types of risks. </w:t>
      </w:r>
      <w:r w:rsidR="007F6E1C" w:rsidRPr="007F6E1C">
        <w:rPr>
          <w:rFonts w:ascii="Times New Roman" w:hAnsi="Times New Roman" w:cs="Times New Roman"/>
          <w:color w:val="000000" w:themeColor="text1"/>
          <w:sz w:val="24"/>
          <w:szCs w:val="24"/>
        </w:rPr>
        <w:t>For example, the possible loan losses (credit risk) that immanent to lending operations performed by banks make banks able to charge premium for taking risk-operations and makes a profit for that. Therefore, risk becomes source of profits.</w:t>
      </w:r>
      <w:r w:rsidR="008C7E99" w:rsidRPr="008C7E99">
        <w:rPr>
          <w:rFonts w:ascii="Times New Roman" w:hAnsi="Times New Roman" w:cs="Times New Roman"/>
          <w:color w:val="000000" w:themeColor="text1"/>
          <w:sz w:val="24"/>
          <w:szCs w:val="24"/>
        </w:rPr>
        <w:t xml:space="preserve"> </w:t>
      </w:r>
      <w:r w:rsidR="008C7E99">
        <w:rPr>
          <w:rFonts w:ascii="Times New Roman" w:hAnsi="Times New Roman" w:cs="Times New Roman"/>
          <w:color w:val="000000" w:themeColor="text1"/>
          <w:sz w:val="24"/>
          <w:szCs w:val="24"/>
        </w:rPr>
        <w:t xml:space="preserve">To manage different types of risks in a good manner, it is fundamental to divide and select risk into two major types, based on the ingrained </w:t>
      </w:r>
      <w:r w:rsidR="008C7E99" w:rsidRPr="007F6E1C">
        <w:rPr>
          <w:rFonts w:ascii="Times New Roman" w:hAnsi="Times New Roman" w:cs="Times New Roman"/>
          <w:color w:val="000000" w:themeColor="text1"/>
          <w:sz w:val="24"/>
          <w:szCs w:val="24"/>
        </w:rPr>
        <w:t>characteristics,</w:t>
      </w:r>
      <w:r w:rsidR="008C7E99">
        <w:rPr>
          <w:rFonts w:ascii="Times New Roman" w:hAnsi="Times New Roman" w:cs="Times New Roman"/>
          <w:color w:val="000000" w:themeColor="text1"/>
          <w:sz w:val="24"/>
          <w:szCs w:val="24"/>
        </w:rPr>
        <w:t xml:space="preserve"> namely risks that you can handle or taken it and risk you should avoided or minimize it. </w:t>
      </w:r>
      <w:r w:rsidR="007F6E1C" w:rsidRPr="007F6E1C">
        <w:rPr>
          <w:rFonts w:ascii="Times New Roman" w:hAnsi="Times New Roman" w:cs="Times New Roman"/>
          <w:color w:val="000000" w:themeColor="text1"/>
          <w:sz w:val="24"/>
          <w:szCs w:val="24"/>
        </w:rPr>
        <w:t>Risk management in banking not about minimizing the absolute level of risk, instead it is about optimizing the risk-return trade off. As a matter of fact, banks form a crucial part of the financial market and any action by banks can have immediate and direct impacts on the country's financial stability.</w:t>
      </w:r>
    </w:p>
    <w:p w:rsidR="00443935" w:rsidRPr="008C7E99" w:rsidRDefault="00414703" w:rsidP="00D70CBE">
      <w:pPr>
        <w:spacing w:line="360" w:lineRule="auto"/>
        <w:contextualSpacing/>
        <w:jc w:val="both"/>
        <w:rPr>
          <w:rFonts w:ascii="Times New Roman" w:hAnsi="Times New Roman" w:cs="Times New Roman"/>
          <w:color w:val="000000" w:themeColor="text1"/>
          <w:sz w:val="24"/>
          <w:szCs w:val="24"/>
        </w:rPr>
      </w:pPr>
      <w:r w:rsidRPr="00945168">
        <w:rPr>
          <w:rFonts w:ascii="Times New Roman" w:hAnsi="Times New Roman" w:cs="Times New Roman"/>
          <w:color w:val="000000" w:themeColor="text1"/>
          <w:sz w:val="24"/>
          <w:szCs w:val="24"/>
        </w:rPr>
        <w:t xml:space="preserve">The 2008 international financial crisis is </w:t>
      </w:r>
      <w:r w:rsidR="00E053C9" w:rsidRPr="00945168">
        <w:rPr>
          <w:rFonts w:ascii="Times New Roman" w:hAnsi="Times New Roman" w:cs="Times New Roman"/>
          <w:color w:val="000000" w:themeColor="text1"/>
          <w:sz w:val="24"/>
          <w:szCs w:val="24"/>
        </w:rPr>
        <w:t xml:space="preserve">a crisis </w:t>
      </w:r>
      <w:r w:rsidR="00575B3E">
        <w:rPr>
          <w:rFonts w:ascii="Times New Roman" w:hAnsi="Times New Roman" w:cs="Times New Roman"/>
          <w:color w:val="000000" w:themeColor="text1"/>
          <w:sz w:val="24"/>
          <w:szCs w:val="24"/>
        </w:rPr>
        <w:t>arisen</w:t>
      </w:r>
      <w:r w:rsidR="00C70B51">
        <w:rPr>
          <w:rFonts w:ascii="Times New Roman" w:hAnsi="Times New Roman" w:cs="Times New Roman"/>
          <w:color w:val="000000" w:themeColor="text1"/>
          <w:sz w:val="24"/>
          <w:szCs w:val="24"/>
        </w:rPr>
        <w:t xml:space="preserve"> </w:t>
      </w:r>
      <w:r w:rsidRPr="00945168">
        <w:rPr>
          <w:rFonts w:ascii="Times New Roman" w:hAnsi="Times New Roman" w:cs="Times New Roman"/>
          <w:color w:val="000000" w:themeColor="text1"/>
          <w:sz w:val="24"/>
          <w:szCs w:val="24"/>
        </w:rPr>
        <w:t xml:space="preserve">from the banking institutions then spread to the </w:t>
      </w:r>
      <w:r w:rsidR="00C70B51">
        <w:rPr>
          <w:rFonts w:ascii="Times New Roman" w:hAnsi="Times New Roman" w:cs="Times New Roman"/>
          <w:color w:val="000000" w:themeColor="text1"/>
          <w:sz w:val="24"/>
          <w:szCs w:val="24"/>
        </w:rPr>
        <w:t xml:space="preserve">entire </w:t>
      </w:r>
      <w:r w:rsidR="00A73794">
        <w:rPr>
          <w:rFonts w:ascii="Times New Roman" w:hAnsi="Times New Roman" w:cs="Times New Roman"/>
          <w:color w:val="000000" w:themeColor="text1"/>
          <w:sz w:val="24"/>
          <w:szCs w:val="24"/>
        </w:rPr>
        <w:t xml:space="preserve">financial sector. The issue of safe, </w:t>
      </w:r>
      <w:r w:rsidRPr="00945168">
        <w:rPr>
          <w:rFonts w:ascii="Times New Roman" w:hAnsi="Times New Roman" w:cs="Times New Roman"/>
          <w:color w:val="000000" w:themeColor="text1"/>
          <w:sz w:val="24"/>
          <w:szCs w:val="24"/>
        </w:rPr>
        <w:t>sound banking sector an</w:t>
      </w:r>
      <w:r w:rsidR="006738D0">
        <w:rPr>
          <w:rFonts w:ascii="Times New Roman" w:hAnsi="Times New Roman" w:cs="Times New Roman"/>
          <w:color w:val="000000" w:themeColor="text1"/>
          <w:sz w:val="24"/>
          <w:szCs w:val="24"/>
        </w:rPr>
        <w:t xml:space="preserve">d the importance of </w:t>
      </w:r>
      <w:r w:rsidRPr="00945168">
        <w:rPr>
          <w:rFonts w:ascii="Times New Roman" w:hAnsi="Times New Roman" w:cs="Times New Roman"/>
          <w:color w:val="000000" w:themeColor="text1"/>
          <w:sz w:val="24"/>
          <w:szCs w:val="24"/>
        </w:rPr>
        <w:t>robust risk</w:t>
      </w:r>
      <w:r w:rsidR="00A73794">
        <w:rPr>
          <w:rFonts w:ascii="Times New Roman" w:hAnsi="Times New Roman" w:cs="Times New Roman"/>
          <w:color w:val="000000" w:themeColor="text1"/>
          <w:sz w:val="24"/>
          <w:szCs w:val="24"/>
        </w:rPr>
        <w:t xml:space="preserve"> </w:t>
      </w:r>
      <w:r w:rsidRPr="00945168">
        <w:rPr>
          <w:rFonts w:ascii="Times New Roman" w:hAnsi="Times New Roman" w:cs="Times New Roman"/>
          <w:color w:val="000000" w:themeColor="text1"/>
          <w:sz w:val="24"/>
          <w:szCs w:val="24"/>
        </w:rPr>
        <w:t>management framework in banks are now important than ever.</w:t>
      </w:r>
      <w:r w:rsidR="008C7E99" w:rsidRPr="008C7E99">
        <w:rPr>
          <w:rFonts w:ascii="Times New Roman" w:hAnsi="Times New Roman" w:cs="Times New Roman"/>
          <w:color w:val="000000" w:themeColor="text1"/>
          <w:sz w:val="24"/>
          <w:szCs w:val="24"/>
        </w:rPr>
        <w:t xml:space="preserve"> </w:t>
      </w:r>
      <w:r w:rsidR="008C7E99">
        <w:rPr>
          <w:rFonts w:ascii="Times New Roman" w:hAnsi="Times New Roman" w:cs="Times New Roman"/>
          <w:color w:val="000000" w:themeColor="text1"/>
          <w:sz w:val="24"/>
          <w:szCs w:val="24"/>
        </w:rPr>
        <w:t xml:space="preserve">The increasing interactions among financial institutions world-wild, may lead to series effects </w:t>
      </w:r>
      <w:r w:rsidR="008C7E99" w:rsidRPr="00945168">
        <w:rPr>
          <w:rFonts w:ascii="Times New Roman" w:hAnsi="Times New Roman" w:cs="Times New Roman"/>
          <w:color w:val="000000" w:themeColor="text1"/>
          <w:sz w:val="24"/>
          <w:szCs w:val="24"/>
        </w:rPr>
        <w:t>if some</w:t>
      </w:r>
      <w:r w:rsidR="008C7E99">
        <w:rPr>
          <w:rFonts w:ascii="Times New Roman" w:hAnsi="Times New Roman" w:cs="Times New Roman"/>
          <w:color w:val="000000" w:themeColor="text1"/>
          <w:sz w:val="24"/>
          <w:szCs w:val="24"/>
        </w:rPr>
        <w:t>t</w:t>
      </w:r>
      <w:r w:rsidR="008C7E99" w:rsidRPr="00945168">
        <w:rPr>
          <w:rFonts w:ascii="Times New Roman" w:hAnsi="Times New Roman" w:cs="Times New Roman"/>
          <w:color w:val="000000" w:themeColor="text1"/>
          <w:sz w:val="24"/>
          <w:szCs w:val="24"/>
        </w:rPr>
        <w:t>hing</w:t>
      </w:r>
      <w:r w:rsidR="008C7E99">
        <w:rPr>
          <w:rFonts w:ascii="Times New Roman" w:hAnsi="Times New Roman" w:cs="Times New Roman"/>
          <w:color w:val="000000" w:themeColor="text1"/>
          <w:sz w:val="24"/>
          <w:szCs w:val="24"/>
        </w:rPr>
        <w:t xml:space="preserve"> goes w</w:t>
      </w:r>
      <w:r w:rsidR="008C7E99" w:rsidRPr="00945168">
        <w:rPr>
          <w:rFonts w:ascii="Times New Roman" w:hAnsi="Times New Roman" w:cs="Times New Roman"/>
          <w:color w:val="000000" w:themeColor="text1"/>
          <w:sz w:val="24"/>
          <w:szCs w:val="24"/>
        </w:rPr>
        <w:t>rong</w:t>
      </w:r>
      <w:r w:rsidR="008C7E99">
        <w:rPr>
          <w:rFonts w:ascii="Times New Roman" w:hAnsi="Times New Roman" w:cs="Times New Roman"/>
          <w:color w:val="000000" w:themeColor="text1"/>
          <w:sz w:val="24"/>
          <w:szCs w:val="24"/>
        </w:rPr>
        <w:t xml:space="preserve">. Like contagious </w:t>
      </w:r>
      <w:r w:rsidR="009165E4">
        <w:rPr>
          <w:rFonts w:ascii="Times New Roman" w:hAnsi="Times New Roman" w:cs="Times New Roman"/>
          <w:color w:val="000000" w:themeColor="text1"/>
          <w:sz w:val="24"/>
          <w:szCs w:val="24"/>
        </w:rPr>
        <w:t>disease, one affects the others</w:t>
      </w:r>
      <w:r w:rsidR="008C7E99">
        <w:rPr>
          <w:rFonts w:ascii="Times New Roman" w:hAnsi="Times New Roman" w:cs="Times New Roman"/>
          <w:color w:val="000000" w:themeColor="text1"/>
          <w:sz w:val="24"/>
          <w:szCs w:val="24"/>
        </w:rPr>
        <w:t xml:space="preserve"> </w:t>
      </w:r>
      <w:r w:rsidR="001E1954" w:rsidRPr="00945168">
        <w:rPr>
          <w:rFonts w:ascii="Times New Roman" w:hAnsi="Times New Roman" w:cs="Times New Roman"/>
          <w:color w:val="000000" w:themeColor="text1"/>
          <w:sz w:val="24"/>
          <w:szCs w:val="24"/>
        </w:rPr>
        <w:t>(Utrecht University, 2010).</w:t>
      </w:r>
    </w:p>
    <w:p w:rsidR="001A617E" w:rsidRDefault="0026684A" w:rsidP="002614E7">
      <w:pPr>
        <w:bidi/>
        <w:spacing w:after="0" w:line="360" w:lineRule="auto"/>
        <w:contextualSpacing/>
        <w:jc w:val="both"/>
        <w:rPr>
          <w:rFonts w:ascii="Times New Roman" w:eastAsia="Times New Roman" w:hAnsi="Times New Roman" w:cs="Times New Roman"/>
          <w:sz w:val="24"/>
          <w:szCs w:val="24"/>
          <w:rtl/>
        </w:rPr>
      </w:pPr>
      <w:r w:rsidRPr="002614E7">
        <w:rPr>
          <w:rFonts w:ascii="Times New Roman" w:eastAsia="Times New Roman" w:hAnsi="Times New Roman" w:cs="Times New Roman"/>
          <w:sz w:val="24"/>
          <w:szCs w:val="24"/>
        </w:rPr>
        <w:t xml:space="preserve">Finally, we can say that banks are risk machines in the economics. They handle risks, they convert them, and they insert them in banking products and services. The first primary </w:t>
      </w:r>
      <w:r w:rsidRPr="002614E7">
        <w:rPr>
          <w:rFonts w:ascii="Times New Roman" w:eastAsia="Times New Roman" w:hAnsi="Times New Roman" w:cs="Times New Roman"/>
          <w:sz w:val="24"/>
          <w:szCs w:val="24"/>
        </w:rPr>
        <w:lastRenderedPageBreak/>
        <w:t>objective for banks to take such risks is to increase revenues for the bank (the positive relationship between risk and return). Second, a powerful motive for banks to take risks might be to achieve competitive advantage (Arora and Agarwal, 2009). Risk management in banks is a group of policies to manage and monitor bank's operations and transactions which may negatively affect banking operations, and taking precautionary measures to determine, control and reduce these</w:t>
      </w:r>
      <w:r w:rsidR="009165E4">
        <w:rPr>
          <w:rFonts w:ascii="Times New Roman" w:eastAsia="Times New Roman" w:hAnsi="Times New Roman" w:cs="Times New Roman"/>
          <w:sz w:val="24"/>
          <w:szCs w:val="24"/>
        </w:rPr>
        <w:t xml:space="preserve"> risks</w:t>
      </w:r>
      <w:r w:rsidRPr="002614E7">
        <w:rPr>
          <w:rFonts w:ascii="Times New Roman" w:eastAsia="Times New Roman" w:hAnsi="Times New Roman" w:cs="Times New Roman"/>
          <w:sz w:val="24"/>
          <w:szCs w:val="24"/>
        </w:rPr>
        <w:t xml:space="preserve"> (Ardrey, et al., 2009). The policies that banks usually follow in practice</w:t>
      </w:r>
      <w:r w:rsidR="00830CBA" w:rsidRPr="002614E7">
        <w:rPr>
          <w:rFonts w:ascii="Times New Roman" w:eastAsia="Times New Roman" w:hAnsi="Times New Roman" w:cs="Times New Roman"/>
          <w:sz w:val="24"/>
          <w:szCs w:val="24"/>
        </w:rPr>
        <w:t>,</w:t>
      </w:r>
      <w:r w:rsidRPr="002614E7">
        <w:rPr>
          <w:rFonts w:ascii="Times New Roman" w:eastAsia="Times New Roman" w:hAnsi="Times New Roman" w:cs="Times New Roman"/>
          <w:sz w:val="24"/>
          <w:szCs w:val="24"/>
        </w:rPr>
        <w:t xml:space="preserve"> establish standard processes, management, models, and evaluation criteria which are to be implemented in the bank's entire system. These policies are mostly reviewed on annual basis. At the international level, the most well-known regulation is the Basel Accords issued by the Basel Committee on Bank Supervision (Basel II, 2004). The overall aim of Basel II is an adequate capitalization of banks and best practice risk management to strengthen the banking system's stability through "three pillars": minimum capital requirements, supervisory review and market discipline (Crouhy, et al., 2006). Most developing countries, including Palestine, are still on the way to adopt</w:t>
      </w:r>
      <w:r w:rsidR="002614E7">
        <w:rPr>
          <w:rFonts w:ascii="Times New Roman" w:eastAsia="Times New Roman" w:hAnsi="Times New Roman" w:cs="Times New Roman"/>
          <w:sz w:val="24"/>
          <w:szCs w:val="24"/>
        </w:rPr>
        <w:t>.</w:t>
      </w:r>
      <w:r w:rsidRPr="002614E7">
        <w:rPr>
          <w:rFonts w:ascii="Times New Roman" w:eastAsia="Times New Roman" w:hAnsi="Times New Roman" w:cs="Times New Roman"/>
          <w:sz w:val="24"/>
          <w:szCs w:val="24"/>
        </w:rPr>
        <w:t xml:space="preserve"> </w:t>
      </w:r>
    </w:p>
    <w:p w:rsidR="002614E7" w:rsidRPr="002614E7" w:rsidRDefault="002614E7" w:rsidP="002614E7">
      <w:pPr>
        <w:bidi/>
        <w:spacing w:after="0" w:line="360" w:lineRule="auto"/>
        <w:contextualSpacing/>
        <w:jc w:val="both"/>
        <w:rPr>
          <w:rFonts w:ascii="Times New Roman" w:eastAsia="Times New Roman" w:hAnsi="Times New Roman" w:cs="Times New Roman"/>
          <w:sz w:val="24"/>
          <w:szCs w:val="24"/>
          <w:rtl/>
          <w:lang w:bidi="ar-JO"/>
        </w:rPr>
      </w:pPr>
    </w:p>
    <w:p w:rsidR="0071418B" w:rsidRDefault="006F0B0A" w:rsidP="00D70CBE">
      <w:pPr>
        <w:bidi/>
        <w:spacing w:line="360" w:lineRule="auto"/>
        <w:contextualSpacing/>
        <w:jc w:val="right"/>
        <w:rPr>
          <w:rFonts w:asciiTheme="majorBidi" w:hAnsiTheme="majorBidi" w:cstheme="majorBidi"/>
          <w:b/>
          <w:bCs/>
          <w:sz w:val="24"/>
          <w:szCs w:val="24"/>
          <w:rtl/>
          <w:lang w:bidi="ar-JO"/>
        </w:rPr>
      </w:pPr>
      <w:r w:rsidRPr="006F0B0A">
        <w:rPr>
          <w:rFonts w:asciiTheme="majorBidi" w:hAnsiTheme="majorBidi" w:cstheme="majorBidi"/>
          <w:b/>
          <w:bCs/>
          <w:color w:val="000000" w:themeColor="text1"/>
          <w:sz w:val="24"/>
          <w:szCs w:val="24"/>
        </w:rPr>
        <w:t xml:space="preserve">2.1.4.3 </w:t>
      </w:r>
      <w:r w:rsidRPr="006F0B0A">
        <w:rPr>
          <w:rFonts w:asciiTheme="majorBidi" w:hAnsiTheme="majorBidi" w:cstheme="majorBidi"/>
          <w:b/>
          <w:bCs/>
          <w:sz w:val="24"/>
          <w:szCs w:val="24"/>
        </w:rPr>
        <w:t>Bank Profitability</w:t>
      </w:r>
    </w:p>
    <w:p w:rsidR="004F754C" w:rsidRPr="005B093E" w:rsidRDefault="00590289" w:rsidP="00DE48BB">
      <w:pPr>
        <w:autoSpaceDE w:val="0"/>
        <w:autoSpaceDN w:val="0"/>
        <w:adjustRightInd w:val="0"/>
        <w:spacing w:after="0" w:line="360" w:lineRule="auto"/>
        <w:jc w:val="both"/>
        <w:rPr>
          <w:rFonts w:asciiTheme="majorBidi" w:hAnsiTheme="majorBidi" w:cstheme="majorBidi"/>
          <w:sz w:val="24"/>
          <w:szCs w:val="24"/>
        </w:rPr>
      </w:pPr>
      <w:r w:rsidRPr="00590289">
        <w:rPr>
          <w:rFonts w:asciiTheme="majorBidi" w:hAnsiTheme="majorBidi" w:cstheme="majorBidi"/>
          <w:sz w:val="24"/>
          <w:szCs w:val="24"/>
        </w:rPr>
        <w:t>In this study, the position of profitability has been measured with the help of</w:t>
      </w:r>
      <w:r w:rsidR="006738D0">
        <w:rPr>
          <w:rFonts w:asciiTheme="majorBidi" w:hAnsiTheme="majorBidi" w:cstheme="majorBidi"/>
          <w:sz w:val="24"/>
          <w:szCs w:val="24"/>
        </w:rPr>
        <w:t xml:space="preserve"> Return on A</w:t>
      </w:r>
      <w:r w:rsidR="007E3FDA" w:rsidRPr="00590289">
        <w:rPr>
          <w:rFonts w:asciiTheme="majorBidi" w:hAnsiTheme="majorBidi" w:cstheme="majorBidi"/>
          <w:sz w:val="24"/>
          <w:szCs w:val="24"/>
        </w:rPr>
        <w:t>ssets (ROA) and</w:t>
      </w:r>
      <w:r w:rsidR="006738D0">
        <w:rPr>
          <w:rFonts w:asciiTheme="majorBidi" w:hAnsiTheme="majorBidi" w:cstheme="majorBidi"/>
          <w:sz w:val="24"/>
          <w:szCs w:val="24"/>
        </w:rPr>
        <w:t xml:space="preserve"> Return on E</w:t>
      </w:r>
      <w:r w:rsidR="009A6BAB" w:rsidRPr="00590289">
        <w:rPr>
          <w:rFonts w:asciiTheme="majorBidi" w:hAnsiTheme="majorBidi" w:cstheme="majorBidi"/>
          <w:sz w:val="24"/>
          <w:szCs w:val="24"/>
        </w:rPr>
        <w:t>quity (ROE</w:t>
      </w:r>
      <w:r w:rsidR="009C37E9">
        <w:rPr>
          <w:rFonts w:asciiTheme="majorBidi" w:hAnsiTheme="majorBidi" w:cstheme="majorBidi"/>
          <w:sz w:val="24"/>
          <w:szCs w:val="24"/>
        </w:rPr>
        <w:t xml:space="preserve">) which takes into consecration bank size and considered two major ratios in calculating bank's profitability. </w:t>
      </w:r>
    </w:p>
    <w:p w:rsidR="001A6468" w:rsidRDefault="00AF7426" w:rsidP="00DE48B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ROA in B</w:t>
      </w:r>
      <w:r w:rsidR="00BB3566">
        <w:rPr>
          <w:rFonts w:asciiTheme="majorBidi" w:hAnsiTheme="majorBidi" w:cstheme="majorBidi"/>
          <w:b/>
          <w:bCs/>
          <w:sz w:val="24"/>
          <w:szCs w:val="24"/>
        </w:rPr>
        <w:t>anks</w:t>
      </w:r>
    </w:p>
    <w:p w:rsidR="001933D3" w:rsidRPr="001A6468" w:rsidRDefault="00590289" w:rsidP="00DE48BB">
      <w:pPr>
        <w:autoSpaceDE w:val="0"/>
        <w:autoSpaceDN w:val="0"/>
        <w:adjustRightInd w:val="0"/>
        <w:spacing w:after="0" w:line="360" w:lineRule="auto"/>
        <w:jc w:val="both"/>
        <w:rPr>
          <w:rFonts w:asciiTheme="majorBidi" w:hAnsiTheme="majorBidi" w:cstheme="majorBidi"/>
          <w:b/>
          <w:bCs/>
          <w:sz w:val="24"/>
          <w:szCs w:val="24"/>
        </w:rPr>
      </w:pPr>
      <w:r w:rsidRPr="001933D3">
        <w:rPr>
          <w:rFonts w:asciiTheme="majorBidi" w:hAnsiTheme="majorBidi" w:cstheme="majorBidi"/>
          <w:sz w:val="24"/>
          <w:szCs w:val="24"/>
        </w:rPr>
        <w:t xml:space="preserve"> </w:t>
      </w:r>
      <w:r w:rsidR="000552D4" w:rsidRPr="001933D3">
        <w:rPr>
          <w:rFonts w:asciiTheme="majorBidi" w:hAnsiTheme="majorBidi" w:cstheme="majorBidi"/>
          <w:sz w:val="24"/>
          <w:szCs w:val="24"/>
        </w:rPr>
        <w:t>From accounting perspective, Return on assets (ROA) is con</w:t>
      </w:r>
      <w:r w:rsidR="00830CBA">
        <w:rPr>
          <w:rFonts w:asciiTheme="majorBidi" w:hAnsiTheme="majorBidi" w:cstheme="majorBidi"/>
          <w:sz w:val="24"/>
          <w:szCs w:val="24"/>
        </w:rPr>
        <w:t>sidered an inclusive measurement indicator of total</w:t>
      </w:r>
      <w:r w:rsidR="000552D4" w:rsidRPr="001933D3">
        <w:rPr>
          <w:rFonts w:asciiTheme="majorBidi" w:hAnsiTheme="majorBidi" w:cstheme="majorBidi"/>
          <w:sz w:val="24"/>
          <w:szCs w:val="24"/>
        </w:rPr>
        <w:t xml:space="preserve"> bank performance</w:t>
      </w:r>
      <w:r w:rsidR="00BA0D93">
        <w:rPr>
          <w:rFonts w:asciiTheme="majorBidi" w:hAnsiTheme="majorBidi" w:cstheme="majorBidi"/>
          <w:sz w:val="24"/>
          <w:szCs w:val="24"/>
        </w:rPr>
        <w:t xml:space="preserve"> and profitability</w:t>
      </w:r>
      <w:r w:rsidR="000552D4" w:rsidRPr="001933D3">
        <w:rPr>
          <w:rFonts w:asciiTheme="majorBidi" w:hAnsiTheme="majorBidi" w:cstheme="majorBidi"/>
          <w:sz w:val="24"/>
          <w:szCs w:val="24"/>
        </w:rPr>
        <w:t xml:space="preserve"> </w:t>
      </w:r>
      <w:r w:rsidRPr="001933D3">
        <w:rPr>
          <w:rFonts w:asciiTheme="majorBidi" w:hAnsiTheme="majorBidi" w:cstheme="majorBidi"/>
          <w:sz w:val="24"/>
          <w:szCs w:val="24"/>
        </w:rPr>
        <w:t>(Sinkey and Joseph, 1992).</w:t>
      </w:r>
      <w:r w:rsidR="000552D4" w:rsidRPr="001933D3">
        <w:rPr>
          <w:rFonts w:asciiTheme="majorBidi" w:hAnsiTheme="majorBidi" w:cstheme="majorBidi"/>
          <w:color w:val="111111"/>
          <w:sz w:val="24"/>
          <w:szCs w:val="24"/>
        </w:rPr>
        <w:t xml:space="preserve"> ROA ratio indicates to</w:t>
      </w:r>
      <w:r w:rsidR="001933D3" w:rsidRPr="001933D3">
        <w:rPr>
          <w:rFonts w:asciiTheme="majorBidi" w:hAnsiTheme="majorBidi" w:cstheme="majorBidi"/>
          <w:color w:val="111111"/>
          <w:sz w:val="24"/>
          <w:szCs w:val="24"/>
        </w:rPr>
        <w:t xml:space="preserve"> management efficiency in</w:t>
      </w:r>
      <w:r w:rsidR="00830CBA">
        <w:rPr>
          <w:rFonts w:asciiTheme="majorBidi" w:hAnsiTheme="majorBidi" w:cstheme="majorBidi"/>
          <w:color w:val="111111"/>
          <w:sz w:val="24"/>
          <w:szCs w:val="24"/>
        </w:rPr>
        <w:t xml:space="preserve"> using</w:t>
      </w:r>
      <w:r w:rsidR="005537F2" w:rsidRPr="001933D3">
        <w:rPr>
          <w:rFonts w:asciiTheme="majorBidi" w:hAnsiTheme="majorBidi" w:cstheme="majorBidi"/>
          <w:color w:val="111111"/>
          <w:sz w:val="24"/>
          <w:szCs w:val="24"/>
        </w:rPr>
        <w:t xml:space="preserve"> </w:t>
      </w:r>
      <w:r w:rsidR="001933D3" w:rsidRPr="001933D3">
        <w:rPr>
          <w:rFonts w:asciiTheme="majorBidi" w:hAnsiTheme="majorBidi" w:cstheme="majorBidi"/>
          <w:color w:val="111111"/>
          <w:sz w:val="24"/>
          <w:szCs w:val="24"/>
        </w:rPr>
        <w:t xml:space="preserve">and utilizing </w:t>
      </w:r>
      <w:r w:rsidR="005537F2" w:rsidRPr="001933D3">
        <w:rPr>
          <w:rFonts w:asciiTheme="majorBidi" w:hAnsiTheme="majorBidi" w:cstheme="majorBidi"/>
          <w:color w:val="111111"/>
          <w:sz w:val="24"/>
          <w:szCs w:val="24"/>
        </w:rPr>
        <w:t>the compan</w:t>
      </w:r>
      <w:r w:rsidR="00830CBA">
        <w:rPr>
          <w:rFonts w:asciiTheme="majorBidi" w:hAnsiTheme="majorBidi" w:cstheme="majorBidi"/>
          <w:color w:val="111111"/>
          <w:sz w:val="24"/>
          <w:szCs w:val="24"/>
        </w:rPr>
        <w:t>y's overall</w:t>
      </w:r>
      <w:r w:rsidR="005537F2" w:rsidRPr="001933D3">
        <w:rPr>
          <w:rFonts w:asciiTheme="majorBidi" w:hAnsiTheme="majorBidi" w:cstheme="majorBidi"/>
          <w:color w:val="111111"/>
          <w:sz w:val="24"/>
          <w:szCs w:val="24"/>
        </w:rPr>
        <w:t xml:space="preserve"> assets to make</w:t>
      </w:r>
      <w:r w:rsidR="001933D3" w:rsidRPr="001933D3">
        <w:rPr>
          <w:rFonts w:asciiTheme="majorBidi" w:hAnsiTheme="majorBidi" w:cstheme="majorBidi"/>
          <w:color w:val="111111"/>
          <w:sz w:val="24"/>
          <w:szCs w:val="24"/>
        </w:rPr>
        <w:t xml:space="preserve"> or generate</w:t>
      </w:r>
      <w:r w:rsidR="005537F2" w:rsidRPr="001933D3">
        <w:rPr>
          <w:rFonts w:asciiTheme="majorBidi" w:hAnsiTheme="majorBidi" w:cstheme="majorBidi"/>
          <w:color w:val="111111"/>
          <w:sz w:val="24"/>
          <w:szCs w:val="24"/>
        </w:rPr>
        <w:t xml:space="preserve"> a profit. The higher the return, the more efficient management is in utilizing its asset base.</w:t>
      </w:r>
      <w:r w:rsidR="00816CB3" w:rsidRPr="001933D3">
        <w:rPr>
          <w:rFonts w:asciiTheme="majorBidi" w:hAnsiTheme="majorBidi" w:cstheme="majorBidi"/>
          <w:color w:val="111111"/>
          <w:sz w:val="24"/>
          <w:szCs w:val="24"/>
        </w:rPr>
        <w:t xml:space="preserve"> </w:t>
      </w:r>
      <w:r w:rsidR="005537F2" w:rsidRPr="001933D3">
        <w:rPr>
          <w:rFonts w:asciiTheme="majorBidi" w:hAnsiTheme="majorBidi" w:cstheme="majorBidi"/>
          <w:sz w:val="24"/>
          <w:szCs w:val="24"/>
        </w:rPr>
        <w:t>ROA is a ratio calculated by dividing the net income over total assets. ROA have been used in most of</w:t>
      </w:r>
      <w:r w:rsidR="001933D3">
        <w:rPr>
          <w:rFonts w:asciiTheme="majorBidi" w:hAnsiTheme="majorBidi" w:cstheme="majorBidi"/>
          <w:sz w:val="24"/>
          <w:szCs w:val="24"/>
        </w:rPr>
        <w:t xml:space="preserve"> the </w:t>
      </w:r>
      <w:r w:rsidR="001933D3" w:rsidRPr="001933D3">
        <w:rPr>
          <w:rFonts w:asciiTheme="majorBidi" w:hAnsiTheme="majorBidi" w:cstheme="majorBidi"/>
          <w:sz w:val="24"/>
          <w:szCs w:val="24"/>
        </w:rPr>
        <w:t>studies</w:t>
      </w:r>
      <w:r w:rsidR="00470EB6">
        <w:rPr>
          <w:rFonts w:asciiTheme="majorBidi" w:hAnsiTheme="majorBidi" w:cstheme="majorBidi"/>
          <w:sz w:val="24"/>
          <w:szCs w:val="24"/>
        </w:rPr>
        <w:t xml:space="preserve"> of bank's performance</w:t>
      </w:r>
      <w:r w:rsidR="001933D3" w:rsidRPr="001933D3">
        <w:rPr>
          <w:rFonts w:asciiTheme="majorBidi" w:hAnsiTheme="majorBidi" w:cstheme="majorBidi"/>
          <w:sz w:val="24"/>
          <w:szCs w:val="24"/>
        </w:rPr>
        <w:t xml:space="preserve"> </w:t>
      </w:r>
      <w:r w:rsidR="001933D3" w:rsidRPr="001933D3">
        <w:rPr>
          <w:rFonts w:asciiTheme="majorBidi" w:hAnsiTheme="majorBidi" w:cstheme="majorBidi"/>
          <w:sz w:val="24"/>
          <w:szCs w:val="24"/>
          <w:shd w:val="clear" w:color="auto" w:fill="FFFFFF"/>
        </w:rPr>
        <w:t>as a</w:t>
      </w:r>
      <w:r w:rsidR="001933D3" w:rsidRPr="001933D3">
        <w:rPr>
          <w:rStyle w:val="apple-converted-space"/>
          <w:rFonts w:asciiTheme="majorBidi" w:hAnsiTheme="majorBidi" w:cstheme="majorBidi"/>
          <w:sz w:val="24"/>
          <w:szCs w:val="24"/>
          <w:shd w:val="clear" w:color="auto" w:fill="FFFFFF"/>
        </w:rPr>
        <w:t> </w:t>
      </w:r>
      <w:r w:rsidR="001933D3" w:rsidRPr="001933D3">
        <w:rPr>
          <w:rStyle w:val="Emphasis"/>
          <w:rFonts w:asciiTheme="majorBidi" w:hAnsiTheme="majorBidi" w:cstheme="majorBidi"/>
          <w:i w:val="0"/>
          <w:iCs w:val="0"/>
          <w:sz w:val="24"/>
          <w:szCs w:val="24"/>
          <w:shd w:val="clear" w:color="auto" w:fill="FFFFFF"/>
        </w:rPr>
        <w:t>measure</w:t>
      </w:r>
      <w:r w:rsidR="001933D3" w:rsidRPr="001933D3">
        <w:rPr>
          <w:rStyle w:val="apple-converted-space"/>
          <w:rFonts w:asciiTheme="majorBidi" w:hAnsiTheme="majorBidi" w:cstheme="majorBidi"/>
          <w:sz w:val="24"/>
          <w:szCs w:val="24"/>
          <w:shd w:val="clear" w:color="auto" w:fill="FFFFFF"/>
        </w:rPr>
        <w:t> </w:t>
      </w:r>
      <w:r w:rsidR="001933D3" w:rsidRPr="001933D3">
        <w:rPr>
          <w:rFonts w:asciiTheme="majorBidi" w:hAnsiTheme="majorBidi" w:cstheme="majorBidi"/>
          <w:sz w:val="24"/>
          <w:szCs w:val="24"/>
          <w:shd w:val="clear" w:color="auto" w:fill="FFFFFF"/>
        </w:rPr>
        <w:t>of</w:t>
      </w:r>
      <w:r w:rsidR="001933D3" w:rsidRPr="001933D3">
        <w:rPr>
          <w:rStyle w:val="apple-converted-space"/>
          <w:rFonts w:asciiTheme="majorBidi" w:hAnsiTheme="majorBidi" w:cstheme="majorBidi"/>
          <w:sz w:val="24"/>
          <w:szCs w:val="24"/>
          <w:shd w:val="clear" w:color="auto" w:fill="FFFFFF"/>
        </w:rPr>
        <w:t> </w:t>
      </w:r>
      <w:r w:rsidR="001933D3" w:rsidRPr="001933D3">
        <w:rPr>
          <w:rStyle w:val="Emphasis"/>
          <w:rFonts w:asciiTheme="majorBidi" w:hAnsiTheme="majorBidi" w:cstheme="majorBidi"/>
          <w:i w:val="0"/>
          <w:iCs w:val="0"/>
          <w:sz w:val="24"/>
          <w:szCs w:val="24"/>
          <w:shd w:val="clear" w:color="auto" w:fill="FFFFFF"/>
        </w:rPr>
        <w:t>bank profitability</w:t>
      </w:r>
      <w:r w:rsidR="001933D3">
        <w:rPr>
          <w:rStyle w:val="Emphasis"/>
          <w:rFonts w:asciiTheme="majorBidi" w:hAnsiTheme="majorBidi" w:cstheme="majorBidi"/>
          <w:i w:val="0"/>
          <w:iCs w:val="0"/>
          <w:sz w:val="24"/>
          <w:szCs w:val="24"/>
          <w:shd w:val="clear" w:color="auto" w:fill="FFFFFF"/>
        </w:rPr>
        <w:t>.</w:t>
      </w:r>
    </w:p>
    <w:p w:rsidR="00C15227" w:rsidRDefault="00C15227" w:rsidP="001933D3">
      <w:pPr>
        <w:spacing w:line="360" w:lineRule="auto"/>
        <w:contextualSpacing/>
        <w:rPr>
          <w:rFonts w:asciiTheme="majorBidi" w:hAnsiTheme="majorBidi" w:cstheme="majorBidi"/>
          <w:b/>
          <w:bCs/>
          <w:sz w:val="24"/>
          <w:szCs w:val="24"/>
        </w:rPr>
      </w:pPr>
    </w:p>
    <w:p w:rsidR="00C15227" w:rsidRDefault="00C15227" w:rsidP="001933D3">
      <w:pPr>
        <w:spacing w:line="360" w:lineRule="auto"/>
        <w:contextualSpacing/>
        <w:rPr>
          <w:rFonts w:asciiTheme="majorBidi" w:hAnsiTheme="majorBidi" w:cstheme="majorBidi"/>
          <w:b/>
          <w:bCs/>
          <w:sz w:val="24"/>
          <w:szCs w:val="24"/>
        </w:rPr>
      </w:pPr>
    </w:p>
    <w:p w:rsidR="001933D3" w:rsidRDefault="00717174" w:rsidP="001933D3">
      <w:pPr>
        <w:spacing w:line="360" w:lineRule="auto"/>
        <w:contextualSpacing/>
        <w:rPr>
          <w:rFonts w:asciiTheme="majorBidi" w:hAnsiTheme="majorBidi" w:cstheme="majorBidi"/>
          <w:b/>
          <w:bCs/>
          <w:sz w:val="24"/>
          <w:szCs w:val="24"/>
        </w:rPr>
      </w:pPr>
      <w:r w:rsidRPr="003F54D4">
        <w:rPr>
          <w:rFonts w:asciiTheme="majorBidi" w:hAnsiTheme="majorBidi" w:cstheme="majorBidi"/>
          <w:b/>
          <w:bCs/>
          <w:sz w:val="24"/>
          <w:szCs w:val="24"/>
        </w:rPr>
        <w:lastRenderedPageBreak/>
        <w:t>ROE in</w:t>
      </w:r>
      <w:r w:rsidR="00AF7426">
        <w:rPr>
          <w:rFonts w:asciiTheme="majorBidi" w:hAnsiTheme="majorBidi" w:cstheme="majorBidi"/>
          <w:b/>
          <w:bCs/>
          <w:sz w:val="24"/>
          <w:szCs w:val="24"/>
        </w:rPr>
        <w:t xml:space="preserve"> B</w:t>
      </w:r>
      <w:r w:rsidR="003F54D4" w:rsidRPr="003F54D4">
        <w:rPr>
          <w:rFonts w:asciiTheme="majorBidi" w:hAnsiTheme="majorBidi" w:cstheme="majorBidi"/>
          <w:b/>
          <w:bCs/>
          <w:sz w:val="24"/>
          <w:szCs w:val="24"/>
        </w:rPr>
        <w:t>anks</w:t>
      </w:r>
    </w:p>
    <w:p w:rsidR="006846A1" w:rsidRPr="00505631" w:rsidRDefault="00BB3566" w:rsidP="00505631">
      <w:pPr>
        <w:spacing w:line="360" w:lineRule="auto"/>
        <w:contextualSpacing/>
        <w:jc w:val="both"/>
        <w:rPr>
          <w:rFonts w:asciiTheme="majorBidi" w:hAnsiTheme="majorBidi" w:cstheme="majorBidi"/>
          <w:sz w:val="24"/>
          <w:szCs w:val="24"/>
        </w:rPr>
      </w:pPr>
      <w:r w:rsidRPr="001933D3">
        <w:rPr>
          <w:rFonts w:asciiTheme="majorBidi" w:hAnsiTheme="majorBidi" w:cstheme="majorBidi"/>
          <w:sz w:val="24"/>
          <w:szCs w:val="24"/>
        </w:rPr>
        <w:t>Return on equity i</w:t>
      </w:r>
      <w:r w:rsidR="00590289" w:rsidRPr="001933D3">
        <w:rPr>
          <w:rFonts w:asciiTheme="majorBidi" w:hAnsiTheme="majorBidi" w:cstheme="majorBidi"/>
          <w:sz w:val="24"/>
          <w:szCs w:val="24"/>
        </w:rPr>
        <w:t>s</w:t>
      </w:r>
      <w:r w:rsidRPr="001933D3">
        <w:rPr>
          <w:rFonts w:asciiTheme="majorBidi" w:hAnsiTheme="majorBidi" w:cstheme="majorBidi"/>
          <w:sz w:val="24"/>
          <w:szCs w:val="24"/>
        </w:rPr>
        <w:t xml:space="preserve"> </w:t>
      </w:r>
      <w:r w:rsidR="00224B73">
        <w:rPr>
          <w:rFonts w:asciiTheme="majorBidi" w:hAnsiTheme="majorBidi" w:cstheme="majorBidi"/>
          <w:sz w:val="24"/>
          <w:szCs w:val="24"/>
        </w:rPr>
        <w:t>"</w:t>
      </w:r>
      <w:r w:rsidRPr="001933D3">
        <w:rPr>
          <w:rFonts w:asciiTheme="majorBidi" w:hAnsiTheme="majorBidi" w:cstheme="majorBidi"/>
          <w:sz w:val="24"/>
          <w:szCs w:val="24"/>
        </w:rPr>
        <w:t>the amount of Net Income (NI) returned as a percentag</w:t>
      </w:r>
      <w:r w:rsidR="00470EB6">
        <w:rPr>
          <w:rFonts w:asciiTheme="majorBidi" w:hAnsiTheme="majorBidi" w:cstheme="majorBidi"/>
          <w:sz w:val="24"/>
          <w:szCs w:val="24"/>
        </w:rPr>
        <w:t xml:space="preserve">e of Total Shareholders </w:t>
      </w:r>
      <w:r w:rsidR="00470EB6" w:rsidRPr="001933D3">
        <w:rPr>
          <w:rFonts w:asciiTheme="majorBidi" w:hAnsiTheme="majorBidi" w:cstheme="majorBidi"/>
          <w:sz w:val="24"/>
          <w:szCs w:val="24"/>
        </w:rPr>
        <w:t>'Equity</w:t>
      </w:r>
      <w:r w:rsidR="00224B73">
        <w:rPr>
          <w:rFonts w:asciiTheme="majorBidi" w:hAnsiTheme="majorBidi" w:cstheme="majorBidi"/>
          <w:sz w:val="24"/>
          <w:szCs w:val="24"/>
        </w:rPr>
        <w:t>"</w:t>
      </w:r>
      <w:r w:rsidR="006738D0" w:rsidRPr="001933D3">
        <w:rPr>
          <w:rFonts w:asciiTheme="majorBidi" w:hAnsiTheme="majorBidi" w:cstheme="majorBidi"/>
          <w:sz w:val="24"/>
          <w:szCs w:val="24"/>
        </w:rPr>
        <w:t xml:space="preserve"> </w:t>
      </w:r>
      <w:r w:rsidR="00470EB6">
        <w:rPr>
          <w:rFonts w:asciiTheme="majorBidi" w:hAnsiTheme="majorBidi" w:cstheme="majorBidi"/>
          <w:sz w:val="24"/>
          <w:szCs w:val="24"/>
        </w:rPr>
        <w:t xml:space="preserve">(Investopedia). </w:t>
      </w:r>
      <w:r w:rsidRPr="001933D3">
        <w:rPr>
          <w:rFonts w:asciiTheme="majorBidi" w:hAnsiTheme="majorBidi" w:cstheme="majorBidi"/>
          <w:sz w:val="24"/>
          <w:szCs w:val="24"/>
        </w:rPr>
        <w:t>We choose it as profitability indicator because ROE comprises aspects of performance, such as profit</w:t>
      </w:r>
      <w:r w:rsidR="006530E3">
        <w:rPr>
          <w:rFonts w:asciiTheme="majorBidi" w:hAnsiTheme="majorBidi" w:cstheme="majorBidi"/>
          <w:sz w:val="24"/>
          <w:szCs w:val="24"/>
        </w:rPr>
        <w:t xml:space="preserve">ability and financial leverage. </w:t>
      </w:r>
      <w:r w:rsidR="003F54D4" w:rsidRPr="00470EB6">
        <w:rPr>
          <w:rFonts w:asciiTheme="majorBidi" w:hAnsiTheme="majorBidi" w:cstheme="majorBidi"/>
          <w:sz w:val="24"/>
          <w:szCs w:val="24"/>
        </w:rPr>
        <w:t>ROE is commonly used to measure the profitability of banks. The efficiency of the banks can be</w:t>
      </w:r>
      <w:r w:rsidR="00832453" w:rsidRPr="00470EB6">
        <w:rPr>
          <w:rFonts w:asciiTheme="majorBidi" w:hAnsiTheme="majorBidi" w:cstheme="majorBidi"/>
          <w:sz w:val="24"/>
          <w:szCs w:val="24"/>
        </w:rPr>
        <w:t xml:space="preserve"> </w:t>
      </w:r>
      <w:r w:rsidR="003F54D4" w:rsidRPr="00470EB6">
        <w:rPr>
          <w:rFonts w:asciiTheme="majorBidi" w:hAnsiTheme="majorBidi" w:cstheme="majorBidi"/>
          <w:sz w:val="24"/>
          <w:szCs w:val="24"/>
        </w:rPr>
        <w:t>evaluated by applying ROE,</w:t>
      </w:r>
      <w:r w:rsidR="003F54D4" w:rsidRPr="005537F2">
        <w:rPr>
          <w:rFonts w:asciiTheme="majorBidi" w:hAnsiTheme="majorBidi" w:cstheme="majorBidi"/>
        </w:rPr>
        <w:t xml:space="preserve"> </w:t>
      </w:r>
      <w:r w:rsidR="003F54D4" w:rsidRPr="00727FC0">
        <w:rPr>
          <w:rFonts w:asciiTheme="majorBidi" w:hAnsiTheme="majorBidi" w:cstheme="majorBidi"/>
          <w:sz w:val="24"/>
          <w:szCs w:val="24"/>
        </w:rPr>
        <w:t>since it shows that banks reinvest its earnings to generate future</w:t>
      </w:r>
      <w:r w:rsidR="00832453" w:rsidRPr="00727FC0">
        <w:rPr>
          <w:rFonts w:asciiTheme="majorBidi" w:hAnsiTheme="majorBidi" w:cstheme="majorBidi"/>
          <w:sz w:val="24"/>
          <w:szCs w:val="24"/>
        </w:rPr>
        <w:t xml:space="preserve"> </w:t>
      </w:r>
      <w:r w:rsidR="003F54D4" w:rsidRPr="00727FC0">
        <w:rPr>
          <w:rFonts w:asciiTheme="majorBidi" w:hAnsiTheme="majorBidi" w:cstheme="majorBidi"/>
          <w:sz w:val="24"/>
          <w:szCs w:val="24"/>
        </w:rPr>
        <w:t>profit. However, the increase of the operating margin can smoothly enhance the RO</w:t>
      </w:r>
      <w:r w:rsidR="00CB0BE7" w:rsidRPr="00727FC0">
        <w:rPr>
          <w:rFonts w:asciiTheme="majorBidi" w:hAnsiTheme="majorBidi" w:cstheme="majorBidi"/>
          <w:sz w:val="24"/>
          <w:szCs w:val="24"/>
        </w:rPr>
        <w:t>E (Foong, 2008)</w:t>
      </w:r>
      <w:r w:rsidR="003F54D4" w:rsidRPr="00727FC0">
        <w:rPr>
          <w:rFonts w:asciiTheme="majorBidi" w:hAnsiTheme="majorBidi" w:cstheme="majorBidi"/>
          <w:sz w:val="24"/>
          <w:szCs w:val="24"/>
        </w:rPr>
        <w:t>. ROE also hinges on the capital management activities. If the banks use capital more efficiently, they will have a better financial leverage and consequently a higher ROE. Because a higher</w:t>
      </w:r>
      <w:r w:rsidR="00727FC0">
        <w:rPr>
          <w:rFonts w:asciiTheme="majorBidi" w:hAnsiTheme="majorBidi" w:cstheme="majorBidi"/>
          <w:sz w:val="24"/>
          <w:szCs w:val="24"/>
        </w:rPr>
        <w:t xml:space="preserve"> </w:t>
      </w:r>
      <w:r w:rsidR="003F54D4" w:rsidRPr="00727FC0">
        <w:rPr>
          <w:rFonts w:asciiTheme="majorBidi" w:hAnsiTheme="majorBidi" w:cstheme="majorBidi"/>
          <w:sz w:val="24"/>
          <w:szCs w:val="24"/>
        </w:rPr>
        <w:t>financial leverage multiplier indicates that banks can leverage on a smaller base of stakeholder’s fund and produce higher interest bearing assets leading to the optimization of the earnings</w:t>
      </w:r>
      <w:r w:rsidR="00CB0BE7" w:rsidRPr="00727FC0">
        <w:rPr>
          <w:rFonts w:asciiTheme="majorBidi" w:hAnsiTheme="majorBidi" w:cstheme="majorBidi"/>
          <w:sz w:val="24"/>
          <w:szCs w:val="24"/>
        </w:rPr>
        <w:t xml:space="preserve"> </w:t>
      </w:r>
      <w:r w:rsidR="00727FC0">
        <w:rPr>
          <w:rFonts w:asciiTheme="majorBidi" w:hAnsiTheme="majorBidi" w:cstheme="majorBidi"/>
          <w:sz w:val="24"/>
          <w:szCs w:val="24"/>
        </w:rPr>
        <w:t xml:space="preserve"> </w:t>
      </w:r>
      <w:r w:rsidR="00CB0BE7" w:rsidRPr="00727FC0">
        <w:rPr>
          <w:rFonts w:asciiTheme="majorBidi" w:hAnsiTheme="majorBidi" w:cstheme="majorBidi"/>
          <w:sz w:val="24"/>
          <w:szCs w:val="24"/>
        </w:rPr>
        <w:t>(Foong, 2008</w:t>
      </w:r>
      <w:r w:rsidR="00505631">
        <w:rPr>
          <w:rFonts w:asciiTheme="majorBidi" w:hAnsiTheme="majorBidi" w:cstheme="majorBidi"/>
          <w:sz w:val="24"/>
          <w:szCs w:val="24"/>
        </w:rPr>
        <w:t>).</w:t>
      </w:r>
    </w:p>
    <w:p w:rsidR="002813B1" w:rsidRDefault="002813B1" w:rsidP="008462B7">
      <w:pPr>
        <w:spacing w:line="360" w:lineRule="auto"/>
        <w:contextualSpacing/>
        <w:jc w:val="center"/>
        <w:rPr>
          <w:rFonts w:asciiTheme="majorBidi" w:hAnsiTheme="majorBidi" w:cstheme="majorBidi"/>
          <w:b/>
          <w:color w:val="000000" w:themeColor="text1"/>
          <w:sz w:val="24"/>
          <w:szCs w:val="24"/>
        </w:rPr>
      </w:pPr>
    </w:p>
    <w:p w:rsidR="002813B1" w:rsidRDefault="002813B1" w:rsidP="008462B7">
      <w:pPr>
        <w:spacing w:line="360" w:lineRule="auto"/>
        <w:contextualSpacing/>
        <w:jc w:val="center"/>
        <w:rPr>
          <w:rFonts w:asciiTheme="majorBidi" w:hAnsiTheme="majorBidi" w:cstheme="majorBidi"/>
          <w:b/>
          <w:color w:val="000000" w:themeColor="text1"/>
          <w:sz w:val="24"/>
          <w:szCs w:val="24"/>
        </w:rPr>
      </w:pPr>
    </w:p>
    <w:p w:rsidR="002813B1" w:rsidRDefault="002813B1" w:rsidP="008462B7">
      <w:pPr>
        <w:spacing w:line="360" w:lineRule="auto"/>
        <w:contextualSpacing/>
        <w:jc w:val="center"/>
        <w:rPr>
          <w:rFonts w:asciiTheme="majorBidi" w:hAnsiTheme="majorBidi" w:cstheme="majorBidi"/>
          <w:b/>
          <w:color w:val="000000" w:themeColor="text1"/>
          <w:sz w:val="24"/>
          <w:szCs w:val="24"/>
        </w:rPr>
      </w:pPr>
    </w:p>
    <w:p w:rsidR="002813B1" w:rsidRDefault="002813B1" w:rsidP="008462B7">
      <w:pPr>
        <w:spacing w:line="360" w:lineRule="auto"/>
        <w:contextualSpacing/>
        <w:jc w:val="center"/>
        <w:rPr>
          <w:rFonts w:asciiTheme="majorBidi" w:hAnsiTheme="majorBidi" w:cstheme="majorBidi"/>
          <w:b/>
          <w:color w:val="000000" w:themeColor="text1"/>
          <w:sz w:val="24"/>
          <w:szCs w:val="24"/>
        </w:rPr>
      </w:pPr>
    </w:p>
    <w:p w:rsidR="002813B1" w:rsidRDefault="002813B1" w:rsidP="008462B7">
      <w:pPr>
        <w:spacing w:line="360" w:lineRule="auto"/>
        <w:contextualSpacing/>
        <w:jc w:val="center"/>
        <w:rPr>
          <w:rFonts w:asciiTheme="majorBidi" w:hAnsiTheme="majorBidi" w:cstheme="majorBidi"/>
          <w:b/>
          <w:color w:val="000000" w:themeColor="text1"/>
          <w:sz w:val="24"/>
          <w:szCs w:val="24"/>
        </w:rPr>
      </w:pPr>
    </w:p>
    <w:p w:rsidR="005B093E" w:rsidRDefault="005B093E" w:rsidP="002614E7">
      <w:pPr>
        <w:spacing w:line="360" w:lineRule="auto"/>
        <w:contextualSpacing/>
        <w:rPr>
          <w:rFonts w:asciiTheme="majorBidi" w:hAnsiTheme="majorBidi" w:cstheme="majorBidi"/>
          <w:b/>
          <w:color w:val="000000" w:themeColor="text1"/>
          <w:sz w:val="24"/>
          <w:szCs w:val="24"/>
        </w:rPr>
      </w:pPr>
    </w:p>
    <w:p w:rsidR="005B093E" w:rsidRDefault="005B093E" w:rsidP="008462B7">
      <w:pPr>
        <w:spacing w:line="360" w:lineRule="auto"/>
        <w:contextualSpacing/>
        <w:jc w:val="center"/>
        <w:rPr>
          <w:rFonts w:asciiTheme="majorBidi" w:hAnsiTheme="majorBidi" w:cstheme="majorBidi"/>
          <w:b/>
          <w:color w:val="000000" w:themeColor="text1"/>
          <w:sz w:val="24"/>
          <w:szCs w:val="24"/>
        </w:rPr>
      </w:pPr>
    </w:p>
    <w:p w:rsidR="002614E7" w:rsidRDefault="002614E7" w:rsidP="008462B7">
      <w:pPr>
        <w:spacing w:line="360" w:lineRule="auto"/>
        <w:contextualSpacing/>
        <w:jc w:val="center"/>
        <w:rPr>
          <w:rFonts w:asciiTheme="majorBidi" w:hAnsiTheme="majorBidi" w:cstheme="majorBidi"/>
          <w:b/>
          <w:color w:val="000000" w:themeColor="text1"/>
          <w:sz w:val="24"/>
          <w:szCs w:val="24"/>
        </w:rPr>
      </w:pPr>
    </w:p>
    <w:p w:rsidR="002614E7" w:rsidRDefault="002614E7"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575B3E" w:rsidRDefault="00575B3E" w:rsidP="008462B7">
      <w:pPr>
        <w:spacing w:line="360" w:lineRule="auto"/>
        <w:contextualSpacing/>
        <w:jc w:val="center"/>
        <w:rPr>
          <w:rFonts w:asciiTheme="majorBidi" w:hAnsiTheme="majorBidi" w:cstheme="majorBidi"/>
          <w:b/>
          <w:color w:val="000000" w:themeColor="text1"/>
          <w:sz w:val="24"/>
          <w:szCs w:val="24"/>
        </w:rPr>
      </w:pPr>
    </w:p>
    <w:p w:rsidR="00DF5A0D" w:rsidRPr="008462B7" w:rsidRDefault="009E68BC" w:rsidP="008462B7">
      <w:pPr>
        <w:spacing w:line="360" w:lineRule="auto"/>
        <w:contextualSpacing/>
        <w:jc w:val="center"/>
        <w:rPr>
          <w:rFonts w:asciiTheme="majorBidi" w:hAnsiTheme="majorBidi" w:cstheme="majorBidi"/>
          <w:sz w:val="24"/>
          <w:szCs w:val="24"/>
        </w:rPr>
      </w:pPr>
      <w:r w:rsidRPr="00D4262C">
        <w:rPr>
          <w:rFonts w:asciiTheme="majorBidi" w:hAnsiTheme="majorBidi" w:cstheme="majorBidi"/>
          <w:b/>
          <w:color w:val="000000" w:themeColor="text1"/>
          <w:sz w:val="24"/>
          <w:szCs w:val="24"/>
        </w:rPr>
        <w:lastRenderedPageBreak/>
        <w:t>SECTION TWO</w:t>
      </w:r>
    </w:p>
    <w:p w:rsidR="002220E3" w:rsidRDefault="009E68BC" w:rsidP="002220E3">
      <w:pPr>
        <w:autoSpaceDE w:val="0"/>
        <w:autoSpaceDN w:val="0"/>
        <w:adjustRightInd w:val="0"/>
        <w:spacing w:after="0" w:line="360" w:lineRule="auto"/>
        <w:jc w:val="center"/>
        <w:rPr>
          <w:rFonts w:asciiTheme="majorBidi" w:hAnsiTheme="majorBidi" w:cstheme="majorBidi"/>
          <w:b/>
          <w:color w:val="000000" w:themeColor="text1"/>
          <w:sz w:val="24"/>
          <w:szCs w:val="24"/>
        </w:rPr>
      </w:pPr>
      <w:r w:rsidRPr="00D4262C">
        <w:rPr>
          <w:rFonts w:asciiTheme="majorBidi" w:hAnsiTheme="majorBidi" w:cstheme="majorBidi"/>
          <w:b/>
          <w:color w:val="000000" w:themeColor="text1"/>
          <w:sz w:val="24"/>
          <w:szCs w:val="24"/>
        </w:rPr>
        <w:t>BANKING REGULATION</w:t>
      </w:r>
    </w:p>
    <w:p w:rsidR="002220E3" w:rsidRDefault="002220E3" w:rsidP="002220E3">
      <w:pPr>
        <w:autoSpaceDE w:val="0"/>
        <w:autoSpaceDN w:val="0"/>
        <w:adjustRightInd w:val="0"/>
        <w:spacing w:after="0" w:line="360" w:lineRule="auto"/>
        <w:jc w:val="center"/>
        <w:rPr>
          <w:rFonts w:asciiTheme="majorBidi" w:hAnsiTheme="majorBidi" w:cstheme="majorBidi"/>
          <w:b/>
          <w:color w:val="000000" w:themeColor="text1"/>
          <w:sz w:val="24"/>
          <w:szCs w:val="24"/>
        </w:rPr>
      </w:pPr>
    </w:p>
    <w:p w:rsidR="002220E3" w:rsidRDefault="002220E3" w:rsidP="002220E3">
      <w:pPr>
        <w:autoSpaceDE w:val="0"/>
        <w:autoSpaceDN w:val="0"/>
        <w:adjustRightInd w:val="0"/>
        <w:spacing w:after="0" w:line="360" w:lineRule="auto"/>
        <w:jc w:val="center"/>
        <w:rPr>
          <w:rFonts w:asciiTheme="majorBidi" w:hAnsiTheme="majorBidi" w:cstheme="majorBidi"/>
          <w:b/>
          <w:color w:val="000000" w:themeColor="text1"/>
          <w:sz w:val="24"/>
          <w:szCs w:val="24"/>
        </w:rPr>
      </w:pPr>
    </w:p>
    <w:p w:rsidR="002220E3" w:rsidRDefault="002220E3" w:rsidP="002220E3">
      <w:pPr>
        <w:autoSpaceDE w:val="0"/>
        <w:autoSpaceDN w:val="0"/>
        <w:adjustRightInd w:val="0"/>
        <w:spacing w:after="0" w:line="360" w:lineRule="auto"/>
        <w:jc w:val="center"/>
        <w:rPr>
          <w:rFonts w:asciiTheme="majorBidi" w:hAnsiTheme="majorBidi" w:cstheme="majorBidi"/>
          <w:b/>
          <w:color w:val="000000" w:themeColor="text1"/>
          <w:sz w:val="24"/>
          <w:szCs w:val="24"/>
        </w:rPr>
      </w:pPr>
    </w:p>
    <w:p w:rsidR="009E68BC" w:rsidRDefault="00766771" w:rsidP="002220E3">
      <w:pPr>
        <w:autoSpaceDE w:val="0"/>
        <w:autoSpaceDN w:val="0"/>
        <w:adjustRightInd w:val="0"/>
        <w:spacing w:after="0" w:line="360" w:lineRule="auto"/>
        <w:rPr>
          <w:rFonts w:asciiTheme="majorBidi" w:hAnsiTheme="majorBidi" w:cstheme="majorBidi"/>
          <w:b/>
          <w:color w:val="000000" w:themeColor="text1"/>
          <w:sz w:val="24"/>
          <w:szCs w:val="24"/>
        </w:rPr>
      </w:pPr>
      <w:r w:rsidRPr="007757FB">
        <w:rPr>
          <w:rFonts w:asciiTheme="majorBidi" w:hAnsiTheme="majorBidi" w:cstheme="majorBidi"/>
          <w:b/>
          <w:color w:val="000000" w:themeColor="text1"/>
          <w:sz w:val="24"/>
          <w:szCs w:val="24"/>
        </w:rPr>
        <w:t xml:space="preserve">2.2 </w:t>
      </w:r>
      <w:r w:rsidR="00AF7426">
        <w:rPr>
          <w:rFonts w:asciiTheme="majorBidi" w:hAnsiTheme="majorBidi" w:cstheme="majorBidi"/>
          <w:b/>
          <w:color w:val="000000" w:themeColor="text1"/>
          <w:sz w:val="24"/>
          <w:szCs w:val="24"/>
        </w:rPr>
        <w:t>Banking R</w:t>
      </w:r>
      <w:r w:rsidR="009E68BC" w:rsidRPr="007757FB">
        <w:rPr>
          <w:rFonts w:asciiTheme="majorBidi" w:hAnsiTheme="majorBidi" w:cstheme="majorBidi"/>
          <w:b/>
          <w:color w:val="000000" w:themeColor="text1"/>
          <w:sz w:val="24"/>
          <w:szCs w:val="24"/>
        </w:rPr>
        <w:t>egulation</w:t>
      </w:r>
    </w:p>
    <w:p w:rsidR="006A535A" w:rsidRPr="007757FB" w:rsidRDefault="006A535A" w:rsidP="002220E3">
      <w:pPr>
        <w:autoSpaceDE w:val="0"/>
        <w:autoSpaceDN w:val="0"/>
        <w:adjustRightInd w:val="0"/>
        <w:spacing w:after="0" w:line="360" w:lineRule="auto"/>
        <w:rPr>
          <w:rFonts w:asciiTheme="majorBidi" w:hAnsiTheme="majorBidi" w:cstheme="majorBidi"/>
          <w:b/>
          <w:color w:val="000000" w:themeColor="text1"/>
          <w:sz w:val="24"/>
          <w:szCs w:val="24"/>
        </w:rPr>
      </w:pPr>
    </w:p>
    <w:p w:rsidR="004E6B38" w:rsidRPr="007757FB" w:rsidRDefault="00A1614C" w:rsidP="00A1614C">
      <w:pPr>
        <w:autoSpaceDE w:val="0"/>
        <w:autoSpaceDN w:val="0"/>
        <w:adjustRightInd w:val="0"/>
        <w:spacing w:after="0" w:line="360" w:lineRule="auto"/>
        <w:rPr>
          <w:rFonts w:asciiTheme="majorBidi" w:hAnsiTheme="majorBidi" w:cstheme="majorBidi"/>
          <w:b/>
          <w:color w:val="000000" w:themeColor="text1"/>
          <w:sz w:val="24"/>
          <w:szCs w:val="24"/>
        </w:rPr>
      </w:pPr>
      <w:r w:rsidRPr="007757FB">
        <w:rPr>
          <w:rFonts w:asciiTheme="majorBidi" w:hAnsiTheme="majorBidi" w:cstheme="majorBidi"/>
          <w:b/>
          <w:color w:val="000000" w:themeColor="text1"/>
          <w:sz w:val="24"/>
          <w:szCs w:val="24"/>
        </w:rPr>
        <w:t xml:space="preserve">2.2.1 </w:t>
      </w:r>
      <w:r w:rsidR="009E68BC" w:rsidRPr="007757FB">
        <w:rPr>
          <w:rFonts w:asciiTheme="majorBidi" w:hAnsiTheme="majorBidi" w:cstheme="majorBidi"/>
          <w:b/>
          <w:color w:val="000000" w:themeColor="text1"/>
          <w:sz w:val="24"/>
          <w:szCs w:val="24"/>
        </w:rPr>
        <w:t>Introduction</w:t>
      </w:r>
    </w:p>
    <w:p w:rsidR="004E6B38" w:rsidRPr="00945168" w:rsidRDefault="00BD1D4A" w:rsidP="00B75254">
      <w:pPr>
        <w:autoSpaceDE w:val="0"/>
        <w:autoSpaceDN w:val="0"/>
        <w:adjustRightInd w:val="0"/>
        <w:spacing w:after="0" w:line="360" w:lineRule="auto"/>
        <w:jc w:val="both"/>
        <w:rPr>
          <w:rFonts w:ascii="Times New Roman" w:hAnsi="Times New Roman" w:cs="Times New Roman"/>
          <w:color w:val="000000"/>
          <w:sz w:val="24"/>
          <w:szCs w:val="24"/>
        </w:rPr>
      </w:pPr>
      <w:r w:rsidRPr="00945168">
        <w:rPr>
          <w:rFonts w:ascii="Times New Roman" w:hAnsi="Times New Roman" w:cs="Times New Roman"/>
          <w:sz w:val="24"/>
          <w:szCs w:val="24"/>
        </w:rPr>
        <w:t>Despite the fact that banks</w:t>
      </w:r>
      <w:r w:rsidR="004E6B38" w:rsidRPr="00945168">
        <w:rPr>
          <w:rFonts w:ascii="Times New Roman" w:hAnsi="Times New Roman" w:cs="Times New Roman"/>
          <w:sz w:val="24"/>
          <w:szCs w:val="24"/>
        </w:rPr>
        <w:t xml:space="preserve"> are operated for profit and bankers are free to make many decisions in their daily operations, banking is commonly </w:t>
      </w:r>
      <w:r w:rsidRPr="00945168">
        <w:rPr>
          <w:rFonts w:ascii="Times New Roman" w:hAnsi="Times New Roman" w:cs="Times New Roman"/>
          <w:sz w:val="24"/>
          <w:szCs w:val="24"/>
        </w:rPr>
        <w:t xml:space="preserve">considered </w:t>
      </w:r>
      <w:r w:rsidR="004E6B38" w:rsidRPr="00945168">
        <w:rPr>
          <w:rFonts w:ascii="Times New Roman" w:hAnsi="Times New Roman" w:cs="Times New Roman"/>
          <w:sz w:val="24"/>
          <w:szCs w:val="24"/>
        </w:rPr>
        <w:t>as a matter of public interest.</w:t>
      </w:r>
      <w:r w:rsidR="000F0B89" w:rsidRPr="00945168">
        <w:rPr>
          <w:rFonts w:ascii="Times New Roman" w:hAnsi="Times New Roman" w:cs="Times New Roman"/>
          <w:sz w:val="24"/>
          <w:szCs w:val="24"/>
        </w:rPr>
        <w:t xml:space="preserve"> Because of the importance of banking ind</w:t>
      </w:r>
      <w:r w:rsidR="0071418B">
        <w:rPr>
          <w:rFonts w:ascii="Times New Roman" w:hAnsi="Times New Roman" w:cs="Times New Roman"/>
          <w:sz w:val="24"/>
          <w:szCs w:val="24"/>
        </w:rPr>
        <w:t>ustry for the country’s economy,</w:t>
      </w:r>
      <w:r w:rsidR="000F0B89" w:rsidRPr="00945168">
        <w:rPr>
          <w:rFonts w:ascii="Times New Roman" w:hAnsi="Times New Roman" w:cs="Times New Roman"/>
          <w:sz w:val="24"/>
          <w:szCs w:val="24"/>
        </w:rPr>
        <w:t xml:space="preserve"> governmental authorities try to maintain some degree of control over the banking industry as any adverse events might result</w:t>
      </w:r>
      <w:r w:rsidR="00621BA6">
        <w:rPr>
          <w:rFonts w:ascii="Times New Roman" w:hAnsi="Times New Roman" w:cs="Times New Roman"/>
          <w:sz w:val="24"/>
          <w:szCs w:val="24"/>
        </w:rPr>
        <w:t xml:space="preserve"> </w:t>
      </w:r>
      <w:r w:rsidR="00621BA6" w:rsidRPr="00945168">
        <w:rPr>
          <w:rFonts w:ascii="Times New Roman" w:hAnsi="Times New Roman" w:cs="Times New Roman"/>
          <w:sz w:val="24"/>
          <w:szCs w:val="24"/>
        </w:rPr>
        <w:t>in</w:t>
      </w:r>
      <w:r w:rsidR="00621BA6">
        <w:rPr>
          <w:rFonts w:ascii="Times New Roman" w:hAnsi="Times New Roman" w:cs="Times New Roman"/>
          <w:sz w:val="24"/>
          <w:szCs w:val="24"/>
        </w:rPr>
        <w:t xml:space="preserve"> a</w:t>
      </w:r>
      <w:r w:rsidR="00621BA6" w:rsidRPr="00945168">
        <w:rPr>
          <w:rFonts w:ascii="Times New Roman" w:hAnsi="Times New Roman" w:cs="Times New Roman"/>
          <w:sz w:val="24"/>
          <w:szCs w:val="24"/>
        </w:rPr>
        <w:t xml:space="preserve"> large </w:t>
      </w:r>
      <w:r w:rsidR="00621BA6">
        <w:rPr>
          <w:rFonts w:ascii="Times New Roman" w:hAnsi="Times New Roman" w:cs="Times New Roman"/>
          <w:sz w:val="24"/>
          <w:szCs w:val="24"/>
        </w:rPr>
        <w:t>–</w:t>
      </w:r>
      <w:r w:rsidR="00621BA6" w:rsidRPr="00945168">
        <w:rPr>
          <w:rFonts w:ascii="Times New Roman" w:hAnsi="Times New Roman" w:cs="Times New Roman"/>
          <w:sz w:val="24"/>
          <w:szCs w:val="24"/>
        </w:rPr>
        <w:t>scale</w:t>
      </w:r>
      <w:r w:rsidR="00621BA6">
        <w:rPr>
          <w:rFonts w:ascii="Times New Roman" w:hAnsi="Times New Roman" w:cs="Times New Roman"/>
          <w:sz w:val="24"/>
          <w:szCs w:val="24"/>
        </w:rPr>
        <w:t xml:space="preserve"> </w:t>
      </w:r>
      <w:r w:rsidR="000F0B89" w:rsidRPr="00945168">
        <w:rPr>
          <w:rFonts w:ascii="Times New Roman" w:hAnsi="Times New Roman" w:cs="Times New Roman"/>
          <w:sz w:val="24"/>
          <w:szCs w:val="24"/>
        </w:rPr>
        <w:t>economic crisis.</w:t>
      </w:r>
      <w:r w:rsidR="004E6B38" w:rsidRPr="00945168">
        <w:rPr>
          <w:rFonts w:ascii="Times New Roman" w:hAnsi="Times New Roman" w:cs="Times New Roman"/>
          <w:sz w:val="24"/>
          <w:szCs w:val="24"/>
        </w:rPr>
        <w:t xml:space="preserve"> Banking laws and regulations extend to ma</w:t>
      </w:r>
      <w:r w:rsidR="00AE40C6" w:rsidRPr="00945168">
        <w:rPr>
          <w:rFonts w:ascii="Times New Roman" w:hAnsi="Times New Roman" w:cs="Times New Roman"/>
          <w:sz w:val="24"/>
          <w:szCs w:val="24"/>
        </w:rPr>
        <w:t xml:space="preserve">ny aspects of banking, such as </w:t>
      </w:r>
      <w:r w:rsidR="000F0B89" w:rsidRPr="00945168">
        <w:rPr>
          <w:rFonts w:ascii="Times New Roman" w:hAnsi="Times New Roman" w:cs="Times New Roman"/>
          <w:sz w:val="24"/>
          <w:szCs w:val="24"/>
        </w:rPr>
        <w:t>restrictions on pricing interest rate</w:t>
      </w:r>
      <w:r w:rsidR="00AE40C6" w:rsidRPr="00945168">
        <w:rPr>
          <w:rFonts w:ascii="Times New Roman" w:hAnsi="Times New Roman" w:cs="Times New Roman"/>
          <w:sz w:val="24"/>
          <w:szCs w:val="24"/>
        </w:rPr>
        <w:t xml:space="preserve"> or fees, restrictions on the portfol</w:t>
      </w:r>
      <w:r w:rsidR="0079560F">
        <w:rPr>
          <w:rFonts w:ascii="Times New Roman" w:hAnsi="Times New Roman" w:cs="Times New Roman"/>
          <w:sz w:val="24"/>
          <w:szCs w:val="24"/>
        </w:rPr>
        <w:t>io of assets that banks can keep</w:t>
      </w:r>
      <w:r w:rsidR="00AE40C6" w:rsidRPr="00945168">
        <w:rPr>
          <w:rFonts w:ascii="Times New Roman" w:hAnsi="Times New Roman" w:cs="Times New Roman"/>
          <w:sz w:val="24"/>
          <w:szCs w:val="24"/>
        </w:rPr>
        <w:t xml:space="preserve">, restrictions on reserve </w:t>
      </w:r>
      <w:r w:rsidR="0079560F" w:rsidRPr="00945168">
        <w:rPr>
          <w:rFonts w:ascii="Times New Roman" w:hAnsi="Times New Roman" w:cs="Times New Roman"/>
          <w:sz w:val="24"/>
          <w:szCs w:val="24"/>
        </w:rPr>
        <w:t>requirements (</w:t>
      </w:r>
      <w:r w:rsidR="00AE40C6" w:rsidRPr="00945168">
        <w:rPr>
          <w:rFonts w:ascii="Times New Roman" w:hAnsi="Times New Roman" w:cs="Times New Roman"/>
          <w:sz w:val="24"/>
          <w:szCs w:val="24"/>
        </w:rPr>
        <w:t xml:space="preserve">requirements to hold a certain quantity of the liabilities of the central bank), requirements to direct credit to favored sectors, special rules concerning mergers, </w:t>
      </w:r>
      <w:r w:rsidR="00AE40C6" w:rsidRPr="00945168">
        <w:rPr>
          <w:rFonts w:ascii="Times New Roman" w:hAnsi="Times New Roman" w:cs="Times New Roman"/>
          <w:color w:val="000000"/>
          <w:sz w:val="24"/>
          <w:szCs w:val="24"/>
        </w:rPr>
        <w:t>restrictions on branching and new entry</w:t>
      </w:r>
      <w:r w:rsidR="00AE40C6" w:rsidRPr="00945168">
        <w:rPr>
          <w:rFonts w:ascii="Times New Roman" w:hAnsi="Times New Roman" w:cs="Times New Roman"/>
          <w:sz w:val="24"/>
          <w:szCs w:val="24"/>
        </w:rPr>
        <w:t xml:space="preserve">, and </w:t>
      </w:r>
      <w:r w:rsidR="00AE40C6" w:rsidRPr="00945168">
        <w:rPr>
          <w:rFonts w:ascii="Times New Roman" w:hAnsi="Times New Roman" w:cs="Times New Roman"/>
          <w:color w:val="000000"/>
          <w:sz w:val="24"/>
          <w:szCs w:val="24"/>
        </w:rPr>
        <w:t>other rules affecting cooperation within the banking sector.</w:t>
      </w:r>
    </w:p>
    <w:p w:rsidR="00AE6569" w:rsidRPr="00945168" w:rsidRDefault="00AE6569" w:rsidP="00B75254">
      <w:pPr>
        <w:autoSpaceDE w:val="0"/>
        <w:autoSpaceDN w:val="0"/>
        <w:adjustRightInd w:val="0"/>
        <w:spacing w:after="0" w:line="360" w:lineRule="auto"/>
        <w:jc w:val="both"/>
        <w:rPr>
          <w:rFonts w:ascii="Times New Roman" w:hAnsi="Times New Roman" w:cs="Times New Roman"/>
          <w:color w:val="000000"/>
          <w:sz w:val="24"/>
          <w:szCs w:val="24"/>
        </w:rPr>
      </w:pPr>
      <w:r w:rsidRPr="00945168">
        <w:rPr>
          <w:rFonts w:ascii="Times New Roman" w:hAnsi="Times New Roman" w:cs="Times New Roman"/>
          <w:color w:val="000000"/>
          <w:sz w:val="24"/>
          <w:szCs w:val="24"/>
        </w:rPr>
        <w:t>Bankin</w:t>
      </w:r>
      <w:r w:rsidR="004260DE" w:rsidRPr="00945168">
        <w:rPr>
          <w:rFonts w:ascii="Times New Roman" w:hAnsi="Times New Roman" w:cs="Times New Roman"/>
          <w:color w:val="000000"/>
          <w:sz w:val="24"/>
          <w:szCs w:val="24"/>
        </w:rPr>
        <w:t>g regulators have severa</w:t>
      </w:r>
      <w:r w:rsidR="007941D2">
        <w:rPr>
          <w:rFonts w:ascii="Times New Roman" w:hAnsi="Times New Roman" w:cs="Times New Roman"/>
          <w:color w:val="000000"/>
          <w:sz w:val="24"/>
          <w:szCs w:val="24"/>
        </w:rPr>
        <w:t>l goals (Heffernan, 2005</w:t>
      </w:r>
      <w:r w:rsidR="004260DE" w:rsidRPr="00945168">
        <w:rPr>
          <w:rFonts w:ascii="Times New Roman" w:hAnsi="Times New Roman" w:cs="Times New Roman"/>
          <w:color w:val="000000"/>
          <w:sz w:val="24"/>
          <w:szCs w:val="24"/>
        </w:rPr>
        <w:t>):</w:t>
      </w:r>
    </w:p>
    <w:p w:rsidR="00AE6569" w:rsidRPr="00945168" w:rsidRDefault="00AE6569" w:rsidP="00F873C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color w:val="000000"/>
          <w:sz w:val="24"/>
          <w:szCs w:val="24"/>
        </w:rPr>
        <w:t>Improving the safety of banking industry, by imposing capital requirements in line with bank’s risks.</w:t>
      </w:r>
    </w:p>
    <w:p w:rsidR="00AE6569" w:rsidRPr="00945168" w:rsidRDefault="00AE6569" w:rsidP="00F873C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color w:val="000000"/>
          <w:sz w:val="24"/>
          <w:szCs w:val="24"/>
        </w:rPr>
        <w:t>Promotin</w:t>
      </w:r>
      <w:r w:rsidR="00B814BA">
        <w:rPr>
          <w:rFonts w:ascii="Times New Roman" w:hAnsi="Times New Roman" w:cs="Times New Roman"/>
          <w:color w:val="000000"/>
          <w:sz w:val="24"/>
          <w:szCs w:val="24"/>
        </w:rPr>
        <w:t>g sound business</w:t>
      </w:r>
      <w:r w:rsidRPr="00945168">
        <w:rPr>
          <w:rFonts w:ascii="Times New Roman" w:hAnsi="Times New Roman" w:cs="Times New Roman"/>
          <w:color w:val="000000"/>
          <w:sz w:val="24"/>
          <w:szCs w:val="24"/>
        </w:rPr>
        <w:t xml:space="preserve"> practices.</w:t>
      </w:r>
    </w:p>
    <w:p w:rsidR="00AE6569" w:rsidRPr="007941D2" w:rsidRDefault="00AE6569" w:rsidP="00F873C9">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color w:val="000000"/>
          <w:sz w:val="24"/>
          <w:szCs w:val="24"/>
        </w:rPr>
        <w:t xml:space="preserve">Equalizing or slowing down the level of </w:t>
      </w:r>
      <w:r w:rsidR="00BE0866" w:rsidRPr="00945168">
        <w:rPr>
          <w:rFonts w:ascii="Times New Roman" w:hAnsi="Times New Roman" w:cs="Times New Roman"/>
          <w:color w:val="000000"/>
          <w:sz w:val="24"/>
          <w:szCs w:val="24"/>
        </w:rPr>
        <w:t xml:space="preserve">competitiveness among banks through setting common </w:t>
      </w:r>
      <w:r w:rsidR="00BE0866" w:rsidRPr="007941D2">
        <w:rPr>
          <w:rFonts w:ascii="Times New Roman" w:hAnsi="Times New Roman" w:cs="Times New Roman"/>
          <w:color w:val="000000"/>
          <w:sz w:val="24"/>
          <w:szCs w:val="24"/>
        </w:rPr>
        <w:t>benchmarks for all banks.</w:t>
      </w:r>
    </w:p>
    <w:p w:rsidR="00951B09" w:rsidRPr="00945168" w:rsidRDefault="00CA21A2" w:rsidP="00B75254">
      <w:pPr>
        <w:autoSpaceDE w:val="0"/>
        <w:autoSpaceDN w:val="0"/>
        <w:adjustRightInd w:val="0"/>
        <w:spacing w:after="0" w:line="360" w:lineRule="auto"/>
        <w:jc w:val="both"/>
        <w:rPr>
          <w:rFonts w:ascii="Times New Roman" w:hAnsi="Times New Roman" w:cs="Times New Roman"/>
          <w:sz w:val="24"/>
          <w:szCs w:val="24"/>
        </w:rPr>
      </w:pPr>
      <w:r w:rsidRPr="007941D2">
        <w:rPr>
          <w:rFonts w:ascii="Times New Roman" w:hAnsi="Times New Roman" w:cs="Times New Roman"/>
          <w:sz w:val="24"/>
          <w:szCs w:val="24"/>
        </w:rPr>
        <w:t>Accor</w:t>
      </w:r>
      <w:r w:rsidR="008B42B1" w:rsidRPr="007941D2">
        <w:rPr>
          <w:rFonts w:ascii="Times New Roman" w:hAnsi="Times New Roman" w:cs="Times New Roman"/>
          <w:sz w:val="24"/>
          <w:szCs w:val="24"/>
        </w:rPr>
        <w:t>ding to Gestel and Beasens (2008</w:t>
      </w:r>
      <w:r w:rsidRPr="007941D2">
        <w:rPr>
          <w:rFonts w:ascii="Times New Roman" w:hAnsi="Times New Roman" w:cs="Times New Roman"/>
          <w:sz w:val="24"/>
          <w:szCs w:val="24"/>
        </w:rPr>
        <w:t>)</w:t>
      </w:r>
      <w:r w:rsidR="00621BA6">
        <w:rPr>
          <w:rFonts w:ascii="Times New Roman" w:hAnsi="Times New Roman" w:cs="Times New Roman"/>
          <w:sz w:val="24"/>
          <w:szCs w:val="24"/>
        </w:rPr>
        <w:t xml:space="preserve"> banking regulations are</w:t>
      </w:r>
      <w:r w:rsidR="00951B09" w:rsidRPr="00945168">
        <w:rPr>
          <w:rFonts w:ascii="Times New Roman" w:hAnsi="Times New Roman" w:cs="Times New Roman"/>
          <w:sz w:val="24"/>
          <w:szCs w:val="24"/>
        </w:rPr>
        <w:t xml:space="preserve"> essential</w:t>
      </w:r>
      <w:r w:rsidR="009165E4">
        <w:rPr>
          <w:rFonts w:ascii="Times New Roman" w:hAnsi="Times New Roman" w:cs="Times New Roman"/>
          <w:sz w:val="24"/>
          <w:szCs w:val="24"/>
        </w:rPr>
        <w:t>,</w:t>
      </w:r>
      <w:r w:rsidR="00701B0F" w:rsidRPr="00945168">
        <w:rPr>
          <w:rFonts w:ascii="Times New Roman" w:hAnsi="Times New Roman" w:cs="Times New Roman"/>
          <w:sz w:val="24"/>
          <w:szCs w:val="24"/>
        </w:rPr>
        <w:t xml:space="preserve"> s</w:t>
      </w:r>
      <w:r w:rsidR="00621BA6">
        <w:rPr>
          <w:rFonts w:ascii="Times New Roman" w:hAnsi="Times New Roman" w:cs="Times New Roman"/>
          <w:sz w:val="24"/>
          <w:szCs w:val="24"/>
        </w:rPr>
        <w:t xml:space="preserve">ince they can </w:t>
      </w:r>
      <w:r w:rsidR="00621BA6" w:rsidRPr="00945168">
        <w:rPr>
          <w:rFonts w:ascii="Times New Roman" w:hAnsi="Times New Roman" w:cs="Times New Roman"/>
          <w:sz w:val="24"/>
          <w:szCs w:val="24"/>
        </w:rPr>
        <w:t xml:space="preserve">achieve </w:t>
      </w:r>
      <w:r w:rsidR="00621BA6">
        <w:rPr>
          <w:rFonts w:ascii="Times New Roman" w:hAnsi="Times New Roman" w:cs="Times New Roman"/>
          <w:sz w:val="24"/>
          <w:szCs w:val="24"/>
        </w:rPr>
        <w:t xml:space="preserve">a </w:t>
      </w:r>
      <w:r w:rsidR="00B95B5A">
        <w:rPr>
          <w:rFonts w:ascii="Times New Roman" w:hAnsi="Times New Roman" w:cs="Times New Roman"/>
          <w:sz w:val="24"/>
          <w:szCs w:val="24"/>
        </w:rPr>
        <w:t>number goals</w:t>
      </w:r>
      <w:r w:rsidR="00621BA6">
        <w:rPr>
          <w:rFonts w:ascii="Times New Roman" w:hAnsi="Times New Roman" w:cs="Times New Roman"/>
          <w:sz w:val="24"/>
          <w:szCs w:val="24"/>
        </w:rPr>
        <w:t>:</w:t>
      </w:r>
    </w:p>
    <w:p w:rsidR="00CA21A2" w:rsidRPr="00945168" w:rsidRDefault="00951B09" w:rsidP="00F873C9">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Deposit protection: the first goal of regulation</w:t>
      </w:r>
      <w:r w:rsidR="00BE72DB">
        <w:rPr>
          <w:rFonts w:ascii="Times New Roman" w:hAnsi="Times New Roman" w:cs="Times New Roman"/>
          <w:sz w:val="24"/>
          <w:szCs w:val="24"/>
        </w:rPr>
        <w:t>s</w:t>
      </w:r>
      <w:r w:rsidRPr="00945168">
        <w:rPr>
          <w:rFonts w:ascii="Times New Roman" w:hAnsi="Times New Roman" w:cs="Times New Roman"/>
          <w:sz w:val="24"/>
          <w:szCs w:val="24"/>
        </w:rPr>
        <w:t xml:space="preserve"> is to protect the deposits of small creditors, since they don’t have sufficient information and </w:t>
      </w:r>
      <w:r w:rsidR="00E740AE" w:rsidRPr="00945168">
        <w:rPr>
          <w:rFonts w:ascii="Times New Roman" w:hAnsi="Times New Roman" w:cs="Times New Roman"/>
          <w:sz w:val="24"/>
          <w:szCs w:val="24"/>
        </w:rPr>
        <w:t>experience</w:t>
      </w:r>
      <w:r w:rsidRPr="00945168">
        <w:rPr>
          <w:rFonts w:ascii="Times New Roman" w:hAnsi="Times New Roman" w:cs="Times New Roman"/>
          <w:sz w:val="24"/>
          <w:szCs w:val="24"/>
        </w:rPr>
        <w:t xml:space="preserve"> to </w:t>
      </w:r>
      <w:r w:rsidRPr="00945168">
        <w:rPr>
          <w:rFonts w:ascii="Times New Roman" w:hAnsi="Times New Roman" w:cs="Times New Roman"/>
          <w:sz w:val="24"/>
          <w:szCs w:val="24"/>
        </w:rPr>
        <w:lastRenderedPageBreak/>
        <w:t>adequately monitor their bank</w:t>
      </w:r>
      <w:r w:rsidR="00621BA6">
        <w:rPr>
          <w:rFonts w:ascii="Times New Roman" w:hAnsi="Times New Roman" w:cs="Times New Roman"/>
          <w:sz w:val="24"/>
          <w:szCs w:val="24"/>
        </w:rPr>
        <w:t>s</w:t>
      </w:r>
      <w:r w:rsidR="00E740AE" w:rsidRPr="00945168">
        <w:rPr>
          <w:rFonts w:ascii="Times New Roman" w:hAnsi="Times New Roman" w:cs="Times New Roman"/>
          <w:sz w:val="24"/>
          <w:szCs w:val="24"/>
        </w:rPr>
        <w:t xml:space="preserve"> and assess</w:t>
      </w:r>
      <w:r w:rsidR="00621BA6">
        <w:rPr>
          <w:rFonts w:ascii="Times New Roman" w:hAnsi="Times New Roman" w:cs="Times New Roman"/>
          <w:sz w:val="24"/>
          <w:szCs w:val="24"/>
        </w:rPr>
        <w:t xml:space="preserve"> their solvency</w:t>
      </w:r>
      <w:r w:rsidR="00E740AE" w:rsidRPr="00945168">
        <w:rPr>
          <w:rFonts w:ascii="Times New Roman" w:hAnsi="Times New Roman" w:cs="Times New Roman"/>
          <w:sz w:val="24"/>
          <w:szCs w:val="24"/>
        </w:rPr>
        <w:t xml:space="preserve"> and the risk of their deposits.</w:t>
      </w:r>
    </w:p>
    <w:p w:rsidR="00621BA6" w:rsidRPr="00945168" w:rsidRDefault="00621BA6" w:rsidP="00F873C9">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Avoidance of systematic risk: since banks have significant exposures to other banks, the collapses of one bank will affect others</w:t>
      </w:r>
      <w:r>
        <w:rPr>
          <w:rFonts w:ascii="Times New Roman" w:hAnsi="Times New Roman" w:cs="Times New Roman"/>
          <w:sz w:val="24"/>
          <w:szCs w:val="24"/>
        </w:rPr>
        <w:t>,</w:t>
      </w:r>
      <w:r w:rsidRPr="00945168">
        <w:rPr>
          <w:rFonts w:ascii="Times New Roman" w:hAnsi="Times New Roman" w:cs="Times New Roman"/>
          <w:sz w:val="24"/>
          <w:szCs w:val="24"/>
        </w:rPr>
        <w:t xml:space="preserve"> like contagious disease disrupting the stability of the financial sector</w:t>
      </w:r>
      <w:r w:rsidRPr="00621BA6">
        <w:rPr>
          <w:rFonts w:ascii="Times New Roman" w:hAnsi="Times New Roman" w:cs="Times New Roman"/>
          <w:sz w:val="24"/>
          <w:szCs w:val="24"/>
        </w:rPr>
        <w:t xml:space="preserve">. This results </w:t>
      </w:r>
      <w:r w:rsidR="00223FD2" w:rsidRPr="00621BA6">
        <w:rPr>
          <w:rFonts w:ascii="Times New Roman" w:hAnsi="Times New Roman" w:cs="Times New Roman"/>
          <w:sz w:val="24"/>
          <w:szCs w:val="24"/>
        </w:rPr>
        <w:t>in a</w:t>
      </w:r>
      <w:r w:rsidRPr="00621BA6">
        <w:rPr>
          <w:rFonts w:ascii="Times New Roman" w:hAnsi="Times New Roman" w:cs="Times New Roman"/>
          <w:sz w:val="24"/>
          <w:szCs w:val="24"/>
        </w:rPr>
        <w:t xml:space="preserve"> total macroeconomic cost of a financial crisis.</w:t>
      </w:r>
    </w:p>
    <w:p w:rsidR="00E740AE" w:rsidRPr="00945168" w:rsidRDefault="00F432B2" w:rsidP="00F873C9">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Protection of money: since money reflects mainly the currency, p</w:t>
      </w:r>
      <w:r w:rsidR="00621BA6">
        <w:rPr>
          <w:rFonts w:ascii="Times New Roman" w:hAnsi="Times New Roman" w:cs="Times New Roman"/>
          <w:sz w:val="24"/>
          <w:szCs w:val="24"/>
        </w:rPr>
        <w:t>ayment and settlement systems, a financial crisis would</w:t>
      </w:r>
      <w:r w:rsidRPr="00945168">
        <w:rPr>
          <w:rFonts w:ascii="Times New Roman" w:hAnsi="Times New Roman" w:cs="Times New Roman"/>
          <w:sz w:val="24"/>
          <w:szCs w:val="24"/>
        </w:rPr>
        <w:t xml:space="preserve"> impact these elements.</w:t>
      </w:r>
    </w:p>
    <w:p w:rsidR="00F432B2" w:rsidRPr="00945168" w:rsidRDefault="00F432B2" w:rsidP="00F873C9">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Financial efficiency: the co</w:t>
      </w:r>
      <w:r w:rsidR="00621BA6">
        <w:rPr>
          <w:rFonts w:ascii="Times New Roman" w:hAnsi="Times New Roman" w:cs="Times New Roman"/>
          <w:sz w:val="24"/>
          <w:szCs w:val="24"/>
        </w:rPr>
        <w:t>llapse of one or more banks would</w:t>
      </w:r>
      <w:r w:rsidRPr="00945168">
        <w:rPr>
          <w:rFonts w:ascii="Times New Roman" w:hAnsi="Times New Roman" w:cs="Times New Roman"/>
          <w:sz w:val="24"/>
          <w:szCs w:val="24"/>
        </w:rPr>
        <w:t xml:space="preserve"> reduce the financial functioning</w:t>
      </w:r>
      <w:r w:rsidR="00621BA6">
        <w:rPr>
          <w:rFonts w:ascii="Times New Roman" w:hAnsi="Times New Roman" w:cs="Times New Roman"/>
          <w:sz w:val="24"/>
          <w:szCs w:val="24"/>
        </w:rPr>
        <w:t xml:space="preserve"> of</w:t>
      </w:r>
      <w:r w:rsidR="008B42B1" w:rsidRPr="00945168">
        <w:rPr>
          <w:rFonts w:ascii="Times New Roman" w:hAnsi="Times New Roman" w:cs="Times New Roman"/>
          <w:sz w:val="24"/>
          <w:szCs w:val="24"/>
        </w:rPr>
        <w:t xml:space="preserve"> the local economy.</w:t>
      </w:r>
    </w:p>
    <w:p w:rsidR="00BE0866" w:rsidRPr="00945168" w:rsidRDefault="00BD1D4A" w:rsidP="00B75254">
      <w:p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 xml:space="preserve">The regulatory framework sets up the constraints and guidelines that </w:t>
      </w:r>
      <w:r w:rsidR="00264657" w:rsidRPr="00945168">
        <w:rPr>
          <w:rFonts w:ascii="Times New Roman" w:hAnsi="Times New Roman" w:cs="Times New Roman"/>
          <w:sz w:val="24"/>
          <w:szCs w:val="24"/>
        </w:rPr>
        <w:t xml:space="preserve">influence </w:t>
      </w:r>
      <w:r w:rsidRPr="00945168">
        <w:rPr>
          <w:rFonts w:ascii="Times New Roman" w:hAnsi="Times New Roman" w:cs="Times New Roman"/>
          <w:sz w:val="24"/>
          <w:szCs w:val="24"/>
        </w:rPr>
        <w:t xml:space="preserve">risk management practices, and stimulates the development and enhancement of the internal risk models and processes of banks. </w:t>
      </w:r>
      <w:r w:rsidR="00264657" w:rsidRPr="00945168">
        <w:rPr>
          <w:rFonts w:ascii="Times New Roman" w:hAnsi="Times New Roman" w:cs="Times New Roman"/>
          <w:sz w:val="24"/>
          <w:szCs w:val="24"/>
        </w:rPr>
        <w:t>Regulators promote and assist better definitions of risks, and create incentives for developing better methodologies for</w:t>
      </w:r>
      <w:r w:rsidR="00306645">
        <w:rPr>
          <w:rFonts w:ascii="Times New Roman" w:hAnsi="Times New Roman" w:cs="Times New Roman"/>
          <w:sz w:val="24"/>
          <w:szCs w:val="24"/>
        </w:rPr>
        <w:t xml:space="preserve"> their measurement.</w:t>
      </w:r>
    </w:p>
    <w:p w:rsidR="0041046A" w:rsidRDefault="007723F1" w:rsidP="00B75254">
      <w:p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The main pillar of regulations is ‘cap</w:t>
      </w:r>
      <w:r w:rsidR="00306645">
        <w:rPr>
          <w:rFonts w:ascii="Times New Roman" w:hAnsi="Times New Roman" w:cs="Times New Roman"/>
          <w:sz w:val="24"/>
          <w:szCs w:val="24"/>
        </w:rPr>
        <w:t>ital adequacy’. B</w:t>
      </w:r>
      <w:r w:rsidRPr="00945168">
        <w:rPr>
          <w:rFonts w:ascii="Times New Roman" w:hAnsi="Times New Roman" w:cs="Times New Roman"/>
          <w:sz w:val="24"/>
          <w:szCs w:val="24"/>
        </w:rPr>
        <w:t xml:space="preserve">y enforcing a capital level in line with risks, regulators focus on </w:t>
      </w:r>
      <w:r w:rsidR="00CD2ADB" w:rsidRPr="00945168">
        <w:rPr>
          <w:rFonts w:ascii="Times New Roman" w:hAnsi="Times New Roman" w:cs="Times New Roman"/>
          <w:sz w:val="24"/>
          <w:szCs w:val="24"/>
        </w:rPr>
        <w:t>pre-emptive actions limiting the risk of failure.</w:t>
      </w:r>
    </w:p>
    <w:p w:rsidR="006A535A" w:rsidRPr="00945168" w:rsidRDefault="00CD2ADB" w:rsidP="00B75254">
      <w:pPr>
        <w:autoSpaceDE w:val="0"/>
        <w:autoSpaceDN w:val="0"/>
        <w:adjustRightInd w:val="0"/>
        <w:spacing w:after="0" w:line="360" w:lineRule="auto"/>
        <w:jc w:val="both"/>
        <w:rPr>
          <w:rFonts w:ascii="Times New Roman" w:hAnsi="Times New Roman" w:cs="Times New Roman"/>
          <w:sz w:val="24"/>
          <w:szCs w:val="24"/>
        </w:rPr>
      </w:pPr>
      <w:r w:rsidRPr="00945168">
        <w:rPr>
          <w:rFonts w:ascii="Times New Roman" w:hAnsi="Times New Roman" w:cs="Times New Roman"/>
          <w:sz w:val="24"/>
          <w:szCs w:val="24"/>
        </w:rPr>
        <w:t xml:space="preserve"> </w:t>
      </w:r>
    </w:p>
    <w:p w:rsidR="00E16CE9" w:rsidRDefault="00A1614C" w:rsidP="00E16CE9">
      <w:pPr>
        <w:spacing w:after="240" w:line="360" w:lineRule="auto"/>
        <w:contextualSpacing/>
        <w:rPr>
          <w:rFonts w:ascii="Times New Roman" w:hAnsi="Times New Roman" w:cs="Times New Roman"/>
          <w:sz w:val="24"/>
          <w:szCs w:val="24"/>
        </w:rPr>
      </w:pPr>
      <w:r w:rsidRPr="007757FB">
        <w:rPr>
          <w:rFonts w:ascii="Times New Roman" w:hAnsi="Times New Roman" w:cs="Times New Roman"/>
          <w:b/>
          <w:sz w:val="24"/>
          <w:szCs w:val="24"/>
        </w:rPr>
        <w:t xml:space="preserve">2.2.2 </w:t>
      </w:r>
      <w:r w:rsidR="00AF7426">
        <w:rPr>
          <w:rFonts w:ascii="Times New Roman" w:hAnsi="Times New Roman" w:cs="Times New Roman"/>
          <w:b/>
          <w:sz w:val="24"/>
          <w:szCs w:val="24"/>
        </w:rPr>
        <w:t>Capital A</w:t>
      </w:r>
      <w:r w:rsidR="001E72D2" w:rsidRPr="007757FB">
        <w:rPr>
          <w:rFonts w:ascii="Times New Roman" w:hAnsi="Times New Roman" w:cs="Times New Roman"/>
          <w:b/>
          <w:sz w:val="24"/>
          <w:szCs w:val="24"/>
        </w:rPr>
        <w:t>dequacy</w:t>
      </w:r>
    </w:p>
    <w:p w:rsidR="00EF0F6D" w:rsidRPr="0070267C" w:rsidRDefault="00EF0F6D" w:rsidP="00332BC6">
      <w:pPr>
        <w:spacing w:line="360" w:lineRule="auto"/>
        <w:contextualSpacing/>
        <w:jc w:val="both"/>
        <w:rPr>
          <w:rFonts w:asciiTheme="majorBidi" w:hAnsiTheme="majorBidi" w:cstheme="majorBidi"/>
          <w:color w:val="000000" w:themeColor="text1"/>
          <w:sz w:val="24"/>
          <w:szCs w:val="24"/>
        </w:rPr>
      </w:pPr>
      <w:r w:rsidRPr="0070267C">
        <w:rPr>
          <w:rFonts w:ascii="Times New Roman" w:hAnsi="Times New Roman" w:cs="Times New Roman"/>
          <w:color w:val="000000" w:themeColor="text1"/>
          <w:sz w:val="24"/>
          <w:szCs w:val="24"/>
        </w:rPr>
        <w:t>Capital adequac</w:t>
      </w:r>
      <w:r w:rsidR="00306645" w:rsidRPr="0070267C">
        <w:rPr>
          <w:rFonts w:ascii="Times New Roman" w:hAnsi="Times New Roman" w:cs="Times New Roman"/>
          <w:color w:val="000000" w:themeColor="text1"/>
          <w:sz w:val="24"/>
          <w:szCs w:val="24"/>
        </w:rPr>
        <w:t>y is a dynamic concept which is</w:t>
      </w:r>
      <w:r w:rsidR="00D410CF" w:rsidRPr="0070267C">
        <w:rPr>
          <w:rFonts w:ascii="Times New Roman" w:hAnsi="Times New Roman" w:cs="Times New Roman"/>
          <w:color w:val="000000" w:themeColor="text1"/>
          <w:sz w:val="24"/>
          <w:szCs w:val="24"/>
        </w:rPr>
        <w:t xml:space="preserve"> affected</w:t>
      </w:r>
      <w:r w:rsidRPr="0070267C">
        <w:rPr>
          <w:rFonts w:ascii="Times New Roman" w:hAnsi="Times New Roman" w:cs="Times New Roman"/>
          <w:color w:val="000000" w:themeColor="text1"/>
          <w:sz w:val="24"/>
          <w:szCs w:val="24"/>
        </w:rPr>
        <w:t xml:space="preserve"> by the </w:t>
      </w:r>
      <w:r w:rsidR="00517857" w:rsidRPr="0070267C">
        <w:rPr>
          <w:rFonts w:ascii="Times New Roman" w:hAnsi="Times New Roman" w:cs="Times New Roman"/>
          <w:color w:val="000000" w:themeColor="text1"/>
          <w:sz w:val="24"/>
          <w:szCs w:val="24"/>
        </w:rPr>
        <w:t xml:space="preserve">current </w:t>
      </w:r>
      <w:r w:rsidRPr="0070267C">
        <w:rPr>
          <w:rFonts w:ascii="Times New Roman" w:hAnsi="Times New Roman" w:cs="Times New Roman"/>
          <w:color w:val="000000" w:themeColor="text1"/>
          <w:sz w:val="24"/>
          <w:szCs w:val="24"/>
        </w:rPr>
        <w:t>and expected ec</w:t>
      </w:r>
      <w:r w:rsidR="00D410CF" w:rsidRPr="0070267C">
        <w:rPr>
          <w:rFonts w:ascii="Times New Roman" w:hAnsi="Times New Roman" w:cs="Times New Roman"/>
          <w:color w:val="000000" w:themeColor="text1"/>
          <w:sz w:val="24"/>
          <w:szCs w:val="24"/>
        </w:rPr>
        <w:t xml:space="preserve">onomic </w:t>
      </w:r>
      <w:r w:rsidR="0079560F" w:rsidRPr="0070267C">
        <w:rPr>
          <w:rFonts w:ascii="Times New Roman" w:hAnsi="Times New Roman" w:cs="Times New Roman"/>
          <w:color w:val="000000" w:themeColor="text1"/>
          <w:sz w:val="24"/>
          <w:szCs w:val="24"/>
        </w:rPr>
        <w:t xml:space="preserve">situation </w:t>
      </w:r>
      <w:r w:rsidR="00D410CF" w:rsidRPr="0070267C">
        <w:rPr>
          <w:rFonts w:ascii="Times New Roman" w:hAnsi="Times New Roman" w:cs="Times New Roman"/>
          <w:color w:val="000000" w:themeColor="text1"/>
          <w:sz w:val="24"/>
          <w:szCs w:val="24"/>
        </w:rPr>
        <w:t xml:space="preserve">of the whole </w:t>
      </w:r>
      <w:r w:rsidRPr="0070267C">
        <w:rPr>
          <w:rFonts w:ascii="Times New Roman" w:hAnsi="Times New Roman" w:cs="Times New Roman"/>
          <w:color w:val="000000" w:themeColor="text1"/>
          <w:sz w:val="24"/>
          <w:szCs w:val="24"/>
        </w:rPr>
        <w:t xml:space="preserve">economy. It can be defined as </w:t>
      </w:r>
      <w:r w:rsidR="0070267C" w:rsidRPr="0070267C">
        <w:rPr>
          <w:rFonts w:asciiTheme="majorBidi" w:hAnsiTheme="majorBidi" w:cstheme="majorBidi"/>
          <w:color w:val="000000" w:themeColor="text1"/>
          <w:sz w:val="24"/>
          <w:szCs w:val="24"/>
        </w:rPr>
        <w:t xml:space="preserve">a condition where bank's capital is enough to absorb all losses and cover the bank's fixed assets </w:t>
      </w:r>
      <w:r w:rsidR="002D1795" w:rsidRPr="0070267C">
        <w:rPr>
          <w:rFonts w:asciiTheme="majorBidi" w:hAnsiTheme="majorBidi" w:cstheme="majorBidi"/>
          <w:color w:val="000000" w:themeColor="text1"/>
          <w:sz w:val="24"/>
          <w:szCs w:val="24"/>
        </w:rPr>
        <w:t>with sufficient</w:t>
      </w:r>
      <w:r w:rsidR="0070267C" w:rsidRPr="0070267C">
        <w:rPr>
          <w:rFonts w:asciiTheme="majorBidi" w:hAnsiTheme="majorBidi" w:cstheme="majorBidi"/>
          <w:color w:val="000000" w:themeColor="text1"/>
          <w:sz w:val="24"/>
          <w:szCs w:val="24"/>
        </w:rPr>
        <w:t xml:space="preserve"> extra capital for the current operations and future growth</w:t>
      </w:r>
      <w:r w:rsidRPr="0070267C">
        <w:rPr>
          <w:rFonts w:ascii="Times New Roman" w:hAnsi="Times New Roman" w:cs="Times New Roman"/>
          <w:color w:val="000000" w:themeColor="text1"/>
          <w:sz w:val="24"/>
          <w:szCs w:val="24"/>
        </w:rPr>
        <w:t xml:space="preserve"> </w:t>
      </w:r>
      <w:r w:rsidR="007941D2" w:rsidRPr="0070267C">
        <w:rPr>
          <w:rFonts w:ascii="Times New Roman" w:hAnsi="Times New Roman" w:cs="Times New Roman"/>
          <w:color w:val="000000" w:themeColor="text1"/>
          <w:sz w:val="24"/>
          <w:szCs w:val="24"/>
        </w:rPr>
        <w:t>(Ebhodaghe, 2001</w:t>
      </w:r>
      <w:r w:rsidR="001B012F" w:rsidRPr="0070267C">
        <w:rPr>
          <w:rFonts w:ascii="Times New Roman" w:hAnsi="Times New Roman" w:cs="Times New Roman"/>
          <w:color w:val="000000" w:themeColor="text1"/>
          <w:sz w:val="24"/>
          <w:szCs w:val="24"/>
        </w:rPr>
        <w:t>).</w:t>
      </w:r>
    </w:p>
    <w:p w:rsidR="006A535A" w:rsidRDefault="00306645" w:rsidP="00332BC6">
      <w:pPr>
        <w:autoSpaceDE w:val="0"/>
        <w:autoSpaceDN w:val="0"/>
        <w:adjustRightInd w:val="0"/>
        <w:spacing w:after="0" w:line="360" w:lineRule="auto"/>
        <w:contextualSpacing/>
        <w:jc w:val="both"/>
        <w:rPr>
          <w:rFonts w:ascii="Times New Roman" w:hAnsi="Times New Roman" w:cs="Times New Roman"/>
          <w:sz w:val="24"/>
          <w:szCs w:val="24"/>
        </w:rPr>
      </w:pPr>
      <w:r w:rsidRPr="0070267C">
        <w:rPr>
          <w:rFonts w:ascii="Times New Roman" w:hAnsi="Times New Roman" w:cs="Times New Roman"/>
          <w:color w:val="000000" w:themeColor="text1"/>
          <w:sz w:val="24"/>
          <w:szCs w:val="24"/>
        </w:rPr>
        <w:t xml:space="preserve">New regulations make the ‘capital adequacy’ principle a </w:t>
      </w:r>
      <w:r w:rsidR="00064884" w:rsidRPr="0070267C">
        <w:rPr>
          <w:rFonts w:ascii="Times New Roman" w:hAnsi="Times New Roman" w:cs="Times New Roman"/>
          <w:color w:val="000000" w:themeColor="text1"/>
          <w:sz w:val="24"/>
          <w:szCs w:val="24"/>
        </w:rPr>
        <w:t xml:space="preserve">main </w:t>
      </w:r>
      <w:r w:rsidRPr="0070267C">
        <w:rPr>
          <w:rFonts w:ascii="Times New Roman" w:hAnsi="Times New Roman" w:cs="Times New Roman"/>
          <w:color w:val="000000" w:themeColor="text1"/>
          <w:sz w:val="24"/>
          <w:szCs w:val="24"/>
        </w:rPr>
        <w:t xml:space="preserve">foundation. These regulations began </w:t>
      </w:r>
      <w:r w:rsidR="00556C01" w:rsidRPr="0070267C">
        <w:rPr>
          <w:rFonts w:ascii="Times New Roman" w:hAnsi="Times New Roman" w:cs="Times New Roman"/>
          <w:color w:val="000000" w:themeColor="text1"/>
          <w:sz w:val="24"/>
          <w:szCs w:val="24"/>
        </w:rPr>
        <w:t>at the</w:t>
      </w:r>
      <w:r w:rsidR="00D410CF" w:rsidRPr="0070267C">
        <w:rPr>
          <w:rFonts w:ascii="Times New Roman" w:hAnsi="Times New Roman" w:cs="Times New Roman"/>
          <w:color w:val="000000" w:themeColor="text1"/>
          <w:sz w:val="24"/>
          <w:szCs w:val="24"/>
        </w:rPr>
        <w:t xml:space="preserve"> end of eighties.</w:t>
      </w:r>
      <w:r w:rsidRPr="0070267C">
        <w:rPr>
          <w:rFonts w:ascii="Times New Roman" w:hAnsi="Times New Roman" w:cs="Times New Roman"/>
          <w:color w:val="000000" w:themeColor="text1"/>
          <w:sz w:val="24"/>
          <w:szCs w:val="24"/>
        </w:rPr>
        <w:t xml:space="preserve"> Regulatory requirements use minimum fair amounts of capital held against risks to ensure that capital is high enough to </w:t>
      </w:r>
      <w:r w:rsidR="00F227C9" w:rsidRPr="0070267C">
        <w:rPr>
          <w:rFonts w:ascii="Times New Roman" w:hAnsi="Times New Roman" w:cs="Times New Roman"/>
          <w:color w:val="000000" w:themeColor="text1"/>
          <w:sz w:val="24"/>
          <w:szCs w:val="24"/>
        </w:rPr>
        <w:t xml:space="preserve">afford </w:t>
      </w:r>
      <w:r w:rsidRPr="0070267C">
        <w:rPr>
          <w:rFonts w:ascii="Times New Roman" w:hAnsi="Times New Roman" w:cs="Times New Roman"/>
          <w:color w:val="000000" w:themeColor="text1"/>
          <w:sz w:val="24"/>
          <w:szCs w:val="24"/>
        </w:rPr>
        <w:t>future losses realized from current risks. In other words, it is a bank regulation that sets a fr</w:t>
      </w:r>
      <w:r w:rsidR="00D410CF" w:rsidRPr="0070267C">
        <w:rPr>
          <w:rFonts w:ascii="Times New Roman" w:hAnsi="Times New Roman" w:cs="Times New Roman"/>
          <w:color w:val="000000" w:themeColor="text1"/>
          <w:sz w:val="24"/>
          <w:szCs w:val="24"/>
        </w:rPr>
        <w:t>amework on how banks must treat or manage</w:t>
      </w:r>
      <w:r w:rsidRPr="0070267C">
        <w:rPr>
          <w:rFonts w:ascii="Times New Roman" w:hAnsi="Times New Roman" w:cs="Times New Roman"/>
          <w:color w:val="000000" w:themeColor="text1"/>
          <w:sz w:val="24"/>
          <w:szCs w:val="24"/>
        </w:rPr>
        <w:t xml:space="preserve"> their capital. These requirements are stipulated by regulatory agencies, such as Bank for International Settlements (BIS), to ensure that institutions are not involved in or holding investments that increase the risk of </w:t>
      </w:r>
      <w:r w:rsidRPr="00AA1AAD">
        <w:rPr>
          <w:rFonts w:ascii="Times New Roman" w:hAnsi="Times New Roman" w:cs="Times New Roman"/>
          <w:sz w:val="24"/>
          <w:szCs w:val="24"/>
        </w:rPr>
        <w:lastRenderedPageBreak/>
        <w:t xml:space="preserve">default. In addition, </w:t>
      </w:r>
      <w:r w:rsidR="00556C01">
        <w:rPr>
          <w:rFonts w:ascii="Times New Roman" w:hAnsi="Times New Roman" w:cs="Times New Roman"/>
          <w:sz w:val="24"/>
          <w:szCs w:val="24"/>
        </w:rPr>
        <w:t xml:space="preserve">they </w:t>
      </w:r>
      <w:r w:rsidR="00556C01" w:rsidRPr="00AA1AAD">
        <w:rPr>
          <w:rFonts w:ascii="Times New Roman" w:hAnsi="Times New Roman" w:cs="Times New Roman"/>
          <w:sz w:val="24"/>
          <w:szCs w:val="24"/>
        </w:rPr>
        <w:t>guarantee</w:t>
      </w:r>
      <w:r w:rsidRPr="00AA1AAD">
        <w:rPr>
          <w:rFonts w:ascii="Times New Roman" w:hAnsi="Times New Roman" w:cs="Times New Roman"/>
          <w:sz w:val="24"/>
          <w:szCs w:val="24"/>
        </w:rPr>
        <w:t xml:space="preserve"> that financial institutions have enough capital to sustain operating losses while honoring withdrawals. Guidelines of ‘capital adequacy’ approach are defined by the Basel Committee on Banking Supervision (BCBS).</w:t>
      </w:r>
    </w:p>
    <w:p w:rsidR="0041046A" w:rsidRPr="00AA1AAD" w:rsidRDefault="0041046A" w:rsidP="009165E4">
      <w:pPr>
        <w:autoSpaceDE w:val="0"/>
        <w:autoSpaceDN w:val="0"/>
        <w:adjustRightInd w:val="0"/>
        <w:spacing w:after="0" w:line="360" w:lineRule="auto"/>
        <w:jc w:val="both"/>
        <w:rPr>
          <w:rFonts w:ascii="Times New Roman" w:hAnsi="Times New Roman" w:cs="Times New Roman"/>
          <w:sz w:val="24"/>
          <w:szCs w:val="24"/>
        </w:rPr>
      </w:pPr>
    </w:p>
    <w:p w:rsidR="00757A72" w:rsidRDefault="00825B60" w:rsidP="009165E4">
      <w:pPr>
        <w:spacing w:after="240" w:line="360" w:lineRule="auto"/>
        <w:contextualSpacing/>
        <w:rPr>
          <w:rFonts w:ascii="Times New Roman" w:hAnsi="Times New Roman" w:cs="Times New Roman"/>
          <w:sz w:val="24"/>
          <w:szCs w:val="24"/>
        </w:rPr>
      </w:pPr>
      <w:r w:rsidRPr="007757FB">
        <w:rPr>
          <w:rFonts w:ascii="Times New Roman" w:hAnsi="Times New Roman" w:cs="Times New Roman"/>
          <w:b/>
          <w:sz w:val="24"/>
          <w:szCs w:val="24"/>
        </w:rPr>
        <w:t>2.2.2.1</w:t>
      </w:r>
      <w:r w:rsidR="0010652F" w:rsidRPr="007757FB">
        <w:rPr>
          <w:rFonts w:ascii="Times New Roman" w:hAnsi="Times New Roman" w:cs="Times New Roman"/>
          <w:b/>
          <w:sz w:val="24"/>
          <w:szCs w:val="24"/>
        </w:rPr>
        <w:t xml:space="preserve"> Function of Capital</w:t>
      </w:r>
    </w:p>
    <w:p w:rsidR="0010652F" w:rsidRPr="00757A72" w:rsidRDefault="00757A72" w:rsidP="00E051B3">
      <w:pPr>
        <w:spacing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Providing</w:t>
      </w:r>
      <w:r w:rsidR="0010652F" w:rsidRPr="00AA1AAD">
        <w:rPr>
          <w:rFonts w:ascii="Times New Roman" w:hAnsi="Times New Roman" w:cs="Times New Roman"/>
          <w:sz w:val="24"/>
          <w:szCs w:val="24"/>
        </w:rPr>
        <w:t xml:space="preserve"> protection against </w:t>
      </w:r>
      <w:r w:rsidR="00064884">
        <w:rPr>
          <w:rFonts w:ascii="Times New Roman" w:hAnsi="Times New Roman" w:cs="Times New Roman"/>
          <w:sz w:val="24"/>
          <w:szCs w:val="24"/>
        </w:rPr>
        <w:t xml:space="preserve">unforeseen </w:t>
      </w:r>
      <w:r w:rsidR="0010652F" w:rsidRPr="00AA1AAD">
        <w:rPr>
          <w:rFonts w:ascii="Times New Roman" w:hAnsi="Times New Roman" w:cs="Times New Roman"/>
          <w:sz w:val="24"/>
          <w:szCs w:val="24"/>
        </w:rPr>
        <w:t>los</w:t>
      </w:r>
      <w:r>
        <w:rPr>
          <w:rFonts w:ascii="Times New Roman" w:hAnsi="Times New Roman" w:cs="Times New Roman"/>
          <w:sz w:val="24"/>
          <w:szCs w:val="24"/>
        </w:rPr>
        <w:t>ses is t</w:t>
      </w:r>
      <w:r w:rsidRPr="00AA1AAD">
        <w:rPr>
          <w:rFonts w:ascii="Times New Roman" w:hAnsi="Times New Roman" w:cs="Times New Roman"/>
          <w:sz w:val="24"/>
          <w:szCs w:val="24"/>
        </w:rPr>
        <w:t>he theoretical reason for holding c</w:t>
      </w:r>
      <w:r>
        <w:rPr>
          <w:rFonts w:ascii="Times New Roman" w:hAnsi="Times New Roman" w:cs="Times New Roman"/>
          <w:sz w:val="24"/>
          <w:szCs w:val="24"/>
        </w:rPr>
        <w:t>apital.</w:t>
      </w:r>
      <w:r w:rsidR="00306645">
        <w:rPr>
          <w:rFonts w:ascii="Times New Roman" w:hAnsi="Times New Roman" w:cs="Times New Roman"/>
          <w:sz w:val="24"/>
          <w:szCs w:val="24"/>
        </w:rPr>
        <w:t xml:space="preserve"> Without capital, banks would</w:t>
      </w:r>
      <w:r w:rsidR="0010652F" w:rsidRPr="00AA1AAD">
        <w:rPr>
          <w:rFonts w:ascii="Times New Roman" w:hAnsi="Times New Roman" w:cs="Times New Roman"/>
          <w:sz w:val="24"/>
          <w:szCs w:val="24"/>
        </w:rPr>
        <w:t xml:space="preserve"> fail at the first </w:t>
      </w:r>
      <w:r w:rsidR="00064884">
        <w:rPr>
          <w:rFonts w:ascii="Times New Roman" w:hAnsi="Times New Roman" w:cs="Times New Roman"/>
          <w:sz w:val="24"/>
          <w:szCs w:val="24"/>
        </w:rPr>
        <w:t>moment</w:t>
      </w:r>
      <w:r w:rsidR="009D496F">
        <w:rPr>
          <w:rFonts w:ascii="Times New Roman" w:hAnsi="Times New Roman" w:cs="Times New Roman"/>
          <w:sz w:val="24"/>
          <w:szCs w:val="24"/>
        </w:rPr>
        <w:t xml:space="preserve"> of</w:t>
      </w:r>
      <w:r w:rsidR="00064884">
        <w:rPr>
          <w:rFonts w:ascii="Times New Roman" w:hAnsi="Times New Roman" w:cs="Times New Roman"/>
          <w:sz w:val="24"/>
          <w:szCs w:val="24"/>
        </w:rPr>
        <w:t xml:space="preserve"> facing financial difficulties.</w:t>
      </w:r>
      <w:r w:rsidR="0010652F" w:rsidRPr="00AA1AAD">
        <w:rPr>
          <w:rFonts w:ascii="Times New Roman" w:hAnsi="Times New Roman" w:cs="Times New Roman"/>
          <w:sz w:val="24"/>
          <w:szCs w:val="24"/>
        </w:rPr>
        <w:t xml:space="preserve"> Capital functions can be summarized in</w:t>
      </w:r>
      <w:r w:rsidR="00306645">
        <w:rPr>
          <w:rFonts w:ascii="Times New Roman" w:hAnsi="Times New Roman" w:cs="Times New Roman"/>
          <w:sz w:val="24"/>
          <w:szCs w:val="24"/>
        </w:rPr>
        <w:t xml:space="preserve"> the following </w:t>
      </w:r>
      <w:r w:rsidR="007941D2">
        <w:rPr>
          <w:rFonts w:ascii="Times New Roman" w:hAnsi="Times New Roman" w:cs="Times New Roman"/>
          <w:sz w:val="24"/>
          <w:szCs w:val="24"/>
        </w:rPr>
        <w:t>(Greuning and Bratanovic, 2009</w:t>
      </w:r>
      <w:r w:rsidR="005C5AAE" w:rsidRPr="00AA1AAD">
        <w:rPr>
          <w:rFonts w:ascii="Times New Roman" w:hAnsi="Times New Roman" w:cs="Times New Roman"/>
          <w:sz w:val="24"/>
          <w:szCs w:val="24"/>
        </w:rPr>
        <w:t>):</w:t>
      </w:r>
    </w:p>
    <w:p w:rsidR="0010652F" w:rsidRPr="00AA1AAD" w:rsidRDefault="0010652F" w:rsidP="00F873C9">
      <w:pPr>
        <w:pStyle w:val="ListParagraph"/>
        <w:numPr>
          <w:ilvl w:val="0"/>
          <w:numId w:val="11"/>
        </w:numPr>
        <w:spacing w:line="360" w:lineRule="auto"/>
        <w:jc w:val="both"/>
        <w:rPr>
          <w:rFonts w:ascii="Times New Roman" w:hAnsi="Times New Roman" w:cs="Times New Roman"/>
          <w:sz w:val="24"/>
          <w:szCs w:val="24"/>
        </w:rPr>
      </w:pPr>
      <w:r w:rsidRPr="00AA1AAD">
        <w:rPr>
          <w:rFonts w:ascii="Times New Roman" w:hAnsi="Times New Roman" w:cs="Times New Roman"/>
          <w:sz w:val="24"/>
          <w:szCs w:val="24"/>
        </w:rPr>
        <w:t>A base for bank’s growth and development;</w:t>
      </w:r>
    </w:p>
    <w:p w:rsidR="006A3AA9" w:rsidRPr="003D4CD8" w:rsidRDefault="0010652F" w:rsidP="00F873C9">
      <w:pPr>
        <w:pStyle w:val="ListParagraph"/>
        <w:numPr>
          <w:ilvl w:val="0"/>
          <w:numId w:val="11"/>
        </w:numPr>
        <w:spacing w:line="360" w:lineRule="auto"/>
        <w:jc w:val="both"/>
        <w:rPr>
          <w:rFonts w:ascii="Times New Roman" w:hAnsi="Times New Roman" w:cs="Times New Roman"/>
          <w:sz w:val="24"/>
          <w:szCs w:val="24"/>
        </w:rPr>
      </w:pPr>
      <w:r w:rsidRPr="00AA1AAD">
        <w:rPr>
          <w:rFonts w:ascii="Times New Roman" w:hAnsi="Times New Roman" w:cs="Times New Roman"/>
          <w:sz w:val="24"/>
          <w:szCs w:val="24"/>
        </w:rPr>
        <w:t>Protection of deposits of all types and protection of lenders</w:t>
      </w:r>
    </w:p>
    <w:p w:rsidR="0010652F" w:rsidRPr="006A3AA9" w:rsidRDefault="0010652F" w:rsidP="00F873C9">
      <w:pPr>
        <w:pStyle w:val="ListParagraph"/>
        <w:numPr>
          <w:ilvl w:val="0"/>
          <w:numId w:val="11"/>
        </w:numPr>
        <w:spacing w:line="360" w:lineRule="auto"/>
        <w:jc w:val="both"/>
        <w:rPr>
          <w:rFonts w:ascii="Times New Roman" w:hAnsi="Times New Roman" w:cs="Times New Roman"/>
          <w:sz w:val="24"/>
          <w:szCs w:val="24"/>
        </w:rPr>
      </w:pPr>
      <w:r w:rsidRPr="006A3AA9">
        <w:rPr>
          <w:rFonts w:ascii="Times New Roman" w:hAnsi="Times New Roman" w:cs="Times New Roman"/>
          <w:sz w:val="24"/>
          <w:szCs w:val="24"/>
        </w:rPr>
        <w:t>Acquisition of fixed assets;</w:t>
      </w:r>
    </w:p>
    <w:p w:rsidR="0010652F" w:rsidRPr="00AA1AAD" w:rsidRDefault="0010652F" w:rsidP="00F873C9">
      <w:pPr>
        <w:pStyle w:val="ListParagraph"/>
        <w:numPr>
          <w:ilvl w:val="0"/>
          <w:numId w:val="11"/>
        </w:numPr>
        <w:spacing w:line="360" w:lineRule="auto"/>
        <w:jc w:val="both"/>
        <w:rPr>
          <w:rFonts w:ascii="Times New Roman" w:hAnsi="Times New Roman" w:cs="Times New Roman"/>
          <w:sz w:val="24"/>
          <w:szCs w:val="24"/>
        </w:rPr>
      </w:pPr>
      <w:r w:rsidRPr="00AA1AAD">
        <w:rPr>
          <w:rFonts w:ascii="Times New Roman" w:hAnsi="Times New Roman" w:cs="Times New Roman"/>
          <w:sz w:val="24"/>
          <w:szCs w:val="24"/>
        </w:rPr>
        <w:t>Absorption and coverage of unexpected losses;</w:t>
      </w:r>
    </w:p>
    <w:p w:rsidR="0010652F" w:rsidRPr="00AA1AAD" w:rsidRDefault="0010652F" w:rsidP="00F873C9">
      <w:pPr>
        <w:pStyle w:val="ListParagraph"/>
        <w:numPr>
          <w:ilvl w:val="0"/>
          <w:numId w:val="11"/>
        </w:numPr>
        <w:spacing w:line="360" w:lineRule="auto"/>
        <w:jc w:val="both"/>
        <w:rPr>
          <w:rFonts w:ascii="Times New Roman" w:hAnsi="Times New Roman" w:cs="Times New Roman"/>
          <w:sz w:val="24"/>
          <w:szCs w:val="24"/>
        </w:rPr>
      </w:pPr>
      <w:r w:rsidRPr="00AA1AAD">
        <w:rPr>
          <w:rFonts w:ascii="Times New Roman" w:hAnsi="Times New Roman" w:cs="Times New Roman"/>
          <w:sz w:val="24"/>
          <w:szCs w:val="24"/>
        </w:rPr>
        <w:t>Support of de</w:t>
      </w:r>
      <w:r w:rsidR="007924B7">
        <w:rPr>
          <w:rFonts w:ascii="Times New Roman" w:hAnsi="Times New Roman" w:cs="Times New Roman"/>
          <w:sz w:val="24"/>
          <w:szCs w:val="24"/>
        </w:rPr>
        <w:t xml:space="preserve">positors’ confidence and </w:t>
      </w:r>
      <w:r w:rsidRPr="00AA1AAD">
        <w:rPr>
          <w:rFonts w:ascii="Times New Roman" w:hAnsi="Times New Roman" w:cs="Times New Roman"/>
          <w:sz w:val="24"/>
          <w:szCs w:val="24"/>
        </w:rPr>
        <w:t>in the banks’ abilities to face problems;</w:t>
      </w:r>
    </w:p>
    <w:p w:rsidR="00F52B50" w:rsidRPr="00AA1AAD" w:rsidRDefault="0010652F" w:rsidP="00F873C9">
      <w:pPr>
        <w:pStyle w:val="ListParagraph"/>
        <w:numPr>
          <w:ilvl w:val="0"/>
          <w:numId w:val="11"/>
        </w:numPr>
        <w:spacing w:line="360" w:lineRule="auto"/>
        <w:jc w:val="both"/>
        <w:rPr>
          <w:rFonts w:ascii="Times New Roman" w:hAnsi="Times New Roman" w:cs="Times New Roman"/>
          <w:sz w:val="24"/>
          <w:szCs w:val="24"/>
        </w:rPr>
      </w:pPr>
      <w:r w:rsidRPr="00AA1AAD">
        <w:rPr>
          <w:rFonts w:ascii="Times New Roman" w:hAnsi="Times New Roman" w:cs="Times New Roman"/>
          <w:sz w:val="24"/>
          <w:szCs w:val="24"/>
        </w:rPr>
        <w:t>Representation of owners in bank management.</w:t>
      </w:r>
    </w:p>
    <w:p w:rsidR="006A535A" w:rsidRDefault="00F52B50" w:rsidP="00B75254">
      <w:pPr>
        <w:autoSpaceDE w:val="0"/>
        <w:autoSpaceDN w:val="0"/>
        <w:adjustRightInd w:val="0"/>
        <w:spacing w:after="0" w:line="360" w:lineRule="auto"/>
        <w:jc w:val="both"/>
        <w:rPr>
          <w:rFonts w:ascii="Times New Roman" w:hAnsi="Times New Roman" w:cs="Times New Roman"/>
          <w:sz w:val="24"/>
          <w:szCs w:val="24"/>
        </w:rPr>
      </w:pPr>
      <w:r w:rsidRPr="00AA1AAD">
        <w:rPr>
          <w:rFonts w:ascii="Times New Roman" w:hAnsi="Times New Roman" w:cs="Times New Roman"/>
          <w:sz w:val="24"/>
          <w:szCs w:val="24"/>
        </w:rPr>
        <w:t xml:space="preserve">Bank capital, therefore, serves as a financial shield to lessen the possibility that uninsured </w:t>
      </w:r>
      <w:r w:rsidRPr="007757FB">
        <w:rPr>
          <w:rFonts w:ascii="Times New Roman" w:hAnsi="Times New Roman" w:cs="Times New Roman"/>
          <w:sz w:val="24"/>
          <w:szCs w:val="24"/>
        </w:rPr>
        <w:t>depositors and other claim holders might lose funds if a bank is closed and liquidated.</w:t>
      </w:r>
    </w:p>
    <w:p w:rsidR="0041046A" w:rsidRPr="007757FB" w:rsidRDefault="0041046A" w:rsidP="00B75254">
      <w:pPr>
        <w:autoSpaceDE w:val="0"/>
        <w:autoSpaceDN w:val="0"/>
        <w:adjustRightInd w:val="0"/>
        <w:spacing w:after="0" w:line="360" w:lineRule="auto"/>
        <w:jc w:val="both"/>
        <w:rPr>
          <w:rFonts w:ascii="Times New Roman" w:hAnsi="Times New Roman" w:cs="Times New Roman"/>
          <w:sz w:val="24"/>
          <w:szCs w:val="24"/>
        </w:rPr>
      </w:pPr>
    </w:p>
    <w:p w:rsidR="00B75254" w:rsidRPr="007757FB" w:rsidRDefault="00505BA0" w:rsidP="00B75254">
      <w:pPr>
        <w:spacing w:after="240" w:line="360" w:lineRule="auto"/>
        <w:contextualSpacing/>
        <w:rPr>
          <w:rFonts w:ascii="Times New Roman" w:hAnsi="Times New Roman" w:cs="Times New Roman"/>
          <w:b/>
          <w:sz w:val="24"/>
          <w:szCs w:val="24"/>
        </w:rPr>
      </w:pPr>
      <w:r w:rsidRPr="007757FB">
        <w:rPr>
          <w:rFonts w:ascii="Times New Roman" w:hAnsi="Times New Roman" w:cs="Times New Roman"/>
          <w:b/>
          <w:sz w:val="24"/>
          <w:szCs w:val="24"/>
        </w:rPr>
        <w:t>2.2.2.2 Credit Exposures</w:t>
      </w:r>
    </w:p>
    <w:p w:rsidR="00095558" w:rsidRPr="00474AD5" w:rsidRDefault="00095558" w:rsidP="00095558">
      <w:pPr>
        <w:spacing w:line="360" w:lineRule="auto"/>
        <w:jc w:val="both"/>
        <w:rPr>
          <w:rFonts w:ascii="Times New Roman" w:hAnsi="Times New Roman" w:cs="Times New Roman"/>
          <w:sz w:val="24"/>
          <w:szCs w:val="24"/>
        </w:rPr>
      </w:pPr>
      <w:r>
        <w:rPr>
          <w:rFonts w:ascii="Times New Roman" w:hAnsi="Times New Roman" w:cs="Times New Roman"/>
          <w:sz w:val="24"/>
          <w:szCs w:val="24"/>
        </w:rPr>
        <w:t>The size of credit exposure indicates the extent to which the lender is exposed to the risk of loss in the event of the borrower’s default. A credit risks ingrained in a credit exposure are influenced by the financial strength of the party owing money to the bank. The greater this is, the more likely it is that the debt will be paid, or the bank will enforce repayment. Credit risk is also affected by market factors that impact the value or cash flows of assets that are used as security for loans. For example, if a bank extend a loan to a person to buy a house, and pledging the house as collateral, any negative movements in the property market will have an influence on the likelihood of the recovering all money owed to it.</w:t>
      </w:r>
    </w:p>
    <w:p w:rsidR="005B093E" w:rsidRDefault="005B093E" w:rsidP="00117FB0">
      <w:pPr>
        <w:spacing w:after="240" w:line="360" w:lineRule="auto"/>
        <w:contextualSpacing/>
        <w:jc w:val="both"/>
        <w:rPr>
          <w:rFonts w:ascii="Times New Roman" w:hAnsi="Times New Roman" w:cs="Times New Roman"/>
          <w:b/>
          <w:sz w:val="24"/>
          <w:szCs w:val="24"/>
        </w:rPr>
      </w:pPr>
    </w:p>
    <w:p w:rsidR="00F52B50" w:rsidRPr="00D4262C" w:rsidRDefault="00505BA0" w:rsidP="00117FB0">
      <w:pPr>
        <w:spacing w:after="240" w:line="360" w:lineRule="auto"/>
        <w:contextualSpacing/>
        <w:jc w:val="both"/>
        <w:rPr>
          <w:rFonts w:ascii="Times New Roman" w:hAnsi="Times New Roman" w:cs="Times New Roman"/>
          <w:b/>
          <w:sz w:val="28"/>
          <w:szCs w:val="28"/>
        </w:rPr>
      </w:pPr>
      <w:r w:rsidRPr="007757FB">
        <w:rPr>
          <w:rFonts w:ascii="Times New Roman" w:hAnsi="Times New Roman" w:cs="Times New Roman"/>
          <w:b/>
          <w:sz w:val="24"/>
          <w:szCs w:val="24"/>
        </w:rPr>
        <w:lastRenderedPageBreak/>
        <w:t>2.2.2.3</w:t>
      </w:r>
      <w:r w:rsidR="00F2200F" w:rsidRPr="007757FB">
        <w:rPr>
          <w:rFonts w:ascii="Times New Roman" w:hAnsi="Times New Roman" w:cs="Times New Roman"/>
          <w:b/>
          <w:sz w:val="24"/>
          <w:szCs w:val="24"/>
        </w:rPr>
        <w:t xml:space="preserve"> Basel Committee</w:t>
      </w:r>
    </w:p>
    <w:p w:rsidR="00E051B3" w:rsidRDefault="009502C1" w:rsidP="00E051B3">
      <w:pPr>
        <w:spacing w:line="360" w:lineRule="auto"/>
        <w:contextualSpacing/>
        <w:jc w:val="both"/>
        <w:rPr>
          <w:rFonts w:asciiTheme="majorBidi" w:hAnsiTheme="majorBidi" w:cstheme="majorBidi"/>
          <w:sz w:val="24"/>
          <w:szCs w:val="24"/>
          <w:lang w:bidi="ar-JO"/>
        </w:rPr>
      </w:pPr>
      <w:r w:rsidRPr="004D55C7">
        <w:rPr>
          <w:rFonts w:asciiTheme="majorBidi" w:hAnsiTheme="majorBidi" w:cstheme="majorBidi"/>
          <w:sz w:val="24"/>
          <w:szCs w:val="24"/>
        </w:rPr>
        <w:t>The Bank f</w:t>
      </w:r>
      <w:r w:rsidR="005E485F" w:rsidRPr="004D55C7">
        <w:rPr>
          <w:rFonts w:asciiTheme="majorBidi" w:hAnsiTheme="majorBidi" w:cstheme="majorBidi"/>
          <w:sz w:val="24"/>
          <w:szCs w:val="24"/>
        </w:rPr>
        <w:t>or International Settlements</w:t>
      </w:r>
      <w:r w:rsidRPr="004D55C7">
        <w:rPr>
          <w:rFonts w:asciiTheme="majorBidi" w:hAnsiTheme="majorBidi" w:cstheme="majorBidi"/>
          <w:sz w:val="24"/>
          <w:szCs w:val="24"/>
        </w:rPr>
        <w:t xml:space="preserve"> </w:t>
      </w:r>
      <w:r w:rsidR="005E485F" w:rsidRPr="004D55C7">
        <w:rPr>
          <w:rFonts w:asciiTheme="majorBidi" w:hAnsiTheme="majorBidi" w:cstheme="majorBidi"/>
          <w:sz w:val="24"/>
          <w:szCs w:val="24"/>
        </w:rPr>
        <w:t>(</w:t>
      </w:r>
      <w:r w:rsidR="00306645" w:rsidRPr="004D55C7">
        <w:rPr>
          <w:rFonts w:asciiTheme="majorBidi" w:hAnsiTheme="majorBidi" w:cstheme="majorBidi"/>
          <w:sz w:val="24"/>
          <w:szCs w:val="24"/>
        </w:rPr>
        <w:t>BIS),</w:t>
      </w:r>
      <w:r w:rsidRPr="004D55C7">
        <w:rPr>
          <w:rFonts w:asciiTheme="majorBidi" w:hAnsiTheme="majorBidi" w:cstheme="majorBidi"/>
          <w:sz w:val="24"/>
          <w:szCs w:val="24"/>
        </w:rPr>
        <w:t xml:space="preserve"> an international organization of central banks</w:t>
      </w:r>
      <w:r w:rsidR="00306645" w:rsidRPr="004D55C7">
        <w:rPr>
          <w:rFonts w:asciiTheme="majorBidi" w:hAnsiTheme="majorBidi" w:cstheme="majorBidi"/>
          <w:sz w:val="24"/>
          <w:szCs w:val="24"/>
        </w:rPr>
        <w:t>,</w:t>
      </w:r>
      <w:r w:rsidRPr="004D55C7">
        <w:rPr>
          <w:rFonts w:asciiTheme="majorBidi" w:hAnsiTheme="majorBidi" w:cstheme="majorBidi"/>
          <w:sz w:val="24"/>
          <w:szCs w:val="24"/>
        </w:rPr>
        <w:t xml:space="preserve"> </w:t>
      </w:r>
      <w:r w:rsidR="00306645" w:rsidRPr="004D55C7">
        <w:rPr>
          <w:rFonts w:asciiTheme="majorBidi" w:hAnsiTheme="majorBidi" w:cstheme="majorBidi"/>
          <w:sz w:val="24"/>
          <w:szCs w:val="24"/>
        </w:rPr>
        <w:t>was set up to</w:t>
      </w:r>
      <w:r w:rsidR="004D55C7" w:rsidRPr="004D55C7">
        <w:rPr>
          <w:rFonts w:asciiTheme="majorBidi" w:hAnsiTheme="majorBidi" w:cstheme="majorBidi"/>
          <w:sz w:val="24"/>
          <w:szCs w:val="24"/>
        </w:rPr>
        <w:t xml:space="preserve"> encourage </w:t>
      </w:r>
      <w:r w:rsidR="00080641">
        <w:rPr>
          <w:rFonts w:asciiTheme="majorBidi" w:hAnsiTheme="majorBidi" w:cstheme="majorBidi"/>
          <w:sz w:val="24"/>
          <w:szCs w:val="24"/>
        </w:rPr>
        <w:t>collaboration</w:t>
      </w:r>
      <w:r w:rsidR="00381CE4" w:rsidRPr="004D55C7">
        <w:rPr>
          <w:rFonts w:asciiTheme="majorBidi" w:hAnsiTheme="majorBidi" w:cstheme="majorBidi"/>
          <w:sz w:val="24"/>
          <w:szCs w:val="24"/>
        </w:rPr>
        <w:t xml:space="preserve"> among</w:t>
      </w:r>
      <w:r w:rsidR="004D55C7" w:rsidRPr="004D55C7">
        <w:rPr>
          <w:rFonts w:asciiTheme="majorBidi" w:hAnsiTheme="majorBidi" w:cstheme="majorBidi"/>
          <w:sz w:val="24"/>
          <w:szCs w:val="24"/>
        </w:rPr>
        <w:t xml:space="preserve"> central banks and other agencies to sustain and promote financial stability</w:t>
      </w:r>
      <w:r w:rsidR="009165E4">
        <w:rPr>
          <w:rFonts w:asciiTheme="majorBidi" w:hAnsiTheme="majorBidi" w:cstheme="majorBidi"/>
          <w:sz w:val="24"/>
          <w:szCs w:val="24"/>
        </w:rPr>
        <w:t xml:space="preserve"> </w:t>
      </w:r>
      <w:r w:rsidRPr="004D55C7">
        <w:rPr>
          <w:rFonts w:asciiTheme="majorBidi" w:hAnsiTheme="majorBidi" w:cstheme="majorBidi"/>
          <w:sz w:val="24"/>
          <w:szCs w:val="24"/>
        </w:rPr>
        <w:t>(Wikipedia online, 2012). The BIS therefore has two specific goals: to regulate capital adequacy and</w:t>
      </w:r>
      <w:r w:rsidR="00306645" w:rsidRPr="004D55C7">
        <w:rPr>
          <w:rFonts w:asciiTheme="majorBidi" w:hAnsiTheme="majorBidi" w:cstheme="majorBidi"/>
          <w:sz w:val="24"/>
          <w:szCs w:val="24"/>
        </w:rPr>
        <w:t xml:space="preserve"> to</w:t>
      </w:r>
      <w:r w:rsidRPr="004D55C7">
        <w:rPr>
          <w:rFonts w:asciiTheme="majorBidi" w:hAnsiTheme="majorBidi" w:cstheme="majorBidi"/>
          <w:sz w:val="24"/>
          <w:szCs w:val="24"/>
        </w:rPr>
        <w:t xml:space="preserve"> make reserve</w:t>
      </w:r>
      <w:r w:rsidRPr="00554E2B">
        <w:rPr>
          <w:rFonts w:ascii="Times New Roman" w:hAnsi="Times New Roman" w:cs="Times New Roman"/>
          <w:sz w:val="24"/>
          <w:szCs w:val="24"/>
        </w:rPr>
        <w:t xml:space="preserve"> requirements </w:t>
      </w:r>
      <w:r w:rsidR="00244625" w:rsidRPr="00554E2B">
        <w:rPr>
          <w:rFonts w:ascii="Times New Roman" w:hAnsi="Times New Roman" w:cs="Times New Roman"/>
          <w:sz w:val="24"/>
          <w:szCs w:val="24"/>
        </w:rPr>
        <w:t>transparent.</w:t>
      </w:r>
      <w:r w:rsidR="00244625" w:rsidRPr="00AA1AAD">
        <w:rPr>
          <w:rFonts w:ascii="Times New Roman" w:hAnsi="Times New Roman" w:cs="Times New Roman"/>
          <w:sz w:val="24"/>
          <w:szCs w:val="24"/>
        </w:rPr>
        <w:t xml:space="preserve"> The</w:t>
      </w:r>
      <w:r w:rsidR="00310ECF" w:rsidRPr="00AA1AAD">
        <w:rPr>
          <w:rFonts w:ascii="Times New Roman" w:hAnsi="Times New Roman" w:cs="Times New Roman"/>
          <w:sz w:val="24"/>
          <w:szCs w:val="24"/>
        </w:rPr>
        <w:t xml:space="preserve"> </w:t>
      </w:r>
      <w:r w:rsidR="00310ECF" w:rsidRPr="00AA1AAD">
        <w:rPr>
          <w:rFonts w:ascii="Times New Roman" w:hAnsi="Times New Roman" w:cs="Times New Roman"/>
          <w:bCs/>
          <w:sz w:val="24"/>
          <w:szCs w:val="24"/>
        </w:rPr>
        <w:t>Basel Committee on Banking Supervision</w:t>
      </w:r>
      <w:r w:rsidR="00310ECF" w:rsidRPr="00AA1AAD">
        <w:rPr>
          <w:rFonts w:ascii="Times New Roman" w:hAnsi="Times New Roman" w:cs="Times New Roman"/>
          <w:sz w:val="24"/>
          <w:szCs w:val="24"/>
        </w:rPr>
        <w:t xml:space="preserve"> (</w:t>
      </w:r>
      <w:r w:rsidR="00310ECF" w:rsidRPr="00AA1AAD">
        <w:rPr>
          <w:rFonts w:ascii="Times New Roman" w:hAnsi="Times New Roman" w:cs="Times New Roman"/>
          <w:bCs/>
          <w:sz w:val="24"/>
          <w:szCs w:val="24"/>
        </w:rPr>
        <w:t>BCBS</w:t>
      </w:r>
      <w:r w:rsidR="00310ECF" w:rsidRPr="00AA1AAD">
        <w:rPr>
          <w:rFonts w:ascii="Times New Roman" w:hAnsi="Times New Roman" w:cs="Times New Roman"/>
          <w:sz w:val="24"/>
          <w:szCs w:val="24"/>
        </w:rPr>
        <w:t xml:space="preserve">) established </w:t>
      </w:r>
      <w:r w:rsidR="00310ECF" w:rsidRPr="00AA1AAD">
        <w:rPr>
          <w:rFonts w:ascii="Times New Roman" w:hAnsi="Times New Roman" w:cs="Times New Roman"/>
          <w:sz w:val="24"/>
          <w:szCs w:val="24"/>
          <w:shd w:val="clear" w:color="auto" w:fill="FFFFFF"/>
        </w:rPr>
        <w:t>in 1974</w:t>
      </w:r>
      <w:r w:rsidR="00A63A72" w:rsidRPr="00AA1AAD">
        <w:rPr>
          <w:rFonts w:ascii="Times New Roman" w:hAnsi="Times New Roman" w:cs="Times New Roman"/>
          <w:sz w:val="24"/>
          <w:szCs w:val="24"/>
          <w:shd w:val="clear" w:color="auto" w:fill="FFFFFF"/>
        </w:rPr>
        <w:t xml:space="preserve"> by the B</w:t>
      </w:r>
      <w:r w:rsidR="00CA4B19" w:rsidRPr="00AA1AAD">
        <w:rPr>
          <w:rFonts w:ascii="Times New Roman" w:hAnsi="Times New Roman" w:cs="Times New Roman"/>
          <w:sz w:val="24"/>
          <w:szCs w:val="24"/>
          <w:shd w:val="clear" w:color="auto" w:fill="FFFFFF"/>
        </w:rPr>
        <w:t xml:space="preserve">ank of International </w:t>
      </w:r>
      <w:r w:rsidR="00793F90" w:rsidRPr="00AA1AAD">
        <w:rPr>
          <w:rFonts w:ascii="Times New Roman" w:hAnsi="Times New Roman" w:cs="Times New Roman"/>
          <w:sz w:val="24"/>
          <w:szCs w:val="24"/>
          <w:shd w:val="clear" w:color="auto" w:fill="FFFFFF"/>
        </w:rPr>
        <w:t>Settlements</w:t>
      </w:r>
      <w:r w:rsidR="00456C0F">
        <w:rPr>
          <w:rFonts w:ascii="Times New Roman" w:hAnsi="Times New Roman" w:cs="Times New Roman"/>
          <w:sz w:val="24"/>
          <w:szCs w:val="24"/>
          <w:shd w:val="clear" w:color="auto" w:fill="FFFFFF"/>
        </w:rPr>
        <w:t xml:space="preserve"> </w:t>
      </w:r>
      <w:r w:rsidR="00793F90" w:rsidRPr="00AA1AAD">
        <w:rPr>
          <w:rFonts w:ascii="Times New Roman" w:hAnsi="Times New Roman" w:cs="Times New Roman"/>
          <w:sz w:val="24"/>
          <w:szCs w:val="24"/>
          <w:shd w:val="clear" w:color="auto" w:fill="FFFFFF"/>
        </w:rPr>
        <w:t>(BIS)</w:t>
      </w:r>
      <w:r w:rsidR="00456C0F">
        <w:rPr>
          <w:rFonts w:ascii="Times New Roman" w:hAnsi="Times New Roman" w:cs="Times New Roman"/>
          <w:sz w:val="24"/>
          <w:szCs w:val="24"/>
          <w:shd w:val="clear" w:color="auto" w:fill="FFFFFF"/>
        </w:rPr>
        <w:t>.</w:t>
      </w:r>
      <w:r w:rsidRPr="00AA1AAD">
        <w:rPr>
          <w:rFonts w:ascii="Times New Roman" w:hAnsi="Times New Roman" w:cs="Times New Roman"/>
          <w:sz w:val="24"/>
          <w:szCs w:val="24"/>
          <w:shd w:val="clear" w:color="auto" w:fill="FFFFFF"/>
        </w:rPr>
        <w:t xml:space="preserve"> </w:t>
      </w:r>
      <w:r w:rsidR="00E051B3" w:rsidRPr="00135696">
        <w:rPr>
          <w:rFonts w:asciiTheme="majorBidi" w:hAnsiTheme="majorBidi" w:cstheme="majorBidi"/>
          <w:sz w:val="24"/>
          <w:szCs w:val="24"/>
          <w:shd w:val="clear" w:color="auto" w:fill="FFFFFF"/>
        </w:rPr>
        <w:t xml:space="preserve">The (BCBS) are </w:t>
      </w:r>
      <w:r w:rsidR="00381CE4" w:rsidRPr="00135696">
        <w:rPr>
          <w:rFonts w:asciiTheme="majorBidi" w:hAnsiTheme="majorBidi" w:cstheme="majorBidi"/>
          <w:sz w:val="24"/>
          <w:szCs w:val="24"/>
          <w:shd w:val="clear" w:color="auto" w:fill="FFFFFF"/>
        </w:rPr>
        <w:t>an international</w:t>
      </w:r>
      <w:r w:rsidR="00381CE4" w:rsidRPr="00135696">
        <w:rPr>
          <w:rFonts w:asciiTheme="majorBidi" w:hAnsiTheme="majorBidi" w:cstheme="majorBidi"/>
          <w:sz w:val="24"/>
          <w:szCs w:val="24"/>
          <w:lang w:bidi="ar-JO"/>
        </w:rPr>
        <w:t xml:space="preserve"> organization that develops</w:t>
      </w:r>
      <w:r w:rsidR="00E051B3" w:rsidRPr="00135696">
        <w:rPr>
          <w:rFonts w:asciiTheme="majorBidi" w:hAnsiTheme="majorBidi" w:cstheme="majorBidi"/>
          <w:sz w:val="24"/>
          <w:szCs w:val="24"/>
          <w:lang w:bidi="ar-JO"/>
        </w:rPr>
        <w:t xml:space="preserve"> policies on best practices in the field of financial regulations. </w:t>
      </w:r>
      <w:r w:rsidR="00E051B3" w:rsidRPr="00135696">
        <w:rPr>
          <w:rFonts w:asciiTheme="majorBidi" w:hAnsiTheme="majorBidi" w:cstheme="majorBidi"/>
          <w:sz w:val="24"/>
          <w:szCs w:val="24"/>
          <w:shd w:val="clear" w:color="auto" w:fill="FFFFFF"/>
        </w:rPr>
        <w:t>The Committee does not</w:t>
      </w:r>
      <w:r w:rsidR="00E051B3" w:rsidRPr="00135696">
        <w:rPr>
          <w:rFonts w:asciiTheme="majorBidi" w:hAnsiTheme="majorBidi" w:cstheme="majorBidi"/>
          <w:sz w:val="24"/>
          <w:szCs w:val="24"/>
          <w:lang w:bidi="ar-JO"/>
        </w:rPr>
        <w:t xml:space="preserve"> own formal </w:t>
      </w:r>
      <w:r w:rsidR="00381CE4" w:rsidRPr="00135696">
        <w:rPr>
          <w:rFonts w:asciiTheme="majorBidi" w:hAnsiTheme="majorBidi" w:cstheme="majorBidi"/>
          <w:sz w:val="24"/>
          <w:szCs w:val="24"/>
          <w:lang w:bidi="ar-JO"/>
        </w:rPr>
        <w:t>international supervisory</w:t>
      </w:r>
      <w:r w:rsidR="00E051B3" w:rsidRPr="00135696">
        <w:rPr>
          <w:rFonts w:asciiTheme="majorBidi" w:hAnsiTheme="majorBidi" w:cstheme="majorBidi"/>
          <w:sz w:val="24"/>
          <w:szCs w:val="24"/>
          <w:shd w:val="clear" w:color="auto" w:fill="FFFFFF"/>
        </w:rPr>
        <w:t xml:space="preserve"> authority, and any legal force for its results.</w:t>
      </w:r>
    </w:p>
    <w:p w:rsidR="0041046A" w:rsidRPr="00135696" w:rsidRDefault="0041046A" w:rsidP="00E051B3">
      <w:pPr>
        <w:spacing w:line="360" w:lineRule="auto"/>
        <w:contextualSpacing/>
        <w:jc w:val="both"/>
        <w:rPr>
          <w:rFonts w:asciiTheme="majorBidi" w:hAnsiTheme="majorBidi" w:cstheme="majorBidi"/>
          <w:sz w:val="24"/>
          <w:szCs w:val="24"/>
          <w:lang w:bidi="ar-JO"/>
        </w:rPr>
      </w:pPr>
    </w:p>
    <w:p w:rsidR="00545FCF" w:rsidRPr="00041766" w:rsidRDefault="00505BA0" w:rsidP="00041766">
      <w:pPr>
        <w:spacing w:after="240" w:line="360" w:lineRule="auto"/>
        <w:contextualSpacing/>
        <w:jc w:val="both"/>
        <w:rPr>
          <w:rFonts w:ascii="Times New Roman" w:hAnsi="Times New Roman" w:cs="Times New Roman"/>
          <w:b/>
          <w:sz w:val="24"/>
          <w:szCs w:val="24"/>
        </w:rPr>
      </w:pPr>
      <w:r w:rsidRPr="00041766">
        <w:rPr>
          <w:rFonts w:ascii="Times New Roman" w:hAnsi="Times New Roman" w:cs="Times New Roman"/>
          <w:b/>
          <w:sz w:val="24"/>
          <w:szCs w:val="24"/>
        </w:rPr>
        <w:t>2.2.2.4</w:t>
      </w:r>
      <w:r w:rsidR="0006717B" w:rsidRPr="00041766">
        <w:rPr>
          <w:rFonts w:ascii="Times New Roman" w:hAnsi="Times New Roman" w:cs="Times New Roman"/>
          <w:b/>
          <w:sz w:val="24"/>
          <w:szCs w:val="24"/>
        </w:rPr>
        <w:t xml:space="preserve"> Basel Capital Accord</w:t>
      </w:r>
      <w:r w:rsidR="009072AB">
        <w:rPr>
          <w:rFonts w:ascii="Times New Roman" w:hAnsi="Times New Roman" w:cs="Times New Roman"/>
          <w:b/>
          <w:sz w:val="24"/>
          <w:szCs w:val="24"/>
        </w:rPr>
        <w:t xml:space="preserve"> </w:t>
      </w:r>
    </w:p>
    <w:p w:rsidR="0006717B" w:rsidRPr="00AA1AAD" w:rsidRDefault="0006717B" w:rsidP="00381CE4">
      <w:pPr>
        <w:autoSpaceDE w:val="0"/>
        <w:autoSpaceDN w:val="0"/>
        <w:adjustRightInd w:val="0"/>
        <w:spacing w:after="0" w:line="360" w:lineRule="auto"/>
        <w:contextualSpacing/>
        <w:jc w:val="both"/>
        <w:rPr>
          <w:rFonts w:ascii="Times New Roman" w:hAnsi="Times New Roman" w:cs="Times New Roman"/>
          <w:sz w:val="24"/>
          <w:szCs w:val="24"/>
        </w:rPr>
      </w:pPr>
      <w:r w:rsidRPr="00717174">
        <w:rPr>
          <w:rFonts w:ascii="Times New Roman" w:hAnsi="Times New Roman" w:cs="Times New Roman"/>
          <w:sz w:val="24"/>
          <w:szCs w:val="24"/>
        </w:rPr>
        <w:t>In 1988</w:t>
      </w:r>
      <w:r w:rsidR="00667187">
        <w:rPr>
          <w:rFonts w:ascii="Times New Roman" w:hAnsi="Times New Roman" w:cs="Times New Roman"/>
          <w:sz w:val="24"/>
          <w:szCs w:val="24"/>
        </w:rPr>
        <w:t>,</w:t>
      </w:r>
      <w:r w:rsidRPr="00717174">
        <w:rPr>
          <w:rFonts w:ascii="Times New Roman" w:hAnsi="Times New Roman" w:cs="Times New Roman"/>
          <w:sz w:val="24"/>
          <w:szCs w:val="24"/>
        </w:rPr>
        <w:t xml:space="preserve"> the Basel Committee issued the, “</w:t>
      </w:r>
      <w:r w:rsidR="00573C40" w:rsidRPr="00717174">
        <w:rPr>
          <w:rFonts w:ascii="Times New Roman" w:hAnsi="Times New Roman" w:cs="Times New Roman"/>
          <w:sz w:val="24"/>
          <w:szCs w:val="24"/>
        </w:rPr>
        <w:t>International Convergence of Capital Measurement and Capital Standards</w:t>
      </w:r>
      <w:r w:rsidRPr="00717174">
        <w:rPr>
          <w:rFonts w:ascii="Times New Roman" w:hAnsi="Times New Roman" w:cs="Times New Roman"/>
          <w:sz w:val="24"/>
          <w:szCs w:val="24"/>
        </w:rPr>
        <w:t>” more</w:t>
      </w:r>
      <w:r w:rsidRPr="00AA1AAD">
        <w:rPr>
          <w:rFonts w:ascii="Times New Roman" w:hAnsi="Times New Roman" w:cs="Times New Roman"/>
          <w:sz w:val="24"/>
          <w:szCs w:val="24"/>
        </w:rPr>
        <w:t xml:space="preserve"> known as the </w:t>
      </w:r>
      <w:r w:rsidR="00505BA0" w:rsidRPr="00AA1AAD">
        <w:rPr>
          <w:rFonts w:ascii="Times New Roman" w:hAnsi="Times New Roman" w:cs="Times New Roman"/>
          <w:sz w:val="24"/>
          <w:szCs w:val="24"/>
        </w:rPr>
        <w:t>“</w:t>
      </w:r>
      <w:r w:rsidR="00667187">
        <w:rPr>
          <w:rFonts w:ascii="Times New Roman" w:hAnsi="Times New Roman" w:cs="Times New Roman"/>
          <w:sz w:val="24"/>
          <w:szCs w:val="24"/>
        </w:rPr>
        <w:t>Basel C</w:t>
      </w:r>
      <w:r w:rsidRPr="00AA1AAD">
        <w:rPr>
          <w:rFonts w:ascii="Times New Roman" w:hAnsi="Times New Roman" w:cs="Times New Roman"/>
          <w:sz w:val="24"/>
          <w:szCs w:val="24"/>
        </w:rPr>
        <w:t>a</w:t>
      </w:r>
      <w:r w:rsidR="00667187">
        <w:rPr>
          <w:rFonts w:ascii="Times New Roman" w:hAnsi="Times New Roman" w:cs="Times New Roman"/>
          <w:sz w:val="24"/>
          <w:szCs w:val="24"/>
        </w:rPr>
        <w:t>pital A</w:t>
      </w:r>
      <w:r w:rsidRPr="00AA1AAD">
        <w:rPr>
          <w:rFonts w:ascii="Times New Roman" w:hAnsi="Times New Roman" w:cs="Times New Roman"/>
          <w:sz w:val="24"/>
          <w:szCs w:val="24"/>
        </w:rPr>
        <w:t>ccord</w:t>
      </w:r>
      <w:r w:rsidR="00505BA0" w:rsidRPr="00AA1AAD">
        <w:rPr>
          <w:rFonts w:ascii="Times New Roman" w:hAnsi="Times New Roman" w:cs="Times New Roman"/>
          <w:sz w:val="24"/>
          <w:szCs w:val="24"/>
        </w:rPr>
        <w:t>”</w:t>
      </w:r>
      <w:r w:rsidRPr="00AA1AAD">
        <w:rPr>
          <w:rFonts w:ascii="Times New Roman" w:hAnsi="Times New Roman" w:cs="Times New Roman"/>
          <w:sz w:val="24"/>
          <w:szCs w:val="24"/>
        </w:rPr>
        <w:t>.</w:t>
      </w:r>
      <w:r w:rsidR="00505BA0" w:rsidRPr="00AA1AAD">
        <w:rPr>
          <w:rFonts w:ascii="Times New Roman" w:hAnsi="Times New Roman" w:cs="Times New Roman"/>
          <w:sz w:val="24"/>
          <w:szCs w:val="24"/>
        </w:rPr>
        <w:t xml:space="preserve"> It </w:t>
      </w:r>
      <w:r w:rsidR="004E7965">
        <w:rPr>
          <w:rFonts w:ascii="Times New Roman" w:hAnsi="Times New Roman" w:cs="Times New Roman"/>
          <w:sz w:val="24"/>
          <w:szCs w:val="24"/>
        </w:rPr>
        <w:t>includes</w:t>
      </w:r>
      <w:r w:rsidR="00505BA0" w:rsidRPr="00AA1AAD">
        <w:rPr>
          <w:rFonts w:ascii="Times New Roman" w:hAnsi="Times New Roman" w:cs="Times New Roman"/>
          <w:sz w:val="24"/>
          <w:szCs w:val="24"/>
        </w:rPr>
        <w:t xml:space="preserve"> reco</w:t>
      </w:r>
      <w:r w:rsidR="004E7965">
        <w:rPr>
          <w:rFonts w:ascii="Times New Roman" w:hAnsi="Times New Roman" w:cs="Times New Roman"/>
          <w:sz w:val="24"/>
          <w:szCs w:val="24"/>
        </w:rPr>
        <w:t xml:space="preserve">mmendation approach for </w:t>
      </w:r>
      <w:r w:rsidR="00505BA0" w:rsidRPr="00AA1AAD">
        <w:rPr>
          <w:rFonts w:ascii="Times New Roman" w:hAnsi="Times New Roman" w:cs="Times New Roman"/>
          <w:sz w:val="24"/>
          <w:szCs w:val="24"/>
        </w:rPr>
        <w:t>capital adequacy</w:t>
      </w:r>
      <w:r w:rsidR="004E7965">
        <w:rPr>
          <w:rFonts w:ascii="Times New Roman" w:hAnsi="Times New Roman" w:cs="Times New Roman"/>
          <w:sz w:val="24"/>
          <w:szCs w:val="24"/>
        </w:rPr>
        <w:t xml:space="preserve"> calculation ratios and </w:t>
      </w:r>
      <w:r w:rsidR="00505BA0" w:rsidRPr="00AA1AAD">
        <w:rPr>
          <w:rFonts w:ascii="Times New Roman" w:hAnsi="Times New Roman" w:cs="Times New Roman"/>
          <w:sz w:val="24"/>
          <w:szCs w:val="24"/>
        </w:rPr>
        <w:t>minimum capital adequacy ratios for international banks. The Accord was developed in order to improve capital adequacy ratios (which were considered to be too low in some banks) and to help standardize international regulatory practice.</w:t>
      </w:r>
    </w:p>
    <w:p w:rsidR="003730B8" w:rsidRPr="003730B8" w:rsidRDefault="003730B8" w:rsidP="00080641">
      <w:pPr>
        <w:spacing w:line="360" w:lineRule="auto"/>
        <w:jc w:val="both"/>
        <w:rPr>
          <w:rFonts w:asciiTheme="majorBidi" w:hAnsiTheme="majorBidi" w:cstheme="majorBidi"/>
          <w:sz w:val="24"/>
          <w:szCs w:val="24"/>
          <w:lang w:bidi="ar-JO"/>
        </w:rPr>
      </w:pPr>
      <w:r w:rsidRPr="003730B8">
        <w:rPr>
          <w:rFonts w:asciiTheme="majorBidi" w:hAnsiTheme="majorBidi" w:cstheme="majorBidi"/>
          <w:sz w:val="24"/>
          <w:szCs w:val="24"/>
          <w:lang w:bidi="ar-JO"/>
        </w:rPr>
        <w:t>The Basel Accord</w:t>
      </w:r>
      <w:r w:rsidRPr="003730B8">
        <w:rPr>
          <w:rFonts w:asciiTheme="majorBidi" w:hAnsiTheme="majorBidi" w:cstheme="majorBidi"/>
        </w:rPr>
        <w:t xml:space="preserve"> </w:t>
      </w:r>
      <w:r w:rsidR="00BA0D93" w:rsidRPr="003730B8">
        <w:rPr>
          <w:rFonts w:asciiTheme="majorBidi" w:hAnsiTheme="majorBidi" w:cstheme="majorBidi"/>
          <w:sz w:val="24"/>
          <w:szCs w:val="24"/>
          <w:lang w:bidi="ar-JO"/>
        </w:rPr>
        <w:t>originally</w:t>
      </w:r>
      <w:r w:rsidRPr="003730B8">
        <w:rPr>
          <w:rFonts w:asciiTheme="majorBidi" w:hAnsiTheme="majorBidi" w:cstheme="majorBidi"/>
          <w:sz w:val="24"/>
          <w:szCs w:val="24"/>
          <w:lang w:bidi="ar-JO"/>
        </w:rPr>
        <w:t xml:space="preserve"> </w:t>
      </w:r>
      <w:r w:rsidR="00080641">
        <w:rPr>
          <w:rFonts w:asciiTheme="majorBidi" w:hAnsiTheme="majorBidi" w:cstheme="majorBidi"/>
          <w:sz w:val="24"/>
          <w:szCs w:val="24"/>
          <w:lang w:bidi="ar-JO"/>
        </w:rPr>
        <w:t xml:space="preserve">formed </w:t>
      </w:r>
      <w:r w:rsidRPr="003730B8">
        <w:rPr>
          <w:rFonts w:asciiTheme="majorBidi" w:hAnsiTheme="majorBidi" w:cstheme="majorBidi"/>
          <w:sz w:val="24"/>
          <w:szCs w:val="24"/>
          <w:lang w:bidi="ar-JO"/>
        </w:rPr>
        <w:t xml:space="preserve">as a standard for use in the G10 countries, </w:t>
      </w:r>
      <w:r w:rsidRPr="003730B8">
        <w:rPr>
          <w:rFonts w:asciiTheme="majorBidi" w:hAnsiTheme="majorBidi" w:cstheme="majorBidi"/>
          <w:sz w:val="24"/>
          <w:szCs w:val="24"/>
        </w:rPr>
        <w:t xml:space="preserve">and required them to hold capital equal to at least 8% of weighted assets. </w:t>
      </w:r>
      <w:r w:rsidR="00381CE4">
        <w:rPr>
          <w:rFonts w:asciiTheme="majorBidi" w:hAnsiTheme="majorBidi" w:cstheme="majorBidi"/>
          <w:sz w:val="24"/>
          <w:szCs w:val="24"/>
        </w:rPr>
        <w:t>It</w:t>
      </w:r>
      <w:r>
        <w:rPr>
          <w:rFonts w:asciiTheme="majorBidi" w:hAnsiTheme="majorBidi" w:cstheme="majorBidi"/>
          <w:sz w:val="24"/>
          <w:szCs w:val="24"/>
        </w:rPr>
        <w:t xml:space="preserve"> has been inserted </w:t>
      </w:r>
      <w:r w:rsidRPr="003730B8">
        <w:rPr>
          <w:rFonts w:asciiTheme="majorBidi" w:hAnsiTheme="majorBidi" w:cstheme="majorBidi"/>
          <w:sz w:val="24"/>
          <w:szCs w:val="24"/>
        </w:rPr>
        <w:t>into domestic regulation throughout the world and a</w:t>
      </w:r>
      <w:r w:rsidR="00F46A1B">
        <w:rPr>
          <w:rFonts w:asciiTheme="majorBidi" w:hAnsiTheme="majorBidi" w:cstheme="majorBidi"/>
          <w:sz w:val="24"/>
          <w:szCs w:val="24"/>
        </w:rPr>
        <w:t xml:space="preserve">pplied </w:t>
      </w:r>
      <w:r w:rsidR="00381CE4">
        <w:rPr>
          <w:rFonts w:asciiTheme="majorBidi" w:hAnsiTheme="majorBidi" w:cstheme="majorBidi"/>
          <w:sz w:val="24"/>
          <w:szCs w:val="24"/>
        </w:rPr>
        <w:t>to</w:t>
      </w:r>
      <w:r w:rsidR="00F46A1B">
        <w:rPr>
          <w:rFonts w:asciiTheme="majorBidi" w:hAnsiTheme="majorBidi" w:cstheme="majorBidi"/>
          <w:sz w:val="24"/>
          <w:szCs w:val="24"/>
        </w:rPr>
        <w:t xml:space="preserve"> variety</w:t>
      </w:r>
      <w:r w:rsidRPr="003730B8">
        <w:rPr>
          <w:rFonts w:asciiTheme="majorBidi" w:hAnsiTheme="majorBidi" w:cstheme="majorBidi"/>
          <w:sz w:val="24"/>
          <w:szCs w:val="24"/>
        </w:rPr>
        <w:t xml:space="preserve"> types of banks,</w:t>
      </w:r>
      <w:r w:rsidR="00F46A1B">
        <w:rPr>
          <w:rFonts w:asciiTheme="majorBidi" w:hAnsiTheme="majorBidi" w:cstheme="majorBidi"/>
          <w:sz w:val="24"/>
          <w:szCs w:val="24"/>
        </w:rPr>
        <w:t xml:space="preserve"> </w:t>
      </w:r>
      <w:r w:rsidR="00F46A1B" w:rsidRPr="00AA1AAD">
        <w:rPr>
          <w:rFonts w:ascii="Times New Roman" w:hAnsi="Times New Roman" w:cs="Times New Roman"/>
          <w:sz w:val="24"/>
          <w:szCs w:val="24"/>
        </w:rPr>
        <w:t>both large and small financial institutions</w:t>
      </w:r>
      <w:r w:rsidR="00F46A1B">
        <w:rPr>
          <w:rFonts w:asciiTheme="majorBidi" w:hAnsiTheme="majorBidi" w:cstheme="majorBidi"/>
          <w:sz w:val="24"/>
          <w:szCs w:val="24"/>
        </w:rPr>
        <w:t>,</w:t>
      </w:r>
      <w:r w:rsidRPr="003730B8">
        <w:rPr>
          <w:rFonts w:asciiTheme="majorBidi" w:hAnsiTheme="majorBidi" w:cstheme="majorBidi"/>
          <w:sz w:val="24"/>
          <w:szCs w:val="24"/>
        </w:rPr>
        <w:t xml:space="preserve"> including those with little or no international activities</w:t>
      </w:r>
      <w:r>
        <w:rPr>
          <w:rFonts w:asciiTheme="majorBidi" w:hAnsiTheme="majorBidi" w:cstheme="majorBidi"/>
          <w:sz w:val="24"/>
          <w:szCs w:val="24"/>
          <w:lang w:bidi="ar-JO"/>
        </w:rPr>
        <w:t>.</w:t>
      </w:r>
    </w:p>
    <w:p w:rsidR="00D97556" w:rsidRPr="00AA1AAD" w:rsidRDefault="00D97556" w:rsidP="00041766">
      <w:pPr>
        <w:spacing w:after="240" w:line="360" w:lineRule="auto"/>
        <w:contextualSpacing/>
        <w:jc w:val="both"/>
        <w:rPr>
          <w:rFonts w:ascii="Times New Roman" w:hAnsi="Times New Roman" w:cs="Times New Roman"/>
          <w:sz w:val="24"/>
          <w:szCs w:val="24"/>
        </w:rPr>
      </w:pPr>
      <w:r w:rsidRPr="00AA1AAD">
        <w:rPr>
          <w:rFonts w:ascii="Times New Roman" w:hAnsi="Times New Roman" w:cs="Times New Roman"/>
          <w:sz w:val="24"/>
          <w:szCs w:val="24"/>
        </w:rPr>
        <w:t>The accord defines capital for s</w:t>
      </w:r>
      <w:r w:rsidR="00884099" w:rsidRPr="00AA1AAD">
        <w:rPr>
          <w:rFonts w:ascii="Times New Roman" w:hAnsi="Times New Roman" w:cs="Times New Roman"/>
          <w:sz w:val="24"/>
          <w:szCs w:val="24"/>
        </w:rPr>
        <w:t>upervisory purp</w:t>
      </w:r>
      <w:r w:rsidR="00435570" w:rsidRPr="00AA1AAD">
        <w:rPr>
          <w:rFonts w:ascii="Times New Roman" w:hAnsi="Times New Roman" w:cs="Times New Roman"/>
          <w:sz w:val="24"/>
          <w:szCs w:val="24"/>
        </w:rPr>
        <w:t>oses in two</w:t>
      </w:r>
      <w:r w:rsidR="00F70A29" w:rsidRPr="00AA1AAD">
        <w:rPr>
          <w:rFonts w:ascii="Times New Roman" w:hAnsi="Times New Roman" w:cs="Times New Roman"/>
          <w:sz w:val="24"/>
          <w:szCs w:val="24"/>
        </w:rPr>
        <w:t xml:space="preserve"> tiers (Basel</w:t>
      </w:r>
      <w:r w:rsidR="007941D2">
        <w:rPr>
          <w:rFonts w:ascii="Times New Roman" w:hAnsi="Times New Roman" w:cs="Times New Roman"/>
          <w:sz w:val="24"/>
          <w:szCs w:val="24"/>
        </w:rPr>
        <w:t>, July 1988</w:t>
      </w:r>
      <w:r w:rsidR="00884099" w:rsidRPr="00AA1AAD">
        <w:rPr>
          <w:rFonts w:ascii="Times New Roman" w:hAnsi="Times New Roman" w:cs="Times New Roman"/>
          <w:sz w:val="24"/>
          <w:szCs w:val="24"/>
        </w:rPr>
        <w:t>):</w:t>
      </w:r>
    </w:p>
    <w:p w:rsidR="00241EEC" w:rsidRPr="00F46A1B" w:rsidRDefault="008A0EFB" w:rsidP="00F873C9">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Core C</w:t>
      </w:r>
      <w:r w:rsidR="00D97556" w:rsidRPr="00AA1AAD">
        <w:rPr>
          <w:rFonts w:ascii="Times New Roman" w:hAnsi="Times New Roman" w:cs="Times New Roman"/>
          <w:sz w:val="24"/>
          <w:szCs w:val="24"/>
        </w:rPr>
        <w:t>apital (</w:t>
      </w:r>
      <w:r w:rsidR="00310ECF" w:rsidRPr="00AA1AAD">
        <w:rPr>
          <w:rFonts w:ascii="Times New Roman" w:hAnsi="Times New Roman" w:cs="Times New Roman"/>
          <w:b/>
          <w:sz w:val="24"/>
          <w:szCs w:val="24"/>
        </w:rPr>
        <w:t xml:space="preserve">Tier </w:t>
      </w:r>
      <w:r w:rsidR="00473B86" w:rsidRPr="00AA1AAD">
        <w:rPr>
          <w:rFonts w:ascii="Times New Roman" w:hAnsi="Times New Roman" w:cs="Times New Roman"/>
          <w:b/>
          <w:sz w:val="24"/>
          <w:szCs w:val="24"/>
        </w:rPr>
        <w:t>1</w:t>
      </w:r>
      <w:r w:rsidR="00473B86" w:rsidRPr="00AA1AAD">
        <w:rPr>
          <w:rFonts w:ascii="Times New Roman" w:hAnsi="Times New Roman" w:cs="Times New Roman"/>
          <w:sz w:val="24"/>
          <w:szCs w:val="24"/>
        </w:rPr>
        <w:t xml:space="preserve">) </w:t>
      </w:r>
      <w:r w:rsidR="003E648D" w:rsidRPr="00AA1AAD">
        <w:rPr>
          <w:rFonts w:ascii="Times New Roman" w:hAnsi="Times New Roman" w:cs="Times New Roman"/>
          <w:sz w:val="24"/>
          <w:szCs w:val="24"/>
        </w:rPr>
        <w:t xml:space="preserve">is the core measure of a bank’s </w:t>
      </w:r>
      <w:r w:rsidR="00E76E0F" w:rsidRPr="00AA1AAD">
        <w:rPr>
          <w:rFonts w:ascii="Times New Roman" w:hAnsi="Times New Roman" w:cs="Times New Roman"/>
          <w:sz w:val="24"/>
          <w:szCs w:val="24"/>
        </w:rPr>
        <w:t>financial str</w:t>
      </w:r>
      <w:r w:rsidR="00F46A1B">
        <w:rPr>
          <w:rFonts w:ascii="Times New Roman" w:hAnsi="Times New Roman" w:cs="Times New Roman"/>
          <w:sz w:val="24"/>
          <w:szCs w:val="24"/>
        </w:rPr>
        <w:t>ength from a regulator's perspective.</w:t>
      </w:r>
      <w:r w:rsidR="00E76E0F" w:rsidRPr="00AA1AAD">
        <w:rPr>
          <w:rFonts w:ascii="Times New Roman" w:hAnsi="Times New Roman" w:cs="Times New Roman"/>
          <w:sz w:val="24"/>
          <w:szCs w:val="24"/>
        </w:rPr>
        <w:t xml:space="preserve"> It consists of the types of financial capital </w:t>
      </w:r>
      <w:r>
        <w:rPr>
          <w:rFonts w:ascii="Times New Roman" w:hAnsi="Times New Roman" w:cs="Times New Roman"/>
          <w:sz w:val="24"/>
          <w:szCs w:val="24"/>
        </w:rPr>
        <w:t>considered the most reliable and</w:t>
      </w:r>
      <w:r w:rsidR="00E76E0F" w:rsidRPr="00AA1AAD">
        <w:rPr>
          <w:rFonts w:ascii="Times New Roman" w:hAnsi="Times New Roman" w:cs="Times New Roman"/>
          <w:sz w:val="24"/>
          <w:szCs w:val="24"/>
        </w:rPr>
        <w:t xml:space="preserve"> </w:t>
      </w:r>
      <w:r>
        <w:rPr>
          <w:rFonts w:ascii="Times New Roman" w:hAnsi="Times New Roman" w:cs="Times New Roman"/>
          <w:sz w:val="24"/>
          <w:szCs w:val="24"/>
        </w:rPr>
        <w:t>liquid, primarily E</w:t>
      </w:r>
      <w:r w:rsidRPr="00AA1AAD">
        <w:rPr>
          <w:rFonts w:ascii="Times New Roman" w:hAnsi="Times New Roman" w:cs="Times New Roman"/>
          <w:sz w:val="24"/>
          <w:szCs w:val="24"/>
        </w:rPr>
        <w:t>quity</w:t>
      </w:r>
      <w:r>
        <w:rPr>
          <w:rFonts w:ascii="Times New Roman" w:hAnsi="Times New Roman" w:cs="Times New Roman"/>
          <w:sz w:val="24"/>
          <w:szCs w:val="24"/>
        </w:rPr>
        <w:t xml:space="preserve"> Capital (paid-up </w:t>
      </w:r>
      <w:r w:rsidR="00BE43B2" w:rsidRPr="00AA1AAD">
        <w:rPr>
          <w:rFonts w:ascii="Times New Roman" w:hAnsi="Times New Roman" w:cs="Times New Roman"/>
          <w:sz w:val="24"/>
          <w:szCs w:val="24"/>
        </w:rPr>
        <w:t>capital)</w:t>
      </w:r>
      <w:r w:rsidR="002D2B5B" w:rsidRPr="00AA1AAD">
        <w:rPr>
          <w:rFonts w:ascii="Times New Roman" w:hAnsi="Times New Roman" w:cs="Times New Roman"/>
          <w:sz w:val="24"/>
          <w:szCs w:val="24"/>
        </w:rPr>
        <w:t xml:space="preserve"> and retained earnings</w:t>
      </w:r>
      <w:r w:rsidR="00E76E0F" w:rsidRPr="00AA1AAD">
        <w:rPr>
          <w:rFonts w:ascii="Times New Roman" w:hAnsi="Times New Roman" w:cs="Times New Roman"/>
          <w:sz w:val="24"/>
          <w:szCs w:val="24"/>
        </w:rPr>
        <w:t>.</w:t>
      </w:r>
      <w:r w:rsidR="00435570" w:rsidRPr="00AA1AAD">
        <w:rPr>
          <w:rFonts w:ascii="Times New Roman" w:hAnsi="Times New Roman" w:cs="Times New Roman"/>
          <w:color w:val="000000"/>
          <w:sz w:val="24"/>
          <w:szCs w:val="24"/>
          <w:shd w:val="clear" w:color="auto" w:fill="FFFFFF"/>
        </w:rPr>
        <w:t xml:space="preserve"> Tier 1 cap</w:t>
      </w:r>
      <w:r w:rsidR="00D42752">
        <w:rPr>
          <w:rFonts w:ascii="Times New Roman" w:hAnsi="Times New Roman" w:cs="Times New Roman"/>
          <w:color w:val="000000"/>
          <w:sz w:val="24"/>
          <w:szCs w:val="24"/>
          <w:shd w:val="clear" w:color="auto" w:fill="FFFFFF"/>
        </w:rPr>
        <w:t xml:space="preserve">ital </w:t>
      </w:r>
      <w:r w:rsidR="00435570" w:rsidRPr="00AA1AAD">
        <w:rPr>
          <w:rFonts w:ascii="Times New Roman" w:hAnsi="Times New Roman" w:cs="Times New Roman"/>
          <w:color w:val="000000"/>
          <w:sz w:val="24"/>
          <w:szCs w:val="24"/>
          <w:shd w:val="clear" w:color="auto" w:fill="FFFFFF"/>
        </w:rPr>
        <w:t xml:space="preserve">can absorb losses without a bank being required to </w:t>
      </w:r>
      <w:r>
        <w:rPr>
          <w:rFonts w:ascii="Times New Roman" w:hAnsi="Times New Roman" w:cs="Times New Roman"/>
          <w:color w:val="000000"/>
          <w:sz w:val="24"/>
          <w:szCs w:val="24"/>
          <w:shd w:val="clear" w:color="auto" w:fill="FFFFFF"/>
        </w:rPr>
        <w:t xml:space="preserve">stop </w:t>
      </w:r>
      <w:r w:rsidR="00435570" w:rsidRPr="00AA1AAD">
        <w:rPr>
          <w:rFonts w:ascii="Times New Roman" w:hAnsi="Times New Roman" w:cs="Times New Roman"/>
          <w:color w:val="000000"/>
          <w:sz w:val="24"/>
          <w:szCs w:val="24"/>
          <w:shd w:val="clear" w:color="auto" w:fill="FFFFFF"/>
        </w:rPr>
        <w:lastRenderedPageBreak/>
        <w:t>trading.</w:t>
      </w:r>
      <w:r w:rsidR="00832453">
        <w:rPr>
          <w:rFonts w:ascii="Times New Roman" w:hAnsi="Times New Roman" w:cs="Times New Roman"/>
          <w:sz w:val="24"/>
          <w:szCs w:val="24"/>
        </w:rPr>
        <w:t xml:space="preserve"> </w:t>
      </w:r>
      <w:r w:rsidR="00BE43B2" w:rsidRPr="00AA1AAD">
        <w:rPr>
          <w:rFonts w:ascii="Times New Roman" w:hAnsi="Times New Roman" w:cs="Times New Roman"/>
          <w:sz w:val="24"/>
          <w:szCs w:val="24"/>
        </w:rPr>
        <w:t xml:space="preserve">Tier one capital is important because it safeguards both the survival of the bank and the stability of the financial </w:t>
      </w:r>
      <w:r w:rsidRPr="00AA1AAD">
        <w:rPr>
          <w:rFonts w:ascii="Times New Roman" w:hAnsi="Times New Roman" w:cs="Times New Roman"/>
          <w:sz w:val="24"/>
          <w:szCs w:val="24"/>
        </w:rPr>
        <w:t>system.</w:t>
      </w:r>
      <w:r w:rsidRPr="00F46A1B">
        <w:rPr>
          <w:rFonts w:ascii="Times New Roman" w:hAnsi="Times New Roman" w:cs="Times New Roman"/>
          <w:sz w:val="24"/>
          <w:szCs w:val="24"/>
        </w:rPr>
        <w:t xml:space="preserve"> </w:t>
      </w:r>
      <w:r w:rsidR="00667187" w:rsidRPr="00F46A1B">
        <w:rPr>
          <w:rFonts w:ascii="Times New Roman" w:hAnsi="Times New Roman" w:cs="Times New Roman"/>
          <w:sz w:val="24"/>
          <w:szCs w:val="24"/>
        </w:rPr>
        <w:t>(</w:t>
      </w:r>
      <w:r w:rsidR="00BA0D93" w:rsidRPr="00F46A1B">
        <w:rPr>
          <w:rFonts w:ascii="Times New Roman" w:hAnsi="Times New Roman" w:cs="Times New Roman"/>
          <w:sz w:val="24"/>
          <w:szCs w:val="24"/>
        </w:rPr>
        <w:t>See</w:t>
      </w:r>
      <w:r w:rsidR="00667187" w:rsidRPr="00F46A1B">
        <w:rPr>
          <w:rFonts w:ascii="Times New Roman" w:hAnsi="Times New Roman" w:cs="Times New Roman"/>
          <w:sz w:val="24"/>
          <w:szCs w:val="24"/>
        </w:rPr>
        <w:t xml:space="preserve"> A</w:t>
      </w:r>
      <w:r w:rsidR="00E76E0F" w:rsidRPr="00F46A1B">
        <w:rPr>
          <w:rFonts w:ascii="Times New Roman" w:hAnsi="Times New Roman" w:cs="Times New Roman"/>
          <w:sz w:val="24"/>
          <w:szCs w:val="24"/>
        </w:rPr>
        <w:t>ppendix1).</w:t>
      </w:r>
    </w:p>
    <w:p w:rsidR="00DA7BB0" w:rsidRPr="007B7291" w:rsidRDefault="00473B86" w:rsidP="00F873C9">
      <w:pPr>
        <w:pStyle w:val="ListParagraph"/>
        <w:numPr>
          <w:ilvl w:val="0"/>
          <w:numId w:val="24"/>
        </w:numPr>
        <w:spacing w:line="360" w:lineRule="auto"/>
        <w:rPr>
          <w:rFonts w:asciiTheme="majorBidi" w:hAnsiTheme="majorBidi" w:cstheme="majorBidi"/>
          <w:sz w:val="24"/>
          <w:szCs w:val="24"/>
          <w:lang w:bidi="ar-JO"/>
        </w:rPr>
      </w:pPr>
      <w:r w:rsidRPr="007B7291">
        <w:rPr>
          <w:rFonts w:ascii="Times New Roman" w:hAnsi="Times New Roman" w:cs="Times New Roman"/>
          <w:sz w:val="24"/>
          <w:szCs w:val="24"/>
        </w:rPr>
        <w:t>Supplement</w:t>
      </w:r>
      <w:r w:rsidR="00757AA1" w:rsidRPr="007B7291">
        <w:rPr>
          <w:rFonts w:ascii="Times New Roman" w:hAnsi="Times New Roman" w:cs="Times New Roman"/>
          <w:sz w:val="24"/>
          <w:szCs w:val="24"/>
        </w:rPr>
        <w:t>ary capital (</w:t>
      </w:r>
      <w:r w:rsidR="00757AA1" w:rsidRPr="007B7291">
        <w:rPr>
          <w:rFonts w:ascii="Times New Roman" w:hAnsi="Times New Roman" w:cs="Times New Roman"/>
          <w:b/>
          <w:sz w:val="24"/>
          <w:szCs w:val="24"/>
        </w:rPr>
        <w:t>Tier 2</w:t>
      </w:r>
      <w:r w:rsidR="00757AA1" w:rsidRPr="007B7291">
        <w:rPr>
          <w:rFonts w:ascii="Times New Roman" w:hAnsi="Times New Roman" w:cs="Times New Roman"/>
          <w:sz w:val="24"/>
          <w:szCs w:val="24"/>
        </w:rPr>
        <w:t xml:space="preserve">) </w:t>
      </w:r>
      <w:r w:rsidR="007B7291" w:rsidRPr="007B7291">
        <w:rPr>
          <w:rFonts w:ascii="Times New Roman" w:hAnsi="Times New Roman" w:cs="Times New Roman"/>
          <w:sz w:val="24"/>
          <w:szCs w:val="24"/>
        </w:rPr>
        <w:t xml:space="preserve">Tier two </w:t>
      </w:r>
      <w:r w:rsidR="00210E3E" w:rsidRPr="007B7291">
        <w:rPr>
          <w:rFonts w:ascii="Times New Roman" w:hAnsi="Times New Roman" w:cs="Times New Roman"/>
          <w:sz w:val="24"/>
          <w:szCs w:val="24"/>
        </w:rPr>
        <w:t>capitals</w:t>
      </w:r>
      <w:r w:rsidR="007B7291" w:rsidRPr="007B7291">
        <w:rPr>
          <w:rFonts w:ascii="Times New Roman" w:hAnsi="Times New Roman" w:cs="Times New Roman"/>
          <w:sz w:val="24"/>
          <w:szCs w:val="24"/>
        </w:rPr>
        <w:t xml:space="preserve"> is the second most credible form of financial capital, from regulators perspective as an indicator to the </w:t>
      </w:r>
      <w:r w:rsidR="00381CE4" w:rsidRPr="007B7291">
        <w:rPr>
          <w:rFonts w:ascii="Times New Roman" w:hAnsi="Times New Roman" w:cs="Times New Roman"/>
          <w:sz w:val="24"/>
          <w:szCs w:val="24"/>
        </w:rPr>
        <w:t>bank’s financial</w:t>
      </w:r>
      <w:r w:rsidR="007B7291" w:rsidRPr="007B7291">
        <w:rPr>
          <w:rFonts w:ascii="Times New Roman" w:hAnsi="Times New Roman" w:cs="Times New Roman"/>
          <w:sz w:val="24"/>
          <w:szCs w:val="24"/>
        </w:rPr>
        <w:t xml:space="preserve"> strength. </w:t>
      </w:r>
      <w:r w:rsidR="00DA7BB0" w:rsidRPr="007B7291">
        <w:rPr>
          <w:rFonts w:ascii="Times New Roman" w:hAnsi="Times New Roman" w:cs="Times New Roman"/>
          <w:sz w:val="24"/>
          <w:szCs w:val="24"/>
        </w:rPr>
        <w:t xml:space="preserve">Tier two capitals provides lower protection to depositors than tier one does and absorb lower losses in the event of </w:t>
      </w:r>
      <w:r w:rsidR="00DA7BB0" w:rsidRPr="007B7291">
        <w:rPr>
          <w:rFonts w:ascii="Times New Roman" w:hAnsi="Times New Roman" w:cs="Times New Roman"/>
          <w:color w:val="000000"/>
          <w:sz w:val="24"/>
          <w:szCs w:val="24"/>
          <w:shd w:val="clear" w:color="auto" w:fill="FFFFFF"/>
        </w:rPr>
        <w:t>a winding-up</w:t>
      </w:r>
      <w:r w:rsidR="00DA7BB0" w:rsidRPr="007B7291">
        <w:rPr>
          <w:rFonts w:ascii="Times New Roman" w:hAnsi="Times New Roman" w:cs="Times New Roman"/>
          <w:sz w:val="24"/>
          <w:szCs w:val="24"/>
        </w:rPr>
        <w:t>.</w:t>
      </w:r>
    </w:p>
    <w:p w:rsidR="00505BA0" w:rsidRPr="00AA1AAD" w:rsidRDefault="00AF3FD1" w:rsidP="00E051B3">
      <w:pPr>
        <w:autoSpaceDE w:val="0"/>
        <w:autoSpaceDN w:val="0"/>
        <w:adjustRightInd w:val="0"/>
        <w:spacing w:after="0" w:line="360" w:lineRule="auto"/>
        <w:jc w:val="both"/>
        <w:rPr>
          <w:rFonts w:ascii="Times New Roman" w:hAnsi="Times New Roman" w:cs="Times New Roman"/>
          <w:sz w:val="24"/>
          <w:szCs w:val="24"/>
        </w:rPr>
      </w:pPr>
      <w:r w:rsidRPr="00DA7BB0">
        <w:rPr>
          <w:rFonts w:asciiTheme="majorBidi" w:hAnsiTheme="majorBidi" w:cstheme="majorBidi"/>
          <w:sz w:val="24"/>
          <w:szCs w:val="24"/>
        </w:rPr>
        <w:t>Tier</w:t>
      </w:r>
      <w:r w:rsidR="00DA7BB0" w:rsidRPr="00DA7BB0">
        <w:rPr>
          <w:rFonts w:asciiTheme="majorBidi" w:hAnsiTheme="majorBidi" w:cstheme="majorBidi"/>
          <w:sz w:val="24"/>
          <w:szCs w:val="24"/>
        </w:rPr>
        <w:t xml:space="preserve"> 2 capital is diversified. It includes items</w:t>
      </w:r>
      <w:r w:rsidRPr="00DA7BB0">
        <w:rPr>
          <w:rFonts w:asciiTheme="majorBidi" w:hAnsiTheme="majorBidi" w:cstheme="majorBidi"/>
          <w:sz w:val="24"/>
          <w:szCs w:val="24"/>
        </w:rPr>
        <w:t xml:space="preserve"> as the undisclosed reserves, revaluation </w:t>
      </w:r>
      <w:r w:rsidR="00DA7BB0" w:rsidRPr="00DA7BB0">
        <w:rPr>
          <w:rFonts w:asciiTheme="majorBidi" w:hAnsiTheme="majorBidi" w:cstheme="majorBidi"/>
          <w:sz w:val="24"/>
          <w:szCs w:val="24"/>
        </w:rPr>
        <w:t>reserves, general loan loss reserves</w:t>
      </w:r>
      <w:r w:rsidR="008A0EFB" w:rsidRPr="00DA7BB0">
        <w:rPr>
          <w:rFonts w:asciiTheme="majorBidi" w:hAnsiTheme="majorBidi" w:cstheme="majorBidi"/>
          <w:sz w:val="24"/>
          <w:szCs w:val="24"/>
        </w:rPr>
        <w:t>,</w:t>
      </w:r>
      <w:r w:rsidR="00DA7BB0" w:rsidRPr="00DA7BB0">
        <w:rPr>
          <w:rFonts w:asciiTheme="majorBidi" w:hAnsiTheme="majorBidi" w:cstheme="majorBidi"/>
          <w:sz w:val="24"/>
          <w:szCs w:val="24"/>
        </w:rPr>
        <w:t xml:space="preserve"> Asset revaluation reserves</w:t>
      </w:r>
      <w:r w:rsidR="00DA7BB0">
        <w:rPr>
          <w:rFonts w:asciiTheme="majorBidi" w:hAnsiTheme="majorBidi" w:cstheme="majorBidi"/>
          <w:sz w:val="24"/>
          <w:szCs w:val="24"/>
        </w:rPr>
        <w:t xml:space="preserve"> and h</w:t>
      </w:r>
      <w:r w:rsidR="00DA7BB0" w:rsidRPr="00DA7BB0">
        <w:rPr>
          <w:rFonts w:asciiTheme="majorBidi" w:hAnsiTheme="majorBidi" w:cstheme="majorBidi"/>
          <w:sz w:val="24"/>
          <w:szCs w:val="24"/>
        </w:rPr>
        <w:t>ybrid debt capital instruments</w:t>
      </w:r>
      <w:r w:rsidR="00E051B3" w:rsidRPr="00DA7BB0">
        <w:rPr>
          <w:rFonts w:asciiTheme="majorBidi" w:hAnsiTheme="majorBidi" w:cstheme="majorBidi"/>
          <w:sz w:val="24"/>
          <w:szCs w:val="24"/>
        </w:rPr>
        <w:t xml:space="preserve"> </w:t>
      </w:r>
      <w:r w:rsidR="009D496F">
        <w:rPr>
          <w:rFonts w:asciiTheme="majorBidi" w:hAnsiTheme="majorBidi" w:cstheme="majorBidi"/>
          <w:sz w:val="24"/>
          <w:szCs w:val="24"/>
        </w:rPr>
        <w:t>Banks should keep</w:t>
      </w:r>
      <w:r w:rsidR="00473B86" w:rsidRPr="00DA7BB0">
        <w:rPr>
          <w:rFonts w:asciiTheme="majorBidi" w:hAnsiTheme="majorBidi" w:cstheme="majorBidi"/>
          <w:sz w:val="24"/>
          <w:szCs w:val="24"/>
        </w:rPr>
        <w:t xml:space="preserve"> at least half of its measured capital in Tier 1 form. </w:t>
      </w:r>
      <w:r w:rsidRPr="00DA7BB0">
        <w:rPr>
          <w:rFonts w:asciiTheme="majorBidi" w:hAnsiTheme="majorBidi" w:cstheme="majorBidi"/>
          <w:sz w:val="24"/>
          <w:szCs w:val="24"/>
        </w:rPr>
        <w:t xml:space="preserve">Since </w:t>
      </w:r>
      <w:r w:rsidR="00EA1E0C" w:rsidRPr="00DA7BB0">
        <w:rPr>
          <w:rFonts w:asciiTheme="majorBidi" w:hAnsiTheme="majorBidi" w:cstheme="majorBidi"/>
          <w:sz w:val="24"/>
          <w:szCs w:val="24"/>
        </w:rPr>
        <w:t>this capital</w:t>
      </w:r>
      <w:r w:rsidR="00EA1E0C" w:rsidRPr="00AA1AAD">
        <w:rPr>
          <w:rFonts w:ascii="Times New Roman" w:hAnsi="Times New Roman" w:cs="Times New Roman"/>
          <w:sz w:val="24"/>
          <w:szCs w:val="24"/>
        </w:rPr>
        <w:t xml:space="preserve"> is</w:t>
      </w:r>
      <w:r w:rsidRPr="00AA1AAD">
        <w:rPr>
          <w:rFonts w:ascii="Times New Roman" w:hAnsi="Times New Roman" w:cs="Times New Roman"/>
          <w:sz w:val="24"/>
          <w:szCs w:val="24"/>
        </w:rPr>
        <w:t xml:space="preserve"> considered the core capital and more reliable form of capital. </w:t>
      </w:r>
      <w:r w:rsidR="00473B86" w:rsidRPr="00AA1AAD">
        <w:rPr>
          <w:rFonts w:ascii="Times New Roman" w:hAnsi="Times New Roman" w:cs="Times New Roman"/>
          <w:sz w:val="24"/>
          <w:szCs w:val="24"/>
        </w:rPr>
        <w:t>Tier 1 capital is subj</w:t>
      </w:r>
      <w:r w:rsidR="007157B0" w:rsidRPr="00AA1AAD">
        <w:rPr>
          <w:rFonts w:ascii="Times New Roman" w:hAnsi="Times New Roman" w:cs="Times New Roman"/>
          <w:sz w:val="24"/>
          <w:szCs w:val="24"/>
        </w:rPr>
        <w:t>ect to a minimum constraint of 4</w:t>
      </w:r>
      <w:r w:rsidR="00473B86" w:rsidRPr="00AA1AAD">
        <w:rPr>
          <w:rFonts w:ascii="Times New Roman" w:hAnsi="Times New Roman" w:cs="Times New Roman"/>
          <w:sz w:val="24"/>
          <w:szCs w:val="24"/>
        </w:rPr>
        <w:t xml:space="preserve">% of total </w:t>
      </w:r>
      <w:r w:rsidR="00294728" w:rsidRPr="00AA1AAD">
        <w:rPr>
          <w:rFonts w:ascii="Times New Roman" w:hAnsi="Times New Roman" w:cs="Times New Roman"/>
          <w:sz w:val="24"/>
          <w:szCs w:val="24"/>
        </w:rPr>
        <w:t xml:space="preserve">risk- weighted </w:t>
      </w:r>
      <w:r w:rsidR="001115F9" w:rsidRPr="00AA1AAD">
        <w:rPr>
          <w:rFonts w:ascii="Times New Roman" w:hAnsi="Times New Roman" w:cs="Times New Roman"/>
          <w:sz w:val="24"/>
          <w:szCs w:val="24"/>
        </w:rPr>
        <w:t>assets and 3% of total assets.</w:t>
      </w:r>
    </w:p>
    <w:p w:rsidR="00DE48BB" w:rsidRPr="007B7291" w:rsidRDefault="00667187" w:rsidP="007B729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A</w:t>
      </w:r>
      <w:r w:rsidR="007545D2" w:rsidRPr="00AA1AAD">
        <w:rPr>
          <w:rFonts w:ascii="Times New Roman" w:hAnsi="Times New Roman" w:cs="Times New Roman"/>
          <w:sz w:val="24"/>
          <w:szCs w:val="24"/>
        </w:rPr>
        <w:t>ccord</w:t>
      </w:r>
      <w:r w:rsidR="00F90869">
        <w:rPr>
          <w:rFonts w:ascii="Times New Roman" w:hAnsi="Times New Roman" w:cs="Times New Roman"/>
          <w:sz w:val="24"/>
          <w:szCs w:val="24"/>
        </w:rPr>
        <w:t xml:space="preserve"> introduced the</w:t>
      </w:r>
      <w:r w:rsidR="007545D2" w:rsidRPr="00AA1AAD">
        <w:rPr>
          <w:rFonts w:ascii="Times New Roman" w:hAnsi="Times New Roman" w:cs="Times New Roman"/>
          <w:sz w:val="24"/>
          <w:szCs w:val="24"/>
        </w:rPr>
        <w:t xml:space="preserve"> ratio of bank’s capital (Tier 1+ Tier 2) over the risk weighted assets. This ratio addressed bank’s credit risk.</w:t>
      </w:r>
    </w:p>
    <w:p w:rsidR="003D700A" w:rsidRPr="00AF7426" w:rsidRDefault="00B00B34" w:rsidP="00AF7426">
      <w:pPr>
        <w:tabs>
          <w:tab w:val="left" w:pos="8325"/>
        </w:tabs>
        <w:spacing w:after="240" w:line="360" w:lineRule="auto"/>
        <w:jc w:val="center"/>
        <w:rPr>
          <w:rFonts w:ascii="Times New Roman" w:hAnsi="Times New Roman" w:cs="Times New Roman"/>
          <w:b/>
        </w:rPr>
      </w:pPr>
      <w:r w:rsidRPr="00AF7426">
        <w:rPr>
          <w:rFonts w:ascii="Times New Roman" w:hAnsi="Times New Roman" w:cs="Times New Roman"/>
          <w:b/>
        </w:rPr>
        <w:t>Figure</w:t>
      </w:r>
      <w:r w:rsidR="001331F3">
        <w:rPr>
          <w:rFonts w:ascii="Times New Roman" w:hAnsi="Times New Roman" w:cs="Times New Roman"/>
          <w:b/>
        </w:rPr>
        <w:t xml:space="preserve"> </w:t>
      </w:r>
      <w:r w:rsidR="00BA4FB9" w:rsidRPr="00AF7426">
        <w:rPr>
          <w:rFonts w:ascii="Times New Roman" w:hAnsi="Times New Roman" w:cs="Times New Roman"/>
          <w:b/>
        </w:rPr>
        <w:t>2.</w:t>
      </w:r>
      <w:r w:rsidR="00F90869">
        <w:rPr>
          <w:rFonts w:ascii="Times New Roman" w:hAnsi="Times New Roman" w:cs="Times New Roman"/>
          <w:b/>
        </w:rPr>
        <w:t>3:</w:t>
      </w:r>
      <w:r w:rsidR="00223FD2">
        <w:rPr>
          <w:rFonts w:ascii="Times New Roman" w:hAnsi="Times New Roman" w:cs="Times New Roman"/>
          <w:b/>
        </w:rPr>
        <w:t xml:space="preserve"> Minimum</w:t>
      </w:r>
      <w:r w:rsidR="00A1002B">
        <w:rPr>
          <w:rFonts w:ascii="Times New Roman" w:hAnsi="Times New Roman" w:cs="Times New Roman"/>
          <w:b/>
        </w:rPr>
        <w:t xml:space="preserve"> T</w:t>
      </w:r>
      <w:r w:rsidR="00617A09" w:rsidRPr="00AF7426">
        <w:rPr>
          <w:rFonts w:ascii="Times New Roman" w:hAnsi="Times New Roman" w:cs="Times New Roman"/>
          <w:b/>
        </w:rPr>
        <w:t>otal Capital</w:t>
      </w:r>
    </w:p>
    <w:p w:rsidR="003D700A" w:rsidRPr="00D4262C" w:rsidRDefault="007A78D1" w:rsidP="003D700A">
      <w:pPr>
        <w:autoSpaceDE w:val="0"/>
        <w:autoSpaceDN w:val="0"/>
        <w:adjustRightInd w:val="0"/>
        <w:spacing w:after="0" w:line="360" w:lineRule="auto"/>
        <w:rPr>
          <w:rFonts w:asciiTheme="majorBidi" w:hAnsiTheme="majorBidi" w:cstheme="majorBidi"/>
          <w:b/>
        </w:rPr>
      </w:pPr>
      <w:r>
        <w:rPr>
          <w:rFonts w:asciiTheme="majorBidi" w:hAnsiTheme="majorBidi" w:cstheme="majorBidi"/>
          <w:b/>
          <w:noProof/>
        </w:rPr>
        <w:pict>
          <v:shapetype id="_x0000_t32" coordsize="21600,21600" o:spt="32" o:oned="t" path="m,l21600,21600e" filled="f">
            <v:path arrowok="t" fillok="f" o:connecttype="none"/>
            <o:lock v:ext="edit" shapetype="t"/>
          </v:shapetype>
          <v:shape id="_x0000_s1031" type="#_x0000_t32" style="position:absolute;margin-left:2.05pt;margin-top:19.55pt;width:209.45pt;height:.05pt;flip:x;z-index:251664384" o:connectortype="straight"/>
        </w:pict>
      </w:r>
      <w:r w:rsidR="003D700A" w:rsidRPr="00D4262C">
        <w:rPr>
          <w:rFonts w:asciiTheme="majorBidi" w:hAnsiTheme="majorBidi" w:cstheme="majorBidi"/>
          <w:b/>
        </w:rPr>
        <w:t xml:space="preserve">Total Regulatory Capital (Tier1 + Tier 2)                ≥ 8%                 </w:t>
      </w:r>
    </w:p>
    <w:p w:rsidR="005E5899" w:rsidRPr="00D4262C" w:rsidRDefault="007A78D1" w:rsidP="003D700A">
      <w:pPr>
        <w:spacing w:after="240" w:line="360" w:lineRule="auto"/>
        <w:rPr>
          <w:rFonts w:asciiTheme="majorBidi" w:hAnsiTheme="majorBidi" w:cstheme="majorBidi"/>
          <w:b/>
        </w:rPr>
      </w:pPr>
      <w:r>
        <w:rPr>
          <w:rFonts w:asciiTheme="majorBidi" w:hAnsiTheme="majorBidi" w:cstheme="majorBidi"/>
          <w:b/>
          <w:noProof/>
        </w:rPr>
        <w:pict>
          <v:shape id="_x0000_s1030" type="#_x0000_t32" style="position:absolute;margin-left:-198.3pt;margin-top:2.7pt;width:124.05pt;height:0;z-index:251663360" o:connectortype="straight"/>
        </w:pict>
      </w:r>
      <w:r>
        <w:rPr>
          <w:rFonts w:asciiTheme="majorBidi" w:hAnsiTheme="majorBidi" w:cstheme="majorBidi"/>
          <w:b/>
          <w:noProof/>
        </w:rPr>
        <w:pict>
          <v:shape id="_x0000_s1057" type="#_x0000_t32" style="position:absolute;margin-left:218.25pt;margin-top:2.7pt;width:0;height:0;z-index:251687936" o:connectortype="straight"/>
        </w:pict>
      </w:r>
      <w:r w:rsidR="00617A09" w:rsidRPr="00D4262C">
        <w:rPr>
          <w:rFonts w:asciiTheme="majorBidi" w:hAnsiTheme="majorBidi" w:cstheme="majorBidi"/>
          <w:b/>
        </w:rPr>
        <w:t>Total Risk- W</w:t>
      </w:r>
      <w:r w:rsidR="003D700A" w:rsidRPr="00D4262C">
        <w:rPr>
          <w:rFonts w:asciiTheme="majorBidi" w:hAnsiTheme="majorBidi" w:cstheme="majorBidi"/>
          <w:b/>
        </w:rPr>
        <w:t>eighted Assets (RWA)</w:t>
      </w:r>
    </w:p>
    <w:p w:rsidR="003D700A" w:rsidRPr="00D4262C" w:rsidRDefault="003D700A" w:rsidP="003D700A">
      <w:pPr>
        <w:spacing w:after="240" w:line="360" w:lineRule="auto"/>
        <w:rPr>
          <w:rFonts w:ascii="Times New Roman" w:hAnsi="Times New Roman" w:cs="Times New Roman"/>
          <w:b/>
        </w:rPr>
      </w:pPr>
      <w:r w:rsidRPr="00D4262C">
        <w:rPr>
          <w:rFonts w:ascii="Times New Roman" w:hAnsi="Times New Roman" w:cs="Times New Roman"/>
          <w:b/>
        </w:rPr>
        <w:t>Minimum Tier one ratio</w:t>
      </w:r>
    </w:p>
    <w:p w:rsidR="003D700A" w:rsidRPr="00D4262C" w:rsidRDefault="007A78D1" w:rsidP="005E5899">
      <w:pPr>
        <w:spacing w:after="240" w:line="360" w:lineRule="auto"/>
        <w:rPr>
          <w:rFonts w:ascii="Times New Roman" w:hAnsi="Times New Roman" w:cs="Times New Roman"/>
          <w:b/>
        </w:rPr>
      </w:pPr>
      <w:r>
        <w:rPr>
          <w:rFonts w:ascii="Times New Roman" w:hAnsi="Times New Roman" w:cs="Times New Roman"/>
          <w:b/>
          <w:noProof/>
        </w:rPr>
        <w:pict>
          <v:shape id="_x0000_s1032" type="#_x0000_t32" style="position:absolute;margin-left:0;margin-top:16.1pt;width:185.25pt;height:.05pt;z-index:251665408" o:connectortype="straight"/>
        </w:pict>
      </w:r>
      <w:r>
        <w:rPr>
          <w:rFonts w:ascii="Times New Roman" w:hAnsi="Times New Roman" w:cs="Times New Roman"/>
          <w:b/>
          <w:noProof/>
        </w:rPr>
        <w:pict>
          <v:shape id="_x0000_s1033" type="#_x0000_t32" style="position:absolute;margin-left:-70.5pt;margin-top:25.85pt;width:0;height:0;z-index:251666432" o:connectortype="straight"/>
        </w:pict>
      </w:r>
      <w:r w:rsidR="003D700A" w:rsidRPr="00D4262C">
        <w:rPr>
          <w:rFonts w:ascii="Times New Roman" w:hAnsi="Times New Roman" w:cs="Times New Roman"/>
          <w:b/>
        </w:rPr>
        <w:t xml:space="preserve"> Total Tier1 Capital</w:t>
      </w:r>
      <w:r w:rsidR="00BF4CC0">
        <w:rPr>
          <w:rFonts w:ascii="Times New Roman" w:hAnsi="Times New Roman" w:cs="Times New Roman"/>
          <w:b/>
        </w:rPr>
        <w:t xml:space="preserve">                                                       </w:t>
      </w:r>
      <w:r w:rsidR="00BF4CC0" w:rsidRPr="00D4262C">
        <w:rPr>
          <w:rFonts w:ascii="TimesNewRoman" w:hAnsi="TimesNewRoman" w:cs="TimesNewRoman"/>
          <w:b/>
        </w:rPr>
        <w:t>≥ 4%</w:t>
      </w:r>
      <w:r w:rsidR="00BF4CC0">
        <w:rPr>
          <w:rFonts w:ascii="TimesNewRoman" w:hAnsi="TimesNewRoman" w:cs="TimesNewRoman"/>
          <w:b/>
        </w:rPr>
        <w:t xml:space="preserve"> </w:t>
      </w:r>
      <w:r w:rsidR="00BF4CC0">
        <w:rPr>
          <w:rFonts w:ascii="Times New Roman" w:hAnsi="Times New Roman" w:cs="Times New Roman"/>
          <w:b/>
        </w:rPr>
        <w:t xml:space="preserve">                                                                                             </w:t>
      </w:r>
      <w:r w:rsidR="00C22AEC" w:rsidRPr="00D4262C">
        <w:rPr>
          <w:rFonts w:ascii="Times New Roman" w:hAnsi="Times New Roman" w:cs="Times New Roman"/>
          <w:b/>
        </w:rPr>
        <w:t xml:space="preserve">Total </w:t>
      </w:r>
      <w:r w:rsidR="00470F75" w:rsidRPr="00D4262C">
        <w:rPr>
          <w:rFonts w:ascii="Times New Roman" w:hAnsi="Times New Roman" w:cs="Times New Roman"/>
          <w:b/>
        </w:rPr>
        <w:t xml:space="preserve">Risk-Weighted Assets (RWA)                              </w:t>
      </w:r>
    </w:p>
    <w:p w:rsidR="00B00B34" w:rsidRPr="00D4262C" w:rsidRDefault="00B00B34" w:rsidP="001F5592">
      <w:pPr>
        <w:spacing w:after="240" w:line="240" w:lineRule="auto"/>
        <w:rPr>
          <w:rFonts w:ascii="Times New Roman" w:hAnsi="Times New Roman" w:cs="Times New Roman"/>
          <w:b/>
        </w:rPr>
      </w:pPr>
      <w:r w:rsidRPr="00D4262C">
        <w:rPr>
          <w:rFonts w:ascii="Times New Roman" w:hAnsi="Times New Roman" w:cs="Times New Roman"/>
          <w:b/>
        </w:rPr>
        <w:t>Tier 1 – Core capital</w:t>
      </w:r>
    </w:p>
    <w:p w:rsidR="00B00B34" w:rsidRPr="00D4262C" w:rsidRDefault="00B00B34" w:rsidP="001F5592">
      <w:pPr>
        <w:spacing w:after="240" w:line="240" w:lineRule="auto"/>
        <w:rPr>
          <w:rFonts w:ascii="Times New Roman" w:hAnsi="Times New Roman" w:cs="Times New Roman"/>
          <w:b/>
        </w:rPr>
      </w:pPr>
      <w:r w:rsidRPr="00D4262C">
        <w:rPr>
          <w:rFonts w:ascii="Times New Roman" w:hAnsi="Times New Roman" w:cs="Times New Roman"/>
          <w:b/>
        </w:rPr>
        <w:t>Tier 2-</w:t>
      </w:r>
      <w:r w:rsidR="00D57398" w:rsidRPr="00D4262C">
        <w:rPr>
          <w:rFonts w:ascii="Times New Roman" w:hAnsi="Times New Roman" w:cs="Times New Roman"/>
          <w:b/>
        </w:rPr>
        <w:t xml:space="preserve"> Supplementary</w:t>
      </w:r>
      <w:r w:rsidRPr="00D4262C">
        <w:rPr>
          <w:rFonts w:ascii="Times New Roman" w:hAnsi="Times New Roman" w:cs="Times New Roman"/>
          <w:b/>
        </w:rPr>
        <w:t xml:space="preserve"> capital</w:t>
      </w:r>
    </w:p>
    <w:p w:rsidR="007B5151" w:rsidRDefault="00B00B34" w:rsidP="007B5151">
      <w:pPr>
        <w:spacing w:after="240" w:line="240" w:lineRule="auto"/>
        <w:rPr>
          <w:rFonts w:ascii="Times New Roman" w:hAnsi="Times New Roman" w:cs="Times New Roman"/>
          <w:b/>
        </w:rPr>
      </w:pPr>
      <w:r w:rsidRPr="00D4262C">
        <w:rPr>
          <w:rFonts w:ascii="Times New Roman" w:hAnsi="Times New Roman" w:cs="Times New Roman"/>
          <w:b/>
        </w:rPr>
        <w:t>RWA - Risk weighted assets, the credit risk capital charge.</w:t>
      </w:r>
    </w:p>
    <w:p w:rsidR="0008746E" w:rsidRPr="007B5151" w:rsidRDefault="00D535AD" w:rsidP="007B5151">
      <w:pPr>
        <w:spacing w:after="240" w:line="360" w:lineRule="auto"/>
        <w:jc w:val="both"/>
        <w:rPr>
          <w:rFonts w:ascii="Times New Roman" w:hAnsi="Times New Roman" w:cs="Times New Roman"/>
          <w:b/>
        </w:rPr>
      </w:pPr>
      <w:r w:rsidRPr="00AA1AAD">
        <w:rPr>
          <w:rFonts w:ascii="Times New Roman" w:hAnsi="Times New Roman" w:cs="Times New Roman"/>
          <w:sz w:val="24"/>
          <w:szCs w:val="24"/>
        </w:rPr>
        <w:t>T</w:t>
      </w:r>
      <w:r w:rsidR="00A42E0E">
        <w:rPr>
          <w:rFonts w:ascii="Times New Roman" w:hAnsi="Times New Roman" w:cs="Times New Roman"/>
          <w:sz w:val="24"/>
          <w:szCs w:val="24"/>
        </w:rPr>
        <w:t xml:space="preserve">he </w:t>
      </w:r>
      <w:r w:rsidR="00BA0D93">
        <w:rPr>
          <w:rFonts w:ascii="Times New Roman" w:hAnsi="Times New Roman" w:cs="Times New Roman"/>
          <w:sz w:val="24"/>
          <w:szCs w:val="24"/>
        </w:rPr>
        <w:t>calculation of the ratio employs</w:t>
      </w:r>
      <w:r w:rsidRPr="00AA1AAD">
        <w:rPr>
          <w:rFonts w:ascii="Times New Roman" w:hAnsi="Times New Roman" w:cs="Times New Roman"/>
          <w:sz w:val="24"/>
          <w:szCs w:val="24"/>
        </w:rPr>
        <w:t xml:space="preserve"> as</w:t>
      </w:r>
      <w:r w:rsidR="00667187">
        <w:rPr>
          <w:rFonts w:ascii="Times New Roman" w:hAnsi="Times New Roman" w:cs="Times New Roman"/>
          <w:sz w:val="24"/>
          <w:szCs w:val="24"/>
        </w:rPr>
        <w:t>sets weights for differentiation of</w:t>
      </w:r>
      <w:r w:rsidRPr="00AA1AAD">
        <w:rPr>
          <w:rFonts w:ascii="Times New Roman" w:hAnsi="Times New Roman" w:cs="Times New Roman"/>
          <w:sz w:val="24"/>
          <w:szCs w:val="24"/>
        </w:rPr>
        <w:t xml:space="preserve"> the capital according to quality in terms of credit standing. </w:t>
      </w:r>
      <w:r w:rsidR="007B5151">
        <w:rPr>
          <w:rFonts w:asciiTheme="majorBidi" w:hAnsiTheme="majorBidi" w:cstheme="majorBidi"/>
          <w:sz w:val="24"/>
          <w:szCs w:val="24"/>
        </w:rPr>
        <w:t xml:space="preserve">The </w:t>
      </w:r>
      <w:r w:rsidR="007F773B">
        <w:rPr>
          <w:rFonts w:asciiTheme="majorBidi" w:hAnsiTheme="majorBidi" w:cstheme="majorBidi"/>
          <w:sz w:val="24"/>
          <w:szCs w:val="24"/>
        </w:rPr>
        <w:t>weights begin</w:t>
      </w:r>
      <w:r w:rsidR="007B5151">
        <w:rPr>
          <w:rFonts w:asciiTheme="majorBidi" w:hAnsiTheme="majorBidi" w:cstheme="majorBidi"/>
          <w:sz w:val="24"/>
          <w:szCs w:val="24"/>
        </w:rPr>
        <w:t xml:space="preserve"> from zero for </w:t>
      </w:r>
      <w:r w:rsidR="007B5151" w:rsidRPr="00AA1AAD">
        <w:rPr>
          <w:rFonts w:ascii="Times New Roman" w:hAnsi="Times New Roman" w:cs="Times New Roman"/>
          <w:sz w:val="24"/>
          <w:szCs w:val="24"/>
        </w:rPr>
        <w:t>commitments with public counterparties</w:t>
      </w:r>
      <w:r w:rsidR="007F773B">
        <w:rPr>
          <w:rFonts w:asciiTheme="majorBidi" w:hAnsiTheme="majorBidi" w:cstheme="majorBidi"/>
          <w:sz w:val="24"/>
          <w:szCs w:val="24"/>
        </w:rPr>
        <w:t xml:space="preserve">, </w:t>
      </w:r>
      <w:r w:rsidR="007F773B" w:rsidRPr="00AA1AAD">
        <w:rPr>
          <w:rFonts w:ascii="Times New Roman" w:hAnsi="Times New Roman" w:cs="Times New Roman"/>
          <w:sz w:val="24"/>
          <w:szCs w:val="24"/>
        </w:rPr>
        <w:t>up</w:t>
      </w:r>
      <w:r w:rsidR="007B5151" w:rsidRPr="00AA1AAD">
        <w:rPr>
          <w:rFonts w:ascii="Times New Roman" w:hAnsi="Times New Roman" w:cs="Times New Roman"/>
          <w:sz w:val="24"/>
          <w:szCs w:val="24"/>
        </w:rPr>
        <w:t xml:space="preserve"> to 10</w:t>
      </w:r>
      <w:r w:rsidR="007B5151">
        <w:rPr>
          <w:rFonts w:ascii="Times New Roman" w:hAnsi="Times New Roman" w:cs="Times New Roman"/>
          <w:sz w:val="24"/>
          <w:szCs w:val="24"/>
        </w:rPr>
        <w:t>0% for private sector.</w:t>
      </w:r>
      <w:r w:rsidR="007B5151">
        <w:rPr>
          <w:rFonts w:ascii="Times New Roman" w:hAnsi="Times New Roman" w:cs="Times New Roman"/>
          <w:b/>
        </w:rPr>
        <w:t xml:space="preserve"> </w:t>
      </w:r>
      <w:r w:rsidR="0008746E" w:rsidRPr="00AA1AAD">
        <w:rPr>
          <w:rFonts w:ascii="Times New Roman" w:hAnsi="Times New Roman" w:cs="Times New Roman"/>
          <w:sz w:val="24"/>
          <w:szCs w:val="24"/>
        </w:rPr>
        <w:t>The major strength</w:t>
      </w:r>
      <w:r w:rsidR="00A42E0E">
        <w:rPr>
          <w:rFonts w:ascii="Times New Roman" w:hAnsi="Times New Roman" w:cs="Times New Roman"/>
          <w:sz w:val="24"/>
          <w:szCs w:val="24"/>
        </w:rPr>
        <w:t xml:space="preserve"> of </w:t>
      </w:r>
      <w:r w:rsidR="00BA0D93">
        <w:rPr>
          <w:rFonts w:ascii="Times New Roman" w:hAnsi="Times New Roman" w:cs="Times New Roman"/>
          <w:sz w:val="24"/>
          <w:szCs w:val="24"/>
        </w:rPr>
        <w:t>the</w:t>
      </w:r>
      <w:r w:rsidR="0008746E" w:rsidRPr="00AA1AAD">
        <w:rPr>
          <w:rFonts w:ascii="Times New Roman" w:hAnsi="Times New Roman" w:cs="Times New Roman"/>
          <w:sz w:val="24"/>
          <w:szCs w:val="24"/>
        </w:rPr>
        <w:t xml:space="preserve"> ratio is in its simp</w:t>
      </w:r>
      <w:r w:rsidR="00EE078D">
        <w:rPr>
          <w:rFonts w:ascii="Times New Roman" w:hAnsi="Times New Roman" w:cs="Times New Roman"/>
          <w:sz w:val="24"/>
          <w:szCs w:val="24"/>
        </w:rPr>
        <w:t>licity. However, it has</w:t>
      </w:r>
      <w:r w:rsidR="00EE078D" w:rsidRPr="00AA1AAD">
        <w:rPr>
          <w:rFonts w:ascii="Times New Roman" w:hAnsi="Times New Roman" w:cs="Times New Roman"/>
          <w:sz w:val="24"/>
          <w:szCs w:val="24"/>
        </w:rPr>
        <w:t xml:space="preserve"> major </w:t>
      </w:r>
      <w:r w:rsidR="00556C01" w:rsidRPr="00AA1AAD">
        <w:rPr>
          <w:rFonts w:ascii="Times New Roman" w:hAnsi="Times New Roman" w:cs="Times New Roman"/>
          <w:sz w:val="24"/>
          <w:szCs w:val="24"/>
        </w:rPr>
        <w:t>drawbacks:</w:t>
      </w:r>
    </w:p>
    <w:p w:rsidR="003B4DA4" w:rsidRPr="003B4DA4" w:rsidRDefault="003B4DA4" w:rsidP="00FC7625">
      <w:pPr>
        <w:spacing w:after="0" w:line="360" w:lineRule="auto"/>
        <w:contextualSpacing/>
        <w:jc w:val="both"/>
        <w:rPr>
          <w:rFonts w:ascii="Times New Roman" w:hAnsi="Times New Roman" w:cs="Times New Roman"/>
          <w:sz w:val="24"/>
          <w:szCs w:val="24"/>
        </w:rPr>
      </w:pPr>
      <w:r w:rsidRPr="003B4DA4">
        <w:rPr>
          <w:rFonts w:ascii="Times New Roman" w:hAnsi="Times New Roman" w:cs="Times New Roman"/>
          <w:sz w:val="24"/>
          <w:szCs w:val="24"/>
        </w:rPr>
        <w:lastRenderedPageBreak/>
        <w:t>-The calculation of capital adequacy ratio in a</w:t>
      </w:r>
      <w:r w:rsidR="007B7291">
        <w:rPr>
          <w:rFonts w:ascii="Times New Roman" w:hAnsi="Times New Roman" w:cs="Times New Roman"/>
          <w:sz w:val="24"/>
          <w:szCs w:val="24"/>
        </w:rPr>
        <w:t xml:space="preserve">ccordance with the rules of </w:t>
      </w:r>
      <w:r w:rsidR="00FC7625">
        <w:rPr>
          <w:rFonts w:ascii="Times New Roman" w:hAnsi="Times New Roman" w:cs="Times New Roman"/>
          <w:sz w:val="24"/>
          <w:szCs w:val="24"/>
        </w:rPr>
        <w:t>Basel 1.</w:t>
      </w:r>
      <w:r w:rsidRPr="003B4DA4">
        <w:rPr>
          <w:rFonts w:ascii="Times New Roman" w:hAnsi="Times New Roman" w:cs="Times New Roman"/>
          <w:sz w:val="24"/>
          <w:szCs w:val="24"/>
        </w:rPr>
        <w:t xml:space="preserve"> Experience has shown that there is no consistent relationship between banks tumble and the solvency ratio, which is supposed to reflect the ability to absorb shocks.</w:t>
      </w:r>
    </w:p>
    <w:p w:rsidR="003B4DA4" w:rsidRPr="003B4DA4" w:rsidRDefault="003B4DA4" w:rsidP="003B4DA4">
      <w:pPr>
        <w:spacing w:after="0" w:line="360" w:lineRule="auto"/>
        <w:contextualSpacing/>
        <w:jc w:val="both"/>
        <w:rPr>
          <w:rFonts w:ascii="Times New Roman" w:hAnsi="Times New Roman" w:cs="Times New Roman"/>
          <w:sz w:val="24"/>
          <w:szCs w:val="24"/>
        </w:rPr>
      </w:pPr>
      <w:r w:rsidRPr="003B4DA4">
        <w:rPr>
          <w:rFonts w:ascii="Times New Roman" w:hAnsi="Times New Roman" w:cs="Times New Roman"/>
          <w:sz w:val="24"/>
          <w:szCs w:val="24"/>
        </w:rPr>
        <w:t xml:space="preserve">- Basel 1does not takes into account the effect of diversification in the loan portfolio. Risks are not only associated with the assets, but also how to its distribution which known as risk diversification. Thus, the distribution of risk is not taken into </w:t>
      </w:r>
      <w:r w:rsidR="005B093E" w:rsidRPr="003B4DA4">
        <w:rPr>
          <w:rFonts w:ascii="Times New Roman" w:hAnsi="Times New Roman" w:cs="Times New Roman"/>
          <w:sz w:val="24"/>
          <w:szCs w:val="24"/>
        </w:rPr>
        <w:t>account;</w:t>
      </w:r>
      <w:r w:rsidRPr="003B4DA4">
        <w:rPr>
          <w:rFonts w:ascii="Times New Roman" w:hAnsi="Times New Roman" w:cs="Times New Roman"/>
          <w:sz w:val="24"/>
          <w:szCs w:val="24"/>
        </w:rPr>
        <w:t xml:space="preserve"> note that, this Diversification </w:t>
      </w:r>
      <w:r w:rsidR="005B093E" w:rsidRPr="003B4DA4">
        <w:rPr>
          <w:rFonts w:ascii="Times New Roman" w:hAnsi="Times New Roman" w:cs="Times New Roman"/>
          <w:sz w:val="24"/>
          <w:szCs w:val="24"/>
        </w:rPr>
        <w:t>alleviates</w:t>
      </w:r>
      <w:r w:rsidRPr="003B4DA4">
        <w:rPr>
          <w:rFonts w:ascii="Times New Roman" w:hAnsi="Times New Roman" w:cs="Times New Roman"/>
          <w:sz w:val="24"/>
          <w:szCs w:val="24"/>
        </w:rPr>
        <w:t xml:space="preserve"> the size the overall risk</w:t>
      </w:r>
      <w:r w:rsidR="00FA689D">
        <w:rPr>
          <w:rFonts w:ascii="Times New Roman" w:hAnsi="Times New Roman" w:cs="Times New Roman"/>
          <w:sz w:val="24"/>
          <w:szCs w:val="24"/>
        </w:rPr>
        <w:t>.</w:t>
      </w:r>
    </w:p>
    <w:p w:rsidR="003B4DA4" w:rsidRPr="003B4DA4" w:rsidRDefault="00FC7625" w:rsidP="003B4DA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B4DA4" w:rsidRPr="003B4DA4">
        <w:rPr>
          <w:rFonts w:ascii="Times New Roman" w:hAnsi="Times New Roman" w:cs="Times New Roman"/>
          <w:sz w:val="24"/>
          <w:szCs w:val="24"/>
        </w:rPr>
        <w:t>The methodology used for the weighting of assets, produce at best a simple measure and low relationship with the amount of exposure to credit risk. This methodology does not take into account the differences among bank clients who are classified within the same category. The sense that the risk weights associated with only the types (Categories) of Assets (syndication in other banks, advances to customers, investments in securities, investments in Real Estate). For example, a loan to a company with an AAA credit rating requires keeping the same percentage of capital (8%) to address the risks as BB Company, despite the big difference in the probability of default of the two differences classifications as it appears.</w:t>
      </w:r>
    </w:p>
    <w:p w:rsidR="003B4DA4" w:rsidRDefault="003B4DA4" w:rsidP="003B4DA4">
      <w:pPr>
        <w:spacing w:after="0" w:line="360" w:lineRule="auto"/>
        <w:contextualSpacing/>
        <w:jc w:val="both"/>
        <w:rPr>
          <w:rFonts w:ascii="Times New Roman" w:hAnsi="Times New Roman" w:cs="Times New Roman"/>
          <w:sz w:val="24"/>
          <w:szCs w:val="24"/>
        </w:rPr>
      </w:pPr>
      <w:r w:rsidRPr="003B4DA4">
        <w:rPr>
          <w:rFonts w:ascii="Times New Roman" w:hAnsi="Times New Roman" w:cs="Times New Roman"/>
          <w:sz w:val="24"/>
          <w:szCs w:val="24"/>
        </w:rPr>
        <w:t>- In some types of transactions, Basel 1do not stimulates banks on the use of control methods of risk mitigation (RM). However, Basel 1 just allows reducing Capital Adequacy Requirements against cash collateral and guarantees of central governments.</w:t>
      </w:r>
    </w:p>
    <w:p w:rsidR="0041046A" w:rsidRDefault="0041046A" w:rsidP="003B4DA4">
      <w:pPr>
        <w:spacing w:after="0" w:line="360" w:lineRule="auto"/>
        <w:contextualSpacing/>
        <w:jc w:val="both"/>
        <w:rPr>
          <w:rFonts w:ascii="Times New Roman" w:hAnsi="Times New Roman" w:cs="Times New Roman"/>
          <w:sz w:val="24"/>
          <w:szCs w:val="24"/>
        </w:rPr>
      </w:pPr>
    </w:p>
    <w:p w:rsidR="00717174" w:rsidRPr="000A3C72" w:rsidRDefault="00AF7426" w:rsidP="003B4DA4">
      <w:pPr>
        <w:spacing w:after="240" w:line="360" w:lineRule="auto"/>
        <w:contextualSpacing/>
        <w:rPr>
          <w:rFonts w:ascii="Times New Roman" w:hAnsi="Times New Roman" w:cs="Times New Roman"/>
          <w:sz w:val="32"/>
          <w:szCs w:val="32"/>
        </w:rPr>
      </w:pPr>
      <w:r>
        <w:rPr>
          <w:rFonts w:ascii="Times New Roman" w:hAnsi="Times New Roman" w:cs="Times New Roman"/>
          <w:b/>
          <w:sz w:val="24"/>
          <w:szCs w:val="24"/>
        </w:rPr>
        <w:t>2.2.3 Market R</w:t>
      </w:r>
      <w:r w:rsidR="002F4017" w:rsidRPr="00D4262C">
        <w:rPr>
          <w:rFonts w:ascii="Times New Roman" w:hAnsi="Times New Roman" w:cs="Times New Roman"/>
          <w:b/>
          <w:sz w:val="24"/>
          <w:szCs w:val="24"/>
        </w:rPr>
        <w:t>isk-</w:t>
      </w:r>
      <w:r>
        <w:rPr>
          <w:rFonts w:ascii="Times New Roman" w:hAnsi="Times New Roman" w:cs="Times New Roman"/>
          <w:b/>
          <w:sz w:val="24"/>
          <w:szCs w:val="24"/>
        </w:rPr>
        <w:t xml:space="preserve"> A</w:t>
      </w:r>
      <w:r w:rsidR="002F4017" w:rsidRPr="00D4262C">
        <w:rPr>
          <w:rFonts w:ascii="Times New Roman" w:hAnsi="Times New Roman" w:cs="Times New Roman"/>
          <w:b/>
          <w:sz w:val="24"/>
          <w:szCs w:val="24"/>
        </w:rPr>
        <w:t>mendment to the Basel Capital Accord</w:t>
      </w:r>
    </w:p>
    <w:p w:rsidR="00B8233F" w:rsidRPr="004A53AC" w:rsidRDefault="0086545A" w:rsidP="00B8233F">
      <w:pPr>
        <w:spacing w:line="360" w:lineRule="auto"/>
        <w:contextualSpacing/>
        <w:jc w:val="both"/>
        <w:rPr>
          <w:rFonts w:asciiTheme="majorBidi" w:eastAsia="Times New Roman" w:hAnsiTheme="majorBidi" w:cstheme="majorBidi"/>
          <w:color w:val="000000"/>
          <w:sz w:val="24"/>
          <w:szCs w:val="24"/>
        </w:rPr>
      </w:pPr>
      <w:r w:rsidRPr="004A53AC">
        <w:rPr>
          <w:rFonts w:asciiTheme="majorBidi" w:hAnsiTheme="majorBidi" w:cstheme="majorBidi"/>
          <w:sz w:val="24"/>
          <w:szCs w:val="24"/>
          <w:lang w:bidi="ar-JO"/>
        </w:rPr>
        <w:t>In 1996</w:t>
      </w:r>
      <w:r w:rsidR="00184D28" w:rsidRPr="004A53AC">
        <w:rPr>
          <w:rFonts w:asciiTheme="majorBidi" w:hAnsiTheme="majorBidi" w:cstheme="majorBidi"/>
          <w:sz w:val="24"/>
          <w:szCs w:val="24"/>
          <w:lang w:bidi="ar-JO"/>
        </w:rPr>
        <w:t xml:space="preserve"> </w:t>
      </w:r>
      <w:r w:rsidRPr="004A53AC">
        <w:rPr>
          <w:rFonts w:asciiTheme="majorBidi" w:hAnsiTheme="majorBidi" w:cstheme="majorBidi"/>
          <w:sz w:val="24"/>
          <w:szCs w:val="24"/>
          <w:shd w:val="clear" w:color="auto" w:fill="FFFFFF"/>
        </w:rPr>
        <w:t>Basle Committee</w:t>
      </w:r>
      <w:r w:rsidRPr="004A53AC">
        <w:rPr>
          <w:rFonts w:asciiTheme="majorBidi" w:hAnsiTheme="majorBidi" w:cstheme="majorBidi"/>
          <w:sz w:val="24"/>
          <w:szCs w:val="24"/>
          <w:lang w:bidi="ar-JO"/>
        </w:rPr>
        <w:t xml:space="preserve"> </w:t>
      </w:r>
      <w:r w:rsidR="00FC7625" w:rsidRPr="004A53AC">
        <w:rPr>
          <w:rFonts w:asciiTheme="majorBidi" w:hAnsiTheme="majorBidi" w:cstheme="majorBidi"/>
          <w:sz w:val="24"/>
          <w:szCs w:val="24"/>
          <w:lang w:bidi="ar-JO"/>
        </w:rPr>
        <w:t xml:space="preserve">stated </w:t>
      </w:r>
      <w:r w:rsidRPr="004A53AC">
        <w:rPr>
          <w:rFonts w:asciiTheme="majorBidi" w:hAnsiTheme="majorBidi" w:cstheme="majorBidi"/>
          <w:sz w:val="24"/>
          <w:szCs w:val="24"/>
          <w:lang w:bidi="ar-JO"/>
        </w:rPr>
        <w:t xml:space="preserve">an important amendment to </w:t>
      </w:r>
      <w:r w:rsidR="00FC7625" w:rsidRPr="004A53AC">
        <w:rPr>
          <w:rFonts w:asciiTheme="majorBidi" w:hAnsiTheme="majorBidi" w:cstheme="majorBidi"/>
          <w:sz w:val="24"/>
          <w:szCs w:val="24"/>
          <w:lang w:bidi="ar-JO"/>
        </w:rPr>
        <w:t>combine market r</w:t>
      </w:r>
      <w:r w:rsidRPr="004A53AC">
        <w:rPr>
          <w:rFonts w:asciiTheme="majorBidi" w:hAnsiTheme="majorBidi" w:cstheme="majorBidi"/>
          <w:sz w:val="24"/>
          <w:szCs w:val="24"/>
          <w:lang w:bidi="ar-JO"/>
        </w:rPr>
        <w:t xml:space="preserve">isks on </w:t>
      </w:r>
      <w:r w:rsidRPr="004A53AC">
        <w:rPr>
          <w:rFonts w:asciiTheme="majorBidi" w:hAnsiTheme="majorBidi" w:cstheme="majorBidi"/>
          <w:sz w:val="24"/>
          <w:szCs w:val="24"/>
          <w:shd w:val="clear" w:color="auto" w:fill="FFFFFF"/>
        </w:rPr>
        <w:t>capital charges</w:t>
      </w:r>
      <w:r w:rsidRPr="004A53AC">
        <w:rPr>
          <w:rFonts w:asciiTheme="majorBidi" w:hAnsiTheme="majorBidi" w:cstheme="majorBidi"/>
          <w:sz w:val="24"/>
          <w:szCs w:val="24"/>
          <w:lang w:bidi="ar-JO"/>
        </w:rPr>
        <w:t xml:space="preserve"> in banks trading books. </w:t>
      </w:r>
      <w:r w:rsidRPr="004A53AC">
        <w:rPr>
          <w:rFonts w:asciiTheme="majorBidi" w:hAnsiTheme="majorBidi" w:cstheme="majorBidi"/>
          <w:sz w:val="24"/>
          <w:szCs w:val="24"/>
        </w:rPr>
        <w:t>The objective of</w:t>
      </w:r>
      <w:r w:rsidR="004C6CBB" w:rsidRPr="004A53AC">
        <w:rPr>
          <w:rFonts w:asciiTheme="majorBidi" w:hAnsiTheme="majorBidi" w:cstheme="majorBidi"/>
          <w:sz w:val="24"/>
          <w:szCs w:val="24"/>
        </w:rPr>
        <w:t xml:space="preserve"> thi</w:t>
      </w:r>
      <w:r w:rsidR="00DF1A8C" w:rsidRPr="004A53AC">
        <w:rPr>
          <w:rFonts w:asciiTheme="majorBidi" w:hAnsiTheme="majorBidi" w:cstheme="majorBidi"/>
          <w:sz w:val="24"/>
          <w:szCs w:val="24"/>
        </w:rPr>
        <w:t>s major</w:t>
      </w:r>
      <w:r w:rsidR="00F90F7E" w:rsidRPr="004A53AC">
        <w:rPr>
          <w:rFonts w:asciiTheme="majorBidi" w:hAnsiTheme="majorBidi" w:cstheme="majorBidi"/>
          <w:sz w:val="24"/>
          <w:szCs w:val="24"/>
        </w:rPr>
        <w:t xml:space="preserve"> amendment</w:t>
      </w:r>
      <w:r w:rsidR="00B42B11" w:rsidRPr="004A53AC">
        <w:rPr>
          <w:rFonts w:asciiTheme="majorBidi" w:hAnsiTheme="majorBidi" w:cstheme="majorBidi"/>
          <w:sz w:val="24"/>
          <w:szCs w:val="24"/>
        </w:rPr>
        <w:t xml:space="preserve"> was to provide </w:t>
      </w:r>
      <w:r w:rsidR="00DF1A8C" w:rsidRPr="004A53AC">
        <w:rPr>
          <w:rFonts w:asciiTheme="majorBidi" w:hAnsiTheme="majorBidi" w:cstheme="majorBidi"/>
          <w:sz w:val="24"/>
          <w:szCs w:val="24"/>
        </w:rPr>
        <w:t>a</w:t>
      </w:r>
      <w:r w:rsidR="00B42B11" w:rsidRPr="004A53AC">
        <w:rPr>
          <w:rFonts w:asciiTheme="majorBidi" w:hAnsiTheme="majorBidi" w:cstheme="majorBidi"/>
          <w:sz w:val="24"/>
          <w:szCs w:val="24"/>
        </w:rPr>
        <w:t xml:space="preserve"> clear</w:t>
      </w:r>
      <w:r w:rsidR="007924B7">
        <w:rPr>
          <w:rFonts w:asciiTheme="majorBidi" w:hAnsiTheme="majorBidi" w:cstheme="majorBidi"/>
          <w:sz w:val="24"/>
          <w:szCs w:val="24"/>
        </w:rPr>
        <w:t xml:space="preserve"> capital cushion for </w:t>
      </w:r>
      <w:r w:rsidRPr="004A53AC">
        <w:rPr>
          <w:rFonts w:asciiTheme="majorBidi" w:hAnsiTheme="majorBidi" w:cstheme="majorBidi"/>
          <w:sz w:val="24"/>
          <w:szCs w:val="24"/>
        </w:rPr>
        <w:t>pricing risk</w:t>
      </w:r>
      <w:r w:rsidR="00F90F7E" w:rsidRPr="004A53AC">
        <w:rPr>
          <w:rFonts w:asciiTheme="majorBidi" w:hAnsiTheme="majorBidi" w:cstheme="majorBidi"/>
          <w:sz w:val="24"/>
          <w:szCs w:val="24"/>
        </w:rPr>
        <w:t>s in which banks are exposed to.</w:t>
      </w:r>
      <w:r w:rsidR="00BF4CC0" w:rsidRPr="004A53AC">
        <w:rPr>
          <w:rFonts w:asciiTheme="majorBidi" w:hAnsiTheme="majorBidi" w:cstheme="majorBidi"/>
          <w:sz w:val="24"/>
          <w:szCs w:val="24"/>
        </w:rPr>
        <w:t xml:space="preserve"> </w:t>
      </w:r>
      <w:r w:rsidR="00B42B11" w:rsidRPr="004A53AC">
        <w:rPr>
          <w:rFonts w:asciiTheme="majorBidi" w:eastAsia="Times New Roman" w:hAnsiTheme="majorBidi" w:cstheme="majorBidi"/>
          <w:color w:val="000000"/>
          <w:sz w:val="24"/>
          <w:szCs w:val="24"/>
        </w:rPr>
        <w:t>Eligible capital consists of shareholders' equity and retained earnings (Tier 1 capital), supplementary capital (Tier 2 capital) as defined in the 1988 Accord, and a new Tier-3 capital, consisting o</w:t>
      </w:r>
      <w:r w:rsidR="007924B7">
        <w:rPr>
          <w:rFonts w:asciiTheme="majorBidi" w:eastAsia="Times New Roman" w:hAnsiTheme="majorBidi" w:cstheme="majorBidi"/>
          <w:color w:val="000000"/>
          <w:sz w:val="24"/>
          <w:szCs w:val="24"/>
        </w:rPr>
        <w:t>f short-term subordinated debt was added.</w:t>
      </w:r>
    </w:p>
    <w:p w:rsidR="007F773B" w:rsidRDefault="007F773B" w:rsidP="00B8233F">
      <w:pPr>
        <w:spacing w:line="360" w:lineRule="auto"/>
        <w:contextualSpacing/>
        <w:jc w:val="both"/>
        <w:rPr>
          <w:rFonts w:ascii="Times New Roman" w:hAnsi="Times New Roman" w:cs="Times New Roman"/>
          <w:b/>
          <w:sz w:val="24"/>
          <w:szCs w:val="24"/>
        </w:rPr>
      </w:pPr>
    </w:p>
    <w:p w:rsidR="007F773B" w:rsidRDefault="007F773B" w:rsidP="00B8233F">
      <w:pPr>
        <w:spacing w:line="360" w:lineRule="auto"/>
        <w:contextualSpacing/>
        <w:jc w:val="both"/>
        <w:rPr>
          <w:rFonts w:ascii="Times New Roman" w:hAnsi="Times New Roman" w:cs="Times New Roman"/>
          <w:b/>
          <w:sz w:val="24"/>
          <w:szCs w:val="24"/>
        </w:rPr>
      </w:pPr>
    </w:p>
    <w:p w:rsidR="002E033B" w:rsidRPr="00B8233F" w:rsidRDefault="00EE078D" w:rsidP="00B8233F">
      <w:pPr>
        <w:spacing w:line="360" w:lineRule="auto"/>
        <w:contextualSpacing/>
        <w:jc w:val="both"/>
        <w:rPr>
          <w:rFonts w:asciiTheme="majorBidi" w:eastAsia="Times New Roman" w:hAnsiTheme="majorBidi" w:cstheme="majorBidi"/>
          <w:color w:val="000000"/>
          <w:sz w:val="24"/>
          <w:szCs w:val="24"/>
        </w:rPr>
      </w:pPr>
      <w:r>
        <w:rPr>
          <w:rFonts w:ascii="Times New Roman" w:hAnsi="Times New Roman" w:cs="Times New Roman"/>
          <w:b/>
          <w:sz w:val="24"/>
          <w:szCs w:val="24"/>
        </w:rPr>
        <w:lastRenderedPageBreak/>
        <w:t xml:space="preserve">2.2.3.1 The Revised </w:t>
      </w:r>
      <w:r w:rsidRPr="00D4262C">
        <w:rPr>
          <w:rFonts w:ascii="Times New Roman" w:hAnsi="Times New Roman" w:cs="Times New Roman"/>
          <w:b/>
          <w:sz w:val="24"/>
          <w:szCs w:val="24"/>
        </w:rPr>
        <w:t>Cook</w:t>
      </w:r>
      <w:r w:rsidRPr="00EE078D">
        <w:rPr>
          <w:rFonts w:ascii="Times New Roman" w:hAnsi="Times New Roman" w:cs="Times New Roman"/>
          <w:b/>
          <w:sz w:val="24"/>
          <w:szCs w:val="24"/>
        </w:rPr>
        <w:t>e</w:t>
      </w:r>
      <w:r w:rsidRPr="00D4262C">
        <w:rPr>
          <w:rFonts w:ascii="Times New Roman" w:hAnsi="Times New Roman" w:cs="Times New Roman"/>
          <w:b/>
          <w:sz w:val="24"/>
          <w:szCs w:val="24"/>
        </w:rPr>
        <w:t xml:space="preserve"> </w:t>
      </w:r>
      <w:r w:rsidR="00C90947" w:rsidRPr="00D4262C">
        <w:rPr>
          <w:rFonts w:ascii="Times New Roman" w:hAnsi="Times New Roman" w:cs="Times New Roman"/>
          <w:b/>
          <w:sz w:val="24"/>
          <w:szCs w:val="24"/>
        </w:rPr>
        <w:t>Ratio</w:t>
      </w:r>
      <w:r w:rsidR="00294728" w:rsidRPr="00D4262C">
        <w:rPr>
          <w:rFonts w:ascii="Times New Roman" w:hAnsi="Times New Roman" w:cs="Times New Roman"/>
          <w:b/>
          <w:sz w:val="24"/>
          <w:szCs w:val="24"/>
        </w:rPr>
        <w:t xml:space="preserve"> (Co)</w:t>
      </w:r>
      <w:r w:rsidR="00AF7426">
        <w:rPr>
          <w:rFonts w:ascii="Times New Roman" w:hAnsi="Times New Roman" w:cs="Times New Roman"/>
          <w:b/>
          <w:sz w:val="24"/>
          <w:szCs w:val="24"/>
        </w:rPr>
        <w:t>: Minimum T</w:t>
      </w:r>
      <w:r w:rsidR="00C22AEC" w:rsidRPr="00D4262C">
        <w:rPr>
          <w:rFonts w:ascii="Times New Roman" w:hAnsi="Times New Roman" w:cs="Times New Roman"/>
          <w:b/>
          <w:sz w:val="24"/>
          <w:szCs w:val="24"/>
        </w:rPr>
        <w:t>otal Capital</w:t>
      </w:r>
    </w:p>
    <w:p w:rsidR="00DF1A8C" w:rsidRDefault="00DF1A8C" w:rsidP="006F5FC1">
      <w:pPr>
        <w:spacing w:after="240" w:line="360" w:lineRule="auto"/>
        <w:contextualSpacing/>
        <w:rPr>
          <w:rFonts w:ascii="Times New Roman" w:hAnsi="Times New Roman" w:cs="Times New Roman"/>
          <w:sz w:val="24"/>
          <w:szCs w:val="24"/>
        </w:rPr>
      </w:pPr>
      <w:r w:rsidRPr="00184D28">
        <w:rPr>
          <w:rFonts w:asciiTheme="majorBidi" w:hAnsiTheme="majorBidi" w:cstheme="majorBidi"/>
          <w:sz w:val="24"/>
          <w:szCs w:val="24"/>
        </w:rPr>
        <w:t>After t</w:t>
      </w:r>
      <w:r w:rsidR="00904D86" w:rsidRPr="00184D28">
        <w:rPr>
          <w:rFonts w:asciiTheme="majorBidi" w:hAnsiTheme="majorBidi" w:cstheme="majorBidi"/>
          <w:sz w:val="24"/>
          <w:szCs w:val="24"/>
        </w:rPr>
        <w:t xml:space="preserve">he </w:t>
      </w:r>
      <w:r w:rsidRPr="00184D28">
        <w:rPr>
          <w:rFonts w:asciiTheme="majorBidi" w:hAnsiTheme="majorBidi" w:cstheme="majorBidi"/>
          <w:sz w:val="24"/>
          <w:szCs w:val="24"/>
        </w:rPr>
        <w:t>redefinition of the market amendment</w:t>
      </w:r>
      <w:r w:rsidR="00904D86" w:rsidRPr="00184D28">
        <w:rPr>
          <w:rFonts w:asciiTheme="majorBidi" w:hAnsiTheme="majorBidi" w:cstheme="majorBidi"/>
          <w:sz w:val="24"/>
          <w:szCs w:val="24"/>
        </w:rPr>
        <w:t xml:space="preserve"> by including Tier 3 and market risk capital </w:t>
      </w:r>
      <w:r w:rsidR="0015130B">
        <w:rPr>
          <w:rFonts w:asciiTheme="majorBidi" w:hAnsiTheme="majorBidi" w:cstheme="majorBidi"/>
          <w:sz w:val="24"/>
          <w:szCs w:val="24"/>
        </w:rPr>
        <w:t xml:space="preserve">charge, </w:t>
      </w:r>
      <w:r w:rsidR="00996008" w:rsidRPr="00184D28">
        <w:rPr>
          <w:rFonts w:asciiTheme="majorBidi" w:hAnsiTheme="majorBidi" w:cstheme="majorBidi"/>
          <w:sz w:val="24"/>
          <w:szCs w:val="24"/>
        </w:rPr>
        <w:t>the Cook Ratio has become</w:t>
      </w:r>
      <w:r w:rsidR="0015130B">
        <w:rPr>
          <w:rFonts w:ascii="Times New Roman" w:hAnsi="Times New Roman" w:cs="Times New Roman"/>
          <w:sz w:val="24"/>
          <w:szCs w:val="24"/>
        </w:rPr>
        <w:t>:</w:t>
      </w:r>
    </w:p>
    <w:p w:rsidR="00B8233F" w:rsidRPr="00CE44F2" w:rsidRDefault="00B8233F" w:rsidP="006F5FC1">
      <w:pPr>
        <w:spacing w:after="240" w:line="360" w:lineRule="auto"/>
        <w:contextualSpacing/>
        <w:rPr>
          <w:rFonts w:ascii="Times New Roman" w:hAnsi="Times New Roman" w:cs="Times New Roman"/>
          <w:sz w:val="10"/>
          <w:szCs w:val="10"/>
        </w:rPr>
      </w:pPr>
    </w:p>
    <w:p w:rsidR="00904D86" w:rsidRPr="00AF7426" w:rsidRDefault="007A78D1" w:rsidP="00B8233F">
      <w:pPr>
        <w:spacing w:after="240" w:line="360" w:lineRule="auto"/>
        <w:jc w:val="center"/>
        <w:rPr>
          <w:rFonts w:ascii="Times New Roman" w:hAnsi="Times New Roman" w:cs="Times New Roman"/>
          <w:b/>
        </w:rPr>
      </w:pPr>
      <w:r>
        <w:rPr>
          <w:rFonts w:ascii="Times New Roman" w:hAnsi="Times New Roman" w:cs="Times New Roman"/>
          <w:b/>
          <w:noProof/>
        </w:rPr>
        <w:pict>
          <v:shape id="_x0000_s1135" type="#_x0000_t32" style="position:absolute;left:0;text-align:left;margin-left:552.75pt;margin-top:-48.75pt;width:49.5pt;height:41.25pt;flip:y;z-index:251742208" o:connectortype="straight"/>
        </w:pict>
      </w:r>
      <w:r>
        <w:rPr>
          <w:rFonts w:ascii="Times New Roman" w:hAnsi="Times New Roman" w:cs="Times New Roman"/>
          <w:b/>
          <w:noProof/>
        </w:rPr>
        <w:pict>
          <v:shape id="_x0000_s1134" type="#_x0000_t32" style="position:absolute;left:0;text-align:left;margin-left:-7.5pt;margin-top:18.75pt;width:445.5pt;height:3pt;flip:x y;z-index:251741184" o:connectortype="straight" strokeweight="1.25pt"/>
        </w:pict>
      </w:r>
      <w:r w:rsidR="00B8233F">
        <w:rPr>
          <w:rFonts w:ascii="Times New Roman" w:hAnsi="Times New Roman" w:cs="Times New Roman"/>
          <w:b/>
        </w:rPr>
        <w:t>Fig</w:t>
      </w:r>
      <w:r w:rsidR="00D57398" w:rsidRPr="00AF7426">
        <w:rPr>
          <w:rFonts w:ascii="Times New Roman" w:hAnsi="Times New Roman" w:cs="Times New Roman"/>
          <w:b/>
        </w:rPr>
        <w:t>ure</w:t>
      </w:r>
      <w:r w:rsidR="001331F3">
        <w:rPr>
          <w:rFonts w:ascii="Times New Roman" w:hAnsi="Times New Roman" w:cs="Times New Roman"/>
          <w:b/>
        </w:rPr>
        <w:t xml:space="preserve"> </w:t>
      </w:r>
      <w:r w:rsidR="00BA4FB9" w:rsidRPr="00AF7426">
        <w:rPr>
          <w:rFonts w:ascii="Times New Roman" w:hAnsi="Times New Roman" w:cs="Times New Roman"/>
          <w:b/>
        </w:rPr>
        <w:t>2.</w:t>
      </w:r>
      <w:r w:rsidR="00D57398" w:rsidRPr="00AF7426">
        <w:rPr>
          <w:rFonts w:ascii="Times New Roman" w:hAnsi="Times New Roman" w:cs="Times New Roman"/>
          <w:b/>
        </w:rPr>
        <w:t>4:</w:t>
      </w:r>
      <w:r w:rsidR="00904D86" w:rsidRPr="00AF7426">
        <w:rPr>
          <w:rFonts w:ascii="Times New Roman" w:hAnsi="Times New Roman" w:cs="Times New Roman"/>
          <w:b/>
        </w:rPr>
        <w:t xml:space="preserve"> The Revised Cooke </w:t>
      </w:r>
      <w:r w:rsidR="00D57398" w:rsidRPr="00AF7426">
        <w:rPr>
          <w:rFonts w:ascii="Times New Roman" w:hAnsi="Times New Roman" w:cs="Times New Roman"/>
          <w:b/>
        </w:rPr>
        <w:t>Ratio (Co)</w:t>
      </w:r>
    </w:p>
    <w:p w:rsidR="00661420" w:rsidRPr="00D4262C" w:rsidRDefault="00D57398" w:rsidP="00B8233F">
      <w:pPr>
        <w:spacing w:after="240" w:line="240" w:lineRule="auto"/>
        <w:rPr>
          <w:b/>
        </w:rPr>
      </w:pPr>
      <w:r w:rsidRPr="00AB24FB">
        <w:rPr>
          <w:rFonts w:asciiTheme="majorBidi" w:hAnsiTheme="majorBidi" w:cstheme="majorBidi"/>
          <w:b/>
        </w:rPr>
        <w:t>Co =</w:t>
      </w:r>
      <w:r w:rsidR="00FC44FB" w:rsidRPr="00AB24FB">
        <w:rPr>
          <w:rFonts w:asciiTheme="majorBidi" w:hAnsiTheme="majorBidi" w:cstheme="majorBidi"/>
          <w:b/>
        </w:rPr>
        <w:t xml:space="preserve"> (Tier 1 + Tier 2 + Tier 3)/ (CR + MR</w:t>
      </w:r>
      <w:r w:rsidRPr="00AB24FB">
        <w:rPr>
          <w:rFonts w:asciiTheme="majorBidi" w:hAnsiTheme="majorBidi" w:cstheme="majorBidi"/>
          <w:b/>
        </w:rPr>
        <w:t>)</w:t>
      </w:r>
      <w:r w:rsidR="00B8233F">
        <w:rPr>
          <w:rFonts w:asciiTheme="majorBidi" w:hAnsiTheme="majorBidi" w:cstheme="majorBidi"/>
          <w:b/>
        </w:rPr>
        <w:t xml:space="preserve"> </w:t>
      </w:r>
      <w:r w:rsidRPr="00D4262C">
        <w:rPr>
          <w:rFonts w:ascii="TimesNewRoman" w:hAnsi="TimesNewRoman" w:cs="TimesNewRoman"/>
          <w:b/>
        </w:rPr>
        <w:t xml:space="preserve">≥ 8%                 </w:t>
      </w:r>
    </w:p>
    <w:p w:rsidR="00661420" w:rsidRPr="00D4262C" w:rsidRDefault="00D57398" w:rsidP="00B8233F">
      <w:pPr>
        <w:spacing w:after="240" w:line="240" w:lineRule="auto"/>
        <w:rPr>
          <w:rFonts w:ascii="Times New Roman" w:hAnsi="Times New Roman" w:cs="Times New Roman"/>
          <w:b/>
        </w:rPr>
      </w:pPr>
      <w:r w:rsidRPr="00D4262C">
        <w:rPr>
          <w:rFonts w:ascii="Times New Roman" w:hAnsi="Times New Roman" w:cs="Times New Roman"/>
          <w:b/>
        </w:rPr>
        <w:t>Tier 1 – Core capital (according</w:t>
      </w:r>
      <w:r w:rsidR="00EE078D">
        <w:rPr>
          <w:rFonts w:ascii="Times New Roman" w:hAnsi="Times New Roman" w:cs="Times New Roman"/>
          <w:b/>
        </w:rPr>
        <w:t xml:space="preserve"> to</w:t>
      </w:r>
      <w:r w:rsidRPr="00D4262C">
        <w:rPr>
          <w:rFonts w:ascii="Times New Roman" w:hAnsi="Times New Roman" w:cs="Times New Roman"/>
          <w:b/>
        </w:rPr>
        <w:t xml:space="preserve"> Basel 1)</w:t>
      </w:r>
    </w:p>
    <w:p w:rsidR="00D57398" w:rsidRPr="00D4262C" w:rsidRDefault="00D57398" w:rsidP="00B8233F">
      <w:pPr>
        <w:spacing w:after="240" w:line="240" w:lineRule="auto"/>
        <w:rPr>
          <w:rFonts w:ascii="Times New Roman" w:hAnsi="Times New Roman" w:cs="Times New Roman"/>
          <w:b/>
        </w:rPr>
      </w:pPr>
      <w:r w:rsidRPr="00D4262C">
        <w:rPr>
          <w:rFonts w:ascii="Times New Roman" w:hAnsi="Times New Roman" w:cs="Times New Roman"/>
          <w:b/>
        </w:rPr>
        <w:t xml:space="preserve">Tier 2 – Supplementary capital </w:t>
      </w:r>
      <w:r w:rsidR="00AA5F39" w:rsidRPr="00D4262C">
        <w:rPr>
          <w:rFonts w:ascii="Times New Roman" w:hAnsi="Times New Roman" w:cs="Times New Roman"/>
          <w:b/>
        </w:rPr>
        <w:t>(</w:t>
      </w:r>
      <w:r w:rsidR="00AA5F39">
        <w:rPr>
          <w:rFonts w:ascii="Times New Roman" w:hAnsi="Times New Roman" w:cs="Times New Roman"/>
          <w:b/>
        </w:rPr>
        <w:t>according</w:t>
      </w:r>
      <w:r w:rsidR="00EE078D">
        <w:rPr>
          <w:rFonts w:ascii="Times New Roman" w:hAnsi="Times New Roman" w:cs="Times New Roman"/>
          <w:b/>
        </w:rPr>
        <w:t xml:space="preserve"> to </w:t>
      </w:r>
      <w:r w:rsidRPr="00D4262C">
        <w:rPr>
          <w:rFonts w:ascii="Times New Roman" w:hAnsi="Times New Roman" w:cs="Times New Roman"/>
          <w:b/>
        </w:rPr>
        <w:t>Basel 1)</w:t>
      </w:r>
    </w:p>
    <w:p w:rsidR="00D57398" w:rsidRPr="00D4262C" w:rsidRDefault="00D57398" w:rsidP="00B8233F">
      <w:pPr>
        <w:spacing w:after="240" w:line="240" w:lineRule="auto"/>
        <w:rPr>
          <w:rFonts w:ascii="Times New Roman" w:hAnsi="Times New Roman" w:cs="Times New Roman"/>
          <w:b/>
        </w:rPr>
      </w:pPr>
      <w:r w:rsidRPr="00D4262C">
        <w:rPr>
          <w:rFonts w:ascii="Times New Roman" w:hAnsi="Times New Roman" w:cs="Times New Roman"/>
          <w:b/>
        </w:rPr>
        <w:t xml:space="preserve">Tier 3 – Short </w:t>
      </w:r>
      <w:r w:rsidR="00423EE2" w:rsidRPr="00D4262C">
        <w:rPr>
          <w:rFonts w:ascii="Times New Roman" w:hAnsi="Times New Roman" w:cs="Times New Roman"/>
          <w:b/>
        </w:rPr>
        <w:t>– term subordinated debt (Market amendment)</w:t>
      </w:r>
    </w:p>
    <w:p w:rsidR="00423EE2" w:rsidRPr="00C76F48" w:rsidRDefault="00FC44FB" w:rsidP="00B8233F">
      <w:pPr>
        <w:spacing w:after="240" w:line="240" w:lineRule="auto"/>
        <w:rPr>
          <w:rFonts w:ascii="Times New Roman" w:hAnsi="Times New Roman" w:cs="Times New Roman"/>
          <w:b/>
          <w:sz w:val="24"/>
          <w:szCs w:val="24"/>
        </w:rPr>
      </w:pPr>
      <w:r w:rsidRPr="00D4262C">
        <w:rPr>
          <w:rFonts w:ascii="Times New Roman" w:hAnsi="Times New Roman" w:cs="Times New Roman"/>
          <w:b/>
        </w:rPr>
        <w:t>CR</w:t>
      </w:r>
      <w:r w:rsidR="00423EE2" w:rsidRPr="00D4262C">
        <w:rPr>
          <w:rFonts w:ascii="Times New Roman" w:hAnsi="Times New Roman" w:cs="Times New Roman"/>
          <w:b/>
        </w:rPr>
        <w:t xml:space="preserve">       – Credit risk represented by risk weighted credit assets</w:t>
      </w:r>
      <w:r w:rsidR="00423EE2" w:rsidRPr="00C76F48">
        <w:rPr>
          <w:rFonts w:ascii="Times New Roman" w:hAnsi="Times New Roman" w:cs="Times New Roman"/>
          <w:b/>
          <w:sz w:val="24"/>
          <w:szCs w:val="24"/>
        </w:rPr>
        <w:t xml:space="preserve"> (Basel 1)</w:t>
      </w:r>
    </w:p>
    <w:p w:rsidR="00423EE2" w:rsidRPr="00B8233F" w:rsidRDefault="007A78D1" w:rsidP="00B8233F">
      <w:pPr>
        <w:spacing w:after="240" w:line="240" w:lineRule="auto"/>
        <w:rPr>
          <w:rFonts w:ascii="Times New Roman" w:hAnsi="Times New Roman" w:cs="Times New Roman"/>
          <w:b/>
        </w:rPr>
      </w:pPr>
      <w:r>
        <w:rPr>
          <w:rFonts w:ascii="Times New Roman" w:hAnsi="Times New Roman" w:cs="Times New Roman"/>
          <w:b/>
          <w:noProof/>
        </w:rPr>
        <w:pict>
          <v:shape id="_x0000_s1137" type="#_x0000_t32" style="position:absolute;margin-left:-7.5pt;margin-top:14.65pt;width:445.5pt;height:0;flip:x;z-index:251744256" o:connectortype="straight" strokeweight="1.25pt"/>
        </w:pict>
      </w:r>
      <w:r w:rsidR="00FC44FB" w:rsidRPr="00B8233F">
        <w:rPr>
          <w:rFonts w:ascii="Times New Roman" w:hAnsi="Times New Roman" w:cs="Times New Roman"/>
          <w:b/>
        </w:rPr>
        <w:t>MR</w:t>
      </w:r>
      <w:r w:rsidR="00423EE2" w:rsidRPr="00B8233F">
        <w:rPr>
          <w:rFonts w:ascii="Times New Roman" w:hAnsi="Times New Roman" w:cs="Times New Roman"/>
          <w:b/>
        </w:rPr>
        <w:t xml:space="preserve">      - Market risk capital charge (Market amendment)</w:t>
      </w:r>
    </w:p>
    <w:p w:rsidR="003B4DA4" w:rsidRDefault="00210E3E" w:rsidP="00210E3E">
      <w:pPr>
        <w:spacing w:after="240" w:line="360" w:lineRule="auto"/>
        <w:contextualSpacing/>
        <w:jc w:val="center"/>
        <w:rPr>
          <w:rFonts w:ascii="Times New Roman" w:hAnsi="Times New Roman" w:cs="Times New Roman"/>
          <w:sz w:val="20"/>
          <w:szCs w:val="20"/>
        </w:rPr>
      </w:pPr>
      <w:r w:rsidRPr="00210E3E">
        <w:rPr>
          <w:rFonts w:ascii="Times New Roman" w:hAnsi="Times New Roman" w:cs="Times New Roman"/>
          <w:sz w:val="20"/>
          <w:szCs w:val="20"/>
        </w:rPr>
        <w:t>Source: Basel, 2000.</w:t>
      </w:r>
    </w:p>
    <w:p w:rsidR="00210E3E" w:rsidRPr="00210E3E" w:rsidRDefault="00210E3E" w:rsidP="00210E3E">
      <w:pPr>
        <w:spacing w:after="240" w:line="360" w:lineRule="auto"/>
        <w:contextualSpacing/>
        <w:jc w:val="center"/>
        <w:rPr>
          <w:rFonts w:ascii="Times New Roman" w:hAnsi="Times New Roman" w:cs="Times New Roman"/>
          <w:sz w:val="20"/>
          <w:szCs w:val="20"/>
        </w:rPr>
      </w:pPr>
    </w:p>
    <w:p w:rsidR="00B57DDC" w:rsidRPr="00D4262C" w:rsidRDefault="00423EE2" w:rsidP="00B57DDC">
      <w:pPr>
        <w:spacing w:after="240" w:line="360" w:lineRule="auto"/>
        <w:contextualSpacing/>
        <w:rPr>
          <w:rFonts w:ascii="Times New Roman" w:hAnsi="Times New Roman" w:cs="Times New Roman"/>
          <w:b/>
          <w:sz w:val="24"/>
          <w:szCs w:val="24"/>
        </w:rPr>
      </w:pPr>
      <w:r w:rsidRPr="00D4262C">
        <w:rPr>
          <w:rFonts w:ascii="Times New Roman" w:hAnsi="Times New Roman" w:cs="Times New Roman"/>
          <w:b/>
          <w:sz w:val="24"/>
          <w:szCs w:val="24"/>
        </w:rPr>
        <w:t xml:space="preserve">2.2.3.2 The New Basel Capital </w:t>
      </w:r>
      <w:r w:rsidR="00CD46CF" w:rsidRPr="00D4262C">
        <w:rPr>
          <w:rFonts w:ascii="Times New Roman" w:hAnsi="Times New Roman" w:cs="Times New Roman"/>
          <w:b/>
          <w:sz w:val="24"/>
          <w:szCs w:val="24"/>
        </w:rPr>
        <w:t>Accord (</w:t>
      </w:r>
      <w:r w:rsidRPr="00D4262C">
        <w:rPr>
          <w:rFonts w:ascii="Times New Roman" w:hAnsi="Times New Roman" w:cs="Times New Roman"/>
          <w:b/>
          <w:sz w:val="24"/>
          <w:szCs w:val="24"/>
        </w:rPr>
        <w:t>Base</w:t>
      </w:r>
      <w:r w:rsidR="00781450">
        <w:rPr>
          <w:rFonts w:ascii="Times New Roman" w:hAnsi="Times New Roman" w:cs="Times New Roman"/>
          <w:b/>
          <w:sz w:val="24"/>
          <w:szCs w:val="24"/>
        </w:rPr>
        <w:t>l</w:t>
      </w:r>
      <w:r w:rsidR="00B57DDC" w:rsidRPr="00D4262C">
        <w:rPr>
          <w:rFonts w:ascii="Times New Roman" w:hAnsi="Times New Roman" w:cs="Times New Roman"/>
          <w:b/>
          <w:sz w:val="24"/>
          <w:szCs w:val="24"/>
        </w:rPr>
        <w:t xml:space="preserve"> II)</w:t>
      </w:r>
    </w:p>
    <w:p w:rsidR="005B093E" w:rsidRDefault="00B57DDC" w:rsidP="00210E3E">
      <w:pPr>
        <w:autoSpaceDE w:val="0"/>
        <w:autoSpaceDN w:val="0"/>
        <w:adjustRightInd w:val="0"/>
        <w:spacing w:after="0" w:line="360" w:lineRule="auto"/>
        <w:contextualSpacing/>
        <w:jc w:val="both"/>
        <w:rPr>
          <w:rFonts w:ascii="Times New Roman" w:hAnsi="Times New Roman" w:cs="Times New Roman"/>
          <w:sz w:val="24"/>
          <w:szCs w:val="24"/>
        </w:rPr>
      </w:pPr>
      <w:r w:rsidRPr="00AA1AAD">
        <w:rPr>
          <w:rFonts w:ascii="Times New Roman" w:hAnsi="Times New Roman" w:cs="Times New Roman"/>
          <w:iCs/>
          <w:sz w:val="24"/>
          <w:szCs w:val="24"/>
        </w:rPr>
        <w:t>Basel 1</w:t>
      </w:r>
      <w:r w:rsidR="00EE078D">
        <w:rPr>
          <w:rFonts w:ascii="Times New Roman" w:hAnsi="Times New Roman" w:cs="Times New Roman"/>
          <w:iCs/>
          <w:sz w:val="24"/>
          <w:szCs w:val="24"/>
        </w:rPr>
        <w:t xml:space="preserve"> had</w:t>
      </w:r>
      <w:r w:rsidRPr="00AA1AAD">
        <w:rPr>
          <w:rFonts w:ascii="Times New Roman" w:hAnsi="Times New Roman" w:cs="Times New Roman"/>
          <w:iCs/>
          <w:sz w:val="24"/>
          <w:szCs w:val="24"/>
        </w:rPr>
        <w:t xml:space="preserve"> focused on the total </w:t>
      </w:r>
      <w:r w:rsidR="00FA1046">
        <w:rPr>
          <w:rFonts w:ascii="Times New Roman" w:hAnsi="Times New Roman" w:cs="Times New Roman"/>
          <w:iCs/>
          <w:sz w:val="24"/>
          <w:szCs w:val="24"/>
        </w:rPr>
        <w:t>amount of bank</w:t>
      </w:r>
      <w:r w:rsidR="0015130B">
        <w:rPr>
          <w:rFonts w:ascii="Times New Roman" w:hAnsi="Times New Roman" w:cs="Times New Roman"/>
          <w:iCs/>
          <w:sz w:val="24"/>
          <w:szCs w:val="24"/>
        </w:rPr>
        <w:t>’s</w:t>
      </w:r>
      <w:r w:rsidR="00FA1046">
        <w:rPr>
          <w:rFonts w:ascii="Times New Roman" w:hAnsi="Times New Roman" w:cs="Times New Roman"/>
          <w:iCs/>
          <w:sz w:val="24"/>
          <w:szCs w:val="24"/>
        </w:rPr>
        <w:t xml:space="preserve"> capital, which was</w:t>
      </w:r>
      <w:r w:rsidRPr="00AA1AAD">
        <w:rPr>
          <w:rFonts w:ascii="Times New Roman" w:hAnsi="Times New Roman" w:cs="Times New Roman"/>
          <w:iCs/>
          <w:sz w:val="24"/>
          <w:szCs w:val="24"/>
        </w:rPr>
        <w:t xml:space="preserve"> important in reducing the risk of bank insolvency and the potential cost of the ba</w:t>
      </w:r>
      <w:r w:rsidR="00FA1046">
        <w:rPr>
          <w:rFonts w:ascii="Times New Roman" w:hAnsi="Times New Roman" w:cs="Times New Roman"/>
          <w:iCs/>
          <w:sz w:val="24"/>
          <w:szCs w:val="24"/>
        </w:rPr>
        <w:t>nk’s failure for depositors on</w:t>
      </w:r>
      <w:r w:rsidRPr="00AA1AAD">
        <w:rPr>
          <w:rFonts w:ascii="Times New Roman" w:hAnsi="Times New Roman" w:cs="Times New Roman"/>
          <w:iCs/>
          <w:sz w:val="24"/>
          <w:szCs w:val="24"/>
        </w:rPr>
        <w:t xml:space="preserve"> one side and the stab</w:t>
      </w:r>
      <w:r w:rsidR="00FA1046">
        <w:rPr>
          <w:rFonts w:ascii="Times New Roman" w:hAnsi="Times New Roman" w:cs="Times New Roman"/>
          <w:iCs/>
          <w:sz w:val="24"/>
          <w:szCs w:val="24"/>
        </w:rPr>
        <w:t>ility of the financial system on</w:t>
      </w:r>
      <w:r w:rsidRPr="00AA1AAD">
        <w:rPr>
          <w:rFonts w:ascii="Times New Roman" w:hAnsi="Times New Roman" w:cs="Times New Roman"/>
          <w:iCs/>
          <w:sz w:val="24"/>
          <w:szCs w:val="24"/>
        </w:rPr>
        <w:t xml:space="preserve"> the other side.</w:t>
      </w:r>
      <w:r w:rsidR="009D06B0" w:rsidRPr="009D06B0">
        <w:rPr>
          <w:rFonts w:ascii="Times New Roman" w:hAnsi="Times New Roman" w:cs="Times New Roman"/>
          <w:sz w:val="24"/>
          <w:szCs w:val="24"/>
        </w:rPr>
        <w:t xml:space="preserve"> </w:t>
      </w:r>
      <w:r w:rsidR="009D06B0">
        <w:rPr>
          <w:rFonts w:ascii="Times New Roman" w:hAnsi="Times New Roman" w:cs="Times New Roman"/>
          <w:sz w:val="24"/>
          <w:szCs w:val="24"/>
        </w:rPr>
        <w:t xml:space="preserve">To increase the safety and sustainability of the financial system, after </w:t>
      </w:r>
      <w:r w:rsidR="009D06B0" w:rsidRPr="00AA1AAD">
        <w:rPr>
          <w:rFonts w:ascii="Times New Roman" w:hAnsi="Times New Roman" w:cs="Times New Roman"/>
          <w:iCs/>
          <w:sz w:val="24"/>
          <w:szCs w:val="24"/>
        </w:rPr>
        <w:t xml:space="preserve">the deep systematic </w:t>
      </w:r>
      <w:r w:rsidR="009D06B0">
        <w:rPr>
          <w:rFonts w:ascii="Times New Roman" w:hAnsi="Times New Roman" w:cs="Times New Roman"/>
          <w:iCs/>
          <w:sz w:val="24"/>
          <w:szCs w:val="24"/>
        </w:rPr>
        <w:t>banking crisis of the 1990s which</w:t>
      </w:r>
      <w:r w:rsidR="009D06B0" w:rsidRPr="00AA1AAD">
        <w:rPr>
          <w:rFonts w:ascii="Times New Roman" w:hAnsi="Times New Roman" w:cs="Times New Roman"/>
          <w:iCs/>
          <w:sz w:val="24"/>
          <w:szCs w:val="24"/>
        </w:rPr>
        <w:t xml:space="preserve"> hit the banking industry in m</w:t>
      </w:r>
      <w:r w:rsidR="009D06B0">
        <w:rPr>
          <w:rFonts w:ascii="Times New Roman" w:hAnsi="Times New Roman" w:cs="Times New Roman"/>
          <w:iCs/>
          <w:sz w:val="24"/>
          <w:szCs w:val="24"/>
        </w:rPr>
        <w:t>any countries,</w:t>
      </w:r>
      <w:r w:rsidR="009D06B0">
        <w:rPr>
          <w:rFonts w:ascii="Times New Roman" w:hAnsi="Times New Roman" w:cs="Times New Roman"/>
          <w:sz w:val="24"/>
          <w:szCs w:val="24"/>
        </w:rPr>
        <w:t xml:space="preserve"> Basel Committee in 1999 has issued a proposal for </w:t>
      </w:r>
      <w:r w:rsidR="009D06B0" w:rsidRPr="00AA1AAD">
        <w:rPr>
          <w:rFonts w:ascii="Times New Roman" w:hAnsi="Times New Roman" w:cs="Times New Roman"/>
          <w:sz w:val="24"/>
          <w:szCs w:val="24"/>
        </w:rPr>
        <w:t>Capital Adequacy (Basel II)</w:t>
      </w:r>
      <w:r w:rsidR="009D06B0">
        <w:rPr>
          <w:rFonts w:ascii="Times New Roman" w:hAnsi="Times New Roman" w:cs="Times New Roman"/>
          <w:sz w:val="24"/>
          <w:szCs w:val="24"/>
        </w:rPr>
        <w:t xml:space="preserve"> to replace </w:t>
      </w:r>
      <w:r w:rsidR="009D06B0" w:rsidRPr="00AA1AAD">
        <w:rPr>
          <w:rFonts w:ascii="Times New Roman" w:hAnsi="Times New Roman" w:cs="Times New Roman"/>
          <w:sz w:val="24"/>
          <w:szCs w:val="24"/>
        </w:rPr>
        <w:t>the 1988 Accord</w:t>
      </w:r>
      <w:r w:rsidR="009D06B0">
        <w:rPr>
          <w:rFonts w:ascii="Times New Roman" w:hAnsi="Times New Roman" w:cs="Times New Roman"/>
          <w:sz w:val="24"/>
          <w:szCs w:val="24"/>
        </w:rPr>
        <w:t>. The new  accord is considered more risk- sensitive framework</w:t>
      </w:r>
      <w:r w:rsidR="00D11DFE" w:rsidRPr="00AA1AAD">
        <w:rPr>
          <w:rFonts w:ascii="Times New Roman" w:hAnsi="Times New Roman" w:cs="Times New Roman"/>
          <w:iCs/>
          <w:sz w:val="24"/>
          <w:szCs w:val="24"/>
        </w:rPr>
        <w:t xml:space="preserve"> </w:t>
      </w:r>
      <w:r w:rsidR="00E021E3">
        <w:rPr>
          <w:rFonts w:ascii="Times New Roman" w:hAnsi="Times New Roman" w:cs="Times New Roman"/>
          <w:sz w:val="24"/>
          <w:szCs w:val="24"/>
        </w:rPr>
        <w:t>(see T</w:t>
      </w:r>
      <w:r w:rsidR="00E021E3" w:rsidRPr="00AA1AAD">
        <w:rPr>
          <w:rFonts w:ascii="Times New Roman" w:hAnsi="Times New Roman" w:cs="Times New Roman"/>
          <w:sz w:val="24"/>
          <w:szCs w:val="24"/>
        </w:rPr>
        <w:t>able 2):</w:t>
      </w:r>
    </w:p>
    <w:p w:rsidR="007B5151" w:rsidRDefault="007B5151" w:rsidP="007B5151">
      <w:pPr>
        <w:spacing w:after="240" w:line="360" w:lineRule="auto"/>
        <w:rPr>
          <w:rFonts w:ascii="Times New Roman" w:hAnsi="Times New Roman" w:cs="Times New Roman"/>
          <w:sz w:val="24"/>
          <w:szCs w:val="24"/>
        </w:rPr>
      </w:pPr>
    </w:p>
    <w:p w:rsidR="007B5151" w:rsidRDefault="007B5151" w:rsidP="007B5151">
      <w:pPr>
        <w:spacing w:after="240" w:line="360" w:lineRule="auto"/>
        <w:rPr>
          <w:rFonts w:ascii="Times New Roman" w:hAnsi="Times New Roman" w:cs="Times New Roman"/>
          <w:sz w:val="24"/>
          <w:szCs w:val="24"/>
        </w:rPr>
      </w:pPr>
    </w:p>
    <w:p w:rsidR="007B5151" w:rsidRDefault="007B5151" w:rsidP="007B5151">
      <w:pPr>
        <w:spacing w:after="240" w:line="360" w:lineRule="auto"/>
        <w:rPr>
          <w:rFonts w:ascii="Times New Roman" w:hAnsi="Times New Roman" w:cs="Times New Roman"/>
          <w:sz w:val="24"/>
          <w:szCs w:val="24"/>
        </w:rPr>
      </w:pPr>
    </w:p>
    <w:p w:rsidR="007B5151" w:rsidRDefault="007B5151" w:rsidP="007B5151">
      <w:pPr>
        <w:spacing w:after="240" w:line="360" w:lineRule="auto"/>
        <w:rPr>
          <w:rFonts w:ascii="Times New Roman" w:hAnsi="Times New Roman" w:cs="Times New Roman"/>
          <w:sz w:val="24"/>
          <w:szCs w:val="24"/>
        </w:rPr>
      </w:pPr>
    </w:p>
    <w:p w:rsidR="007B5151" w:rsidRDefault="007B5151" w:rsidP="007B5151">
      <w:pPr>
        <w:spacing w:after="240" w:line="360" w:lineRule="auto"/>
        <w:rPr>
          <w:rFonts w:ascii="Times New Roman" w:hAnsi="Times New Roman" w:cs="Times New Roman"/>
          <w:sz w:val="24"/>
          <w:szCs w:val="24"/>
        </w:rPr>
      </w:pPr>
    </w:p>
    <w:p w:rsidR="001E15C4" w:rsidRPr="006A3AA9" w:rsidRDefault="001E15C4" w:rsidP="007B5151">
      <w:pPr>
        <w:spacing w:after="240" w:line="360" w:lineRule="auto"/>
        <w:jc w:val="center"/>
        <w:rPr>
          <w:rFonts w:ascii="Times New Roman" w:hAnsi="Times New Roman" w:cs="Times New Roman"/>
          <w:sz w:val="24"/>
          <w:szCs w:val="24"/>
        </w:rPr>
      </w:pPr>
      <w:r w:rsidRPr="00AF7426">
        <w:rPr>
          <w:rFonts w:ascii="Times New Roman" w:hAnsi="Times New Roman" w:cs="Times New Roman"/>
          <w:b/>
        </w:rPr>
        <w:lastRenderedPageBreak/>
        <w:t>Table 2</w:t>
      </w:r>
      <w:r w:rsidR="00BA4FB9" w:rsidRPr="00AF7426">
        <w:rPr>
          <w:rFonts w:ascii="Times New Roman" w:hAnsi="Times New Roman" w:cs="Times New Roman"/>
          <w:b/>
        </w:rPr>
        <w:t>.2</w:t>
      </w:r>
      <w:r w:rsidR="002427B9" w:rsidRPr="00AF7426">
        <w:rPr>
          <w:rFonts w:ascii="Times New Roman" w:hAnsi="Times New Roman" w:cs="Times New Roman"/>
          <w:b/>
        </w:rPr>
        <w:t>:</w:t>
      </w:r>
      <w:r w:rsidR="00A1002B">
        <w:rPr>
          <w:rFonts w:ascii="Times New Roman" w:hAnsi="Times New Roman" w:cs="Times New Roman"/>
          <w:b/>
        </w:rPr>
        <w:t xml:space="preserve">  Rational</w:t>
      </w:r>
      <w:r w:rsidR="00FA1046">
        <w:rPr>
          <w:rFonts w:ascii="Times New Roman" w:hAnsi="Times New Roman" w:cs="Times New Roman"/>
          <w:b/>
        </w:rPr>
        <w:t>e for N</w:t>
      </w:r>
      <w:r w:rsidR="00A1002B">
        <w:rPr>
          <w:rFonts w:ascii="Times New Roman" w:hAnsi="Times New Roman" w:cs="Times New Roman"/>
          <w:b/>
        </w:rPr>
        <w:t>ew A</w:t>
      </w:r>
      <w:r w:rsidRPr="00AF7426">
        <w:rPr>
          <w:rFonts w:ascii="Times New Roman" w:hAnsi="Times New Roman" w:cs="Times New Roman"/>
          <w:b/>
        </w:rPr>
        <w:t>ccord</w:t>
      </w:r>
    </w:p>
    <w:tbl>
      <w:tblPr>
        <w:tblStyle w:val="TableGrid"/>
        <w:tblW w:w="0" w:type="auto"/>
        <w:tblInd w:w="558" w:type="dxa"/>
        <w:tblLook w:val="04A0"/>
      </w:tblPr>
      <w:tblGrid>
        <w:gridCol w:w="2811"/>
        <w:gridCol w:w="5103"/>
      </w:tblGrid>
      <w:tr w:rsidR="00A961D2" w:rsidTr="00CE44F2">
        <w:trPr>
          <w:trHeight w:val="457"/>
        </w:trPr>
        <w:tc>
          <w:tcPr>
            <w:tcW w:w="2811" w:type="dxa"/>
            <w:tcBorders>
              <w:top w:val="double" w:sz="4" w:space="0" w:color="auto"/>
              <w:left w:val="double" w:sz="4" w:space="0" w:color="auto"/>
              <w:bottom w:val="double" w:sz="4" w:space="0" w:color="auto"/>
              <w:right w:val="double" w:sz="4" w:space="0" w:color="auto"/>
            </w:tcBorders>
            <w:shd w:val="clear" w:color="auto" w:fill="DDD9C3" w:themeFill="background2" w:themeFillShade="E6"/>
          </w:tcPr>
          <w:p w:rsidR="00A961D2" w:rsidRPr="00B8233F" w:rsidRDefault="00A961D2" w:rsidP="00A961D2">
            <w:pPr>
              <w:rPr>
                <w:rFonts w:asciiTheme="majorBidi" w:hAnsiTheme="majorBidi" w:cstheme="majorBidi"/>
              </w:rPr>
            </w:pPr>
            <w:r w:rsidRPr="00B8233F">
              <w:rPr>
                <w:rFonts w:ascii="Times New Roman" w:hAnsi="Times New Roman" w:cs="Times New Roman"/>
                <w:b/>
              </w:rPr>
              <w:t xml:space="preserve">Basel 1                                                     </w:t>
            </w:r>
          </w:p>
        </w:tc>
        <w:tc>
          <w:tcPr>
            <w:tcW w:w="5103" w:type="dxa"/>
            <w:tcBorders>
              <w:left w:val="double" w:sz="4" w:space="0" w:color="auto"/>
            </w:tcBorders>
            <w:shd w:val="clear" w:color="auto" w:fill="DDD9C3" w:themeFill="background2" w:themeFillShade="E6"/>
          </w:tcPr>
          <w:p w:rsidR="009F7B06" w:rsidRPr="00B8233F" w:rsidRDefault="00A961D2" w:rsidP="00B8233F">
            <w:pPr>
              <w:rPr>
                <w:rFonts w:ascii="Times New Roman" w:hAnsi="Times New Roman" w:cs="Times New Roman"/>
                <w:b/>
              </w:rPr>
            </w:pPr>
            <w:r w:rsidRPr="00B8233F">
              <w:rPr>
                <w:rFonts w:ascii="Times New Roman" w:hAnsi="Times New Roman" w:cs="Times New Roman"/>
                <w:b/>
              </w:rPr>
              <w:t>Basel II Accor</w:t>
            </w:r>
            <w:r w:rsidR="00B8233F">
              <w:rPr>
                <w:rFonts w:ascii="Times New Roman" w:hAnsi="Times New Roman" w:cs="Times New Roman"/>
                <w:b/>
              </w:rPr>
              <w:t>d</w:t>
            </w:r>
          </w:p>
        </w:tc>
      </w:tr>
      <w:tr w:rsidR="00A961D2" w:rsidTr="00CE44F2">
        <w:trPr>
          <w:trHeight w:val="856"/>
        </w:trPr>
        <w:tc>
          <w:tcPr>
            <w:tcW w:w="2811" w:type="dxa"/>
            <w:tcBorders>
              <w:top w:val="double" w:sz="4" w:space="0" w:color="auto"/>
              <w:left w:val="double" w:sz="4" w:space="0" w:color="auto"/>
              <w:bottom w:val="double" w:sz="4" w:space="0" w:color="auto"/>
              <w:right w:val="double" w:sz="4" w:space="0" w:color="auto"/>
            </w:tcBorders>
          </w:tcPr>
          <w:p w:rsidR="00A961D2" w:rsidRPr="00A1002B" w:rsidRDefault="00A961D2" w:rsidP="00A961D2">
            <w:pPr>
              <w:rPr>
                <w:rFonts w:ascii="Times New Roman" w:hAnsi="Times New Roman" w:cs="Times New Roman"/>
              </w:rPr>
            </w:pPr>
            <w:r w:rsidRPr="00A1002B">
              <w:rPr>
                <w:rFonts w:ascii="Times New Roman" w:hAnsi="Times New Roman" w:cs="Times New Roman"/>
              </w:rPr>
              <w:t xml:space="preserve">Focus on a single risk measure                            </w:t>
            </w:r>
          </w:p>
        </w:tc>
        <w:tc>
          <w:tcPr>
            <w:tcW w:w="5103" w:type="dxa"/>
            <w:tcBorders>
              <w:left w:val="double" w:sz="4" w:space="0" w:color="auto"/>
            </w:tcBorders>
          </w:tcPr>
          <w:p w:rsidR="00A1002B" w:rsidRPr="00A1002B" w:rsidRDefault="00A961D2" w:rsidP="00A1002B">
            <w:pPr>
              <w:spacing w:after="240"/>
              <w:rPr>
                <w:rFonts w:ascii="Times New Roman" w:hAnsi="Times New Roman" w:cs="Times New Roman"/>
              </w:rPr>
            </w:pPr>
            <w:r w:rsidRPr="00A1002B">
              <w:rPr>
                <w:rFonts w:ascii="Times New Roman" w:hAnsi="Times New Roman" w:cs="Times New Roman"/>
              </w:rPr>
              <w:t>Emphasis on bank’s own Internal                                                                             methodologies, supervisory review and   market discipline</w:t>
            </w:r>
            <w:r w:rsidR="00A1002B">
              <w:rPr>
                <w:rFonts w:ascii="Times New Roman" w:hAnsi="Times New Roman" w:cs="Times New Roman"/>
              </w:rPr>
              <w:t>.</w:t>
            </w:r>
          </w:p>
        </w:tc>
      </w:tr>
      <w:tr w:rsidR="00A961D2" w:rsidTr="00CE44F2">
        <w:trPr>
          <w:trHeight w:val="728"/>
        </w:trPr>
        <w:tc>
          <w:tcPr>
            <w:tcW w:w="2811" w:type="dxa"/>
            <w:tcBorders>
              <w:top w:val="double" w:sz="4" w:space="0" w:color="auto"/>
              <w:left w:val="double" w:sz="4" w:space="0" w:color="auto"/>
              <w:bottom w:val="double" w:sz="4" w:space="0" w:color="auto"/>
              <w:right w:val="double" w:sz="4" w:space="0" w:color="auto"/>
            </w:tcBorders>
          </w:tcPr>
          <w:p w:rsidR="00A961D2" w:rsidRPr="00A1002B" w:rsidRDefault="00A961D2" w:rsidP="00A961D2">
            <w:pPr>
              <w:rPr>
                <w:rFonts w:ascii="Times New Roman" w:hAnsi="Times New Roman" w:cs="Times New Roman"/>
              </w:rPr>
            </w:pPr>
            <w:r w:rsidRPr="00A1002B">
              <w:rPr>
                <w:rFonts w:ascii="Times New Roman" w:hAnsi="Times New Roman" w:cs="Times New Roman"/>
              </w:rPr>
              <w:t>On</w:t>
            </w:r>
            <w:r w:rsidR="00B8233F">
              <w:rPr>
                <w:rFonts w:ascii="Times New Roman" w:hAnsi="Times New Roman" w:cs="Times New Roman"/>
              </w:rPr>
              <w:t xml:space="preserve">e size fits all               </w:t>
            </w:r>
            <w:r w:rsidRPr="00A1002B">
              <w:rPr>
                <w:rFonts w:ascii="Times New Roman" w:hAnsi="Times New Roman" w:cs="Times New Roman"/>
              </w:rPr>
              <w:t xml:space="preserve">                                    </w:t>
            </w:r>
          </w:p>
        </w:tc>
        <w:tc>
          <w:tcPr>
            <w:tcW w:w="5103" w:type="dxa"/>
            <w:tcBorders>
              <w:left w:val="double" w:sz="4" w:space="0" w:color="auto"/>
            </w:tcBorders>
          </w:tcPr>
          <w:p w:rsidR="00A961D2" w:rsidRPr="00A1002B" w:rsidRDefault="00A961D2" w:rsidP="00A1002B">
            <w:pPr>
              <w:tabs>
                <w:tab w:val="left" w:pos="8160"/>
              </w:tabs>
              <w:spacing w:after="240"/>
              <w:rPr>
                <w:rFonts w:ascii="Times New Roman" w:hAnsi="Times New Roman" w:cs="Times New Roman"/>
              </w:rPr>
            </w:pPr>
            <w:r w:rsidRPr="00A1002B">
              <w:rPr>
                <w:rFonts w:ascii="Times New Roman" w:hAnsi="Times New Roman" w:cs="Times New Roman"/>
              </w:rPr>
              <w:t>Flexibility, menu of approaches, incentives for better risk- management</w:t>
            </w:r>
            <w:r w:rsidRPr="00A1002B">
              <w:rPr>
                <w:rFonts w:ascii="Times New Roman" w:hAnsi="Times New Roman" w:cs="Times New Roman"/>
              </w:rPr>
              <w:tab/>
            </w:r>
          </w:p>
        </w:tc>
      </w:tr>
      <w:tr w:rsidR="00A961D2" w:rsidTr="00CE44F2">
        <w:trPr>
          <w:trHeight w:val="368"/>
        </w:trPr>
        <w:tc>
          <w:tcPr>
            <w:tcW w:w="2811" w:type="dxa"/>
            <w:tcBorders>
              <w:top w:val="double" w:sz="4" w:space="0" w:color="auto"/>
              <w:left w:val="double" w:sz="4" w:space="0" w:color="auto"/>
              <w:bottom w:val="double" w:sz="4" w:space="0" w:color="auto"/>
              <w:right w:val="double" w:sz="4" w:space="0" w:color="auto"/>
            </w:tcBorders>
          </w:tcPr>
          <w:p w:rsidR="00A961D2" w:rsidRPr="00A1002B" w:rsidRDefault="00A961D2" w:rsidP="00A961D2">
            <w:pPr>
              <w:rPr>
                <w:rFonts w:ascii="Times New Roman" w:hAnsi="Times New Roman" w:cs="Times New Roman"/>
              </w:rPr>
            </w:pPr>
            <w:r w:rsidRPr="00A1002B">
              <w:rPr>
                <w:rFonts w:ascii="Times New Roman" w:hAnsi="Times New Roman" w:cs="Times New Roman"/>
              </w:rPr>
              <w:t xml:space="preserve">Broad brush structure                                            </w:t>
            </w:r>
          </w:p>
        </w:tc>
        <w:tc>
          <w:tcPr>
            <w:tcW w:w="5103" w:type="dxa"/>
            <w:tcBorders>
              <w:left w:val="double" w:sz="4" w:space="0" w:color="auto"/>
            </w:tcBorders>
          </w:tcPr>
          <w:p w:rsidR="00A961D2" w:rsidRPr="00A1002B" w:rsidRDefault="007F74A4" w:rsidP="00A1002B">
            <w:pPr>
              <w:spacing w:after="240"/>
              <w:rPr>
                <w:rFonts w:ascii="Times New Roman" w:hAnsi="Times New Roman" w:cs="Times New Roman"/>
              </w:rPr>
            </w:pPr>
            <w:r w:rsidRPr="00A1002B">
              <w:rPr>
                <w:rFonts w:ascii="Times New Roman" w:hAnsi="Times New Roman" w:cs="Times New Roman"/>
              </w:rPr>
              <w:t>More risk sensitive</w:t>
            </w:r>
          </w:p>
        </w:tc>
      </w:tr>
    </w:tbl>
    <w:p w:rsidR="00B101F7" w:rsidRDefault="00B101F7" w:rsidP="00B101F7">
      <w:pPr>
        <w:spacing w:after="0" w:line="240" w:lineRule="auto"/>
        <w:contextualSpacing/>
        <w:jc w:val="center"/>
        <w:rPr>
          <w:rFonts w:ascii="Times New Roman" w:hAnsi="Times New Roman" w:cs="Times New Roman"/>
          <w:sz w:val="16"/>
          <w:szCs w:val="16"/>
        </w:rPr>
      </w:pPr>
    </w:p>
    <w:p w:rsidR="005B093E" w:rsidRPr="00B101F7" w:rsidRDefault="00B101F7" w:rsidP="00B101F7">
      <w:pPr>
        <w:spacing w:after="0" w:line="240" w:lineRule="auto"/>
        <w:contextualSpacing/>
        <w:jc w:val="center"/>
        <w:rPr>
          <w:rFonts w:ascii="Times New Roman" w:hAnsi="Times New Roman" w:cs="Times New Roman"/>
          <w:sz w:val="20"/>
          <w:szCs w:val="20"/>
        </w:rPr>
      </w:pPr>
      <w:r w:rsidRPr="00B101F7">
        <w:rPr>
          <w:rFonts w:ascii="Times New Roman" w:hAnsi="Times New Roman" w:cs="Times New Roman"/>
          <w:sz w:val="20"/>
          <w:szCs w:val="20"/>
        </w:rPr>
        <w:t>Source: Utrecht University, 2010</w:t>
      </w:r>
    </w:p>
    <w:p w:rsidR="00B101F7" w:rsidRPr="005B093E" w:rsidRDefault="00B101F7" w:rsidP="00B101F7">
      <w:pPr>
        <w:spacing w:after="0" w:line="240" w:lineRule="auto"/>
        <w:jc w:val="center"/>
        <w:rPr>
          <w:rFonts w:ascii="Times New Roman" w:hAnsi="Times New Roman" w:cs="Times New Roman"/>
          <w:iCs/>
          <w:sz w:val="20"/>
          <w:szCs w:val="20"/>
        </w:rPr>
      </w:pPr>
    </w:p>
    <w:p w:rsidR="00184D28" w:rsidRDefault="009E7C7C" w:rsidP="00224B73">
      <w:pPr>
        <w:spacing w:after="240" w:line="360" w:lineRule="auto"/>
        <w:contextualSpacing/>
        <w:jc w:val="both"/>
        <w:rPr>
          <w:rFonts w:ascii="Times New Roman" w:hAnsi="Times New Roman" w:cs="Times New Roman"/>
          <w:sz w:val="24"/>
          <w:szCs w:val="24"/>
        </w:rPr>
      </w:pPr>
      <w:r w:rsidRPr="00AA1AAD">
        <w:rPr>
          <w:rFonts w:ascii="Times New Roman" w:hAnsi="Times New Roman" w:cs="Times New Roman"/>
          <w:sz w:val="24"/>
          <w:szCs w:val="24"/>
        </w:rPr>
        <w:t>The</w:t>
      </w:r>
      <w:r w:rsidR="003A1BF7" w:rsidRPr="00AA1AAD">
        <w:rPr>
          <w:rFonts w:ascii="Times New Roman" w:hAnsi="Times New Roman" w:cs="Times New Roman"/>
          <w:sz w:val="24"/>
          <w:szCs w:val="24"/>
        </w:rPr>
        <w:t xml:space="preserve"> New</w:t>
      </w:r>
      <w:r w:rsidRPr="00AA1AAD">
        <w:rPr>
          <w:rFonts w:ascii="Times New Roman" w:hAnsi="Times New Roman" w:cs="Times New Roman"/>
          <w:sz w:val="24"/>
          <w:szCs w:val="24"/>
        </w:rPr>
        <w:t xml:space="preserve"> Accord is based on three mutually</w:t>
      </w:r>
      <w:r w:rsidR="0078525C">
        <w:rPr>
          <w:rFonts w:ascii="Times New Roman" w:hAnsi="Times New Roman" w:cs="Times New Roman"/>
          <w:sz w:val="24"/>
          <w:szCs w:val="24"/>
        </w:rPr>
        <w:t xml:space="preserve"> strengthen</w:t>
      </w:r>
      <w:r w:rsidRPr="00AA1AAD">
        <w:rPr>
          <w:rFonts w:ascii="Times New Roman" w:hAnsi="Times New Roman" w:cs="Times New Roman"/>
          <w:sz w:val="24"/>
          <w:szCs w:val="24"/>
        </w:rPr>
        <w:t xml:space="preserve"> pillars that allow banks and supervisors</w:t>
      </w:r>
      <w:r w:rsidR="007B5151">
        <w:rPr>
          <w:rFonts w:ascii="Times New Roman" w:hAnsi="Times New Roman" w:cs="Times New Roman"/>
          <w:sz w:val="24"/>
          <w:szCs w:val="24"/>
        </w:rPr>
        <w:t xml:space="preserve"> to</w:t>
      </w:r>
      <w:r w:rsidR="00996008">
        <w:rPr>
          <w:rFonts w:ascii="Times New Roman" w:hAnsi="Times New Roman" w:cs="Times New Roman"/>
          <w:sz w:val="24"/>
          <w:szCs w:val="24"/>
        </w:rPr>
        <w:t xml:space="preserve"> strengthen the way</w:t>
      </w:r>
      <w:r w:rsidRPr="00AA1AAD">
        <w:rPr>
          <w:rFonts w:ascii="Times New Roman" w:hAnsi="Times New Roman" w:cs="Times New Roman"/>
          <w:sz w:val="24"/>
          <w:szCs w:val="24"/>
        </w:rPr>
        <w:t xml:space="preserve"> to evaluate </w:t>
      </w:r>
      <w:r w:rsidR="00996008">
        <w:rPr>
          <w:rFonts w:ascii="Times New Roman" w:hAnsi="Times New Roman" w:cs="Times New Roman"/>
          <w:sz w:val="24"/>
          <w:szCs w:val="24"/>
        </w:rPr>
        <w:t xml:space="preserve">justly </w:t>
      </w:r>
      <w:r w:rsidRPr="00AA1AAD">
        <w:rPr>
          <w:rFonts w:ascii="Times New Roman" w:hAnsi="Times New Roman" w:cs="Times New Roman"/>
          <w:sz w:val="24"/>
          <w:szCs w:val="24"/>
        </w:rPr>
        <w:t>the various risks t</w:t>
      </w:r>
      <w:r w:rsidR="004757CE" w:rsidRPr="00AA1AAD">
        <w:rPr>
          <w:rFonts w:ascii="Times New Roman" w:hAnsi="Times New Roman" w:cs="Times New Roman"/>
          <w:sz w:val="24"/>
          <w:szCs w:val="24"/>
        </w:rPr>
        <w:t>hat bank</w:t>
      </w:r>
      <w:r w:rsidR="00FA1046">
        <w:rPr>
          <w:rFonts w:ascii="Times New Roman" w:hAnsi="Times New Roman" w:cs="Times New Roman"/>
          <w:sz w:val="24"/>
          <w:szCs w:val="24"/>
        </w:rPr>
        <w:t xml:space="preserve"> might</w:t>
      </w:r>
      <w:r w:rsidR="004757CE" w:rsidRPr="00AA1AAD">
        <w:rPr>
          <w:rFonts w:ascii="Times New Roman" w:hAnsi="Times New Roman" w:cs="Times New Roman"/>
          <w:sz w:val="24"/>
          <w:szCs w:val="24"/>
        </w:rPr>
        <w:t xml:space="preserve"> </w:t>
      </w:r>
      <w:r w:rsidR="0078525C">
        <w:rPr>
          <w:rFonts w:ascii="Times New Roman" w:hAnsi="Times New Roman" w:cs="Times New Roman"/>
          <w:sz w:val="24"/>
          <w:szCs w:val="24"/>
        </w:rPr>
        <w:t xml:space="preserve">face (BCBS, </w:t>
      </w:r>
      <w:r w:rsidR="00611C0B" w:rsidRPr="00AA1AAD">
        <w:rPr>
          <w:rFonts w:ascii="Times New Roman" w:hAnsi="Times New Roman" w:cs="Times New Roman"/>
          <w:sz w:val="24"/>
          <w:szCs w:val="24"/>
        </w:rPr>
        <w:t>2006</w:t>
      </w:r>
      <w:r w:rsidR="001F5BFA" w:rsidRPr="00AA1AAD">
        <w:rPr>
          <w:rFonts w:ascii="Times New Roman" w:hAnsi="Times New Roman" w:cs="Times New Roman"/>
          <w:sz w:val="24"/>
          <w:szCs w:val="24"/>
        </w:rPr>
        <w:t>)</w:t>
      </w:r>
      <w:r w:rsidR="00C22AEC" w:rsidRPr="00AA1AAD">
        <w:rPr>
          <w:rFonts w:ascii="Times New Roman" w:hAnsi="Times New Roman" w:cs="Times New Roman"/>
          <w:sz w:val="24"/>
          <w:szCs w:val="24"/>
        </w:rPr>
        <w:t>.</w:t>
      </w:r>
    </w:p>
    <w:p w:rsidR="00BA257E" w:rsidRPr="00A1002B" w:rsidRDefault="008D6536" w:rsidP="00A1002B">
      <w:pPr>
        <w:spacing w:after="240" w:line="360" w:lineRule="auto"/>
        <w:jc w:val="center"/>
        <w:rPr>
          <w:rFonts w:ascii="Times New Roman" w:hAnsi="Times New Roman" w:cs="Times New Roman"/>
          <w:b/>
        </w:rPr>
      </w:pPr>
      <w:r w:rsidRPr="00A1002B">
        <w:rPr>
          <w:rFonts w:ascii="Times New Roman" w:hAnsi="Times New Roman" w:cs="Times New Roman"/>
          <w:b/>
        </w:rPr>
        <w:t>Figure</w:t>
      </w:r>
      <w:r w:rsidR="0072510E" w:rsidRPr="00A1002B">
        <w:rPr>
          <w:rFonts w:ascii="Times New Roman" w:hAnsi="Times New Roman" w:cs="Times New Roman"/>
          <w:b/>
        </w:rPr>
        <w:t xml:space="preserve"> 2. 5:</w:t>
      </w:r>
      <w:r w:rsidRPr="00A1002B">
        <w:rPr>
          <w:rFonts w:ascii="Times New Roman" w:hAnsi="Times New Roman" w:cs="Times New Roman"/>
          <w:b/>
        </w:rPr>
        <w:t xml:space="preserve"> The New Basel Accord: Pillars</w:t>
      </w:r>
    </w:p>
    <w:p w:rsidR="001A617E" w:rsidRDefault="007A78D1" w:rsidP="001A617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margin-left:2in;margin-top:33.35pt;width:.7pt;height:0;z-index:251681792" o:connectortype="elbow" adj="-6665143,-1,-6665143"/>
        </w:pict>
      </w:r>
      <w:r w:rsidR="006E6D7D" w:rsidRPr="00AA1AAD">
        <w:rPr>
          <w:rFonts w:ascii="Times New Roman" w:hAnsi="Times New Roman" w:cs="Times New Roman"/>
          <w:noProof/>
          <w:sz w:val="24"/>
          <w:szCs w:val="24"/>
        </w:rPr>
        <w:drawing>
          <wp:inline distT="0" distB="0" distL="0" distR="0">
            <wp:extent cx="5181102" cy="1653871"/>
            <wp:effectExtent l="19050" t="0" r="49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92443" cy="1657491"/>
                    </a:xfrm>
                    <a:prstGeom prst="rect">
                      <a:avLst/>
                    </a:prstGeom>
                    <a:noFill/>
                    <a:ln w="9525">
                      <a:noFill/>
                      <a:miter lim="800000"/>
                      <a:headEnd/>
                      <a:tailEnd/>
                    </a:ln>
                  </pic:spPr>
                </pic:pic>
              </a:graphicData>
            </a:graphic>
          </wp:inline>
        </w:drawing>
      </w:r>
    </w:p>
    <w:p w:rsidR="00B101F7" w:rsidRDefault="00B101F7" w:rsidP="001A617E">
      <w:pPr>
        <w:spacing w:after="0" w:line="480" w:lineRule="auto"/>
        <w:jc w:val="center"/>
        <w:rPr>
          <w:rFonts w:ascii="Times New Roman" w:hAnsi="Times New Roman" w:cs="Times New Roman"/>
          <w:sz w:val="16"/>
          <w:szCs w:val="16"/>
        </w:rPr>
      </w:pPr>
    </w:p>
    <w:p w:rsidR="006D0CBB" w:rsidRPr="001A617E" w:rsidRDefault="00B44594" w:rsidP="001A617E">
      <w:pPr>
        <w:spacing w:after="0" w:line="480" w:lineRule="auto"/>
        <w:jc w:val="center"/>
        <w:rPr>
          <w:rFonts w:ascii="Times New Roman" w:hAnsi="Times New Roman" w:cs="Times New Roman"/>
          <w:sz w:val="24"/>
          <w:szCs w:val="24"/>
        </w:rPr>
      </w:pPr>
      <w:r w:rsidRPr="00C12167">
        <w:rPr>
          <w:rFonts w:ascii="Times New Roman" w:hAnsi="Times New Roman" w:cs="Times New Roman"/>
          <w:sz w:val="20"/>
          <w:szCs w:val="20"/>
        </w:rPr>
        <w:t>Source:</w:t>
      </w:r>
      <w:r w:rsidR="00FA1046" w:rsidRPr="00C12167">
        <w:rPr>
          <w:rFonts w:ascii="Times New Roman" w:hAnsi="Times New Roman" w:cs="Times New Roman"/>
          <w:sz w:val="20"/>
          <w:szCs w:val="20"/>
        </w:rPr>
        <w:t xml:space="preserve"> </w:t>
      </w:r>
      <w:r w:rsidRPr="00C12167">
        <w:rPr>
          <w:rFonts w:ascii="Times New Roman" w:hAnsi="Times New Roman" w:cs="Times New Roman"/>
          <w:sz w:val="20"/>
          <w:szCs w:val="20"/>
        </w:rPr>
        <w:t>(</w:t>
      </w:r>
      <w:r w:rsidR="005426F2" w:rsidRPr="00C12167">
        <w:rPr>
          <w:rFonts w:ascii="Times New Roman" w:hAnsi="Times New Roman" w:cs="Times New Roman"/>
          <w:sz w:val="20"/>
          <w:szCs w:val="20"/>
        </w:rPr>
        <w:t>American Society o</w:t>
      </w:r>
      <w:r w:rsidR="006E6D7D" w:rsidRPr="00C12167">
        <w:rPr>
          <w:rFonts w:ascii="Times New Roman" w:hAnsi="Times New Roman" w:cs="Times New Roman"/>
          <w:sz w:val="20"/>
          <w:szCs w:val="20"/>
        </w:rPr>
        <w:t>f Appraisers</w:t>
      </w:r>
      <w:r w:rsidR="0036307F" w:rsidRPr="00C12167">
        <w:rPr>
          <w:rFonts w:ascii="Times New Roman" w:hAnsi="Times New Roman" w:cs="Times New Roman"/>
          <w:sz w:val="20"/>
          <w:szCs w:val="20"/>
        </w:rPr>
        <w:t xml:space="preserve">, </w:t>
      </w:r>
      <w:r w:rsidR="006E6D7D" w:rsidRPr="00C12167">
        <w:rPr>
          <w:rFonts w:ascii="Times New Roman" w:hAnsi="Times New Roman" w:cs="Times New Roman"/>
          <w:sz w:val="20"/>
          <w:szCs w:val="20"/>
        </w:rPr>
        <w:t>2006</w:t>
      </w:r>
      <w:r w:rsidR="0036307F" w:rsidRPr="00C12167">
        <w:rPr>
          <w:rFonts w:ascii="Times New Roman" w:hAnsi="Times New Roman" w:cs="Times New Roman"/>
          <w:sz w:val="20"/>
          <w:szCs w:val="20"/>
        </w:rPr>
        <w:t>)</w:t>
      </w:r>
    </w:p>
    <w:p w:rsidR="003B4DA4" w:rsidRDefault="007A78D1" w:rsidP="006D0CBB">
      <w:pPr>
        <w:spacing w:after="240" w:line="360" w:lineRule="auto"/>
        <w:contextualSpacing/>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margin-left:165.75pt;margin-top:37.4pt;width:0;height:.05pt;z-index:251684864" o:connectortype="straight"/>
        </w:pict>
      </w:r>
      <w:r>
        <w:rPr>
          <w:rFonts w:ascii="Times New Roman" w:hAnsi="Times New Roman" w:cs="Times New Roman"/>
          <w:noProof/>
          <w:sz w:val="24"/>
          <w:szCs w:val="24"/>
        </w:rPr>
        <w:pict>
          <v:shape id="_x0000_s1052" type="#_x0000_t32" style="position:absolute;margin-left:165.75pt;margin-top:15.9pt;width:0;height:0;z-index:251683840" o:connectortype="straight"/>
        </w:pict>
      </w:r>
      <w:r w:rsidRPr="007A78D1">
        <w:rPr>
          <w:noProof/>
          <w:sz w:val="24"/>
          <w:szCs w:val="24"/>
        </w:rPr>
        <w:pict>
          <v:shape id="_x0000_s1040" type="#_x0000_t32" style="position:absolute;margin-left:131.1pt;margin-top:28.5pt;width:1.35pt;height:0;flip:x;z-index:251673600" o:connectortype="straight" strokecolor="#f2f2f2 [3041]" strokeweight="3pt">
            <v:shadow type="perspective" color="#243f60 [1604]" opacity=".5" offset="1pt" offset2="-1pt"/>
          </v:shape>
        </w:pict>
      </w:r>
      <w:r w:rsidR="00996453" w:rsidRPr="00AA1AAD">
        <w:rPr>
          <w:rFonts w:ascii="Times New Roman" w:hAnsi="Times New Roman" w:cs="Times New Roman"/>
          <w:sz w:val="24"/>
          <w:szCs w:val="24"/>
        </w:rPr>
        <w:t>These pillars support each other to achieve their goal: reinforcement of safety and security of the financial system and the advanced financial markets in particular (Had</w:t>
      </w:r>
      <w:r w:rsidR="009165E4">
        <w:rPr>
          <w:rFonts w:ascii="Times New Roman" w:hAnsi="Times New Roman" w:cs="Times New Roman"/>
          <w:sz w:val="24"/>
          <w:szCs w:val="24"/>
        </w:rPr>
        <w:t>d</w:t>
      </w:r>
      <w:r w:rsidR="00996453" w:rsidRPr="00AA1AAD">
        <w:rPr>
          <w:rFonts w:ascii="Times New Roman" w:hAnsi="Times New Roman" w:cs="Times New Roman"/>
          <w:sz w:val="24"/>
          <w:szCs w:val="24"/>
        </w:rPr>
        <w:t>ad, 2004).</w:t>
      </w:r>
    </w:p>
    <w:p w:rsidR="0041046A" w:rsidRPr="00996008" w:rsidRDefault="0041046A" w:rsidP="006D0CBB">
      <w:pPr>
        <w:spacing w:after="240" w:line="360" w:lineRule="auto"/>
        <w:contextualSpacing/>
        <w:rPr>
          <w:rFonts w:ascii="Times New Roman" w:hAnsi="Times New Roman" w:cs="Times New Roman"/>
          <w:sz w:val="24"/>
          <w:szCs w:val="24"/>
        </w:rPr>
      </w:pPr>
    </w:p>
    <w:p w:rsidR="006D0CBB" w:rsidRDefault="00FE5FF7" w:rsidP="006D0CBB">
      <w:pPr>
        <w:spacing w:after="240" w:line="360" w:lineRule="auto"/>
        <w:contextualSpacing/>
        <w:rPr>
          <w:rFonts w:asciiTheme="majorBidi" w:hAnsiTheme="majorBidi" w:cstheme="majorBidi"/>
          <w:sz w:val="24"/>
          <w:szCs w:val="24"/>
        </w:rPr>
      </w:pPr>
      <w:r w:rsidRPr="00D4262C">
        <w:rPr>
          <w:rFonts w:asciiTheme="majorBidi" w:hAnsiTheme="majorBidi" w:cstheme="majorBidi"/>
          <w:b/>
          <w:sz w:val="24"/>
          <w:szCs w:val="24"/>
        </w:rPr>
        <w:t>2.2.3.2</w:t>
      </w:r>
      <w:r w:rsidR="00510634" w:rsidRPr="00D4262C">
        <w:rPr>
          <w:rFonts w:asciiTheme="majorBidi" w:hAnsiTheme="majorBidi" w:cstheme="majorBidi"/>
          <w:b/>
          <w:sz w:val="24"/>
          <w:szCs w:val="24"/>
        </w:rPr>
        <w:t>.1 Pillar 1- Minimum Capital Requirements</w:t>
      </w:r>
    </w:p>
    <w:p w:rsidR="00184D28" w:rsidRPr="00B054EE" w:rsidRDefault="00FA1046" w:rsidP="00B054EE">
      <w:pPr>
        <w:spacing w:line="360" w:lineRule="auto"/>
        <w:jc w:val="both"/>
        <w:rPr>
          <w:rFonts w:asciiTheme="majorBidi" w:hAnsiTheme="majorBidi" w:cstheme="majorBidi"/>
          <w:bCs/>
          <w:sz w:val="24"/>
          <w:szCs w:val="24"/>
        </w:rPr>
      </w:pPr>
      <w:r w:rsidRPr="00AA1AAD">
        <w:rPr>
          <w:rFonts w:ascii="Times New Roman" w:hAnsi="Times New Roman" w:cs="Times New Roman"/>
          <w:sz w:val="24"/>
          <w:szCs w:val="24"/>
        </w:rPr>
        <w:t>Capital requirement</w:t>
      </w:r>
      <w:r w:rsidR="007B5151">
        <w:rPr>
          <w:rFonts w:ascii="Times New Roman" w:hAnsi="Times New Roman" w:cs="Times New Roman"/>
          <w:sz w:val="24"/>
          <w:szCs w:val="24"/>
        </w:rPr>
        <w:t>s are the unified</w:t>
      </w:r>
      <w:r w:rsidRPr="00AA1AAD">
        <w:rPr>
          <w:rFonts w:ascii="Times New Roman" w:hAnsi="Times New Roman" w:cs="Times New Roman"/>
          <w:sz w:val="24"/>
          <w:szCs w:val="24"/>
        </w:rPr>
        <w:t xml:space="preserve"> requirement</w:t>
      </w:r>
      <w:r w:rsidR="007B5151">
        <w:rPr>
          <w:rFonts w:ascii="Times New Roman" w:hAnsi="Times New Roman" w:cs="Times New Roman"/>
          <w:sz w:val="24"/>
          <w:szCs w:val="24"/>
        </w:rPr>
        <w:t>s</w:t>
      </w:r>
      <w:r w:rsidRPr="00AA1AAD">
        <w:rPr>
          <w:rFonts w:ascii="Times New Roman" w:hAnsi="Times New Roman" w:cs="Times New Roman"/>
          <w:sz w:val="24"/>
          <w:szCs w:val="24"/>
        </w:rPr>
        <w:t xml:space="preserve"> for banks and other depository institutions</w:t>
      </w:r>
      <w:r>
        <w:rPr>
          <w:rFonts w:ascii="Times New Roman" w:hAnsi="Times New Roman" w:cs="Times New Roman"/>
          <w:sz w:val="24"/>
          <w:szCs w:val="24"/>
        </w:rPr>
        <w:t>.</w:t>
      </w:r>
      <w:r w:rsidRPr="00AA1AAD">
        <w:rPr>
          <w:rFonts w:ascii="Times New Roman" w:hAnsi="Times New Roman" w:cs="Times New Roman"/>
          <w:sz w:val="24"/>
          <w:szCs w:val="24"/>
        </w:rPr>
        <w:t xml:space="preserve"> </w:t>
      </w:r>
      <w:r>
        <w:rPr>
          <w:rFonts w:ascii="Times New Roman" w:hAnsi="Times New Roman" w:cs="Times New Roman"/>
          <w:sz w:val="24"/>
          <w:szCs w:val="24"/>
        </w:rPr>
        <w:t>It</w:t>
      </w:r>
      <w:r w:rsidRPr="00AA1AAD">
        <w:rPr>
          <w:rFonts w:ascii="Times New Roman" w:hAnsi="Times New Roman" w:cs="Times New Roman"/>
          <w:sz w:val="24"/>
          <w:szCs w:val="24"/>
        </w:rPr>
        <w:t xml:space="preserve"> </w:t>
      </w:r>
      <w:r w:rsidR="0092620C">
        <w:rPr>
          <w:rFonts w:ascii="Times New Roman" w:hAnsi="Times New Roman" w:cs="Times New Roman"/>
          <w:sz w:val="24"/>
          <w:szCs w:val="24"/>
        </w:rPr>
        <w:t xml:space="preserve">specifies </w:t>
      </w:r>
      <w:r w:rsidRPr="00AA1AAD">
        <w:rPr>
          <w:rFonts w:ascii="Times New Roman" w:hAnsi="Times New Roman" w:cs="Times New Roman"/>
          <w:sz w:val="24"/>
          <w:szCs w:val="24"/>
        </w:rPr>
        <w:t>the level o</w:t>
      </w:r>
      <w:r w:rsidR="0092620C">
        <w:rPr>
          <w:rFonts w:ascii="Times New Roman" w:hAnsi="Times New Roman" w:cs="Times New Roman"/>
          <w:sz w:val="24"/>
          <w:szCs w:val="24"/>
        </w:rPr>
        <w:t xml:space="preserve">f liquidity required to be kept </w:t>
      </w:r>
      <w:r w:rsidRPr="00AA1AAD">
        <w:rPr>
          <w:rFonts w:ascii="Times New Roman" w:hAnsi="Times New Roman" w:cs="Times New Roman"/>
          <w:sz w:val="24"/>
          <w:szCs w:val="24"/>
        </w:rPr>
        <w:t>for a certain level of assets. In other word</w:t>
      </w:r>
      <w:r>
        <w:rPr>
          <w:rFonts w:ascii="Times New Roman" w:hAnsi="Times New Roman" w:cs="Times New Roman"/>
          <w:sz w:val="24"/>
          <w:szCs w:val="24"/>
        </w:rPr>
        <w:t>s</w:t>
      </w:r>
      <w:r w:rsidRPr="00AA1AAD">
        <w:rPr>
          <w:rFonts w:ascii="Times New Roman" w:hAnsi="Times New Roman" w:cs="Times New Roman"/>
          <w:sz w:val="24"/>
          <w:szCs w:val="24"/>
        </w:rPr>
        <w:t xml:space="preserve">, it is a bank regulation that sets a framework on how banks must handle </w:t>
      </w:r>
      <w:r w:rsidRPr="00AA1AAD">
        <w:rPr>
          <w:rFonts w:ascii="Times New Roman" w:hAnsi="Times New Roman" w:cs="Times New Roman"/>
          <w:sz w:val="24"/>
          <w:szCs w:val="24"/>
        </w:rPr>
        <w:lastRenderedPageBreak/>
        <w:t xml:space="preserve">their </w:t>
      </w:r>
      <w:r w:rsidR="004F754C" w:rsidRPr="00AA1AAD">
        <w:rPr>
          <w:rFonts w:ascii="Times New Roman" w:hAnsi="Times New Roman" w:cs="Times New Roman"/>
          <w:sz w:val="24"/>
          <w:szCs w:val="24"/>
        </w:rPr>
        <w:t>capital. These</w:t>
      </w:r>
      <w:r w:rsidRPr="00AA1AAD">
        <w:rPr>
          <w:sz w:val="24"/>
          <w:szCs w:val="24"/>
        </w:rPr>
        <w:t xml:space="preserve"> </w:t>
      </w:r>
      <w:r w:rsidRPr="00AA1AAD">
        <w:rPr>
          <w:rFonts w:ascii="Times New Roman" w:hAnsi="Times New Roman" w:cs="Times New Roman"/>
          <w:sz w:val="24"/>
          <w:szCs w:val="24"/>
        </w:rPr>
        <w:t>requirements</w:t>
      </w:r>
      <w:r>
        <w:rPr>
          <w:rFonts w:ascii="Times New Roman" w:hAnsi="Times New Roman" w:cs="Times New Roman"/>
          <w:sz w:val="24"/>
          <w:szCs w:val="24"/>
        </w:rPr>
        <w:t>,</w:t>
      </w:r>
      <w:r w:rsidRPr="00AA1AAD">
        <w:rPr>
          <w:rFonts w:ascii="Times New Roman" w:hAnsi="Times New Roman" w:cs="Times New Roman"/>
          <w:sz w:val="24"/>
          <w:szCs w:val="24"/>
        </w:rPr>
        <w:t xml:space="preserve"> stipulated by the Bank for International </w:t>
      </w:r>
      <w:r w:rsidR="002A1411" w:rsidRPr="00AA1AAD">
        <w:rPr>
          <w:rFonts w:ascii="Times New Roman" w:hAnsi="Times New Roman" w:cs="Times New Roman"/>
          <w:sz w:val="24"/>
          <w:szCs w:val="24"/>
        </w:rPr>
        <w:t>Settlements (</w:t>
      </w:r>
      <w:r w:rsidRPr="00AA1AAD">
        <w:rPr>
          <w:rFonts w:ascii="Times New Roman" w:hAnsi="Times New Roman" w:cs="Times New Roman"/>
          <w:sz w:val="24"/>
          <w:szCs w:val="24"/>
        </w:rPr>
        <w:t>BIS)</w:t>
      </w:r>
      <w:r>
        <w:rPr>
          <w:rFonts w:ascii="Times New Roman" w:hAnsi="Times New Roman" w:cs="Times New Roman"/>
          <w:sz w:val="24"/>
          <w:szCs w:val="24"/>
        </w:rPr>
        <w:t>,</w:t>
      </w:r>
      <w:r w:rsidRPr="00AA1AAD">
        <w:rPr>
          <w:rFonts w:ascii="Times New Roman" w:hAnsi="Times New Roman" w:cs="Times New Roman"/>
          <w:sz w:val="24"/>
          <w:szCs w:val="24"/>
        </w:rPr>
        <w:t xml:space="preserve"> </w:t>
      </w:r>
      <w:r w:rsidR="00535D77">
        <w:rPr>
          <w:rFonts w:ascii="Times New Roman" w:hAnsi="Times New Roman" w:cs="Times New Roman"/>
          <w:sz w:val="24"/>
          <w:szCs w:val="24"/>
        </w:rPr>
        <w:t xml:space="preserve">to </w:t>
      </w:r>
      <w:r w:rsidRPr="00AA1AAD">
        <w:rPr>
          <w:rFonts w:ascii="Times New Roman" w:hAnsi="Times New Roman" w:cs="Times New Roman"/>
          <w:sz w:val="24"/>
          <w:szCs w:val="24"/>
        </w:rPr>
        <w:t>ensure that institutions are not involv</w:t>
      </w:r>
      <w:r>
        <w:rPr>
          <w:rFonts w:ascii="Times New Roman" w:hAnsi="Times New Roman" w:cs="Times New Roman"/>
          <w:sz w:val="24"/>
          <w:szCs w:val="24"/>
        </w:rPr>
        <w:t>ed</w:t>
      </w:r>
      <w:r w:rsidRPr="00AA1AAD">
        <w:rPr>
          <w:rFonts w:ascii="Times New Roman" w:hAnsi="Times New Roman" w:cs="Times New Roman"/>
          <w:sz w:val="24"/>
          <w:szCs w:val="24"/>
        </w:rPr>
        <w:t xml:space="preserve"> in or holding investments that reinforce the risk of default. In the </w:t>
      </w:r>
      <w:r>
        <w:rPr>
          <w:rFonts w:ascii="Times New Roman" w:hAnsi="Times New Roman" w:cs="Times New Roman"/>
          <w:sz w:val="24"/>
          <w:szCs w:val="24"/>
        </w:rPr>
        <w:t>N</w:t>
      </w:r>
      <w:r w:rsidRPr="00AA1AAD">
        <w:rPr>
          <w:rFonts w:ascii="Times New Roman" w:hAnsi="Times New Roman" w:cs="Times New Roman"/>
          <w:sz w:val="24"/>
          <w:szCs w:val="24"/>
        </w:rPr>
        <w:t>ew Accord</w:t>
      </w:r>
      <w:r>
        <w:rPr>
          <w:rFonts w:ascii="Times New Roman" w:hAnsi="Times New Roman" w:cs="Times New Roman"/>
          <w:sz w:val="24"/>
          <w:szCs w:val="24"/>
        </w:rPr>
        <w:t>,</w:t>
      </w:r>
      <w:r w:rsidR="00535D77">
        <w:rPr>
          <w:rFonts w:ascii="Times New Roman" w:hAnsi="Times New Roman" w:cs="Times New Roman"/>
          <w:sz w:val="24"/>
          <w:szCs w:val="24"/>
        </w:rPr>
        <w:t xml:space="preserve"> the C</w:t>
      </w:r>
      <w:r w:rsidRPr="00AA1AAD">
        <w:rPr>
          <w:rFonts w:ascii="Times New Roman" w:hAnsi="Times New Roman" w:cs="Times New Roman"/>
          <w:sz w:val="24"/>
          <w:szCs w:val="24"/>
        </w:rPr>
        <w:t xml:space="preserve">apital </w:t>
      </w:r>
      <w:r w:rsidR="00535D77">
        <w:rPr>
          <w:rFonts w:ascii="Times New Roman" w:hAnsi="Times New Roman" w:cs="Times New Roman"/>
          <w:sz w:val="24"/>
          <w:szCs w:val="24"/>
        </w:rPr>
        <w:t xml:space="preserve">Adequacy </w:t>
      </w:r>
      <w:r w:rsidR="00535D77" w:rsidRPr="00AA1AAD">
        <w:rPr>
          <w:rFonts w:ascii="Times New Roman" w:hAnsi="Times New Roman" w:cs="Times New Roman"/>
          <w:sz w:val="24"/>
          <w:szCs w:val="24"/>
        </w:rPr>
        <w:t xml:space="preserve">ratio </w:t>
      </w:r>
      <w:r w:rsidR="00535D77">
        <w:rPr>
          <w:rFonts w:ascii="Times New Roman" w:hAnsi="Times New Roman" w:cs="Times New Roman"/>
          <w:sz w:val="24"/>
          <w:szCs w:val="24"/>
        </w:rPr>
        <w:t>stills the same overall 8% minimum C</w:t>
      </w:r>
      <w:r w:rsidR="00535D77" w:rsidRPr="00AA1AAD">
        <w:rPr>
          <w:rFonts w:ascii="Times New Roman" w:hAnsi="Times New Roman" w:cs="Times New Roman"/>
          <w:sz w:val="24"/>
          <w:szCs w:val="24"/>
        </w:rPr>
        <w:t>apital requirement</w:t>
      </w:r>
      <w:r w:rsidR="00535D77">
        <w:rPr>
          <w:rFonts w:ascii="Times New Roman" w:hAnsi="Times New Roman" w:cs="Times New Roman"/>
          <w:sz w:val="24"/>
          <w:szCs w:val="24"/>
        </w:rPr>
        <w:t>.</w:t>
      </w:r>
      <w:r w:rsidRPr="00AA1AAD">
        <w:rPr>
          <w:rFonts w:ascii="Times New Roman" w:hAnsi="Times New Roman" w:cs="Times New Roman"/>
          <w:sz w:val="24"/>
          <w:szCs w:val="24"/>
        </w:rPr>
        <w:t xml:space="preserve"> The difference is that there are new ways of calculating the risk-weighted assets. There are optional methods of measuring risk and calculating the ‘value at risk’ (VAR)</w:t>
      </w:r>
      <w:r>
        <w:rPr>
          <w:rFonts w:ascii="Times New Roman" w:hAnsi="Times New Roman" w:cs="Times New Roman"/>
          <w:sz w:val="24"/>
          <w:szCs w:val="24"/>
        </w:rPr>
        <w:t>.</w:t>
      </w:r>
      <w:r w:rsidRPr="00AA1AAD">
        <w:rPr>
          <w:rFonts w:ascii="Times New Roman" w:hAnsi="Times New Roman" w:cs="Times New Roman"/>
          <w:sz w:val="24"/>
          <w:szCs w:val="24"/>
        </w:rPr>
        <w:t xml:space="preserve"> </w:t>
      </w:r>
      <w:r w:rsidR="001D0491">
        <w:rPr>
          <w:rFonts w:ascii="Times New Roman" w:hAnsi="Times New Roman" w:cs="Times New Roman"/>
          <w:color w:val="000000"/>
          <w:sz w:val="24"/>
          <w:szCs w:val="24"/>
        </w:rPr>
        <w:t xml:space="preserve">The amendment </w:t>
      </w:r>
      <w:r w:rsidRPr="00AA1AAD">
        <w:rPr>
          <w:rFonts w:ascii="Times New Roman" w:hAnsi="Times New Roman" w:cs="Times New Roman"/>
          <w:color w:val="000000"/>
          <w:sz w:val="24"/>
          <w:szCs w:val="24"/>
        </w:rPr>
        <w:t>approach has two main element</w:t>
      </w:r>
      <w:r w:rsidR="001D0491">
        <w:rPr>
          <w:rFonts w:ascii="Times New Roman" w:hAnsi="Times New Roman" w:cs="Times New Roman"/>
          <w:color w:val="000000"/>
          <w:sz w:val="24"/>
          <w:szCs w:val="24"/>
        </w:rPr>
        <w:t xml:space="preserve">s: (1) changes in credit risk handling </w:t>
      </w:r>
      <w:r w:rsidR="00303D9F">
        <w:rPr>
          <w:rFonts w:ascii="Times New Roman" w:hAnsi="Times New Roman" w:cs="Times New Roman"/>
          <w:color w:val="000000"/>
          <w:sz w:val="24"/>
          <w:szCs w:val="24"/>
        </w:rPr>
        <w:t xml:space="preserve">and (2) Introducing an outright handling of </w:t>
      </w:r>
      <w:r w:rsidR="00303D9F" w:rsidRPr="00AA1AAD">
        <w:rPr>
          <w:rFonts w:ascii="Times New Roman" w:hAnsi="Times New Roman" w:cs="Times New Roman"/>
          <w:color w:val="000000"/>
          <w:sz w:val="24"/>
          <w:szCs w:val="24"/>
        </w:rPr>
        <w:t>operational risk</w:t>
      </w:r>
      <w:r w:rsidR="00303D9F">
        <w:rPr>
          <w:rFonts w:ascii="Times New Roman" w:hAnsi="Times New Roman" w:cs="Times New Roman"/>
          <w:color w:val="000000"/>
          <w:sz w:val="24"/>
          <w:szCs w:val="24"/>
        </w:rPr>
        <w:t xml:space="preserve"> conduct or perform </w:t>
      </w:r>
      <w:r w:rsidR="00303D9F" w:rsidRPr="00AA1AAD">
        <w:rPr>
          <w:rFonts w:ascii="Times New Roman" w:hAnsi="Times New Roman" w:cs="Times New Roman"/>
          <w:color w:val="000000"/>
          <w:sz w:val="24"/>
          <w:szCs w:val="24"/>
        </w:rPr>
        <w:t>a measure of ‘value at operational risk’ into the denominator of the ratio</w:t>
      </w:r>
      <w:r w:rsidR="00B054EE">
        <w:rPr>
          <w:rFonts w:ascii="Times New Roman" w:hAnsi="Times New Roman" w:cs="Times New Roman"/>
          <w:color w:val="000000"/>
          <w:sz w:val="24"/>
          <w:szCs w:val="24"/>
        </w:rPr>
        <w:t xml:space="preserve">. </w:t>
      </w:r>
      <w:r w:rsidR="00B054EE" w:rsidRPr="009A1BC3">
        <w:rPr>
          <w:rFonts w:ascii="Times New Roman" w:hAnsi="Times New Roman" w:cs="Times New Roman"/>
          <w:bCs/>
          <w:sz w:val="24"/>
          <w:szCs w:val="24"/>
        </w:rPr>
        <w:t>Basel II</w:t>
      </w:r>
      <w:r w:rsidR="00B054EE">
        <w:rPr>
          <w:rFonts w:asciiTheme="majorBidi" w:hAnsiTheme="majorBidi" w:cstheme="majorBidi"/>
          <w:bCs/>
          <w:sz w:val="24"/>
          <w:szCs w:val="24"/>
        </w:rPr>
        <w:t xml:space="preserve"> has three scales to calculate credit and operational risks, and two scales for market risk calculation. Each scale </w:t>
      </w:r>
      <w:r w:rsidR="007F773B">
        <w:rPr>
          <w:rFonts w:asciiTheme="majorBidi" w:hAnsiTheme="majorBidi" w:cstheme="majorBidi"/>
          <w:bCs/>
          <w:sz w:val="24"/>
          <w:szCs w:val="24"/>
        </w:rPr>
        <w:t>extends</w:t>
      </w:r>
      <w:r w:rsidR="00B054EE">
        <w:rPr>
          <w:rFonts w:asciiTheme="majorBidi" w:hAnsiTheme="majorBidi" w:cstheme="majorBidi"/>
          <w:bCs/>
          <w:sz w:val="24"/>
          <w:szCs w:val="24"/>
        </w:rPr>
        <w:t xml:space="preserve"> an improved risk sensitivity compared </w:t>
      </w:r>
      <w:r w:rsidR="007F773B">
        <w:rPr>
          <w:rFonts w:asciiTheme="majorBidi" w:hAnsiTheme="majorBidi" w:cstheme="majorBidi"/>
          <w:bCs/>
          <w:sz w:val="24"/>
          <w:szCs w:val="24"/>
        </w:rPr>
        <w:t>to Basel</w:t>
      </w:r>
      <w:r w:rsidR="00B054EE" w:rsidRPr="009A1BC3">
        <w:rPr>
          <w:rFonts w:ascii="Times New Roman" w:hAnsi="Times New Roman" w:cs="Times New Roman"/>
          <w:bCs/>
          <w:sz w:val="24"/>
          <w:szCs w:val="24"/>
        </w:rPr>
        <w:t xml:space="preserve"> I</w:t>
      </w:r>
      <w:r w:rsidR="00B054EE">
        <w:rPr>
          <w:rFonts w:ascii="Times New Roman" w:hAnsi="Times New Roman" w:cs="Times New Roman"/>
          <w:bCs/>
          <w:sz w:val="24"/>
          <w:szCs w:val="24"/>
        </w:rPr>
        <w:t>.</w:t>
      </w:r>
      <w:r w:rsidR="00B054EE">
        <w:rPr>
          <w:rFonts w:asciiTheme="majorBidi" w:hAnsiTheme="majorBidi" w:cstheme="majorBidi"/>
          <w:bCs/>
          <w:sz w:val="24"/>
          <w:szCs w:val="24"/>
        </w:rPr>
        <w:t xml:space="preserve"> </w:t>
      </w:r>
      <w:r w:rsidR="00D42752">
        <w:rPr>
          <w:rFonts w:ascii="Times New Roman" w:hAnsi="Times New Roman" w:cs="Times New Roman"/>
          <w:sz w:val="24"/>
          <w:szCs w:val="24"/>
        </w:rPr>
        <w:t>This moved</w:t>
      </w:r>
      <w:r w:rsidRPr="00AA1AAD">
        <w:rPr>
          <w:rFonts w:ascii="Times New Roman" w:hAnsi="Times New Roman" w:cs="Times New Roman"/>
          <w:sz w:val="24"/>
          <w:szCs w:val="24"/>
        </w:rPr>
        <w:t xml:space="preserve"> away from the previous philosophy of ‘one size fits all’ and allows individual banks to select the approach most suited to their own situation</w:t>
      </w:r>
      <w:r>
        <w:rPr>
          <w:rFonts w:ascii="Times New Roman" w:hAnsi="Times New Roman" w:cs="Times New Roman"/>
          <w:sz w:val="24"/>
          <w:szCs w:val="24"/>
        </w:rPr>
        <w:t xml:space="preserve"> (see Table 2.</w:t>
      </w:r>
      <w:r w:rsidRPr="00AA1AAD">
        <w:rPr>
          <w:rFonts w:ascii="Times New Roman" w:hAnsi="Times New Roman" w:cs="Times New Roman"/>
          <w:sz w:val="24"/>
          <w:szCs w:val="24"/>
        </w:rPr>
        <w:t xml:space="preserve"> 3):</w:t>
      </w:r>
    </w:p>
    <w:p w:rsidR="00D66B78" w:rsidRPr="00F52111" w:rsidRDefault="00055D36" w:rsidP="00833B9E">
      <w:pPr>
        <w:spacing w:after="240" w:line="240" w:lineRule="auto"/>
        <w:jc w:val="center"/>
        <w:rPr>
          <w:rFonts w:ascii="Times New Roman" w:hAnsi="Times New Roman" w:cs="Times New Roman"/>
          <w:sz w:val="24"/>
          <w:szCs w:val="24"/>
        </w:rPr>
      </w:pPr>
      <w:r w:rsidRPr="00A1002B">
        <w:rPr>
          <w:rFonts w:ascii="Times New Roman" w:hAnsi="Times New Roman" w:cs="Times New Roman"/>
          <w:b/>
        </w:rPr>
        <w:t>Table 2</w:t>
      </w:r>
      <w:r w:rsidR="00BA4FB9" w:rsidRPr="00A1002B">
        <w:rPr>
          <w:rFonts w:ascii="Times New Roman" w:hAnsi="Times New Roman" w:cs="Times New Roman"/>
          <w:b/>
        </w:rPr>
        <w:t>.3</w:t>
      </w:r>
      <w:r w:rsidR="00D66B78" w:rsidRPr="00A1002B">
        <w:rPr>
          <w:rFonts w:ascii="Times New Roman" w:hAnsi="Times New Roman" w:cs="Times New Roman"/>
          <w:b/>
        </w:rPr>
        <w:t>: Approaches to Measuring Value at Risk in the New Basel Accord</w:t>
      </w:r>
    </w:p>
    <w:tbl>
      <w:tblPr>
        <w:tblStyle w:val="TableGrid"/>
        <w:tblW w:w="0" w:type="auto"/>
        <w:jc w:val="center"/>
        <w:tblLook w:val="04A0"/>
      </w:tblPr>
      <w:tblGrid>
        <w:gridCol w:w="1152"/>
        <w:gridCol w:w="2394"/>
        <w:gridCol w:w="2394"/>
        <w:gridCol w:w="2140"/>
      </w:tblGrid>
      <w:tr w:rsidR="0001449A" w:rsidTr="00CE44F2">
        <w:trPr>
          <w:jc w:val="center"/>
        </w:trPr>
        <w:tc>
          <w:tcPr>
            <w:tcW w:w="1152" w:type="dxa"/>
            <w:tcBorders>
              <w:top w:val="double" w:sz="4" w:space="0" w:color="auto"/>
              <w:left w:val="double" w:sz="4" w:space="0" w:color="auto"/>
              <w:bottom w:val="double" w:sz="4" w:space="0" w:color="auto"/>
              <w:right w:val="double" w:sz="4" w:space="0" w:color="auto"/>
            </w:tcBorders>
            <w:shd w:val="clear" w:color="auto" w:fill="DDD9C3" w:themeFill="background2" w:themeFillShade="E6"/>
          </w:tcPr>
          <w:p w:rsidR="0001449A" w:rsidRPr="000E6581"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Level</w:t>
            </w:r>
          </w:p>
        </w:tc>
        <w:tc>
          <w:tcPr>
            <w:tcW w:w="2394" w:type="dxa"/>
            <w:tcBorders>
              <w:left w:val="double" w:sz="4" w:space="0" w:color="auto"/>
            </w:tcBorders>
            <w:shd w:val="clear" w:color="auto" w:fill="DDD9C3" w:themeFill="background2" w:themeFillShade="E6"/>
          </w:tcPr>
          <w:p w:rsidR="0001449A" w:rsidRPr="000E6581"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Credit Risk</w:t>
            </w:r>
          </w:p>
        </w:tc>
        <w:tc>
          <w:tcPr>
            <w:tcW w:w="2394" w:type="dxa"/>
            <w:tcBorders>
              <w:right w:val="double" w:sz="4" w:space="0" w:color="auto"/>
            </w:tcBorders>
            <w:shd w:val="clear" w:color="auto" w:fill="DDD9C3" w:themeFill="background2" w:themeFillShade="E6"/>
          </w:tcPr>
          <w:p w:rsidR="0001449A"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Operational Risk</w:t>
            </w:r>
          </w:p>
          <w:p w:rsidR="009F7B06" w:rsidRPr="000E6581" w:rsidRDefault="009F7B06" w:rsidP="00A961D2">
            <w:pPr>
              <w:jc w:val="center"/>
              <w:rPr>
                <w:rFonts w:asciiTheme="majorBidi" w:hAnsiTheme="majorBidi" w:cstheme="majorBidi"/>
                <w:b/>
                <w:bCs/>
                <w:sz w:val="20"/>
                <w:szCs w:val="20"/>
              </w:rPr>
            </w:pPr>
          </w:p>
        </w:tc>
        <w:tc>
          <w:tcPr>
            <w:tcW w:w="2140" w:type="dxa"/>
            <w:tcBorders>
              <w:top w:val="double" w:sz="4" w:space="0" w:color="auto"/>
              <w:left w:val="double" w:sz="4" w:space="0" w:color="auto"/>
              <w:bottom w:val="double" w:sz="4" w:space="0" w:color="auto"/>
              <w:right w:val="double" w:sz="4" w:space="0" w:color="auto"/>
            </w:tcBorders>
            <w:shd w:val="clear" w:color="auto" w:fill="DDD9C3" w:themeFill="background2" w:themeFillShade="E6"/>
          </w:tcPr>
          <w:p w:rsidR="0001449A" w:rsidRPr="000E6581"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Market Risk</w:t>
            </w:r>
          </w:p>
        </w:tc>
      </w:tr>
      <w:tr w:rsidR="0001449A" w:rsidTr="00CE44F2">
        <w:trPr>
          <w:jc w:val="center"/>
        </w:trPr>
        <w:tc>
          <w:tcPr>
            <w:tcW w:w="1152" w:type="dxa"/>
            <w:tcBorders>
              <w:top w:val="double" w:sz="4" w:space="0" w:color="auto"/>
              <w:left w:val="double" w:sz="4" w:space="0" w:color="auto"/>
              <w:bottom w:val="double" w:sz="4" w:space="0" w:color="auto"/>
              <w:right w:val="double" w:sz="4" w:space="0" w:color="auto"/>
            </w:tcBorders>
            <w:shd w:val="clear" w:color="auto" w:fill="FFFFFF" w:themeFill="background1"/>
          </w:tcPr>
          <w:p w:rsidR="0001449A" w:rsidRPr="000E6581"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1</w:t>
            </w:r>
          </w:p>
        </w:tc>
        <w:tc>
          <w:tcPr>
            <w:tcW w:w="2394" w:type="dxa"/>
            <w:tcBorders>
              <w:left w:val="double" w:sz="4" w:space="0" w:color="auto"/>
            </w:tcBorders>
            <w:shd w:val="clear" w:color="auto" w:fill="FFFFFF" w:themeFill="background1"/>
          </w:tcPr>
          <w:p w:rsidR="0001449A" w:rsidRPr="000E6581" w:rsidRDefault="0001449A" w:rsidP="00A961D2">
            <w:pPr>
              <w:rPr>
                <w:rFonts w:asciiTheme="majorBidi" w:hAnsiTheme="majorBidi" w:cstheme="majorBidi"/>
                <w:sz w:val="20"/>
                <w:szCs w:val="20"/>
              </w:rPr>
            </w:pPr>
            <w:r w:rsidRPr="000E6581">
              <w:rPr>
                <w:rFonts w:asciiTheme="majorBidi" w:hAnsiTheme="majorBidi" w:cstheme="majorBidi"/>
                <w:sz w:val="20"/>
                <w:szCs w:val="20"/>
              </w:rPr>
              <w:t xml:space="preserve">Standardized Approach </w:t>
            </w:r>
          </w:p>
        </w:tc>
        <w:tc>
          <w:tcPr>
            <w:tcW w:w="2394" w:type="dxa"/>
            <w:tcBorders>
              <w:right w:val="double" w:sz="4" w:space="0" w:color="auto"/>
            </w:tcBorders>
            <w:shd w:val="clear" w:color="auto" w:fill="FFFFFF" w:themeFill="background1"/>
          </w:tcPr>
          <w:p w:rsidR="0001449A" w:rsidRDefault="0001449A" w:rsidP="00A961D2">
            <w:pPr>
              <w:rPr>
                <w:rFonts w:asciiTheme="majorBidi" w:hAnsiTheme="majorBidi" w:cstheme="majorBidi"/>
                <w:sz w:val="20"/>
                <w:szCs w:val="20"/>
              </w:rPr>
            </w:pPr>
            <w:r w:rsidRPr="000E6581">
              <w:rPr>
                <w:rFonts w:asciiTheme="majorBidi" w:hAnsiTheme="majorBidi" w:cstheme="majorBidi"/>
                <w:sz w:val="20"/>
                <w:szCs w:val="20"/>
              </w:rPr>
              <w:t>Basic Indicator Approach</w:t>
            </w:r>
          </w:p>
          <w:p w:rsidR="009F7B06" w:rsidRPr="000E6581" w:rsidRDefault="009F7B06" w:rsidP="00A961D2">
            <w:pPr>
              <w:rPr>
                <w:rFonts w:asciiTheme="majorBidi" w:hAnsiTheme="majorBidi" w:cstheme="majorBidi"/>
                <w:sz w:val="20"/>
                <w:szCs w:val="20"/>
              </w:rPr>
            </w:pPr>
          </w:p>
        </w:tc>
        <w:tc>
          <w:tcPr>
            <w:tcW w:w="2140" w:type="dxa"/>
            <w:tcBorders>
              <w:top w:val="double" w:sz="4" w:space="0" w:color="auto"/>
              <w:left w:val="double" w:sz="4" w:space="0" w:color="auto"/>
              <w:bottom w:val="double" w:sz="4" w:space="0" w:color="auto"/>
              <w:right w:val="double" w:sz="4" w:space="0" w:color="auto"/>
            </w:tcBorders>
            <w:shd w:val="clear" w:color="auto" w:fill="FFFFFF" w:themeFill="background1"/>
          </w:tcPr>
          <w:p w:rsidR="0001449A" w:rsidRPr="000E6581" w:rsidRDefault="0001449A" w:rsidP="00A961D2">
            <w:pPr>
              <w:rPr>
                <w:rFonts w:asciiTheme="majorBidi" w:hAnsiTheme="majorBidi" w:cstheme="majorBidi"/>
                <w:sz w:val="20"/>
                <w:szCs w:val="20"/>
              </w:rPr>
            </w:pPr>
            <w:r w:rsidRPr="000E6581">
              <w:rPr>
                <w:rFonts w:asciiTheme="majorBidi" w:hAnsiTheme="majorBidi" w:cstheme="majorBidi"/>
                <w:sz w:val="20"/>
                <w:szCs w:val="20"/>
              </w:rPr>
              <w:t>Standardized Approach</w:t>
            </w:r>
          </w:p>
        </w:tc>
      </w:tr>
      <w:tr w:rsidR="0001449A" w:rsidTr="00CE44F2">
        <w:trPr>
          <w:jc w:val="center"/>
        </w:trPr>
        <w:tc>
          <w:tcPr>
            <w:tcW w:w="1152" w:type="dxa"/>
            <w:tcBorders>
              <w:top w:val="double" w:sz="4" w:space="0" w:color="auto"/>
              <w:left w:val="double" w:sz="4" w:space="0" w:color="auto"/>
              <w:bottom w:val="double" w:sz="4" w:space="0" w:color="auto"/>
              <w:right w:val="double" w:sz="4" w:space="0" w:color="auto"/>
            </w:tcBorders>
            <w:shd w:val="clear" w:color="auto" w:fill="FFFFFF" w:themeFill="background1"/>
          </w:tcPr>
          <w:p w:rsidR="0001449A" w:rsidRPr="000E6581"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2</w:t>
            </w:r>
          </w:p>
        </w:tc>
        <w:tc>
          <w:tcPr>
            <w:tcW w:w="2394" w:type="dxa"/>
            <w:tcBorders>
              <w:left w:val="double" w:sz="4" w:space="0" w:color="auto"/>
            </w:tcBorders>
            <w:shd w:val="clear" w:color="auto" w:fill="FFFFFF" w:themeFill="background1"/>
          </w:tcPr>
          <w:p w:rsidR="0001449A" w:rsidRPr="000E6581" w:rsidRDefault="0001449A" w:rsidP="00A961D2">
            <w:pPr>
              <w:rPr>
                <w:rFonts w:asciiTheme="majorBidi" w:hAnsiTheme="majorBidi" w:cstheme="majorBidi"/>
                <w:sz w:val="20"/>
                <w:szCs w:val="20"/>
              </w:rPr>
            </w:pPr>
            <w:r w:rsidRPr="000E6581">
              <w:rPr>
                <w:rFonts w:asciiTheme="majorBidi" w:hAnsiTheme="majorBidi" w:cstheme="majorBidi"/>
                <w:sz w:val="20"/>
                <w:szCs w:val="20"/>
              </w:rPr>
              <w:t>Foundation Approach</w:t>
            </w:r>
          </w:p>
        </w:tc>
        <w:tc>
          <w:tcPr>
            <w:tcW w:w="2394" w:type="dxa"/>
            <w:tcBorders>
              <w:right w:val="double" w:sz="4" w:space="0" w:color="auto"/>
            </w:tcBorders>
            <w:shd w:val="clear" w:color="auto" w:fill="FFFFFF" w:themeFill="background1"/>
          </w:tcPr>
          <w:p w:rsidR="0001449A" w:rsidRDefault="0001449A" w:rsidP="00A961D2">
            <w:pPr>
              <w:rPr>
                <w:rFonts w:asciiTheme="majorBidi" w:hAnsiTheme="majorBidi" w:cstheme="majorBidi"/>
                <w:sz w:val="20"/>
                <w:szCs w:val="20"/>
              </w:rPr>
            </w:pPr>
            <w:r w:rsidRPr="000E6581">
              <w:rPr>
                <w:rFonts w:asciiTheme="majorBidi" w:hAnsiTheme="majorBidi" w:cstheme="majorBidi"/>
                <w:sz w:val="20"/>
                <w:szCs w:val="20"/>
              </w:rPr>
              <w:t>Standardized Approach</w:t>
            </w:r>
          </w:p>
          <w:p w:rsidR="009F7B06" w:rsidRPr="000E6581" w:rsidRDefault="009F7B06" w:rsidP="00A961D2">
            <w:pPr>
              <w:rPr>
                <w:rFonts w:asciiTheme="majorBidi" w:hAnsiTheme="majorBidi" w:cstheme="majorBidi"/>
                <w:sz w:val="20"/>
                <w:szCs w:val="20"/>
              </w:rPr>
            </w:pPr>
          </w:p>
        </w:tc>
        <w:tc>
          <w:tcPr>
            <w:tcW w:w="2140" w:type="dxa"/>
            <w:tcBorders>
              <w:top w:val="double" w:sz="4" w:space="0" w:color="auto"/>
              <w:left w:val="double" w:sz="4" w:space="0" w:color="auto"/>
              <w:bottom w:val="double" w:sz="4" w:space="0" w:color="auto"/>
              <w:right w:val="double" w:sz="4" w:space="0" w:color="auto"/>
            </w:tcBorders>
            <w:shd w:val="clear" w:color="auto" w:fill="FFFFFF" w:themeFill="background1"/>
          </w:tcPr>
          <w:p w:rsidR="0001449A" w:rsidRPr="000E6581" w:rsidRDefault="0001449A" w:rsidP="00A961D2">
            <w:pPr>
              <w:rPr>
                <w:rFonts w:asciiTheme="majorBidi" w:hAnsiTheme="majorBidi" w:cstheme="majorBidi"/>
                <w:sz w:val="20"/>
                <w:szCs w:val="20"/>
              </w:rPr>
            </w:pPr>
            <w:r w:rsidRPr="000E6581">
              <w:rPr>
                <w:rFonts w:asciiTheme="majorBidi" w:hAnsiTheme="majorBidi" w:cstheme="majorBidi"/>
                <w:sz w:val="20"/>
                <w:szCs w:val="20"/>
              </w:rPr>
              <w:t>Propriety Approach</w:t>
            </w:r>
          </w:p>
        </w:tc>
      </w:tr>
      <w:tr w:rsidR="0001449A" w:rsidTr="00CE44F2">
        <w:trPr>
          <w:jc w:val="center"/>
        </w:trPr>
        <w:tc>
          <w:tcPr>
            <w:tcW w:w="1152" w:type="dxa"/>
            <w:tcBorders>
              <w:top w:val="double" w:sz="4" w:space="0" w:color="auto"/>
              <w:left w:val="double" w:sz="4" w:space="0" w:color="auto"/>
              <w:bottom w:val="double" w:sz="4" w:space="0" w:color="auto"/>
              <w:right w:val="double" w:sz="4" w:space="0" w:color="auto"/>
            </w:tcBorders>
            <w:shd w:val="clear" w:color="auto" w:fill="FFFFFF" w:themeFill="background1"/>
          </w:tcPr>
          <w:p w:rsidR="0001449A" w:rsidRPr="000E6581" w:rsidRDefault="0001449A" w:rsidP="00A961D2">
            <w:pPr>
              <w:jc w:val="center"/>
              <w:rPr>
                <w:rFonts w:asciiTheme="majorBidi" w:hAnsiTheme="majorBidi" w:cstheme="majorBidi"/>
                <w:b/>
                <w:bCs/>
                <w:sz w:val="20"/>
                <w:szCs w:val="20"/>
              </w:rPr>
            </w:pPr>
            <w:r w:rsidRPr="000E6581">
              <w:rPr>
                <w:rFonts w:asciiTheme="majorBidi" w:hAnsiTheme="majorBidi" w:cstheme="majorBidi"/>
                <w:b/>
                <w:bCs/>
                <w:sz w:val="20"/>
                <w:szCs w:val="20"/>
              </w:rPr>
              <w:t>3</w:t>
            </w:r>
          </w:p>
        </w:tc>
        <w:tc>
          <w:tcPr>
            <w:tcW w:w="2394" w:type="dxa"/>
            <w:tcBorders>
              <w:left w:val="double" w:sz="4" w:space="0" w:color="auto"/>
            </w:tcBorders>
            <w:shd w:val="clear" w:color="auto" w:fill="FFFFFF" w:themeFill="background1"/>
          </w:tcPr>
          <w:p w:rsidR="0001449A" w:rsidRPr="000E6581" w:rsidRDefault="0001449A" w:rsidP="00A961D2">
            <w:pPr>
              <w:rPr>
                <w:rFonts w:asciiTheme="majorBidi" w:hAnsiTheme="majorBidi" w:cstheme="majorBidi"/>
                <w:sz w:val="20"/>
                <w:szCs w:val="20"/>
              </w:rPr>
            </w:pPr>
            <w:r w:rsidRPr="000E6581">
              <w:rPr>
                <w:rFonts w:asciiTheme="majorBidi" w:hAnsiTheme="majorBidi" w:cstheme="majorBidi"/>
                <w:sz w:val="20"/>
                <w:szCs w:val="20"/>
              </w:rPr>
              <w:t>Advanced IRB Approach</w:t>
            </w:r>
          </w:p>
        </w:tc>
        <w:tc>
          <w:tcPr>
            <w:tcW w:w="2394" w:type="dxa"/>
            <w:tcBorders>
              <w:right w:val="double" w:sz="4" w:space="0" w:color="auto"/>
            </w:tcBorders>
            <w:shd w:val="clear" w:color="auto" w:fill="FFFFFF" w:themeFill="background1"/>
          </w:tcPr>
          <w:p w:rsidR="009F7B06" w:rsidRDefault="004F754C" w:rsidP="00A961D2">
            <w:pPr>
              <w:rPr>
                <w:rFonts w:asciiTheme="majorBidi" w:hAnsiTheme="majorBidi" w:cstheme="majorBidi"/>
                <w:sz w:val="20"/>
                <w:szCs w:val="20"/>
              </w:rPr>
            </w:pPr>
            <w:r>
              <w:rPr>
                <w:rFonts w:asciiTheme="majorBidi" w:hAnsiTheme="majorBidi" w:cstheme="majorBidi"/>
                <w:sz w:val="20"/>
                <w:szCs w:val="20"/>
              </w:rPr>
              <w:t xml:space="preserve">Advanced Measurement </w:t>
            </w:r>
          </w:p>
          <w:p w:rsidR="0001449A" w:rsidRPr="000E6581" w:rsidRDefault="0001449A" w:rsidP="00A961D2">
            <w:pPr>
              <w:rPr>
                <w:rFonts w:asciiTheme="majorBidi" w:hAnsiTheme="majorBidi" w:cstheme="majorBidi"/>
                <w:sz w:val="20"/>
                <w:szCs w:val="20"/>
              </w:rPr>
            </w:pPr>
          </w:p>
        </w:tc>
        <w:tc>
          <w:tcPr>
            <w:tcW w:w="2140" w:type="dxa"/>
            <w:tcBorders>
              <w:top w:val="double" w:sz="4" w:space="0" w:color="auto"/>
              <w:left w:val="double" w:sz="4" w:space="0" w:color="auto"/>
              <w:bottom w:val="double" w:sz="4" w:space="0" w:color="auto"/>
              <w:right w:val="double" w:sz="4" w:space="0" w:color="auto"/>
            </w:tcBorders>
            <w:shd w:val="clear" w:color="auto" w:fill="FFFFFF" w:themeFill="background1"/>
          </w:tcPr>
          <w:p w:rsidR="0001449A" w:rsidRPr="000E6581" w:rsidRDefault="0001449A" w:rsidP="00A961D2">
            <w:pPr>
              <w:rPr>
                <w:rFonts w:asciiTheme="majorBidi" w:hAnsiTheme="majorBidi" w:cstheme="majorBidi"/>
                <w:sz w:val="20"/>
                <w:szCs w:val="20"/>
              </w:rPr>
            </w:pPr>
          </w:p>
        </w:tc>
      </w:tr>
    </w:tbl>
    <w:p w:rsidR="004F754C" w:rsidRPr="00B101F7" w:rsidRDefault="004F754C" w:rsidP="00B8233F">
      <w:pPr>
        <w:spacing w:after="0" w:line="240" w:lineRule="auto"/>
        <w:jc w:val="center"/>
        <w:rPr>
          <w:rFonts w:asciiTheme="majorBidi" w:hAnsiTheme="majorBidi" w:cstheme="majorBidi"/>
          <w:sz w:val="16"/>
          <w:szCs w:val="16"/>
        </w:rPr>
      </w:pPr>
    </w:p>
    <w:p w:rsidR="00210E3E" w:rsidRPr="005B093E" w:rsidRDefault="004F754C" w:rsidP="00B8233F">
      <w:pPr>
        <w:spacing w:after="240" w:line="240" w:lineRule="auto"/>
        <w:jc w:val="center"/>
        <w:rPr>
          <w:rFonts w:asciiTheme="majorBidi" w:hAnsiTheme="majorBidi" w:cstheme="majorBidi"/>
          <w:sz w:val="20"/>
          <w:szCs w:val="20"/>
        </w:rPr>
      </w:pPr>
      <w:r w:rsidRPr="00B101F7">
        <w:rPr>
          <w:rFonts w:asciiTheme="majorBidi" w:hAnsiTheme="majorBidi" w:cstheme="majorBidi"/>
          <w:sz w:val="20"/>
          <w:szCs w:val="20"/>
        </w:rPr>
        <w:t>Source:</w:t>
      </w:r>
      <w:r w:rsidR="000E401B">
        <w:rPr>
          <w:rFonts w:asciiTheme="majorBidi" w:hAnsiTheme="majorBidi" w:cstheme="majorBidi"/>
          <w:sz w:val="20"/>
          <w:szCs w:val="20"/>
        </w:rPr>
        <w:t xml:space="preserve"> Zidan (the Author), </w:t>
      </w:r>
      <w:r w:rsidRPr="00C12167">
        <w:rPr>
          <w:rFonts w:asciiTheme="majorBidi" w:hAnsiTheme="majorBidi" w:cstheme="majorBidi"/>
          <w:sz w:val="20"/>
          <w:szCs w:val="20"/>
        </w:rPr>
        <w:t>2013</w:t>
      </w:r>
      <w:r>
        <w:rPr>
          <w:rFonts w:asciiTheme="majorBidi" w:hAnsiTheme="majorBidi" w:cstheme="majorBidi"/>
          <w:sz w:val="20"/>
          <w:szCs w:val="20"/>
        </w:rPr>
        <w:t>.</w:t>
      </w:r>
    </w:p>
    <w:p w:rsidR="00F52111" w:rsidRPr="004F754C" w:rsidRDefault="005426F2" w:rsidP="00833B9E">
      <w:pPr>
        <w:spacing w:after="240" w:line="240" w:lineRule="auto"/>
        <w:jc w:val="center"/>
        <w:rPr>
          <w:rFonts w:asciiTheme="majorBidi" w:hAnsiTheme="majorBidi" w:cstheme="majorBidi"/>
          <w:sz w:val="20"/>
          <w:szCs w:val="20"/>
        </w:rPr>
      </w:pPr>
      <w:r w:rsidRPr="00A1002B">
        <w:rPr>
          <w:rFonts w:asciiTheme="majorBidi" w:hAnsiTheme="majorBidi" w:cstheme="majorBidi"/>
          <w:b/>
          <w:bCs/>
        </w:rPr>
        <w:t>Table 2.</w:t>
      </w:r>
      <w:r w:rsidR="00FA1046">
        <w:rPr>
          <w:rFonts w:asciiTheme="majorBidi" w:hAnsiTheme="majorBidi" w:cstheme="majorBidi"/>
          <w:b/>
          <w:bCs/>
        </w:rPr>
        <w:t xml:space="preserve">4: </w:t>
      </w:r>
      <w:r w:rsidR="00AB0D3F">
        <w:rPr>
          <w:rFonts w:asciiTheme="majorBidi" w:hAnsiTheme="majorBidi" w:cstheme="majorBidi"/>
          <w:b/>
          <w:bCs/>
        </w:rPr>
        <w:t>the</w:t>
      </w:r>
      <w:r w:rsidR="00FA1046">
        <w:rPr>
          <w:rFonts w:asciiTheme="majorBidi" w:hAnsiTheme="majorBidi" w:cstheme="majorBidi"/>
          <w:b/>
          <w:bCs/>
        </w:rPr>
        <w:t xml:space="preserve"> Three c</w:t>
      </w:r>
      <w:r w:rsidR="00F302C7" w:rsidRPr="00A1002B">
        <w:rPr>
          <w:rFonts w:asciiTheme="majorBidi" w:hAnsiTheme="majorBidi" w:cstheme="majorBidi"/>
          <w:b/>
          <w:bCs/>
        </w:rPr>
        <w:t>r</w:t>
      </w:r>
      <w:r w:rsidR="00FA1046">
        <w:rPr>
          <w:rFonts w:asciiTheme="majorBidi" w:hAnsiTheme="majorBidi" w:cstheme="majorBidi"/>
          <w:b/>
          <w:bCs/>
        </w:rPr>
        <w:t>edit risk A</w:t>
      </w:r>
      <w:r w:rsidR="00F302C7" w:rsidRPr="00A1002B">
        <w:rPr>
          <w:rFonts w:asciiTheme="majorBidi" w:hAnsiTheme="majorBidi" w:cstheme="majorBidi"/>
          <w:b/>
          <w:bCs/>
        </w:rPr>
        <w:t>pproaches</w:t>
      </w:r>
    </w:p>
    <w:p w:rsidR="000E401B" w:rsidRDefault="0044071D" w:rsidP="009165E4">
      <w:pPr>
        <w:spacing w:after="240" w:line="360" w:lineRule="auto"/>
        <w:jc w:val="center"/>
        <w:rPr>
          <w:rFonts w:asciiTheme="majorBidi" w:hAnsiTheme="majorBidi" w:cstheme="majorBidi"/>
          <w:sz w:val="20"/>
          <w:szCs w:val="20"/>
        </w:rPr>
      </w:pPr>
      <w:r w:rsidRPr="00AA1AAD">
        <w:rPr>
          <w:noProof/>
          <w:sz w:val="24"/>
          <w:szCs w:val="24"/>
        </w:rPr>
        <w:drawing>
          <wp:inline distT="0" distB="0" distL="0" distR="0">
            <wp:extent cx="5499158" cy="1144987"/>
            <wp:effectExtent l="19050" t="0" r="629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duotone>
                        <a:prstClr val="black"/>
                        <a:schemeClr val="accent1">
                          <a:tint val="45000"/>
                          <a:satMod val="400000"/>
                        </a:schemeClr>
                      </a:duotone>
                    </a:blip>
                    <a:srcRect/>
                    <a:stretch>
                      <a:fillRect/>
                    </a:stretch>
                  </pic:blipFill>
                  <pic:spPr bwMode="auto">
                    <a:xfrm>
                      <a:off x="0" y="0"/>
                      <a:ext cx="5517140" cy="1148731"/>
                    </a:xfrm>
                    <a:prstGeom prst="rect">
                      <a:avLst/>
                    </a:prstGeom>
                    <a:noFill/>
                    <a:ln w="9525">
                      <a:noFill/>
                      <a:miter lim="800000"/>
                      <a:headEnd/>
                      <a:tailEnd/>
                    </a:ln>
                  </pic:spPr>
                </pic:pic>
              </a:graphicData>
            </a:graphic>
          </wp:inline>
        </w:drawing>
      </w:r>
    </w:p>
    <w:p w:rsidR="00F52111" w:rsidRPr="009165E4" w:rsidRDefault="00F302C7" w:rsidP="009165E4">
      <w:pPr>
        <w:spacing w:after="240" w:line="360" w:lineRule="auto"/>
        <w:jc w:val="center"/>
        <w:rPr>
          <w:rFonts w:asciiTheme="majorBidi" w:hAnsiTheme="majorBidi" w:cstheme="majorBidi"/>
          <w:sz w:val="20"/>
          <w:szCs w:val="20"/>
        </w:rPr>
      </w:pPr>
      <w:r w:rsidRPr="00C12167">
        <w:rPr>
          <w:rFonts w:asciiTheme="majorBidi" w:hAnsiTheme="majorBidi" w:cstheme="majorBidi"/>
          <w:sz w:val="20"/>
          <w:szCs w:val="20"/>
        </w:rPr>
        <w:t xml:space="preserve">Source: </w:t>
      </w:r>
      <w:r w:rsidR="00F9664F" w:rsidRPr="00C12167">
        <w:rPr>
          <w:rFonts w:asciiTheme="majorBidi" w:hAnsiTheme="majorBidi" w:cstheme="majorBidi"/>
          <w:sz w:val="20"/>
          <w:szCs w:val="20"/>
        </w:rPr>
        <w:t>American So</w:t>
      </w:r>
      <w:r w:rsidR="00F81D65" w:rsidRPr="00C12167">
        <w:rPr>
          <w:rFonts w:asciiTheme="majorBidi" w:hAnsiTheme="majorBidi" w:cstheme="majorBidi"/>
          <w:sz w:val="20"/>
          <w:szCs w:val="20"/>
        </w:rPr>
        <w:t>ciety o</w:t>
      </w:r>
      <w:r w:rsidR="00FA1046" w:rsidRPr="00C12167">
        <w:rPr>
          <w:rFonts w:asciiTheme="majorBidi" w:hAnsiTheme="majorBidi" w:cstheme="majorBidi"/>
          <w:sz w:val="20"/>
          <w:szCs w:val="20"/>
        </w:rPr>
        <w:t>f Appraisers, 2006</w:t>
      </w:r>
    </w:p>
    <w:p w:rsidR="00B8233F" w:rsidRPr="000E401B" w:rsidRDefault="00781450" w:rsidP="00B8233F">
      <w:pPr>
        <w:spacing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After all modification in 1999 on Basel 1 or the former</w:t>
      </w:r>
      <w:r w:rsidRPr="008B0B82">
        <w:rPr>
          <w:rFonts w:ascii="Times New Roman" w:hAnsi="Times New Roman" w:cs="Times New Roman"/>
          <w:sz w:val="24"/>
          <w:szCs w:val="24"/>
        </w:rPr>
        <w:t xml:space="preserve"> Cooke ratio</w:t>
      </w:r>
      <w:r w:rsidR="005D4AC1">
        <w:rPr>
          <w:rFonts w:ascii="Times New Roman" w:hAnsi="Times New Roman" w:cs="Times New Roman"/>
          <w:sz w:val="24"/>
          <w:szCs w:val="24"/>
        </w:rPr>
        <w:t>,</w:t>
      </w:r>
      <w:r w:rsidRPr="008B0B82">
        <w:rPr>
          <w:rFonts w:ascii="Times New Roman" w:hAnsi="Times New Roman" w:cs="Times New Roman"/>
          <w:sz w:val="24"/>
          <w:szCs w:val="24"/>
        </w:rPr>
        <w:t xml:space="preserve"> </w:t>
      </w:r>
      <w:r w:rsidR="009614C9" w:rsidRPr="008B0B82">
        <w:rPr>
          <w:rFonts w:ascii="Times New Roman" w:hAnsi="Times New Roman" w:cs="Times New Roman"/>
          <w:sz w:val="24"/>
          <w:szCs w:val="24"/>
        </w:rPr>
        <w:t>a new ratio was agreed to be created. It officially re</w:t>
      </w:r>
      <w:r w:rsidR="00FA1046">
        <w:rPr>
          <w:rFonts w:ascii="Times New Roman" w:hAnsi="Times New Roman" w:cs="Times New Roman"/>
          <w:sz w:val="24"/>
          <w:szCs w:val="24"/>
        </w:rPr>
        <w:t>placed the Cooke ratio in</w:t>
      </w:r>
      <w:r w:rsidR="009664E7" w:rsidRPr="008B0B82">
        <w:rPr>
          <w:rFonts w:ascii="Times New Roman" w:hAnsi="Times New Roman" w:cs="Times New Roman"/>
          <w:sz w:val="24"/>
          <w:szCs w:val="24"/>
        </w:rPr>
        <w:t xml:space="preserve"> </w:t>
      </w:r>
      <w:r w:rsidR="009614C9" w:rsidRPr="008B0B82">
        <w:rPr>
          <w:rFonts w:ascii="Times New Roman" w:hAnsi="Times New Roman" w:cs="Times New Roman"/>
          <w:sz w:val="24"/>
          <w:szCs w:val="24"/>
        </w:rPr>
        <w:t xml:space="preserve">2006. </w:t>
      </w:r>
    </w:p>
    <w:p w:rsidR="009614C9" w:rsidRPr="00A1002B" w:rsidRDefault="007A78D1" w:rsidP="00A1002B">
      <w:pPr>
        <w:spacing w:after="240" w:line="360" w:lineRule="auto"/>
        <w:jc w:val="center"/>
        <w:rPr>
          <w:rFonts w:ascii="Times New Roman" w:hAnsi="Times New Roman" w:cs="Times New Roman"/>
          <w:b/>
        </w:rPr>
      </w:pPr>
      <w:r>
        <w:rPr>
          <w:rFonts w:ascii="Times New Roman" w:hAnsi="Times New Roman" w:cs="Times New Roman"/>
          <w:b/>
          <w:noProof/>
        </w:rPr>
        <w:pict>
          <v:shape id="_x0000_s1149" type="#_x0000_t32" style="position:absolute;left:0;text-align:left;margin-left:-11.25pt;margin-top:22.5pt;width:444.75pt;height:0;z-index:251752448" o:connectortype="straight" strokeweight="1.25pt"/>
        </w:pict>
      </w:r>
      <w:r w:rsidR="00F47D79" w:rsidRPr="00A1002B">
        <w:rPr>
          <w:rFonts w:ascii="Times New Roman" w:hAnsi="Times New Roman" w:cs="Times New Roman"/>
          <w:b/>
        </w:rPr>
        <w:t>Figure</w:t>
      </w:r>
      <w:r w:rsidR="00BA4FB9" w:rsidRPr="00A1002B">
        <w:rPr>
          <w:rFonts w:ascii="Times New Roman" w:hAnsi="Times New Roman" w:cs="Times New Roman"/>
          <w:b/>
        </w:rPr>
        <w:t xml:space="preserve"> 2.</w:t>
      </w:r>
      <w:r w:rsidR="00F47D79" w:rsidRPr="00A1002B">
        <w:rPr>
          <w:rFonts w:ascii="Times New Roman" w:hAnsi="Times New Roman" w:cs="Times New Roman"/>
          <w:b/>
        </w:rPr>
        <w:t>6: The McDonough ratio</w:t>
      </w:r>
    </w:p>
    <w:p w:rsidR="00C075B0" w:rsidRPr="00D4262C" w:rsidRDefault="00F47D79" w:rsidP="008A6085">
      <w:pPr>
        <w:spacing w:after="240" w:line="240" w:lineRule="auto"/>
        <w:rPr>
          <w:rFonts w:ascii="Times New Roman" w:hAnsi="Times New Roman" w:cs="Times New Roman"/>
          <w:b/>
        </w:rPr>
      </w:pPr>
      <w:r w:rsidRPr="00D4262C">
        <w:rPr>
          <w:rFonts w:ascii="Times New Roman" w:hAnsi="Times New Roman" w:cs="Times New Roman"/>
          <w:b/>
        </w:rPr>
        <w:t>Mc =</w:t>
      </w:r>
      <w:r w:rsidR="00FC44FB" w:rsidRPr="00D4262C">
        <w:rPr>
          <w:rFonts w:ascii="Times New Roman" w:hAnsi="Times New Roman" w:cs="Times New Roman"/>
          <w:b/>
        </w:rPr>
        <w:t xml:space="preserve"> (Tier 1 + Tier 2 + Tier 3)/ (Cr</w:t>
      </w:r>
      <w:r w:rsidRPr="00D4262C">
        <w:rPr>
          <w:rFonts w:ascii="Times New Roman" w:hAnsi="Times New Roman" w:cs="Times New Roman"/>
          <w:b/>
        </w:rPr>
        <w:t xml:space="preserve"> +Mr + Or)               ≥ 8%                 </w:t>
      </w:r>
    </w:p>
    <w:p w:rsidR="00F47D79" w:rsidRPr="00D4262C" w:rsidRDefault="00F47D79" w:rsidP="008A6085">
      <w:pPr>
        <w:spacing w:after="240" w:line="240" w:lineRule="auto"/>
        <w:rPr>
          <w:rFonts w:ascii="Times New Roman" w:hAnsi="Times New Roman" w:cs="Times New Roman"/>
          <w:b/>
        </w:rPr>
      </w:pPr>
      <w:r w:rsidRPr="00D4262C">
        <w:rPr>
          <w:rFonts w:ascii="Times New Roman" w:hAnsi="Times New Roman" w:cs="Times New Roman"/>
          <w:b/>
        </w:rPr>
        <w:t xml:space="preserve">Tier 1- Core capital (according </w:t>
      </w:r>
      <w:r w:rsidR="00FA1046">
        <w:rPr>
          <w:rFonts w:ascii="Times New Roman" w:hAnsi="Times New Roman" w:cs="Times New Roman"/>
          <w:b/>
        </w:rPr>
        <w:t xml:space="preserve">to </w:t>
      </w:r>
      <w:r w:rsidRPr="00D4262C">
        <w:rPr>
          <w:rFonts w:ascii="Times New Roman" w:hAnsi="Times New Roman" w:cs="Times New Roman"/>
          <w:b/>
        </w:rPr>
        <w:t>Basel 1)</w:t>
      </w:r>
    </w:p>
    <w:p w:rsidR="00F47D79" w:rsidRPr="00D4262C" w:rsidRDefault="00F47D79" w:rsidP="008A6085">
      <w:pPr>
        <w:spacing w:after="240" w:line="240" w:lineRule="auto"/>
        <w:rPr>
          <w:rFonts w:ascii="Times New Roman" w:hAnsi="Times New Roman" w:cs="Times New Roman"/>
          <w:b/>
        </w:rPr>
      </w:pPr>
      <w:r w:rsidRPr="00D4262C">
        <w:rPr>
          <w:rFonts w:ascii="Times New Roman" w:hAnsi="Times New Roman" w:cs="Times New Roman"/>
          <w:b/>
        </w:rPr>
        <w:t xml:space="preserve">Tier 2- Supplementary capital </w:t>
      </w:r>
      <w:r w:rsidR="00223FD2" w:rsidRPr="00D4262C">
        <w:rPr>
          <w:rFonts w:ascii="Times New Roman" w:hAnsi="Times New Roman" w:cs="Times New Roman"/>
          <w:b/>
        </w:rPr>
        <w:t>(</w:t>
      </w:r>
      <w:r w:rsidR="00223FD2">
        <w:rPr>
          <w:rFonts w:ascii="Times New Roman" w:hAnsi="Times New Roman" w:cs="Times New Roman"/>
          <w:b/>
        </w:rPr>
        <w:t>according</w:t>
      </w:r>
      <w:r w:rsidR="00FA1046">
        <w:rPr>
          <w:rFonts w:ascii="Times New Roman" w:hAnsi="Times New Roman" w:cs="Times New Roman"/>
          <w:b/>
        </w:rPr>
        <w:t xml:space="preserve"> to </w:t>
      </w:r>
      <w:r w:rsidRPr="00D4262C">
        <w:rPr>
          <w:rFonts w:ascii="Times New Roman" w:hAnsi="Times New Roman" w:cs="Times New Roman"/>
          <w:b/>
        </w:rPr>
        <w:t>Basel 1)</w:t>
      </w:r>
    </w:p>
    <w:p w:rsidR="00F47D79" w:rsidRPr="00D4262C" w:rsidRDefault="00F47D79" w:rsidP="008A6085">
      <w:pPr>
        <w:spacing w:after="240" w:line="240" w:lineRule="auto"/>
        <w:rPr>
          <w:rFonts w:ascii="Times New Roman" w:hAnsi="Times New Roman" w:cs="Times New Roman"/>
          <w:b/>
        </w:rPr>
      </w:pPr>
      <w:r w:rsidRPr="00D4262C">
        <w:rPr>
          <w:rFonts w:ascii="Times New Roman" w:hAnsi="Times New Roman" w:cs="Times New Roman"/>
          <w:b/>
        </w:rPr>
        <w:t>Tier 3- Short-term subordinated debt (</w:t>
      </w:r>
      <w:r w:rsidR="008A6085" w:rsidRPr="00D4262C">
        <w:rPr>
          <w:rFonts w:ascii="Times New Roman" w:hAnsi="Times New Roman" w:cs="Times New Roman"/>
          <w:b/>
        </w:rPr>
        <w:t>M</w:t>
      </w:r>
      <w:r w:rsidRPr="00D4262C">
        <w:rPr>
          <w:rFonts w:ascii="Times New Roman" w:hAnsi="Times New Roman" w:cs="Times New Roman"/>
          <w:b/>
        </w:rPr>
        <w:t>arket amendment)</w:t>
      </w:r>
    </w:p>
    <w:p w:rsidR="00F47D79" w:rsidRPr="00D4262C" w:rsidRDefault="00F47D79" w:rsidP="008A6085">
      <w:pPr>
        <w:spacing w:after="240" w:line="240" w:lineRule="auto"/>
        <w:rPr>
          <w:rFonts w:ascii="Times New Roman" w:hAnsi="Times New Roman" w:cs="Times New Roman"/>
          <w:b/>
        </w:rPr>
      </w:pPr>
      <w:r w:rsidRPr="00D4262C">
        <w:rPr>
          <w:rFonts w:ascii="Times New Roman" w:hAnsi="Times New Roman" w:cs="Times New Roman"/>
          <w:b/>
        </w:rPr>
        <w:t xml:space="preserve">Cr      - Credit risk capital charge represented by risk weighted credit assets </w:t>
      </w:r>
      <w:r w:rsidR="008A6085" w:rsidRPr="00D4262C">
        <w:rPr>
          <w:rFonts w:ascii="Times New Roman" w:hAnsi="Times New Roman" w:cs="Times New Roman"/>
          <w:b/>
        </w:rPr>
        <w:t>(Basel 2)</w:t>
      </w:r>
    </w:p>
    <w:p w:rsidR="008A6085" w:rsidRPr="00451FA8" w:rsidRDefault="008A6085" w:rsidP="008A6085">
      <w:pPr>
        <w:spacing w:after="240" w:line="240" w:lineRule="auto"/>
        <w:rPr>
          <w:rFonts w:ascii="Times New Roman" w:hAnsi="Times New Roman" w:cs="Times New Roman"/>
          <w:b/>
          <w:sz w:val="24"/>
          <w:szCs w:val="24"/>
        </w:rPr>
      </w:pPr>
      <w:r w:rsidRPr="00D4262C">
        <w:rPr>
          <w:rFonts w:ascii="Times New Roman" w:hAnsi="Times New Roman" w:cs="Times New Roman"/>
          <w:b/>
        </w:rPr>
        <w:t>Mr     - Market risk capital charge (Market a</w:t>
      </w:r>
      <w:r w:rsidRPr="00451FA8">
        <w:rPr>
          <w:rFonts w:ascii="Times New Roman" w:hAnsi="Times New Roman" w:cs="Times New Roman"/>
          <w:b/>
          <w:sz w:val="24"/>
          <w:szCs w:val="24"/>
        </w:rPr>
        <w:t>mendment)</w:t>
      </w:r>
    </w:p>
    <w:p w:rsidR="008A6085" w:rsidRPr="00D4262C" w:rsidRDefault="007A78D1" w:rsidP="008A6085">
      <w:pPr>
        <w:spacing w:after="240" w:line="240" w:lineRule="auto"/>
        <w:rPr>
          <w:rFonts w:ascii="Times New Roman" w:hAnsi="Times New Roman" w:cs="Times New Roman"/>
          <w:b/>
        </w:rPr>
      </w:pPr>
      <w:r>
        <w:rPr>
          <w:rFonts w:ascii="Times New Roman" w:hAnsi="Times New Roman" w:cs="Times New Roman"/>
          <w:b/>
          <w:noProof/>
        </w:rPr>
        <w:pict>
          <v:shape id="_x0000_s1151" type="#_x0000_t32" style="position:absolute;margin-left:-11.25pt;margin-top:16.5pt;width:444.75pt;height:0;flip:x;z-index:251754496" o:connectortype="straight" strokeweight="1.25pt"/>
        </w:pict>
      </w:r>
      <w:r w:rsidR="008A6085" w:rsidRPr="00D4262C">
        <w:rPr>
          <w:rFonts w:ascii="Times New Roman" w:hAnsi="Times New Roman" w:cs="Times New Roman"/>
          <w:b/>
        </w:rPr>
        <w:t>Or      - Operational capital charge (</w:t>
      </w:r>
      <w:r w:rsidR="00FA1046">
        <w:rPr>
          <w:rFonts w:ascii="Times New Roman" w:hAnsi="Times New Roman" w:cs="Times New Roman"/>
          <w:b/>
        </w:rPr>
        <w:t xml:space="preserve">according to </w:t>
      </w:r>
      <w:r w:rsidR="008A6085" w:rsidRPr="00D4262C">
        <w:rPr>
          <w:rFonts w:ascii="Times New Roman" w:hAnsi="Times New Roman" w:cs="Times New Roman"/>
          <w:b/>
        </w:rPr>
        <w:t>Basel 2)</w:t>
      </w:r>
    </w:p>
    <w:p w:rsidR="003B4DA4" w:rsidRDefault="00B101F7" w:rsidP="00B101F7">
      <w:pPr>
        <w:spacing w:after="240" w:line="360" w:lineRule="auto"/>
        <w:contextualSpacing/>
        <w:jc w:val="center"/>
        <w:rPr>
          <w:rFonts w:asciiTheme="majorBidi" w:hAnsiTheme="majorBidi" w:cstheme="majorBidi"/>
          <w:sz w:val="20"/>
          <w:szCs w:val="20"/>
        </w:rPr>
      </w:pPr>
      <w:r w:rsidRPr="00B101F7">
        <w:rPr>
          <w:rFonts w:asciiTheme="majorBidi" w:hAnsiTheme="majorBidi" w:cstheme="majorBidi"/>
          <w:sz w:val="20"/>
          <w:szCs w:val="20"/>
        </w:rPr>
        <w:t>Source: Basel, 1996</w:t>
      </w:r>
    </w:p>
    <w:p w:rsidR="00B101F7" w:rsidRPr="00B101F7" w:rsidRDefault="00B101F7" w:rsidP="00B101F7">
      <w:pPr>
        <w:spacing w:after="240" w:line="360" w:lineRule="auto"/>
        <w:contextualSpacing/>
        <w:jc w:val="center"/>
        <w:rPr>
          <w:rFonts w:asciiTheme="majorBidi" w:hAnsiTheme="majorBidi" w:cstheme="majorBidi"/>
          <w:sz w:val="20"/>
          <w:szCs w:val="20"/>
        </w:rPr>
      </w:pPr>
    </w:p>
    <w:p w:rsidR="00757AA1" w:rsidRPr="00A1002B" w:rsidRDefault="00FE5FF7" w:rsidP="00165369">
      <w:pPr>
        <w:spacing w:after="240" w:line="360" w:lineRule="auto"/>
        <w:contextualSpacing/>
        <w:rPr>
          <w:rFonts w:asciiTheme="majorBidi" w:hAnsiTheme="majorBidi" w:cstheme="majorBidi"/>
          <w:sz w:val="24"/>
          <w:szCs w:val="24"/>
        </w:rPr>
      </w:pPr>
      <w:r w:rsidRPr="00A1002B">
        <w:rPr>
          <w:rFonts w:asciiTheme="majorBidi" w:hAnsiTheme="majorBidi" w:cstheme="majorBidi"/>
          <w:b/>
          <w:sz w:val="24"/>
          <w:szCs w:val="24"/>
        </w:rPr>
        <w:t>2.2.3.2</w:t>
      </w:r>
      <w:r w:rsidR="00165369" w:rsidRPr="00A1002B">
        <w:rPr>
          <w:rFonts w:asciiTheme="majorBidi" w:hAnsiTheme="majorBidi" w:cstheme="majorBidi"/>
          <w:b/>
          <w:sz w:val="24"/>
          <w:szCs w:val="24"/>
        </w:rPr>
        <w:t>.2 Pillar 2- Supervisory Review</w:t>
      </w:r>
      <w:r w:rsidRPr="00A1002B">
        <w:rPr>
          <w:rFonts w:asciiTheme="majorBidi" w:hAnsiTheme="majorBidi" w:cstheme="majorBidi"/>
          <w:b/>
          <w:sz w:val="24"/>
          <w:szCs w:val="24"/>
        </w:rPr>
        <w:t xml:space="preserve"> of Capital</w:t>
      </w:r>
    </w:p>
    <w:p w:rsidR="003B4DA4" w:rsidRDefault="00FA1046" w:rsidP="005B09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the </w:t>
      </w:r>
      <w:r w:rsidR="00B1661E">
        <w:rPr>
          <w:rFonts w:ascii="Times New Roman" w:hAnsi="Times New Roman" w:cs="Times New Roman"/>
          <w:sz w:val="24"/>
          <w:szCs w:val="24"/>
        </w:rPr>
        <w:t>N</w:t>
      </w:r>
      <w:r>
        <w:rPr>
          <w:rFonts w:ascii="Times New Roman" w:hAnsi="Times New Roman" w:cs="Times New Roman"/>
          <w:sz w:val="24"/>
          <w:szCs w:val="24"/>
        </w:rPr>
        <w:t xml:space="preserve">ew </w:t>
      </w:r>
      <w:r w:rsidR="00B1661E">
        <w:rPr>
          <w:rFonts w:ascii="Times New Roman" w:hAnsi="Times New Roman" w:cs="Times New Roman"/>
          <w:sz w:val="24"/>
          <w:szCs w:val="24"/>
        </w:rPr>
        <w:t>A</w:t>
      </w:r>
      <w:r w:rsidR="00996453" w:rsidRPr="008B0B82">
        <w:rPr>
          <w:rFonts w:ascii="Times New Roman" w:hAnsi="Times New Roman" w:cs="Times New Roman"/>
          <w:sz w:val="24"/>
          <w:szCs w:val="24"/>
        </w:rPr>
        <w:t>ccord, the supervisory review process does not only mean guaranteeing sufficiency of capital at the banks to face business risks, but it also</w:t>
      </w:r>
      <w:r w:rsidR="00B1661E">
        <w:rPr>
          <w:rFonts w:ascii="Times New Roman" w:hAnsi="Times New Roman" w:cs="Times New Roman"/>
          <w:sz w:val="24"/>
          <w:szCs w:val="24"/>
        </w:rPr>
        <w:t xml:space="preserve"> means</w:t>
      </w:r>
      <w:r w:rsidR="002E3FE6">
        <w:rPr>
          <w:rFonts w:ascii="Times New Roman" w:hAnsi="Times New Roman" w:cs="Times New Roman"/>
          <w:sz w:val="24"/>
          <w:szCs w:val="24"/>
        </w:rPr>
        <w:t xml:space="preserve">, encouraging </w:t>
      </w:r>
      <w:r w:rsidR="00996453" w:rsidRPr="008B0B82">
        <w:rPr>
          <w:rFonts w:ascii="Times New Roman" w:hAnsi="Times New Roman" w:cs="Times New Roman"/>
          <w:sz w:val="24"/>
          <w:szCs w:val="24"/>
        </w:rPr>
        <w:t xml:space="preserve">banks to practice optimum risk management </w:t>
      </w:r>
      <w:r w:rsidRPr="008B0B82">
        <w:rPr>
          <w:rFonts w:ascii="Times New Roman" w:hAnsi="Times New Roman" w:cs="Times New Roman"/>
          <w:sz w:val="24"/>
          <w:szCs w:val="24"/>
        </w:rPr>
        <w:t>methods. The</w:t>
      </w:r>
      <w:r w:rsidR="00996453" w:rsidRPr="008B0B82">
        <w:rPr>
          <w:rFonts w:ascii="Times New Roman" w:hAnsi="Times New Roman" w:cs="Times New Roman"/>
          <w:sz w:val="24"/>
          <w:szCs w:val="24"/>
        </w:rPr>
        <w:t xml:space="preserve"> committee realized the existing relationship between</w:t>
      </w:r>
      <w:r w:rsidR="005D4AC1">
        <w:rPr>
          <w:rFonts w:ascii="Times New Roman" w:hAnsi="Times New Roman" w:cs="Times New Roman"/>
          <w:sz w:val="24"/>
          <w:szCs w:val="24"/>
        </w:rPr>
        <w:t xml:space="preserve"> the value of capital which</w:t>
      </w:r>
      <w:r w:rsidR="00996453" w:rsidRPr="008B0B82">
        <w:rPr>
          <w:rFonts w:ascii="Times New Roman" w:hAnsi="Times New Roman" w:cs="Times New Roman"/>
          <w:sz w:val="24"/>
          <w:szCs w:val="24"/>
        </w:rPr>
        <w:t xml:space="preserve"> bank</w:t>
      </w:r>
      <w:r w:rsidR="005D4AC1">
        <w:rPr>
          <w:rFonts w:ascii="Times New Roman" w:hAnsi="Times New Roman" w:cs="Times New Roman"/>
          <w:sz w:val="24"/>
          <w:szCs w:val="24"/>
        </w:rPr>
        <w:t xml:space="preserve"> must</w:t>
      </w:r>
      <w:r w:rsidR="00996453" w:rsidRPr="008B0B82">
        <w:rPr>
          <w:rFonts w:ascii="Times New Roman" w:hAnsi="Times New Roman" w:cs="Times New Roman"/>
          <w:sz w:val="24"/>
          <w:szCs w:val="24"/>
        </w:rPr>
        <w:t xml:space="preserve"> keeps to face risks </w:t>
      </w:r>
      <w:r w:rsidR="00585411" w:rsidRPr="008B0B82">
        <w:rPr>
          <w:rFonts w:ascii="Times New Roman" w:hAnsi="Times New Roman" w:cs="Times New Roman"/>
          <w:sz w:val="24"/>
          <w:szCs w:val="24"/>
        </w:rPr>
        <w:t xml:space="preserve">and </w:t>
      </w:r>
      <w:r w:rsidR="00585411">
        <w:rPr>
          <w:rFonts w:ascii="Times New Roman" w:hAnsi="Times New Roman" w:cs="Times New Roman"/>
          <w:sz w:val="24"/>
          <w:szCs w:val="24"/>
        </w:rPr>
        <w:t>the</w:t>
      </w:r>
      <w:r w:rsidR="005D4AC1">
        <w:rPr>
          <w:rFonts w:ascii="Times New Roman" w:hAnsi="Times New Roman" w:cs="Times New Roman"/>
          <w:sz w:val="24"/>
          <w:szCs w:val="24"/>
        </w:rPr>
        <w:t xml:space="preserve"> </w:t>
      </w:r>
      <w:r w:rsidR="00996453" w:rsidRPr="008B0B82">
        <w:rPr>
          <w:rFonts w:ascii="Times New Roman" w:hAnsi="Times New Roman" w:cs="Times New Roman"/>
          <w:sz w:val="24"/>
          <w:szCs w:val="24"/>
        </w:rPr>
        <w:t>strength and effectiveness of risk management and bank’s internal audit processes. However, we shouldn’t consider</w:t>
      </w:r>
      <w:r w:rsidR="005D4AC1">
        <w:rPr>
          <w:rFonts w:ascii="Times New Roman" w:hAnsi="Times New Roman" w:cs="Times New Roman"/>
          <w:sz w:val="24"/>
          <w:szCs w:val="24"/>
        </w:rPr>
        <w:t xml:space="preserve"> the</w:t>
      </w:r>
      <w:r w:rsidR="00996453" w:rsidRPr="008B0B82">
        <w:rPr>
          <w:rFonts w:ascii="Times New Roman" w:hAnsi="Times New Roman" w:cs="Times New Roman"/>
          <w:sz w:val="24"/>
          <w:szCs w:val="24"/>
        </w:rPr>
        <w:t xml:space="preserve"> increase of capital as the only option available to deal with the growing risks facing banks. There are other means to consider </w:t>
      </w:r>
      <w:r w:rsidR="00BA1ABA" w:rsidRPr="008B0B82">
        <w:rPr>
          <w:rFonts w:ascii="Times New Roman" w:hAnsi="Times New Roman" w:cs="Times New Roman"/>
          <w:sz w:val="24"/>
          <w:szCs w:val="24"/>
        </w:rPr>
        <w:t>tackling</w:t>
      </w:r>
      <w:r w:rsidR="00996453" w:rsidRPr="008B0B82">
        <w:rPr>
          <w:rFonts w:ascii="Times New Roman" w:hAnsi="Times New Roman" w:cs="Times New Roman"/>
          <w:sz w:val="24"/>
          <w:szCs w:val="24"/>
        </w:rPr>
        <w:t xml:space="preserve"> risks: strengthening risk management, implementation of internal limits, supporting and strengthening</w:t>
      </w:r>
      <w:r w:rsidR="00B1661E">
        <w:rPr>
          <w:rFonts w:ascii="Times New Roman" w:hAnsi="Times New Roman" w:cs="Times New Roman"/>
          <w:sz w:val="24"/>
          <w:szCs w:val="24"/>
        </w:rPr>
        <w:t xml:space="preserve"> l</w:t>
      </w:r>
      <w:r w:rsidR="00717174">
        <w:rPr>
          <w:rFonts w:ascii="Times New Roman" w:hAnsi="Times New Roman" w:cs="Times New Roman"/>
          <w:sz w:val="24"/>
          <w:szCs w:val="24"/>
        </w:rPr>
        <w:t>evels of reserves,</w:t>
      </w:r>
      <w:r w:rsidR="00996453" w:rsidRPr="008B0B82">
        <w:rPr>
          <w:rFonts w:ascii="Times New Roman" w:hAnsi="Times New Roman" w:cs="Times New Roman"/>
          <w:sz w:val="24"/>
          <w:szCs w:val="24"/>
        </w:rPr>
        <w:t xml:space="preserve"> provisions and improvement of internal controls. The capital shouldn’t be considered an alternative for the lack of basic sufficiency in the supervisory process or risk </w:t>
      </w:r>
      <w:r w:rsidR="002A1411" w:rsidRPr="008B0B82">
        <w:rPr>
          <w:rFonts w:ascii="Times New Roman" w:hAnsi="Times New Roman" w:cs="Times New Roman"/>
          <w:sz w:val="24"/>
          <w:szCs w:val="24"/>
        </w:rPr>
        <w:t>management (</w:t>
      </w:r>
      <w:r w:rsidR="002F355A" w:rsidRPr="008B0B82">
        <w:rPr>
          <w:rFonts w:ascii="Times New Roman" w:hAnsi="Times New Roman" w:cs="Times New Roman"/>
          <w:sz w:val="24"/>
          <w:szCs w:val="24"/>
        </w:rPr>
        <w:t>Basel</w:t>
      </w:r>
      <w:r w:rsidR="00B1661E">
        <w:rPr>
          <w:rFonts w:ascii="Times New Roman" w:hAnsi="Times New Roman" w:cs="Times New Roman"/>
          <w:sz w:val="24"/>
          <w:szCs w:val="24"/>
        </w:rPr>
        <w:t xml:space="preserve">, </w:t>
      </w:r>
      <w:r w:rsidR="002A1411">
        <w:rPr>
          <w:rFonts w:ascii="Times New Roman" w:hAnsi="Times New Roman" w:cs="Times New Roman"/>
          <w:sz w:val="24"/>
          <w:szCs w:val="24"/>
        </w:rPr>
        <w:t>Revised</w:t>
      </w:r>
      <w:r w:rsidR="00996453" w:rsidRPr="008B0B82">
        <w:rPr>
          <w:rFonts w:ascii="Times New Roman" w:hAnsi="Times New Roman" w:cs="Times New Roman"/>
          <w:sz w:val="24"/>
          <w:szCs w:val="24"/>
        </w:rPr>
        <w:t xml:space="preserve"> Fra</w:t>
      </w:r>
      <w:r w:rsidR="002A1411">
        <w:rPr>
          <w:rFonts w:ascii="Times New Roman" w:hAnsi="Times New Roman" w:cs="Times New Roman"/>
          <w:sz w:val="24"/>
          <w:szCs w:val="24"/>
        </w:rPr>
        <w:t xml:space="preserve">mework, </w:t>
      </w:r>
      <w:r w:rsidR="007941D2">
        <w:rPr>
          <w:rFonts w:ascii="Times New Roman" w:hAnsi="Times New Roman" w:cs="Times New Roman"/>
          <w:sz w:val="24"/>
          <w:szCs w:val="24"/>
        </w:rPr>
        <w:t>2006</w:t>
      </w:r>
      <w:r w:rsidR="00996453" w:rsidRPr="008B0B82">
        <w:rPr>
          <w:rFonts w:ascii="Times New Roman" w:hAnsi="Times New Roman" w:cs="Times New Roman"/>
          <w:sz w:val="24"/>
          <w:szCs w:val="24"/>
        </w:rPr>
        <w:t>).</w:t>
      </w:r>
    </w:p>
    <w:p w:rsidR="00B8233F" w:rsidRDefault="00B8233F" w:rsidP="005B093E">
      <w:pPr>
        <w:spacing w:line="360" w:lineRule="auto"/>
        <w:contextualSpacing/>
        <w:jc w:val="both"/>
        <w:rPr>
          <w:rFonts w:ascii="Times New Roman" w:hAnsi="Times New Roman" w:cs="Times New Roman"/>
          <w:sz w:val="24"/>
          <w:szCs w:val="24"/>
        </w:rPr>
      </w:pPr>
    </w:p>
    <w:p w:rsidR="00FE5FF7" w:rsidRPr="008B0B82" w:rsidRDefault="00FE5FF7" w:rsidP="00165369">
      <w:pPr>
        <w:spacing w:after="240" w:line="360" w:lineRule="auto"/>
        <w:contextualSpacing/>
        <w:rPr>
          <w:rFonts w:ascii="Times New Roman" w:hAnsi="Times New Roman" w:cs="Times New Roman"/>
          <w:sz w:val="24"/>
          <w:szCs w:val="24"/>
        </w:rPr>
      </w:pPr>
      <w:r w:rsidRPr="008B0B82">
        <w:rPr>
          <w:rFonts w:ascii="Times New Roman" w:hAnsi="Times New Roman" w:cs="Times New Roman"/>
          <w:b/>
          <w:sz w:val="24"/>
          <w:szCs w:val="24"/>
        </w:rPr>
        <w:t>2.2.3.2.3 Pillar 3 – Market Discipline (Disclosure Rules)</w:t>
      </w:r>
    </w:p>
    <w:p w:rsidR="00843CCB" w:rsidRPr="008B0B82" w:rsidRDefault="00843CCB" w:rsidP="005D4AC1">
      <w:pPr>
        <w:spacing w:line="360" w:lineRule="auto"/>
        <w:contextualSpacing/>
        <w:jc w:val="both"/>
        <w:rPr>
          <w:rFonts w:ascii="Times New Roman" w:hAnsi="Times New Roman" w:cs="Times New Roman"/>
          <w:sz w:val="24"/>
          <w:szCs w:val="24"/>
        </w:rPr>
      </w:pPr>
      <w:r w:rsidRPr="008B0B82">
        <w:rPr>
          <w:rFonts w:ascii="Times New Roman" w:hAnsi="Times New Roman" w:cs="Times New Roman"/>
          <w:sz w:val="24"/>
          <w:szCs w:val="24"/>
        </w:rPr>
        <w:t xml:space="preserve">Market discipline means making accurate information (financial and non-financial) available at anytime, thus enabling all different partners in the banking industry to make </w:t>
      </w:r>
      <w:r w:rsidRPr="008B0B82">
        <w:rPr>
          <w:rFonts w:ascii="Times New Roman" w:hAnsi="Times New Roman" w:cs="Times New Roman"/>
          <w:sz w:val="24"/>
          <w:szCs w:val="24"/>
        </w:rPr>
        <w:lastRenderedPageBreak/>
        <w:t>proper evaluations of banks’</w:t>
      </w:r>
      <w:r w:rsidR="00B1661E">
        <w:rPr>
          <w:rFonts w:ascii="Times New Roman" w:hAnsi="Times New Roman" w:cs="Times New Roman"/>
          <w:sz w:val="24"/>
          <w:szCs w:val="24"/>
        </w:rPr>
        <w:t xml:space="preserve"> operations and risks </w:t>
      </w:r>
      <w:r w:rsidR="00AC6BBD">
        <w:rPr>
          <w:rFonts w:ascii="Times New Roman" w:hAnsi="Times New Roman" w:cs="Times New Roman"/>
          <w:sz w:val="24"/>
          <w:szCs w:val="24"/>
        </w:rPr>
        <w:t>involved in them.</w:t>
      </w:r>
      <w:r w:rsidR="00AC6BBD" w:rsidRPr="008B0B82">
        <w:rPr>
          <w:rFonts w:ascii="Times New Roman" w:hAnsi="Times New Roman" w:cs="Times New Roman"/>
          <w:sz w:val="24"/>
          <w:szCs w:val="24"/>
        </w:rPr>
        <w:t xml:space="preserve"> This</w:t>
      </w:r>
      <w:r w:rsidRPr="008B0B82">
        <w:rPr>
          <w:rFonts w:ascii="Times New Roman" w:hAnsi="Times New Roman" w:cs="Times New Roman"/>
          <w:sz w:val="24"/>
          <w:szCs w:val="24"/>
        </w:rPr>
        <w:t xml:space="preserve"> means increase of degree of disclosure by banks of banks’ capital str</w:t>
      </w:r>
      <w:r w:rsidR="002E3FE6">
        <w:rPr>
          <w:rFonts w:ascii="Times New Roman" w:hAnsi="Times New Roman" w:cs="Times New Roman"/>
          <w:sz w:val="24"/>
          <w:szCs w:val="24"/>
        </w:rPr>
        <w:t>ucture,</w:t>
      </w:r>
      <w:r w:rsidRPr="008B0B82">
        <w:rPr>
          <w:rFonts w:ascii="Times New Roman" w:hAnsi="Times New Roman" w:cs="Times New Roman"/>
          <w:sz w:val="24"/>
          <w:szCs w:val="24"/>
        </w:rPr>
        <w:t xml:space="preserve"> adequa</w:t>
      </w:r>
      <w:r w:rsidR="002E3FE6">
        <w:rPr>
          <w:rFonts w:ascii="Times New Roman" w:hAnsi="Times New Roman" w:cs="Times New Roman"/>
          <w:sz w:val="24"/>
          <w:szCs w:val="24"/>
        </w:rPr>
        <w:t>cy of capital,</w:t>
      </w:r>
      <w:r w:rsidR="00B1661E">
        <w:rPr>
          <w:rFonts w:ascii="Times New Roman" w:hAnsi="Times New Roman" w:cs="Times New Roman"/>
          <w:sz w:val="24"/>
          <w:szCs w:val="24"/>
        </w:rPr>
        <w:t xml:space="preserve"> risk exposure and</w:t>
      </w:r>
      <w:r w:rsidRPr="008B0B82">
        <w:rPr>
          <w:rFonts w:ascii="Times New Roman" w:hAnsi="Times New Roman" w:cs="Times New Roman"/>
          <w:sz w:val="24"/>
          <w:szCs w:val="24"/>
        </w:rPr>
        <w:t xml:space="preserve"> their accounting policies to evaluate their assets obligations and creation of provisions. This is in addition to banks’ strategies in dealing with risk assessment processes and internal systems to estimate the required capital and all the quantitative and qualitative details about financial statuses and general performance</w:t>
      </w:r>
      <w:r w:rsidR="005D4AC1">
        <w:rPr>
          <w:rFonts w:ascii="Times New Roman" w:hAnsi="Times New Roman" w:cs="Times New Roman"/>
          <w:sz w:val="24"/>
          <w:szCs w:val="24"/>
          <w:lang w:bidi="ar-JO"/>
        </w:rPr>
        <w:t xml:space="preserve">. </w:t>
      </w:r>
      <w:r w:rsidRPr="008B0B82">
        <w:rPr>
          <w:rFonts w:ascii="Times New Roman" w:hAnsi="Times New Roman" w:cs="Times New Roman"/>
          <w:sz w:val="24"/>
          <w:szCs w:val="24"/>
        </w:rPr>
        <w:t>This</w:t>
      </w:r>
      <w:r w:rsidR="00B1661E">
        <w:rPr>
          <w:rFonts w:ascii="Times New Roman" w:hAnsi="Times New Roman" w:cs="Times New Roman"/>
          <w:sz w:val="24"/>
          <w:szCs w:val="24"/>
        </w:rPr>
        <w:t xml:space="preserve"> also</w:t>
      </w:r>
      <w:r w:rsidR="005D4AC1">
        <w:rPr>
          <w:rFonts w:ascii="Times New Roman" w:hAnsi="Times New Roman" w:cs="Times New Roman"/>
          <w:sz w:val="24"/>
          <w:szCs w:val="24"/>
        </w:rPr>
        <w:t xml:space="preserve"> means motivating </w:t>
      </w:r>
      <w:r w:rsidRPr="008B0B82">
        <w:rPr>
          <w:rFonts w:ascii="Times New Roman" w:hAnsi="Times New Roman" w:cs="Times New Roman"/>
          <w:sz w:val="24"/>
          <w:szCs w:val="24"/>
        </w:rPr>
        <w:t xml:space="preserve">banks </w:t>
      </w:r>
      <w:r w:rsidR="005D4AC1">
        <w:rPr>
          <w:rFonts w:ascii="Times New Roman" w:hAnsi="Times New Roman" w:cs="Times New Roman"/>
          <w:sz w:val="24"/>
          <w:szCs w:val="24"/>
        </w:rPr>
        <w:t>to care about safety systems,</w:t>
      </w:r>
      <w:r w:rsidRPr="008B0B82">
        <w:rPr>
          <w:rFonts w:ascii="Times New Roman" w:hAnsi="Times New Roman" w:cs="Times New Roman"/>
          <w:sz w:val="24"/>
          <w:szCs w:val="24"/>
        </w:rPr>
        <w:t xml:space="preserve"> </w:t>
      </w:r>
      <w:r w:rsidR="005D4AC1">
        <w:rPr>
          <w:rFonts w:ascii="Times New Roman" w:hAnsi="Times New Roman" w:cs="Times New Roman"/>
          <w:sz w:val="24"/>
          <w:szCs w:val="24"/>
        </w:rPr>
        <w:t>applications of risk management and</w:t>
      </w:r>
      <w:r w:rsidRPr="008B0B82">
        <w:rPr>
          <w:rFonts w:ascii="Times New Roman" w:hAnsi="Times New Roman" w:cs="Times New Roman"/>
          <w:sz w:val="24"/>
          <w:szCs w:val="24"/>
        </w:rPr>
        <w:t xml:space="preserve"> building of </w:t>
      </w:r>
      <w:r w:rsidR="005D4AC1">
        <w:rPr>
          <w:rFonts w:ascii="Times New Roman" w:hAnsi="Times New Roman" w:cs="Times New Roman"/>
          <w:sz w:val="24"/>
          <w:szCs w:val="24"/>
        </w:rPr>
        <w:t xml:space="preserve">a </w:t>
      </w:r>
      <w:r w:rsidR="00223FD2" w:rsidRPr="008B0B82">
        <w:rPr>
          <w:rFonts w:ascii="Times New Roman" w:hAnsi="Times New Roman" w:cs="Times New Roman"/>
          <w:sz w:val="24"/>
          <w:szCs w:val="24"/>
        </w:rPr>
        <w:t>strong capital</w:t>
      </w:r>
      <w:r w:rsidR="005D4AC1">
        <w:rPr>
          <w:rFonts w:ascii="Times New Roman" w:hAnsi="Times New Roman" w:cs="Times New Roman"/>
          <w:sz w:val="24"/>
          <w:szCs w:val="24"/>
        </w:rPr>
        <w:t xml:space="preserve"> base</w:t>
      </w:r>
      <w:r w:rsidRPr="008B0B82">
        <w:rPr>
          <w:rFonts w:ascii="Times New Roman" w:hAnsi="Times New Roman" w:cs="Times New Roman"/>
          <w:sz w:val="24"/>
          <w:szCs w:val="24"/>
        </w:rPr>
        <w:t xml:space="preserve"> to reinforce their potentials to face any possible losses in case of becoming vulnerable to risks. In this way, market discipline is a basic effective element to strengthen the safety and security of the banking sector.</w:t>
      </w:r>
    </w:p>
    <w:p w:rsidR="003B4DA4" w:rsidRDefault="00843CCB" w:rsidP="005B093E">
      <w:pPr>
        <w:spacing w:line="360" w:lineRule="auto"/>
        <w:contextualSpacing/>
        <w:jc w:val="both"/>
        <w:rPr>
          <w:rFonts w:ascii="Times New Roman" w:hAnsi="Times New Roman" w:cs="Times New Roman"/>
          <w:sz w:val="24"/>
          <w:szCs w:val="24"/>
        </w:rPr>
      </w:pPr>
      <w:r w:rsidRPr="008B0B82">
        <w:rPr>
          <w:rFonts w:ascii="Times New Roman" w:hAnsi="Times New Roman" w:cs="Times New Roman"/>
          <w:sz w:val="24"/>
          <w:szCs w:val="24"/>
        </w:rPr>
        <w:t>To the ends of the aforementioned goals, the supervisors should</w:t>
      </w:r>
      <w:r w:rsidR="00EC5666">
        <w:rPr>
          <w:rFonts w:ascii="Times New Roman" w:hAnsi="Times New Roman" w:cs="Times New Roman"/>
          <w:sz w:val="24"/>
          <w:szCs w:val="24"/>
        </w:rPr>
        <w:t xml:space="preserve"> have full powers to </w:t>
      </w:r>
      <w:r w:rsidR="00564A56">
        <w:rPr>
          <w:rFonts w:ascii="Times New Roman" w:hAnsi="Times New Roman" w:cs="Times New Roman"/>
          <w:sz w:val="24"/>
          <w:szCs w:val="24"/>
        </w:rPr>
        <w:t xml:space="preserve">ask </w:t>
      </w:r>
      <w:r w:rsidR="00564A56" w:rsidRPr="008B0B82">
        <w:rPr>
          <w:rFonts w:ascii="Times New Roman" w:hAnsi="Times New Roman" w:cs="Times New Roman"/>
          <w:sz w:val="24"/>
          <w:szCs w:val="24"/>
        </w:rPr>
        <w:t>banks</w:t>
      </w:r>
      <w:r w:rsidRPr="008B0B82">
        <w:rPr>
          <w:rFonts w:ascii="Times New Roman" w:hAnsi="Times New Roman" w:cs="Times New Roman"/>
          <w:sz w:val="24"/>
          <w:szCs w:val="24"/>
        </w:rPr>
        <w:t xml:space="preserve"> to disclose information in regulatory reports in an accurate and clear fashion to use</w:t>
      </w:r>
      <w:r w:rsidR="00EC5666">
        <w:rPr>
          <w:rFonts w:ascii="Times New Roman" w:hAnsi="Times New Roman" w:cs="Times New Roman"/>
          <w:sz w:val="24"/>
          <w:szCs w:val="24"/>
        </w:rPr>
        <w:t>,</w:t>
      </w:r>
      <w:r w:rsidRPr="008B0B82">
        <w:rPr>
          <w:rFonts w:ascii="Times New Roman" w:hAnsi="Times New Roman" w:cs="Times New Roman"/>
          <w:sz w:val="24"/>
          <w:szCs w:val="24"/>
        </w:rPr>
        <w:t xml:space="preserve"> as a basis for the effective market discipline process. This should be through dialogue with senior management or through financial penalties if necessary (Basel Committee, International Convergence of Capital M</w:t>
      </w:r>
      <w:r w:rsidR="007941D2">
        <w:rPr>
          <w:rFonts w:ascii="Times New Roman" w:hAnsi="Times New Roman" w:cs="Times New Roman"/>
          <w:sz w:val="24"/>
          <w:szCs w:val="24"/>
        </w:rPr>
        <w:t>easurements, Part 4, 2004</w:t>
      </w:r>
      <w:r w:rsidRPr="008B0B82">
        <w:rPr>
          <w:rFonts w:ascii="Times New Roman" w:hAnsi="Times New Roman" w:cs="Times New Roman"/>
          <w:sz w:val="24"/>
          <w:szCs w:val="24"/>
        </w:rPr>
        <w:t>).</w:t>
      </w:r>
    </w:p>
    <w:p w:rsidR="00B8233F" w:rsidRPr="005B093E" w:rsidRDefault="00B8233F" w:rsidP="005B093E">
      <w:pPr>
        <w:spacing w:line="360" w:lineRule="auto"/>
        <w:contextualSpacing/>
        <w:jc w:val="both"/>
        <w:rPr>
          <w:rFonts w:ascii="Times New Roman" w:hAnsi="Times New Roman" w:cs="Times New Roman"/>
          <w:sz w:val="24"/>
          <w:szCs w:val="24"/>
        </w:rPr>
      </w:pPr>
    </w:p>
    <w:p w:rsidR="00E7654F" w:rsidRDefault="00F90F7E" w:rsidP="00B14096">
      <w:pPr>
        <w:spacing w:line="360" w:lineRule="auto"/>
        <w:contextualSpacing/>
        <w:rPr>
          <w:rFonts w:ascii="Times New Roman" w:hAnsi="Times New Roman" w:cs="Times New Roman"/>
          <w:sz w:val="24"/>
          <w:szCs w:val="24"/>
        </w:rPr>
      </w:pPr>
      <w:r>
        <w:rPr>
          <w:rFonts w:asciiTheme="majorBidi" w:hAnsiTheme="majorBidi" w:cstheme="majorBidi"/>
          <w:b/>
          <w:bCs/>
          <w:color w:val="000000"/>
          <w:sz w:val="24"/>
          <w:szCs w:val="24"/>
        </w:rPr>
        <w:t>2.2.4</w:t>
      </w:r>
      <w:r w:rsidR="00E7654F" w:rsidRPr="008B0B82">
        <w:rPr>
          <w:rFonts w:asciiTheme="majorBidi" w:hAnsiTheme="majorBidi" w:cstheme="majorBidi"/>
          <w:b/>
          <w:bCs/>
          <w:color w:val="000000"/>
          <w:sz w:val="24"/>
          <w:szCs w:val="24"/>
        </w:rPr>
        <w:t xml:space="preserve"> PMA and Basel Regulations</w:t>
      </w:r>
    </w:p>
    <w:p w:rsidR="00B1661E" w:rsidRPr="00A957BF" w:rsidRDefault="00B1661E" w:rsidP="00A957BF">
      <w:pPr>
        <w:autoSpaceDE w:val="0"/>
        <w:autoSpaceDN w:val="0"/>
        <w:adjustRightInd w:val="0"/>
        <w:spacing w:after="0" w:line="360" w:lineRule="auto"/>
        <w:contextualSpacing/>
        <w:jc w:val="both"/>
        <w:rPr>
          <w:rFonts w:asciiTheme="majorBidi" w:hAnsiTheme="majorBidi" w:cstheme="majorBidi"/>
          <w:bCs/>
          <w:color w:val="000000"/>
          <w:sz w:val="24"/>
          <w:szCs w:val="24"/>
        </w:rPr>
      </w:pPr>
      <w:r w:rsidRPr="008B0B82">
        <w:rPr>
          <w:rFonts w:asciiTheme="majorBidi" w:hAnsiTheme="majorBidi" w:cstheme="majorBidi"/>
          <w:bCs/>
          <w:color w:val="000000"/>
          <w:sz w:val="24"/>
          <w:szCs w:val="24"/>
        </w:rPr>
        <w:t>The international developments in banking supervision started to pose greater challenges to the Palestinian banking system, and</w:t>
      </w:r>
      <w:r w:rsidR="00EC5666">
        <w:rPr>
          <w:rFonts w:asciiTheme="majorBidi" w:hAnsiTheme="majorBidi" w:cstheme="majorBidi"/>
          <w:bCs/>
          <w:color w:val="000000"/>
          <w:sz w:val="24"/>
          <w:szCs w:val="24"/>
        </w:rPr>
        <w:t xml:space="preserve"> enforce it to</w:t>
      </w:r>
      <w:r w:rsidR="00B66D78">
        <w:rPr>
          <w:rFonts w:asciiTheme="majorBidi" w:hAnsiTheme="majorBidi" w:cstheme="majorBidi"/>
          <w:bCs/>
          <w:color w:val="000000"/>
          <w:sz w:val="24"/>
          <w:szCs w:val="24"/>
        </w:rPr>
        <w:t xml:space="preserve"> </w:t>
      </w:r>
      <w:r w:rsidR="00EC5666">
        <w:rPr>
          <w:rFonts w:asciiTheme="majorBidi" w:hAnsiTheme="majorBidi" w:cstheme="majorBidi"/>
          <w:bCs/>
          <w:color w:val="000000"/>
          <w:sz w:val="24"/>
          <w:szCs w:val="24"/>
        </w:rPr>
        <w:t>the</w:t>
      </w:r>
      <w:r w:rsidRPr="008B0B82">
        <w:rPr>
          <w:rFonts w:asciiTheme="majorBidi" w:hAnsiTheme="majorBidi" w:cstheme="majorBidi"/>
          <w:bCs/>
          <w:color w:val="000000"/>
          <w:sz w:val="24"/>
          <w:szCs w:val="24"/>
        </w:rPr>
        <w:t xml:space="preserve"> implementation of international standards </w:t>
      </w:r>
      <w:r w:rsidR="00B52EEF" w:rsidRPr="008B0B82">
        <w:rPr>
          <w:rFonts w:asciiTheme="majorBidi" w:hAnsiTheme="majorBidi" w:cstheme="majorBidi"/>
          <w:bCs/>
          <w:color w:val="000000"/>
          <w:sz w:val="24"/>
          <w:szCs w:val="24"/>
        </w:rPr>
        <w:t>of</w:t>
      </w:r>
      <w:r w:rsidR="00B52EEF">
        <w:rPr>
          <w:rFonts w:asciiTheme="majorBidi" w:hAnsiTheme="majorBidi" w:cstheme="majorBidi"/>
          <w:bCs/>
          <w:color w:val="000000"/>
          <w:sz w:val="24"/>
          <w:szCs w:val="24"/>
        </w:rPr>
        <w:t xml:space="preserve"> </w:t>
      </w:r>
      <w:r w:rsidR="00B52EEF" w:rsidRPr="008B0B82">
        <w:rPr>
          <w:rFonts w:asciiTheme="majorBidi" w:hAnsiTheme="majorBidi" w:cstheme="majorBidi"/>
          <w:bCs/>
          <w:color w:val="000000"/>
          <w:sz w:val="24"/>
          <w:szCs w:val="24"/>
        </w:rPr>
        <w:t>banking</w:t>
      </w:r>
      <w:r w:rsidRPr="008B0B82">
        <w:rPr>
          <w:rFonts w:asciiTheme="majorBidi" w:hAnsiTheme="majorBidi" w:cstheme="majorBidi"/>
          <w:bCs/>
          <w:color w:val="000000"/>
          <w:sz w:val="24"/>
          <w:szCs w:val="24"/>
        </w:rPr>
        <w:t xml:space="preserve"> supervision. In this framework, the PMA has exerted great efforts</w:t>
      </w:r>
      <w:r>
        <w:rPr>
          <w:rFonts w:asciiTheme="majorBidi" w:hAnsiTheme="majorBidi" w:cstheme="majorBidi"/>
          <w:bCs/>
          <w:color w:val="000000"/>
          <w:sz w:val="24"/>
          <w:szCs w:val="24"/>
        </w:rPr>
        <w:t xml:space="preserve"> in recent </w:t>
      </w:r>
      <w:r w:rsidR="008210E1">
        <w:rPr>
          <w:rFonts w:asciiTheme="majorBidi" w:hAnsiTheme="majorBidi" w:cstheme="majorBidi"/>
          <w:bCs/>
          <w:color w:val="000000"/>
          <w:sz w:val="24"/>
          <w:szCs w:val="24"/>
        </w:rPr>
        <w:t xml:space="preserve">years </w:t>
      </w:r>
      <w:r w:rsidR="008210E1" w:rsidRPr="008B0B82">
        <w:rPr>
          <w:rFonts w:asciiTheme="majorBidi" w:hAnsiTheme="majorBidi" w:cstheme="majorBidi"/>
          <w:bCs/>
          <w:color w:val="000000"/>
          <w:sz w:val="24"/>
          <w:szCs w:val="24"/>
        </w:rPr>
        <w:t>to</w:t>
      </w:r>
      <w:r w:rsidRPr="008B0B82">
        <w:rPr>
          <w:rFonts w:asciiTheme="majorBidi" w:hAnsiTheme="majorBidi" w:cstheme="majorBidi"/>
          <w:bCs/>
          <w:color w:val="000000"/>
          <w:sz w:val="24"/>
          <w:szCs w:val="24"/>
        </w:rPr>
        <w:t xml:space="preserve"> prepare for the implementation of these </w:t>
      </w:r>
      <w:r>
        <w:rPr>
          <w:rFonts w:asciiTheme="majorBidi" w:hAnsiTheme="majorBidi" w:cstheme="majorBidi"/>
          <w:bCs/>
          <w:color w:val="000000"/>
          <w:sz w:val="24"/>
          <w:szCs w:val="24"/>
        </w:rPr>
        <w:t xml:space="preserve">new </w:t>
      </w:r>
      <w:r w:rsidRPr="008B0B82">
        <w:rPr>
          <w:rFonts w:asciiTheme="majorBidi" w:hAnsiTheme="majorBidi" w:cstheme="majorBidi"/>
          <w:bCs/>
          <w:color w:val="000000"/>
          <w:sz w:val="24"/>
          <w:szCs w:val="24"/>
        </w:rPr>
        <w:t xml:space="preserve">standards, and to help banks achieve a smooth transition for the implementation of </w:t>
      </w:r>
      <w:r w:rsidR="008210E1">
        <w:rPr>
          <w:rFonts w:asciiTheme="majorBidi" w:hAnsiTheme="majorBidi" w:cstheme="majorBidi"/>
          <w:bCs/>
          <w:color w:val="000000"/>
          <w:sz w:val="24"/>
          <w:szCs w:val="24"/>
        </w:rPr>
        <w:t xml:space="preserve">these </w:t>
      </w:r>
      <w:r w:rsidR="008210E1" w:rsidRPr="008B0B82">
        <w:rPr>
          <w:rFonts w:asciiTheme="majorBidi" w:hAnsiTheme="majorBidi" w:cstheme="majorBidi"/>
          <w:bCs/>
          <w:color w:val="000000"/>
          <w:sz w:val="24"/>
          <w:szCs w:val="24"/>
        </w:rPr>
        <w:t>standards</w:t>
      </w:r>
      <w:r w:rsidRPr="008B0B82">
        <w:rPr>
          <w:rFonts w:asciiTheme="majorBidi" w:hAnsiTheme="majorBidi" w:cstheme="majorBidi"/>
          <w:bCs/>
          <w:color w:val="000000"/>
          <w:sz w:val="24"/>
          <w:szCs w:val="24"/>
        </w:rPr>
        <w:t>. In order to promote financial stability, these efforts</w:t>
      </w:r>
      <w:r>
        <w:rPr>
          <w:rFonts w:asciiTheme="majorBidi" w:hAnsiTheme="majorBidi" w:cstheme="majorBidi"/>
          <w:bCs/>
          <w:color w:val="000000"/>
          <w:sz w:val="24"/>
          <w:szCs w:val="24"/>
        </w:rPr>
        <w:t xml:space="preserve"> have </w:t>
      </w:r>
      <w:r w:rsidRPr="008B0B82">
        <w:rPr>
          <w:rFonts w:asciiTheme="majorBidi" w:hAnsiTheme="majorBidi" w:cstheme="majorBidi"/>
          <w:bCs/>
          <w:color w:val="000000"/>
          <w:sz w:val="24"/>
          <w:szCs w:val="24"/>
        </w:rPr>
        <w:t xml:space="preserve"> resulted in raising and strengthening banks’ capital, liquidation and </w:t>
      </w:r>
      <w:r w:rsidRPr="00B1661E">
        <w:rPr>
          <w:rFonts w:asciiTheme="majorBidi" w:hAnsiTheme="majorBidi" w:cstheme="majorBidi"/>
          <w:bCs/>
          <w:color w:val="000000"/>
          <w:sz w:val="24"/>
          <w:szCs w:val="24"/>
        </w:rPr>
        <w:t>tackling of</w:t>
      </w:r>
      <w:r w:rsidRPr="008B0B82">
        <w:rPr>
          <w:rFonts w:asciiTheme="majorBidi" w:hAnsiTheme="majorBidi" w:cstheme="majorBidi"/>
          <w:bCs/>
          <w:color w:val="000000"/>
          <w:sz w:val="24"/>
          <w:szCs w:val="24"/>
        </w:rPr>
        <w:t xml:space="preserve"> weak banks, updating and developing the legal environment and supervisory instructions, preparing a time plan to fully implement the requirements of the Basel Committee, applying effective banking supervision criteria, and issuing a guide on corporate governance of banks. In addition, the PMA</w:t>
      </w:r>
      <w:r>
        <w:rPr>
          <w:rFonts w:asciiTheme="majorBidi" w:hAnsiTheme="majorBidi" w:cstheme="majorBidi"/>
          <w:bCs/>
          <w:color w:val="000000"/>
          <w:sz w:val="24"/>
          <w:szCs w:val="24"/>
        </w:rPr>
        <w:t xml:space="preserve"> </w:t>
      </w:r>
      <w:r w:rsidR="00B66D78">
        <w:rPr>
          <w:rFonts w:asciiTheme="majorBidi" w:hAnsiTheme="majorBidi" w:cstheme="majorBidi"/>
          <w:bCs/>
          <w:color w:val="000000"/>
          <w:sz w:val="24"/>
          <w:szCs w:val="24"/>
        </w:rPr>
        <w:t xml:space="preserve">has </w:t>
      </w:r>
      <w:r w:rsidR="00B66D78" w:rsidRPr="008B0B82">
        <w:rPr>
          <w:rFonts w:asciiTheme="majorBidi" w:hAnsiTheme="majorBidi" w:cstheme="majorBidi"/>
          <w:bCs/>
          <w:color w:val="000000"/>
          <w:sz w:val="24"/>
          <w:szCs w:val="24"/>
        </w:rPr>
        <w:t>showed</w:t>
      </w:r>
      <w:r w:rsidRPr="008B0B82">
        <w:rPr>
          <w:rFonts w:asciiTheme="majorBidi" w:hAnsiTheme="majorBidi" w:cstheme="majorBidi"/>
          <w:bCs/>
          <w:color w:val="000000"/>
          <w:sz w:val="24"/>
          <w:szCs w:val="24"/>
        </w:rPr>
        <w:t xml:space="preserve"> great interest in the </w:t>
      </w:r>
      <w:r>
        <w:rPr>
          <w:rFonts w:asciiTheme="majorBidi" w:hAnsiTheme="majorBidi" w:cstheme="majorBidi"/>
          <w:bCs/>
          <w:color w:val="000000"/>
          <w:sz w:val="24"/>
          <w:szCs w:val="24"/>
        </w:rPr>
        <w:t>training</w:t>
      </w:r>
      <w:r w:rsidRPr="008B0B82">
        <w:rPr>
          <w:rFonts w:asciiTheme="majorBidi" w:hAnsiTheme="majorBidi" w:cstheme="majorBidi"/>
          <w:bCs/>
          <w:color w:val="000000"/>
          <w:sz w:val="24"/>
          <w:szCs w:val="24"/>
        </w:rPr>
        <w:t xml:space="preserve"> of</w:t>
      </w:r>
      <w:r>
        <w:rPr>
          <w:rFonts w:asciiTheme="majorBidi" w:hAnsiTheme="majorBidi" w:cstheme="majorBidi"/>
          <w:bCs/>
          <w:color w:val="000000"/>
          <w:sz w:val="24"/>
          <w:szCs w:val="24"/>
        </w:rPr>
        <w:t xml:space="preserve"> banking</w:t>
      </w:r>
      <w:r w:rsidRPr="008B0B82">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cadres</w:t>
      </w:r>
      <w:r w:rsidRPr="008B0B82">
        <w:rPr>
          <w:rFonts w:asciiTheme="majorBidi" w:hAnsiTheme="majorBidi" w:cstheme="majorBidi"/>
          <w:bCs/>
          <w:color w:val="000000"/>
          <w:sz w:val="24"/>
          <w:szCs w:val="24"/>
        </w:rPr>
        <w:t xml:space="preserve"> in line with international developments in terms of banking </w:t>
      </w:r>
      <w:r w:rsidR="00A957BF" w:rsidRPr="008B0B82">
        <w:rPr>
          <w:rFonts w:asciiTheme="majorBidi" w:hAnsiTheme="majorBidi" w:cstheme="majorBidi"/>
          <w:bCs/>
          <w:color w:val="000000"/>
          <w:sz w:val="24"/>
          <w:szCs w:val="24"/>
        </w:rPr>
        <w:t>supervision.</w:t>
      </w:r>
      <w:r w:rsidR="00A957BF" w:rsidRPr="008B0B82">
        <w:rPr>
          <w:rFonts w:asciiTheme="majorBidi" w:hAnsiTheme="majorBidi" w:cstheme="majorBidi"/>
          <w:color w:val="000000"/>
          <w:sz w:val="24"/>
          <w:szCs w:val="24"/>
        </w:rPr>
        <w:t xml:space="preserve"> The</w:t>
      </w:r>
      <w:r w:rsidRPr="008B0B82">
        <w:rPr>
          <w:rFonts w:asciiTheme="majorBidi" w:hAnsiTheme="majorBidi" w:cstheme="majorBidi"/>
          <w:color w:val="000000"/>
          <w:sz w:val="24"/>
          <w:szCs w:val="24"/>
        </w:rPr>
        <w:t xml:space="preserve"> PMA monitors the </w:t>
      </w:r>
      <w:r w:rsidR="00B66D78" w:rsidRPr="008B0B82">
        <w:rPr>
          <w:rFonts w:asciiTheme="majorBidi" w:hAnsiTheme="majorBidi" w:cstheme="majorBidi"/>
          <w:color w:val="000000"/>
          <w:sz w:val="24"/>
          <w:szCs w:val="24"/>
        </w:rPr>
        <w:t xml:space="preserve">sector with </w:t>
      </w:r>
      <w:r w:rsidR="00EC5666">
        <w:rPr>
          <w:rFonts w:asciiTheme="majorBidi" w:hAnsiTheme="majorBidi" w:cstheme="majorBidi"/>
          <w:color w:val="000000"/>
          <w:sz w:val="24"/>
          <w:szCs w:val="24"/>
        </w:rPr>
        <w:t xml:space="preserve">wide </w:t>
      </w:r>
      <w:r w:rsidR="00B66D78" w:rsidRPr="008B0B82">
        <w:rPr>
          <w:rFonts w:asciiTheme="majorBidi" w:hAnsiTheme="majorBidi" w:cstheme="majorBidi"/>
          <w:color w:val="000000"/>
          <w:sz w:val="24"/>
          <w:szCs w:val="24"/>
        </w:rPr>
        <w:t>ranges</w:t>
      </w:r>
      <w:r w:rsidRPr="008B0B82">
        <w:rPr>
          <w:rFonts w:asciiTheme="majorBidi" w:hAnsiTheme="majorBidi" w:cstheme="majorBidi"/>
          <w:color w:val="000000"/>
          <w:sz w:val="24"/>
          <w:szCs w:val="24"/>
        </w:rPr>
        <w:t xml:space="preserve"> of </w:t>
      </w:r>
      <w:r w:rsidR="00EC5666">
        <w:rPr>
          <w:rFonts w:asciiTheme="majorBidi" w:hAnsiTheme="majorBidi" w:cstheme="majorBidi"/>
          <w:color w:val="000000"/>
          <w:sz w:val="24"/>
          <w:szCs w:val="24"/>
        </w:rPr>
        <w:t xml:space="preserve">judicious </w:t>
      </w:r>
      <w:r w:rsidR="001A617E" w:rsidRPr="008B0B82">
        <w:rPr>
          <w:rFonts w:asciiTheme="majorBidi" w:hAnsiTheme="majorBidi" w:cstheme="majorBidi"/>
          <w:color w:val="000000"/>
          <w:sz w:val="24"/>
          <w:szCs w:val="24"/>
        </w:rPr>
        <w:t>instruments</w:t>
      </w:r>
      <w:r w:rsidR="001A617E">
        <w:rPr>
          <w:rFonts w:asciiTheme="majorBidi" w:hAnsiTheme="majorBidi" w:cstheme="majorBidi"/>
          <w:color w:val="000000"/>
          <w:sz w:val="24"/>
          <w:szCs w:val="24"/>
        </w:rPr>
        <w:t>,</w:t>
      </w:r>
      <w:r w:rsidR="00EC5666">
        <w:rPr>
          <w:rFonts w:asciiTheme="majorBidi" w:hAnsiTheme="majorBidi" w:cstheme="majorBidi"/>
          <w:color w:val="000000"/>
          <w:sz w:val="24"/>
          <w:szCs w:val="24"/>
        </w:rPr>
        <w:t xml:space="preserve"> </w:t>
      </w:r>
      <w:r w:rsidR="00EC5666">
        <w:rPr>
          <w:rFonts w:asciiTheme="majorBidi" w:hAnsiTheme="majorBidi" w:cstheme="majorBidi"/>
          <w:color w:val="000000"/>
          <w:sz w:val="24"/>
          <w:szCs w:val="24"/>
        </w:rPr>
        <w:lastRenderedPageBreak/>
        <w:t xml:space="preserve">making </w:t>
      </w:r>
      <w:r>
        <w:rPr>
          <w:rFonts w:asciiTheme="majorBidi" w:hAnsiTheme="majorBidi" w:cstheme="majorBidi"/>
          <w:color w:val="000000"/>
          <w:sz w:val="24"/>
          <w:szCs w:val="24"/>
        </w:rPr>
        <w:t xml:space="preserve">the banking </w:t>
      </w:r>
      <w:r w:rsidR="00B66D78">
        <w:rPr>
          <w:rFonts w:asciiTheme="majorBidi" w:hAnsiTheme="majorBidi" w:cstheme="majorBidi"/>
          <w:color w:val="000000"/>
          <w:sz w:val="24"/>
          <w:szCs w:val="24"/>
        </w:rPr>
        <w:t xml:space="preserve">sector </w:t>
      </w:r>
      <w:r w:rsidR="00EC5666">
        <w:rPr>
          <w:rFonts w:asciiTheme="majorBidi" w:hAnsiTheme="majorBidi" w:cstheme="majorBidi"/>
          <w:color w:val="000000"/>
          <w:sz w:val="24"/>
          <w:szCs w:val="24"/>
        </w:rPr>
        <w:t>follows</w:t>
      </w:r>
      <w:r w:rsidRPr="008B0B82">
        <w:rPr>
          <w:rFonts w:asciiTheme="majorBidi" w:hAnsiTheme="majorBidi" w:cstheme="majorBidi"/>
          <w:color w:val="000000"/>
          <w:sz w:val="24"/>
          <w:szCs w:val="24"/>
        </w:rPr>
        <w:t xml:space="preserve"> international standards. These tools include (a) required reserves ratios; (b) minimum capital requirements; (c) minimum liquidity ratios; and (d) limits on credit concentration and currency exposure. </w:t>
      </w:r>
    </w:p>
    <w:p w:rsidR="00B1661E" w:rsidRPr="00EC5666" w:rsidRDefault="00B1661E" w:rsidP="00EC5666">
      <w:pPr>
        <w:autoSpaceDE w:val="0"/>
        <w:autoSpaceDN w:val="0"/>
        <w:adjustRightInd w:val="0"/>
        <w:spacing w:after="0" w:line="360" w:lineRule="auto"/>
        <w:jc w:val="both"/>
        <w:rPr>
          <w:rFonts w:asciiTheme="majorBidi" w:hAnsiTheme="majorBidi" w:cstheme="majorBidi"/>
          <w:bCs/>
          <w:sz w:val="24"/>
          <w:szCs w:val="24"/>
        </w:rPr>
      </w:pPr>
      <w:r w:rsidRPr="008B0B82">
        <w:rPr>
          <w:rFonts w:asciiTheme="majorBidi" w:hAnsiTheme="majorBidi" w:cstheme="majorBidi"/>
          <w:bCs/>
          <w:sz w:val="24"/>
          <w:szCs w:val="24"/>
        </w:rPr>
        <w:t>In addition to these monitoring tools, the PMA continued to exert its efforts to stren</w:t>
      </w:r>
      <w:r w:rsidR="00EC5666">
        <w:rPr>
          <w:rFonts w:asciiTheme="majorBidi" w:hAnsiTheme="majorBidi" w:cstheme="majorBidi"/>
          <w:bCs/>
          <w:sz w:val="24"/>
          <w:szCs w:val="24"/>
        </w:rPr>
        <w:t>gthen banks’ capital (paid up capital</w:t>
      </w:r>
      <w:r w:rsidRPr="008B0B82">
        <w:rPr>
          <w:rFonts w:asciiTheme="majorBidi" w:hAnsiTheme="majorBidi" w:cstheme="majorBidi"/>
          <w:bCs/>
          <w:sz w:val="24"/>
          <w:szCs w:val="24"/>
        </w:rPr>
        <w:t xml:space="preserve">) and make them more able to cope with potential risks, in accordance with </w:t>
      </w:r>
      <w:r w:rsidR="00D42752">
        <w:rPr>
          <w:rFonts w:asciiTheme="majorBidi" w:hAnsiTheme="majorBidi" w:cstheme="majorBidi"/>
          <w:bCs/>
          <w:sz w:val="24"/>
          <w:szCs w:val="24"/>
        </w:rPr>
        <w:t>Directive</w:t>
      </w:r>
      <w:r w:rsidRPr="008B0B82">
        <w:rPr>
          <w:rFonts w:asciiTheme="majorBidi" w:hAnsiTheme="majorBidi" w:cstheme="majorBidi"/>
          <w:bCs/>
          <w:sz w:val="24"/>
          <w:szCs w:val="24"/>
        </w:rPr>
        <w:t xml:space="preserve"> </w:t>
      </w:r>
      <w:r>
        <w:rPr>
          <w:rFonts w:asciiTheme="majorBidi" w:hAnsiTheme="majorBidi" w:cstheme="majorBidi"/>
          <w:bCs/>
          <w:sz w:val="24"/>
          <w:szCs w:val="24"/>
        </w:rPr>
        <w:t>N</w:t>
      </w:r>
      <w:r w:rsidRPr="008B0B82">
        <w:rPr>
          <w:rFonts w:asciiTheme="majorBidi" w:hAnsiTheme="majorBidi" w:cstheme="majorBidi"/>
          <w:bCs/>
          <w:sz w:val="24"/>
          <w:szCs w:val="24"/>
        </w:rPr>
        <w:t>umber 7/2009, which require all banks to raise their</w:t>
      </w:r>
      <w:r>
        <w:rPr>
          <w:rFonts w:asciiTheme="majorBidi" w:hAnsiTheme="majorBidi" w:cstheme="majorBidi"/>
          <w:bCs/>
          <w:sz w:val="24"/>
          <w:szCs w:val="24"/>
        </w:rPr>
        <w:t xml:space="preserve"> minimum</w:t>
      </w:r>
      <w:r w:rsidRPr="008B0B82">
        <w:rPr>
          <w:rFonts w:asciiTheme="majorBidi" w:hAnsiTheme="majorBidi" w:cstheme="majorBidi"/>
          <w:bCs/>
          <w:sz w:val="24"/>
          <w:szCs w:val="24"/>
        </w:rPr>
        <w:t xml:space="preserve"> paid-up capital</w:t>
      </w:r>
      <w:r>
        <w:rPr>
          <w:rFonts w:asciiTheme="majorBidi" w:hAnsiTheme="majorBidi" w:cstheme="majorBidi"/>
          <w:bCs/>
          <w:sz w:val="24"/>
          <w:szCs w:val="24"/>
        </w:rPr>
        <w:t xml:space="preserve"> from USD 35 million</w:t>
      </w:r>
      <w:r w:rsidR="00AC6BBD">
        <w:rPr>
          <w:rFonts w:asciiTheme="majorBidi" w:hAnsiTheme="majorBidi" w:cstheme="majorBidi"/>
          <w:bCs/>
          <w:sz w:val="24"/>
          <w:szCs w:val="24"/>
        </w:rPr>
        <w:t xml:space="preserve"> </w:t>
      </w:r>
      <w:r w:rsidR="00536A79">
        <w:rPr>
          <w:rFonts w:asciiTheme="majorBidi" w:hAnsiTheme="majorBidi" w:cstheme="majorBidi"/>
          <w:bCs/>
          <w:sz w:val="24"/>
          <w:szCs w:val="24"/>
        </w:rPr>
        <w:t>to</w:t>
      </w:r>
      <w:r w:rsidRPr="008B0B82">
        <w:rPr>
          <w:rFonts w:asciiTheme="majorBidi" w:hAnsiTheme="majorBidi" w:cstheme="majorBidi"/>
          <w:bCs/>
          <w:sz w:val="24"/>
          <w:szCs w:val="24"/>
        </w:rPr>
        <w:t xml:space="preserve"> 50 million</w:t>
      </w:r>
      <w:r>
        <w:rPr>
          <w:rFonts w:asciiTheme="majorBidi" w:hAnsiTheme="majorBidi" w:cstheme="majorBidi"/>
          <w:bCs/>
          <w:sz w:val="24"/>
          <w:szCs w:val="24"/>
        </w:rPr>
        <w:t>.</w:t>
      </w:r>
      <w:r w:rsidR="00AC6BBD">
        <w:rPr>
          <w:rFonts w:asciiTheme="majorBidi" w:hAnsiTheme="majorBidi" w:cstheme="majorBidi"/>
          <w:bCs/>
          <w:sz w:val="24"/>
          <w:szCs w:val="24"/>
        </w:rPr>
        <w:t xml:space="preserve"> </w:t>
      </w:r>
      <w:r w:rsidRPr="008B0B82">
        <w:rPr>
          <w:rFonts w:asciiTheme="majorBidi" w:hAnsiTheme="majorBidi" w:cstheme="majorBidi"/>
          <w:bCs/>
          <w:sz w:val="24"/>
          <w:szCs w:val="24"/>
        </w:rPr>
        <w:t xml:space="preserve">A </w:t>
      </w:r>
      <w:r w:rsidRPr="008B0B82">
        <w:rPr>
          <w:rFonts w:asciiTheme="majorBidi" w:hAnsiTheme="majorBidi" w:cstheme="majorBidi"/>
          <w:sz w:val="24"/>
          <w:szCs w:val="24"/>
        </w:rPr>
        <w:t>new reserve requirement (</w:t>
      </w:r>
      <w:r>
        <w:rPr>
          <w:rFonts w:asciiTheme="majorBidi" w:hAnsiTheme="majorBidi" w:cstheme="majorBidi"/>
          <w:sz w:val="24"/>
          <w:szCs w:val="24"/>
        </w:rPr>
        <w:t xml:space="preserve">a </w:t>
      </w:r>
      <w:r w:rsidRPr="008B0B82">
        <w:rPr>
          <w:rFonts w:asciiTheme="majorBidi" w:hAnsiTheme="majorBidi" w:cstheme="majorBidi"/>
          <w:sz w:val="24"/>
          <w:szCs w:val="24"/>
        </w:rPr>
        <w:t>counter-cyclical fluctuations reserve</w:t>
      </w:r>
      <w:r w:rsidR="00B66D78" w:rsidRPr="008B0B82">
        <w:rPr>
          <w:rFonts w:asciiTheme="majorBidi" w:hAnsiTheme="majorBidi" w:cstheme="majorBidi"/>
          <w:sz w:val="24"/>
          <w:szCs w:val="24"/>
        </w:rPr>
        <w:t xml:space="preserve">) </w:t>
      </w:r>
      <w:r w:rsidR="00B66D78">
        <w:rPr>
          <w:rFonts w:asciiTheme="majorBidi" w:hAnsiTheme="majorBidi" w:cstheme="majorBidi"/>
          <w:sz w:val="24"/>
          <w:szCs w:val="24"/>
        </w:rPr>
        <w:t>was</w:t>
      </w:r>
      <w:r>
        <w:rPr>
          <w:rFonts w:asciiTheme="majorBidi" w:hAnsiTheme="majorBidi" w:cstheme="majorBidi"/>
          <w:sz w:val="24"/>
          <w:szCs w:val="24"/>
        </w:rPr>
        <w:t xml:space="preserve"> introduced. A</w:t>
      </w:r>
      <w:r w:rsidRPr="008B0B82">
        <w:rPr>
          <w:rFonts w:asciiTheme="majorBidi" w:hAnsiTheme="majorBidi" w:cstheme="majorBidi"/>
          <w:sz w:val="24"/>
          <w:szCs w:val="24"/>
        </w:rPr>
        <w:t xml:space="preserve">ccording </w:t>
      </w:r>
      <w:r w:rsidR="00B66D78" w:rsidRPr="008B0B82">
        <w:rPr>
          <w:rFonts w:asciiTheme="majorBidi" w:hAnsiTheme="majorBidi" w:cstheme="majorBidi"/>
          <w:sz w:val="24"/>
          <w:szCs w:val="24"/>
        </w:rPr>
        <w:t xml:space="preserve">to </w:t>
      </w:r>
      <w:r w:rsidR="00B66D78">
        <w:rPr>
          <w:rFonts w:asciiTheme="majorBidi" w:hAnsiTheme="majorBidi" w:cstheme="majorBidi"/>
          <w:sz w:val="24"/>
          <w:szCs w:val="24"/>
        </w:rPr>
        <w:t>this</w:t>
      </w:r>
      <w:r>
        <w:rPr>
          <w:rFonts w:asciiTheme="majorBidi" w:hAnsiTheme="majorBidi" w:cstheme="majorBidi"/>
          <w:sz w:val="24"/>
          <w:szCs w:val="24"/>
        </w:rPr>
        <w:t xml:space="preserve"> requirement,</w:t>
      </w:r>
      <w:r w:rsidRPr="008B0B82">
        <w:rPr>
          <w:rFonts w:asciiTheme="majorBidi" w:hAnsiTheme="majorBidi" w:cstheme="majorBidi"/>
          <w:sz w:val="24"/>
          <w:szCs w:val="24"/>
        </w:rPr>
        <w:t xml:space="preserve"> banks should add 15 percent of their net (after tax) income to their Tier I capital as an additional “bad times” buffer </w:t>
      </w:r>
      <w:r>
        <w:rPr>
          <w:rFonts w:asciiTheme="majorBidi" w:hAnsiTheme="majorBidi" w:cstheme="majorBidi"/>
          <w:sz w:val="24"/>
          <w:szCs w:val="24"/>
        </w:rPr>
        <w:t>(IMF, 2011</w:t>
      </w:r>
      <w:r w:rsidRPr="008B0B82">
        <w:rPr>
          <w:rFonts w:asciiTheme="majorBidi" w:hAnsiTheme="majorBidi" w:cstheme="majorBidi"/>
          <w:sz w:val="24"/>
          <w:szCs w:val="24"/>
        </w:rPr>
        <w:t>).</w:t>
      </w:r>
    </w:p>
    <w:p w:rsidR="00B1661E" w:rsidRPr="008B0B82" w:rsidRDefault="00B1661E" w:rsidP="00B1661E">
      <w:pPr>
        <w:autoSpaceDE w:val="0"/>
        <w:autoSpaceDN w:val="0"/>
        <w:adjustRightInd w:val="0"/>
        <w:spacing w:after="0" w:line="360" w:lineRule="auto"/>
        <w:jc w:val="both"/>
        <w:rPr>
          <w:rFonts w:asciiTheme="majorBidi" w:hAnsiTheme="majorBidi" w:cstheme="majorBidi"/>
          <w:sz w:val="24"/>
          <w:szCs w:val="24"/>
        </w:rPr>
      </w:pPr>
      <w:r w:rsidRPr="008B0B82">
        <w:rPr>
          <w:rFonts w:asciiTheme="majorBidi" w:hAnsiTheme="majorBidi" w:cstheme="majorBidi"/>
          <w:sz w:val="24"/>
          <w:szCs w:val="24"/>
        </w:rPr>
        <w:t xml:space="preserve">To strengthen various reserves of banks in order to face any </w:t>
      </w:r>
      <w:r w:rsidR="00B66D78" w:rsidRPr="008B0B82">
        <w:rPr>
          <w:rFonts w:asciiTheme="majorBidi" w:hAnsiTheme="majorBidi" w:cstheme="majorBidi"/>
          <w:sz w:val="24"/>
          <w:szCs w:val="24"/>
        </w:rPr>
        <w:t xml:space="preserve">risks </w:t>
      </w:r>
      <w:r w:rsidR="00B66D78">
        <w:rPr>
          <w:rFonts w:asciiTheme="majorBidi" w:hAnsiTheme="majorBidi" w:cstheme="majorBidi"/>
          <w:sz w:val="24"/>
          <w:szCs w:val="24"/>
        </w:rPr>
        <w:t>the</w:t>
      </w:r>
      <w:r>
        <w:rPr>
          <w:rFonts w:asciiTheme="majorBidi" w:hAnsiTheme="majorBidi" w:cstheme="majorBidi"/>
          <w:sz w:val="24"/>
          <w:szCs w:val="24"/>
        </w:rPr>
        <w:t xml:space="preserve"> n</w:t>
      </w:r>
      <w:r w:rsidRPr="008B0B82">
        <w:rPr>
          <w:rFonts w:asciiTheme="majorBidi" w:hAnsiTheme="majorBidi" w:cstheme="majorBidi"/>
          <w:sz w:val="24"/>
          <w:szCs w:val="24"/>
        </w:rPr>
        <w:t>ew Banking Law (Resolution Act No. 9 of 2010) stipulates the deduction of 10% of net profit per year for legal reserves, until it becomes equivalent to paid-up capital. These measures strive to bring the banking sector further in line with international standards.</w:t>
      </w:r>
    </w:p>
    <w:p w:rsidR="00B1661E" w:rsidRPr="008B0B82" w:rsidRDefault="00916093" w:rsidP="00B1661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According to the PMA, the Capital Adequacy R</w:t>
      </w:r>
      <w:r w:rsidR="00B1661E" w:rsidRPr="008B0B82">
        <w:rPr>
          <w:rFonts w:asciiTheme="majorBidi" w:hAnsiTheme="majorBidi" w:cstheme="majorBidi"/>
          <w:sz w:val="24"/>
          <w:szCs w:val="24"/>
        </w:rPr>
        <w:t>ate of local banks (Regulatory Capital to Risk Weighted Assets) was 21.5% in 2010. In spite of that, this indicator still reflects good and a higher level than the minimum specified by the PMA (12%), and</w:t>
      </w:r>
      <w:r w:rsidR="00B1661E">
        <w:rPr>
          <w:rFonts w:asciiTheme="majorBidi" w:hAnsiTheme="majorBidi" w:cstheme="majorBidi"/>
          <w:sz w:val="24"/>
          <w:szCs w:val="24"/>
        </w:rPr>
        <w:t xml:space="preserve"> is more</w:t>
      </w:r>
      <w:r w:rsidR="00B1661E" w:rsidRPr="008B0B82">
        <w:rPr>
          <w:rFonts w:asciiTheme="majorBidi" w:hAnsiTheme="majorBidi" w:cstheme="majorBidi"/>
          <w:sz w:val="24"/>
          <w:szCs w:val="24"/>
        </w:rPr>
        <w:t xml:space="preserve"> than the minimum required by instructions of the Basel Committee (8%).</w:t>
      </w:r>
    </w:p>
    <w:p w:rsidR="00B1661E" w:rsidRPr="008B0B82" w:rsidRDefault="00B1661E" w:rsidP="00B1661E">
      <w:pPr>
        <w:autoSpaceDE w:val="0"/>
        <w:autoSpaceDN w:val="0"/>
        <w:adjustRightInd w:val="0"/>
        <w:spacing w:after="0" w:line="360" w:lineRule="auto"/>
        <w:jc w:val="both"/>
        <w:rPr>
          <w:rFonts w:asciiTheme="majorBidi" w:hAnsiTheme="majorBidi" w:cstheme="majorBidi"/>
          <w:bCs/>
          <w:color w:val="000000"/>
          <w:sz w:val="24"/>
          <w:szCs w:val="24"/>
        </w:rPr>
      </w:pPr>
      <w:r w:rsidRPr="008B0B82">
        <w:rPr>
          <w:rFonts w:asciiTheme="majorBidi" w:hAnsiTheme="majorBidi" w:cstheme="majorBidi"/>
          <w:bCs/>
          <w:color w:val="000000"/>
          <w:sz w:val="24"/>
          <w:szCs w:val="24"/>
        </w:rPr>
        <w:t xml:space="preserve"> This process was part of the PMA</w:t>
      </w:r>
      <w:r>
        <w:rPr>
          <w:rFonts w:asciiTheme="majorBidi" w:hAnsiTheme="majorBidi" w:cstheme="majorBidi"/>
          <w:bCs/>
          <w:color w:val="000000"/>
          <w:sz w:val="24"/>
          <w:szCs w:val="24"/>
        </w:rPr>
        <w:t>’s</w:t>
      </w:r>
      <w:r w:rsidRPr="008B0B82">
        <w:rPr>
          <w:rFonts w:asciiTheme="majorBidi" w:hAnsiTheme="majorBidi" w:cstheme="majorBidi"/>
          <w:bCs/>
          <w:color w:val="000000"/>
          <w:sz w:val="24"/>
          <w:szCs w:val="24"/>
        </w:rPr>
        <w:t xml:space="preserve"> plan aim</w:t>
      </w:r>
      <w:r>
        <w:rPr>
          <w:rFonts w:asciiTheme="majorBidi" w:hAnsiTheme="majorBidi" w:cstheme="majorBidi"/>
          <w:bCs/>
          <w:color w:val="000000"/>
          <w:sz w:val="24"/>
          <w:szCs w:val="24"/>
        </w:rPr>
        <w:t>ed</w:t>
      </w:r>
      <w:r w:rsidRPr="008B0B82">
        <w:rPr>
          <w:rFonts w:asciiTheme="majorBidi" w:hAnsiTheme="majorBidi" w:cstheme="majorBidi"/>
          <w:bCs/>
          <w:color w:val="000000"/>
          <w:sz w:val="24"/>
          <w:szCs w:val="24"/>
        </w:rPr>
        <w:t xml:space="preserve"> </w:t>
      </w:r>
      <w:r w:rsidR="00916093">
        <w:rPr>
          <w:rFonts w:asciiTheme="majorBidi" w:hAnsiTheme="majorBidi" w:cstheme="majorBidi"/>
          <w:bCs/>
          <w:color w:val="000000"/>
          <w:sz w:val="24"/>
          <w:szCs w:val="24"/>
        </w:rPr>
        <w:t>to</w:t>
      </w:r>
      <w:r w:rsidRPr="008B0B82">
        <w:rPr>
          <w:rFonts w:asciiTheme="majorBidi" w:hAnsiTheme="majorBidi" w:cstheme="majorBidi"/>
          <w:bCs/>
          <w:color w:val="000000"/>
          <w:sz w:val="24"/>
          <w:szCs w:val="24"/>
        </w:rPr>
        <w:t xml:space="preserve"> develop</w:t>
      </w:r>
      <w:r w:rsidR="00916093">
        <w:rPr>
          <w:rFonts w:asciiTheme="majorBidi" w:hAnsiTheme="majorBidi" w:cstheme="majorBidi"/>
          <w:bCs/>
          <w:color w:val="000000"/>
          <w:sz w:val="24"/>
          <w:szCs w:val="24"/>
        </w:rPr>
        <w:t xml:space="preserve"> the banking system,</w:t>
      </w:r>
      <w:r w:rsidRPr="008B0B82">
        <w:rPr>
          <w:rFonts w:asciiTheme="majorBidi" w:hAnsiTheme="majorBidi" w:cstheme="majorBidi"/>
          <w:bCs/>
          <w:color w:val="000000"/>
          <w:sz w:val="24"/>
          <w:szCs w:val="24"/>
        </w:rPr>
        <w:t xml:space="preserve"> enhance its immunity and its ability to withstand risks, expected and unexpected, especially in light of the circumstances and risks in the local environment, and the worldwide volatility as a result of the global financial crisis that continue</w:t>
      </w:r>
      <w:r>
        <w:rPr>
          <w:rFonts w:asciiTheme="majorBidi" w:hAnsiTheme="majorBidi" w:cstheme="majorBidi"/>
          <w:bCs/>
          <w:color w:val="000000"/>
          <w:sz w:val="24"/>
          <w:szCs w:val="24"/>
        </w:rPr>
        <w:t>s</w:t>
      </w:r>
      <w:r w:rsidRPr="008B0B82">
        <w:rPr>
          <w:rFonts w:asciiTheme="majorBidi" w:hAnsiTheme="majorBidi" w:cstheme="majorBidi"/>
          <w:bCs/>
          <w:color w:val="000000"/>
          <w:sz w:val="24"/>
          <w:szCs w:val="24"/>
        </w:rPr>
        <w:t xml:space="preserve"> to afflict many countries in the world. In addition, it is meant for enhanc</w:t>
      </w:r>
      <w:r>
        <w:rPr>
          <w:rFonts w:asciiTheme="majorBidi" w:hAnsiTheme="majorBidi" w:cstheme="majorBidi"/>
          <w:bCs/>
          <w:color w:val="000000"/>
          <w:sz w:val="24"/>
          <w:szCs w:val="24"/>
        </w:rPr>
        <w:t xml:space="preserve">ement </w:t>
      </w:r>
      <w:r w:rsidR="00B66D78">
        <w:rPr>
          <w:rFonts w:asciiTheme="majorBidi" w:hAnsiTheme="majorBidi" w:cstheme="majorBidi"/>
          <w:bCs/>
          <w:color w:val="000000"/>
          <w:sz w:val="24"/>
          <w:szCs w:val="24"/>
        </w:rPr>
        <w:t xml:space="preserve">of </w:t>
      </w:r>
      <w:r w:rsidR="00B66D78" w:rsidRPr="008B0B82">
        <w:rPr>
          <w:rFonts w:asciiTheme="majorBidi" w:hAnsiTheme="majorBidi" w:cstheme="majorBidi"/>
          <w:bCs/>
          <w:color w:val="000000"/>
          <w:sz w:val="24"/>
          <w:szCs w:val="24"/>
        </w:rPr>
        <w:t>the</w:t>
      </w:r>
      <w:r w:rsidRPr="008B0B82">
        <w:rPr>
          <w:rFonts w:asciiTheme="majorBidi" w:hAnsiTheme="majorBidi" w:cstheme="majorBidi"/>
          <w:bCs/>
          <w:color w:val="000000"/>
          <w:sz w:val="24"/>
          <w:szCs w:val="24"/>
        </w:rPr>
        <w:t xml:space="preserve"> internal and external competitiveness of banks operating in Palestine.</w:t>
      </w:r>
    </w:p>
    <w:p w:rsidR="00A957BF" w:rsidRDefault="00B1661E" w:rsidP="005B093E">
      <w:pPr>
        <w:autoSpaceDE w:val="0"/>
        <w:autoSpaceDN w:val="0"/>
        <w:adjustRightInd w:val="0"/>
        <w:spacing w:after="0" w:line="360" w:lineRule="auto"/>
        <w:jc w:val="both"/>
        <w:rPr>
          <w:rFonts w:asciiTheme="majorBidi" w:hAnsiTheme="majorBidi" w:cstheme="majorBidi"/>
          <w:bCs/>
          <w:color w:val="000000" w:themeColor="text1"/>
          <w:sz w:val="24"/>
          <w:szCs w:val="24"/>
        </w:rPr>
      </w:pPr>
      <w:r w:rsidRPr="008B0B82">
        <w:rPr>
          <w:rFonts w:asciiTheme="majorBidi" w:hAnsiTheme="majorBidi" w:cstheme="majorBidi"/>
          <w:bCs/>
          <w:color w:val="000000"/>
          <w:sz w:val="24"/>
          <w:szCs w:val="24"/>
        </w:rPr>
        <w:t xml:space="preserve">It should also be noted that the PMA has been preparing </w:t>
      </w:r>
      <w:r>
        <w:rPr>
          <w:rFonts w:asciiTheme="majorBidi" w:hAnsiTheme="majorBidi" w:cstheme="majorBidi"/>
          <w:bCs/>
          <w:color w:val="000000"/>
          <w:sz w:val="24"/>
          <w:szCs w:val="24"/>
        </w:rPr>
        <w:t xml:space="preserve">for </w:t>
      </w:r>
      <w:r w:rsidR="00B66D78">
        <w:rPr>
          <w:rFonts w:asciiTheme="majorBidi" w:hAnsiTheme="majorBidi" w:cstheme="majorBidi"/>
          <w:bCs/>
          <w:color w:val="000000"/>
          <w:sz w:val="24"/>
          <w:szCs w:val="24"/>
        </w:rPr>
        <w:t xml:space="preserve">the </w:t>
      </w:r>
      <w:r w:rsidR="00B66D78" w:rsidRPr="008B0B82">
        <w:rPr>
          <w:rFonts w:asciiTheme="majorBidi" w:hAnsiTheme="majorBidi" w:cstheme="majorBidi"/>
          <w:bCs/>
          <w:color w:val="000000"/>
          <w:sz w:val="24"/>
          <w:szCs w:val="24"/>
        </w:rPr>
        <w:t>implementation</w:t>
      </w:r>
      <w:r>
        <w:rPr>
          <w:rFonts w:asciiTheme="majorBidi" w:hAnsiTheme="majorBidi" w:cstheme="majorBidi"/>
          <w:bCs/>
          <w:color w:val="000000"/>
          <w:sz w:val="24"/>
          <w:szCs w:val="24"/>
        </w:rPr>
        <w:t xml:space="preserve"> of</w:t>
      </w:r>
      <w:r w:rsidRPr="008B0B82">
        <w:rPr>
          <w:rFonts w:asciiTheme="majorBidi" w:hAnsiTheme="majorBidi" w:cstheme="majorBidi"/>
          <w:bCs/>
          <w:color w:val="000000"/>
          <w:sz w:val="24"/>
          <w:szCs w:val="24"/>
        </w:rPr>
        <w:t xml:space="preserve"> the requirements of the Basel Committee II in line with the Palestinian needs and conditions. </w:t>
      </w:r>
      <w:r w:rsidRPr="0059607E">
        <w:rPr>
          <w:rFonts w:asciiTheme="majorBidi" w:hAnsiTheme="majorBidi" w:cstheme="majorBidi"/>
          <w:bCs/>
          <w:color w:val="000000" w:themeColor="text1"/>
          <w:sz w:val="24"/>
          <w:szCs w:val="24"/>
        </w:rPr>
        <w:t xml:space="preserve">The PMA </w:t>
      </w:r>
      <w:r>
        <w:rPr>
          <w:rFonts w:asciiTheme="majorBidi" w:hAnsiTheme="majorBidi" w:cstheme="majorBidi"/>
          <w:bCs/>
          <w:color w:val="000000" w:themeColor="text1"/>
          <w:sz w:val="24"/>
          <w:szCs w:val="24"/>
        </w:rPr>
        <w:t>was</w:t>
      </w:r>
      <w:r w:rsidRPr="0059607E">
        <w:rPr>
          <w:rFonts w:asciiTheme="majorBidi" w:hAnsiTheme="majorBidi" w:cstheme="majorBidi"/>
          <w:bCs/>
          <w:color w:val="000000" w:themeColor="text1"/>
          <w:sz w:val="24"/>
          <w:szCs w:val="24"/>
        </w:rPr>
        <w:t xml:space="preserve"> expected to begin implementing these</w:t>
      </w:r>
      <w:r>
        <w:rPr>
          <w:rFonts w:asciiTheme="majorBidi" w:hAnsiTheme="majorBidi" w:cstheme="majorBidi"/>
          <w:bCs/>
          <w:color w:val="000000" w:themeColor="text1"/>
          <w:sz w:val="24"/>
          <w:szCs w:val="24"/>
        </w:rPr>
        <w:t xml:space="preserve"> requirements</w:t>
      </w:r>
      <w:r w:rsidRPr="0059607E">
        <w:rPr>
          <w:rFonts w:asciiTheme="majorBidi" w:hAnsiTheme="majorBidi" w:cstheme="majorBidi"/>
          <w:bCs/>
          <w:color w:val="000000" w:themeColor="text1"/>
          <w:sz w:val="24"/>
          <w:szCs w:val="24"/>
        </w:rPr>
        <w:t xml:space="preserve"> </w:t>
      </w:r>
      <w:r w:rsidR="00B66D78" w:rsidRPr="0059607E">
        <w:rPr>
          <w:rFonts w:asciiTheme="majorBidi" w:hAnsiTheme="majorBidi" w:cstheme="majorBidi"/>
          <w:bCs/>
          <w:color w:val="000000" w:themeColor="text1"/>
          <w:sz w:val="24"/>
          <w:szCs w:val="24"/>
        </w:rPr>
        <w:t>by mid 2012</w:t>
      </w:r>
      <w:r w:rsidRPr="0059607E">
        <w:rPr>
          <w:rFonts w:asciiTheme="majorBidi" w:hAnsiTheme="majorBidi" w:cstheme="majorBidi"/>
          <w:bCs/>
          <w:color w:val="000000" w:themeColor="text1"/>
          <w:sz w:val="24"/>
          <w:szCs w:val="24"/>
        </w:rPr>
        <w:t>.</w:t>
      </w:r>
    </w:p>
    <w:p w:rsidR="00B8233F" w:rsidRPr="005B093E" w:rsidRDefault="00B8233F" w:rsidP="005B093E">
      <w:pPr>
        <w:autoSpaceDE w:val="0"/>
        <w:autoSpaceDN w:val="0"/>
        <w:adjustRightInd w:val="0"/>
        <w:spacing w:after="0" w:line="360" w:lineRule="auto"/>
        <w:jc w:val="both"/>
        <w:rPr>
          <w:rFonts w:asciiTheme="majorBidi" w:hAnsiTheme="majorBidi" w:cstheme="majorBidi"/>
          <w:bCs/>
          <w:color w:val="000000" w:themeColor="text1"/>
          <w:sz w:val="24"/>
          <w:szCs w:val="24"/>
        </w:rPr>
      </w:pPr>
    </w:p>
    <w:p w:rsidR="000E401B" w:rsidRDefault="000E401B" w:rsidP="00B65226">
      <w:pPr>
        <w:spacing w:after="240" w:line="360" w:lineRule="auto"/>
        <w:contextualSpacing/>
        <w:rPr>
          <w:rFonts w:asciiTheme="majorBidi" w:hAnsiTheme="majorBidi" w:cstheme="majorBidi"/>
          <w:b/>
          <w:sz w:val="24"/>
          <w:szCs w:val="24"/>
        </w:rPr>
      </w:pPr>
    </w:p>
    <w:p w:rsidR="00A10A45" w:rsidRPr="008B0B82" w:rsidRDefault="00F90F7E" w:rsidP="00B65226">
      <w:pPr>
        <w:spacing w:after="240" w:line="360" w:lineRule="auto"/>
        <w:contextualSpacing/>
        <w:rPr>
          <w:rFonts w:asciiTheme="majorBidi" w:hAnsiTheme="majorBidi" w:cstheme="majorBidi"/>
          <w:b/>
          <w:sz w:val="24"/>
          <w:szCs w:val="24"/>
        </w:rPr>
      </w:pPr>
      <w:r>
        <w:rPr>
          <w:rFonts w:asciiTheme="majorBidi" w:hAnsiTheme="majorBidi" w:cstheme="majorBidi"/>
          <w:b/>
          <w:sz w:val="24"/>
          <w:szCs w:val="24"/>
        </w:rPr>
        <w:lastRenderedPageBreak/>
        <w:t>2.2.5</w:t>
      </w:r>
      <w:r w:rsidR="006E1F73" w:rsidRPr="008B0B82">
        <w:rPr>
          <w:rFonts w:asciiTheme="majorBidi" w:hAnsiTheme="majorBidi" w:cstheme="majorBidi"/>
          <w:b/>
          <w:sz w:val="24"/>
          <w:szCs w:val="24"/>
        </w:rPr>
        <w:t xml:space="preserve"> The New Basel</w:t>
      </w:r>
      <w:r w:rsidR="006E1F73" w:rsidRPr="008B0B82">
        <w:rPr>
          <w:rFonts w:asciiTheme="majorBidi" w:hAnsiTheme="majorBidi" w:cstheme="majorBidi"/>
          <w:b/>
          <w:bCs/>
          <w:color w:val="000000"/>
          <w:sz w:val="24"/>
          <w:szCs w:val="24"/>
        </w:rPr>
        <w:t xml:space="preserve"> III A</w:t>
      </w:r>
      <w:r w:rsidR="006E1F73" w:rsidRPr="008B0B82">
        <w:rPr>
          <w:rFonts w:asciiTheme="majorBidi" w:hAnsiTheme="majorBidi" w:cstheme="majorBidi"/>
          <w:b/>
          <w:sz w:val="24"/>
          <w:szCs w:val="24"/>
        </w:rPr>
        <w:t>ccord</w:t>
      </w:r>
    </w:p>
    <w:p w:rsidR="00DB5E24" w:rsidRPr="000F37C7" w:rsidRDefault="00947682" w:rsidP="000F37C7">
      <w:pPr>
        <w:spacing w:line="360" w:lineRule="auto"/>
        <w:jc w:val="both"/>
        <w:rPr>
          <w:rFonts w:asciiTheme="majorBidi" w:hAnsiTheme="majorBidi" w:cstheme="majorBidi"/>
          <w:sz w:val="24"/>
          <w:szCs w:val="24"/>
        </w:rPr>
      </w:pPr>
      <w:r w:rsidRPr="00866895">
        <w:rPr>
          <w:rFonts w:ascii="Times New Roman" w:hAnsi="Times New Roman" w:cs="Times New Roman"/>
          <w:sz w:val="24"/>
          <w:szCs w:val="24"/>
        </w:rPr>
        <w:t xml:space="preserve">In 2010 the BCBS release a final version of </w:t>
      </w:r>
      <w:r w:rsidRPr="00866895">
        <w:rPr>
          <w:rFonts w:ascii="Times New Roman" w:hAnsi="Times New Roman" w:cs="Times New Roman"/>
          <w:bCs/>
          <w:color w:val="000000"/>
          <w:sz w:val="24"/>
          <w:szCs w:val="24"/>
        </w:rPr>
        <w:t>new bank capital and liquidity standards, known as Basel III. In 201</w:t>
      </w:r>
      <w:r w:rsidR="00382CF4">
        <w:rPr>
          <w:rFonts w:ascii="Times New Roman" w:hAnsi="Times New Roman" w:cs="Times New Roman"/>
          <w:bCs/>
          <w:color w:val="000000"/>
          <w:sz w:val="24"/>
          <w:szCs w:val="24"/>
        </w:rPr>
        <w:t xml:space="preserve">1a guidance was issued concerning the </w:t>
      </w:r>
      <w:r w:rsidR="00382CF4" w:rsidRPr="00866895">
        <w:rPr>
          <w:rFonts w:ascii="Times New Roman" w:hAnsi="Times New Roman" w:cs="Times New Roman"/>
          <w:bCs/>
          <w:color w:val="000000"/>
          <w:sz w:val="24"/>
          <w:szCs w:val="24"/>
        </w:rPr>
        <w:t>minimum</w:t>
      </w:r>
      <w:r w:rsidRPr="00866895">
        <w:rPr>
          <w:rFonts w:ascii="Times New Roman" w:hAnsi="Times New Roman" w:cs="Times New Roman"/>
          <w:bCs/>
          <w:color w:val="000000"/>
          <w:sz w:val="24"/>
          <w:szCs w:val="24"/>
        </w:rPr>
        <w:t xml:space="preserve"> requirements for regulatory capital </w:t>
      </w:r>
      <w:r w:rsidR="00382CF4">
        <w:rPr>
          <w:rFonts w:ascii="Times New Roman" w:hAnsi="Times New Roman" w:cs="Times New Roman"/>
          <w:bCs/>
          <w:color w:val="000000"/>
          <w:sz w:val="24"/>
          <w:szCs w:val="24"/>
        </w:rPr>
        <w:t>tools.</w:t>
      </w:r>
      <w:r w:rsidR="00B1661E" w:rsidRPr="008B0B82">
        <w:rPr>
          <w:rFonts w:asciiTheme="majorBidi" w:hAnsiTheme="majorBidi" w:cstheme="majorBidi"/>
          <w:sz w:val="24"/>
          <w:szCs w:val="24"/>
        </w:rPr>
        <w:t xml:space="preserve"> </w:t>
      </w:r>
      <w:r w:rsidR="00EF55E2" w:rsidRPr="008B0B82">
        <w:rPr>
          <w:rFonts w:asciiTheme="majorBidi" w:hAnsiTheme="majorBidi" w:cstheme="majorBidi"/>
          <w:sz w:val="24"/>
          <w:szCs w:val="24"/>
        </w:rPr>
        <w:t>Basel III is a</w:t>
      </w:r>
      <w:r w:rsidR="00EF55E2">
        <w:rPr>
          <w:rFonts w:asciiTheme="majorBidi" w:hAnsiTheme="majorBidi" w:cstheme="majorBidi"/>
          <w:sz w:val="24"/>
          <w:szCs w:val="24"/>
        </w:rPr>
        <w:t xml:space="preserve"> sequence of to the present </w:t>
      </w:r>
      <w:r w:rsidR="00EF55E2" w:rsidRPr="008B0B82">
        <w:rPr>
          <w:rFonts w:asciiTheme="majorBidi" w:hAnsiTheme="majorBidi" w:cstheme="majorBidi"/>
          <w:sz w:val="24"/>
          <w:szCs w:val="24"/>
        </w:rPr>
        <w:t>Basel II framework.</w:t>
      </w:r>
      <w:r w:rsidR="00EF55E2">
        <w:rPr>
          <w:rFonts w:asciiTheme="majorBidi" w:hAnsiTheme="majorBidi" w:cstheme="majorBidi"/>
          <w:sz w:val="24"/>
          <w:szCs w:val="24"/>
        </w:rPr>
        <w:t xml:space="preserve"> Some of aspects </w:t>
      </w:r>
      <w:r w:rsidR="00EF55E2" w:rsidRPr="008B0B82">
        <w:rPr>
          <w:rFonts w:asciiTheme="majorBidi" w:hAnsiTheme="majorBidi" w:cstheme="majorBidi"/>
          <w:sz w:val="24"/>
          <w:szCs w:val="24"/>
        </w:rPr>
        <w:t>Basel III</w:t>
      </w:r>
      <w:r w:rsidR="00EF55E2">
        <w:rPr>
          <w:rFonts w:asciiTheme="majorBidi" w:hAnsiTheme="majorBidi" w:cstheme="majorBidi"/>
          <w:sz w:val="24"/>
          <w:szCs w:val="24"/>
        </w:rPr>
        <w:t xml:space="preserve"> is implemented in 2013 and certain aspects will be implemented over several </w:t>
      </w:r>
      <w:r w:rsidR="000F37C7">
        <w:rPr>
          <w:rFonts w:asciiTheme="majorBidi" w:hAnsiTheme="majorBidi" w:cstheme="majorBidi"/>
          <w:sz w:val="24"/>
          <w:szCs w:val="24"/>
        </w:rPr>
        <w:t>years.</w:t>
      </w:r>
      <w:r w:rsidR="000F37C7" w:rsidRPr="008B0B82">
        <w:rPr>
          <w:rFonts w:asciiTheme="majorBidi" w:hAnsiTheme="majorBidi" w:cstheme="majorBidi"/>
          <w:sz w:val="24"/>
          <w:szCs w:val="24"/>
        </w:rPr>
        <w:t xml:space="preserve"> </w:t>
      </w:r>
      <w:r w:rsidR="000F37C7">
        <w:rPr>
          <w:rFonts w:asciiTheme="majorBidi" w:hAnsiTheme="majorBidi" w:cstheme="majorBidi"/>
          <w:sz w:val="24"/>
          <w:szCs w:val="24"/>
        </w:rPr>
        <w:t xml:space="preserve">In order to help </w:t>
      </w:r>
      <w:r w:rsidR="000F37C7" w:rsidRPr="008B0B82">
        <w:rPr>
          <w:rFonts w:asciiTheme="majorBidi" w:hAnsiTheme="majorBidi" w:cstheme="majorBidi"/>
          <w:sz w:val="24"/>
          <w:szCs w:val="24"/>
        </w:rPr>
        <w:t xml:space="preserve">in the development of a bank capital plan that </w:t>
      </w:r>
      <w:r w:rsidR="000F37C7">
        <w:rPr>
          <w:rFonts w:asciiTheme="majorBidi" w:hAnsiTheme="majorBidi" w:cstheme="majorBidi"/>
          <w:sz w:val="24"/>
          <w:szCs w:val="24"/>
        </w:rPr>
        <w:t xml:space="preserve">concur with the </w:t>
      </w:r>
      <w:r w:rsidR="000F37C7" w:rsidRPr="008B0B82">
        <w:rPr>
          <w:rFonts w:asciiTheme="majorBidi" w:hAnsiTheme="majorBidi" w:cstheme="majorBidi"/>
          <w:sz w:val="24"/>
          <w:szCs w:val="24"/>
        </w:rPr>
        <w:t>supervisory expectation</w:t>
      </w:r>
      <w:r w:rsidR="000F37C7">
        <w:rPr>
          <w:rFonts w:asciiTheme="majorBidi" w:hAnsiTheme="majorBidi" w:cstheme="majorBidi"/>
          <w:sz w:val="24"/>
          <w:szCs w:val="24"/>
        </w:rPr>
        <w:t>s, it was necessary for many parties to have</w:t>
      </w:r>
      <w:r w:rsidR="000F37C7" w:rsidRPr="008B0B82">
        <w:rPr>
          <w:rFonts w:asciiTheme="majorBidi" w:hAnsiTheme="majorBidi" w:cstheme="majorBidi"/>
          <w:sz w:val="24"/>
          <w:szCs w:val="24"/>
        </w:rPr>
        <w:t xml:space="preserve"> a working understanding of the new Basel III standards</w:t>
      </w:r>
      <w:r w:rsidR="000F37C7">
        <w:rPr>
          <w:rFonts w:asciiTheme="majorBidi" w:hAnsiTheme="majorBidi" w:cstheme="majorBidi"/>
          <w:sz w:val="24"/>
          <w:szCs w:val="24"/>
        </w:rPr>
        <w:t xml:space="preserve"> (Sherman &amp; Sterling, 2011</w:t>
      </w:r>
      <w:r w:rsidR="000F37C7" w:rsidRPr="008B0B82">
        <w:rPr>
          <w:rFonts w:asciiTheme="majorBidi" w:hAnsiTheme="majorBidi" w:cstheme="majorBidi"/>
          <w:sz w:val="24"/>
          <w:szCs w:val="24"/>
        </w:rPr>
        <w:t>).</w:t>
      </w:r>
      <w:r w:rsidR="00B1661E" w:rsidRPr="008B0B82">
        <w:rPr>
          <w:rFonts w:asciiTheme="majorBidi" w:hAnsiTheme="majorBidi" w:cstheme="majorBidi"/>
          <w:color w:val="000000"/>
          <w:sz w:val="24"/>
          <w:szCs w:val="24"/>
        </w:rPr>
        <w:t xml:space="preserve"> The Committee continues to work on certain aspects of the framework which may lead to additional changes in Basel III (see Appendix 2).</w:t>
      </w:r>
    </w:p>
    <w:p w:rsidR="00DB5E24" w:rsidRDefault="00DB5E24" w:rsidP="000F37C7">
      <w:pPr>
        <w:spacing w:after="240" w:line="360" w:lineRule="auto"/>
        <w:contextualSpacing/>
        <w:jc w:val="both"/>
        <w:rPr>
          <w:rFonts w:asciiTheme="majorBidi" w:hAnsiTheme="majorBidi" w:cstheme="majorBidi"/>
          <w:b/>
          <w:sz w:val="24"/>
          <w:szCs w:val="24"/>
        </w:rPr>
      </w:pPr>
    </w:p>
    <w:p w:rsidR="00536A79" w:rsidRDefault="00536A79" w:rsidP="000F37C7">
      <w:pPr>
        <w:spacing w:after="240" w:line="360" w:lineRule="auto"/>
        <w:contextualSpacing/>
        <w:jc w:val="both"/>
        <w:rPr>
          <w:rFonts w:ascii="Times New Roman" w:hAnsi="Times New Roman" w:cs="Times New Roman"/>
          <w:b/>
          <w:bCs/>
          <w:color w:val="000000"/>
          <w:sz w:val="24"/>
          <w:szCs w:val="24"/>
        </w:rPr>
      </w:pPr>
    </w:p>
    <w:p w:rsidR="00536A79" w:rsidRDefault="00536A79" w:rsidP="00DB5E24">
      <w:pPr>
        <w:spacing w:after="240" w:line="360" w:lineRule="auto"/>
        <w:contextualSpacing/>
        <w:jc w:val="center"/>
        <w:rPr>
          <w:rFonts w:ascii="Times New Roman" w:hAnsi="Times New Roman" w:cs="Times New Roman"/>
          <w:b/>
          <w:bCs/>
          <w:color w:val="000000"/>
          <w:sz w:val="24"/>
          <w:szCs w:val="24"/>
        </w:rPr>
      </w:pPr>
    </w:p>
    <w:p w:rsidR="00536A79" w:rsidRDefault="00536A79" w:rsidP="00DB5E24">
      <w:pPr>
        <w:spacing w:after="240" w:line="360" w:lineRule="auto"/>
        <w:contextualSpacing/>
        <w:jc w:val="center"/>
        <w:rPr>
          <w:rFonts w:ascii="Times New Roman" w:hAnsi="Times New Roman" w:cs="Times New Roman"/>
          <w:b/>
          <w:bCs/>
          <w:color w:val="000000"/>
          <w:sz w:val="24"/>
          <w:szCs w:val="24"/>
        </w:rPr>
      </w:pPr>
    </w:p>
    <w:p w:rsidR="00536A79" w:rsidRDefault="00536A79" w:rsidP="00DB5E24">
      <w:pPr>
        <w:spacing w:after="240" w:line="360" w:lineRule="auto"/>
        <w:contextualSpacing/>
        <w:jc w:val="center"/>
        <w:rPr>
          <w:rFonts w:ascii="Times New Roman" w:hAnsi="Times New Roman" w:cs="Times New Roman"/>
          <w:b/>
          <w:bCs/>
          <w:color w:val="000000"/>
          <w:sz w:val="24"/>
          <w:szCs w:val="24"/>
        </w:rPr>
      </w:pPr>
    </w:p>
    <w:p w:rsidR="00536A79" w:rsidRDefault="00536A79" w:rsidP="00DB5E24">
      <w:pPr>
        <w:spacing w:after="240" w:line="360" w:lineRule="auto"/>
        <w:contextualSpacing/>
        <w:jc w:val="center"/>
        <w:rPr>
          <w:rFonts w:ascii="Times New Roman" w:hAnsi="Times New Roman" w:cs="Times New Roman"/>
          <w:b/>
          <w:bCs/>
          <w:color w:val="000000"/>
          <w:sz w:val="24"/>
          <w:szCs w:val="24"/>
        </w:rPr>
      </w:pPr>
    </w:p>
    <w:p w:rsidR="000F37C7" w:rsidRDefault="000F37C7" w:rsidP="000F37C7">
      <w:pPr>
        <w:spacing w:after="240" w:line="360" w:lineRule="auto"/>
        <w:contextualSpacing/>
        <w:rPr>
          <w:rFonts w:ascii="Times New Roman" w:hAnsi="Times New Roman" w:cs="Times New Roman"/>
          <w:b/>
          <w:bCs/>
          <w:color w:val="000000"/>
          <w:sz w:val="24"/>
          <w:szCs w:val="24"/>
        </w:rPr>
      </w:pPr>
    </w:p>
    <w:p w:rsidR="00916093" w:rsidRDefault="00916093" w:rsidP="000F37C7">
      <w:pPr>
        <w:spacing w:after="240" w:line="360" w:lineRule="auto"/>
        <w:contextualSpacing/>
        <w:jc w:val="center"/>
        <w:rPr>
          <w:rFonts w:ascii="Times New Roman" w:hAnsi="Times New Roman" w:cs="Times New Roman"/>
          <w:b/>
          <w:bCs/>
          <w:color w:val="000000"/>
          <w:sz w:val="24"/>
          <w:szCs w:val="24"/>
        </w:rPr>
      </w:pPr>
    </w:p>
    <w:p w:rsidR="00916093" w:rsidRDefault="00916093" w:rsidP="000F37C7">
      <w:pPr>
        <w:spacing w:after="240" w:line="360" w:lineRule="auto"/>
        <w:contextualSpacing/>
        <w:jc w:val="center"/>
        <w:rPr>
          <w:rFonts w:ascii="Times New Roman" w:hAnsi="Times New Roman" w:cs="Times New Roman"/>
          <w:b/>
          <w:bCs/>
          <w:color w:val="000000"/>
          <w:sz w:val="24"/>
          <w:szCs w:val="24"/>
        </w:rPr>
      </w:pPr>
    </w:p>
    <w:p w:rsidR="00A957BF" w:rsidRDefault="00A957BF" w:rsidP="000F37C7">
      <w:pPr>
        <w:spacing w:after="240" w:line="360" w:lineRule="auto"/>
        <w:contextualSpacing/>
        <w:jc w:val="center"/>
        <w:rPr>
          <w:rFonts w:ascii="Times New Roman" w:hAnsi="Times New Roman" w:cs="Times New Roman"/>
          <w:b/>
          <w:bCs/>
          <w:color w:val="000000"/>
          <w:sz w:val="24"/>
          <w:szCs w:val="24"/>
        </w:rPr>
      </w:pPr>
    </w:p>
    <w:p w:rsidR="00210E3E" w:rsidRDefault="00210E3E" w:rsidP="000F37C7">
      <w:pPr>
        <w:spacing w:after="240" w:line="360" w:lineRule="auto"/>
        <w:contextualSpacing/>
        <w:jc w:val="center"/>
        <w:rPr>
          <w:rFonts w:ascii="Times New Roman" w:hAnsi="Times New Roman" w:cs="Times New Roman"/>
          <w:b/>
          <w:bCs/>
          <w:color w:val="000000"/>
          <w:sz w:val="24"/>
          <w:szCs w:val="24"/>
        </w:rPr>
      </w:pPr>
    </w:p>
    <w:p w:rsidR="00A957BF" w:rsidRDefault="00A957BF" w:rsidP="000F37C7">
      <w:pPr>
        <w:spacing w:after="240" w:line="360" w:lineRule="auto"/>
        <w:contextualSpacing/>
        <w:jc w:val="center"/>
        <w:rPr>
          <w:rFonts w:ascii="Times New Roman" w:hAnsi="Times New Roman" w:cs="Times New Roman"/>
          <w:b/>
          <w:bCs/>
          <w:color w:val="000000"/>
          <w:sz w:val="24"/>
          <w:szCs w:val="24"/>
        </w:rPr>
      </w:pPr>
    </w:p>
    <w:p w:rsidR="005B093E" w:rsidRDefault="005B093E" w:rsidP="000F37C7">
      <w:pPr>
        <w:spacing w:after="240" w:line="360" w:lineRule="auto"/>
        <w:contextualSpacing/>
        <w:jc w:val="center"/>
        <w:rPr>
          <w:rFonts w:ascii="Times New Roman" w:hAnsi="Times New Roman" w:cs="Times New Roman"/>
          <w:b/>
          <w:bCs/>
          <w:color w:val="000000"/>
          <w:sz w:val="24"/>
          <w:szCs w:val="24"/>
        </w:rPr>
      </w:pPr>
    </w:p>
    <w:p w:rsidR="005B093E" w:rsidRDefault="005B093E" w:rsidP="00B8233F">
      <w:pPr>
        <w:spacing w:after="240" w:line="360" w:lineRule="auto"/>
        <w:contextualSpacing/>
        <w:rPr>
          <w:rFonts w:ascii="Times New Roman" w:hAnsi="Times New Roman" w:cs="Times New Roman"/>
          <w:b/>
          <w:bCs/>
          <w:color w:val="000000"/>
          <w:sz w:val="24"/>
          <w:szCs w:val="24"/>
        </w:rPr>
      </w:pPr>
    </w:p>
    <w:p w:rsidR="00B8233F" w:rsidRDefault="00B8233F" w:rsidP="00B8233F">
      <w:pPr>
        <w:spacing w:after="240" w:line="360" w:lineRule="auto"/>
        <w:contextualSpacing/>
        <w:rPr>
          <w:rFonts w:ascii="Times New Roman" w:hAnsi="Times New Roman" w:cs="Times New Roman"/>
          <w:b/>
          <w:bCs/>
          <w:color w:val="000000"/>
          <w:sz w:val="24"/>
          <w:szCs w:val="24"/>
        </w:rPr>
      </w:pPr>
    </w:p>
    <w:p w:rsidR="000E401B" w:rsidRDefault="000E401B" w:rsidP="000F37C7">
      <w:pPr>
        <w:spacing w:after="240" w:line="360" w:lineRule="auto"/>
        <w:contextualSpacing/>
        <w:jc w:val="center"/>
        <w:rPr>
          <w:rFonts w:ascii="Times New Roman" w:hAnsi="Times New Roman" w:cs="Times New Roman"/>
          <w:b/>
          <w:bCs/>
          <w:color w:val="000000"/>
          <w:sz w:val="24"/>
          <w:szCs w:val="24"/>
        </w:rPr>
      </w:pPr>
    </w:p>
    <w:p w:rsidR="000E401B" w:rsidRDefault="000E401B" w:rsidP="000F37C7">
      <w:pPr>
        <w:spacing w:after="240" w:line="360" w:lineRule="auto"/>
        <w:contextualSpacing/>
        <w:jc w:val="center"/>
        <w:rPr>
          <w:rFonts w:ascii="Times New Roman" w:hAnsi="Times New Roman" w:cs="Times New Roman"/>
          <w:b/>
          <w:bCs/>
          <w:color w:val="000000"/>
          <w:sz w:val="24"/>
          <w:szCs w:val="24"/>
        </w:rPr>
      </w:pPr>
    </w:p>
    <w:p w:rsidR="000E401B" w:rsidRDefault="000E401B" w:rsidP="000F37C7">
      <w:pPr>
        <w:spacing w:after="240" w:line="360" w:lineRule="auto"/>
        <w:contextualSpacing/>
        <w:jc w:val="center"/>
        <w:rPr>
          <w:rFonts w:ascii="Times New Roman" w:hAnsi="Times New Roman" w:cs="Times New Roman"/>
          <w:b/>
          <w:bCs/>
          <w:color w:val="000000"/>
          <w:sz w:val="24"/>
          <w:szCs w:val="24"/>
        </w:rPr>
      </w:pPr>
    </w:p>
    <w:p w:rsidR="000E401B" w:rsidRDefault="000E401B" w:rsidP="000F37C7">
      <w:pPr>
        <w:spacing w:after="240" w:line="360" w:lineRule="auto"/>
        <w:contextualSpacing/>
        <w:jc w:val="center"/>
        <w:rPr>
          <w:rFonts w:ascii="Times New Roman" w:hAnsi="Times New Roman" w:cs="Times New Roman"/>
          <w:b/>
          <w:bCs/>
          <w:color w:val="000000"/>
          <w:sz w:val="24"/>
          <w:szCs w:val="24"/>
        </w:rPr>
      </w:pPr>
    </w:p>
    <w:p w:rsidR="000E4FC6" w:rsidRPr="00DB5E24" w:rsidRDefault="0064055B" w:rsidP="000F37C7">
      <w:pPr>
        <w:spacing w:after="240" w:line="360" w:lineRule="auto"/>
        <w:contextualSpacing/>
        <w:jc w:val="center"/>
        <w:rPr>
          <w:rFonts w:asciiTheme="majorBidi" w:hAnsiTheme="majorBidi" w:cstheme="majorBidi"/>
          <w:b/>
          <w:sz w:val="24"/>
          <w:szCs w:val="24"/>
        </w:rPr>
      </w:pPr>
      <w:r w:rsidRPr="0023054A">
        <w:rPr>
          <w:rFonts w:ascii="Times New Roman" w:hAnsi="Times New Roman" w:cs="Times New Roman"/>
          <w:b/>
          <w:bCs/>
          <w:color w:val="000000"/>
          <w:sz w:val="24"/>
          <w:szCs w:val="24"/>
        </w:rPr>
        <w:lastRenderedPageBreak/>
        <w:t>SECTION THREE</w:t>
      </w:r>
    </w:p>
    <w:p w:rsidR="00F11058" w:rsidRDefault="0064055B" w:rsidP="00F11058">
      <w:pPr>
        <w:autoSpaceDE w:val="0"/>
        <w:autoSpaceDN w:val="0"/>
        <w:adjustRightInd w:val="0"/>
        <w:spacing w:after="0" w:line="360" w:lineRule="auto"/>
        <w:jc w:val="center"/>
        <w:rPr>
          <w:rFonts w:ascii="Times New Roman" w:hAnsi="Times New Roman" w:cs="Times New Roman"/>
          <w:b/>
          <w:bCs/>
          <w:color w:val="000000"/>
          <w:sz w:val="24"/>
          <w:szCs w:val="24"/>
        </w:rPr>
      </w:pPr>
      <w:r w:rsidRPr="0023054A">
        <w:rPr>
          <w:rFonts w:ascii="Times New Roman" w:hAnsi="Times New Roman" w:cs="Times New Roman"/>
          <w:b/>
          <w:bCs/>
          <w:color w:val="000000"/>
          <w:sz w:val="24"/>
          <w:szCs w:val="24"/>
        </w:rPr>
        <w:t>CREDIT RISK</w:t>
      </w:r>
    </w:p>
    <w:p w:rsidR="00F11058" w:rsidRDefault="00F11058" w:rsidP="00F11058">
      <w:pPr>
        <w:autoSpaceDE w:val="0"/>
        <w:autoSpaceDN w:val="0"/>
        <w:adjustRightInd w:val="0"/>
        <w:spacing w:after="0" w:line="360" w:lineRule="auto"/>
        <w:jc w:val="center"/>
        <w:rPr>
          <w:rFonts w:ascii="Times New Roman" w:hAnsi="Times New Roman" w:cs="Times New Roman"/>
          <w:b/>
          <w:bCs/>
          <w:color w:val="000000"/>
          <w:sz w:val="24"/>
          <w:szCs w:val="24"/>
        </w:rPr>
      </w:pPr>
    </w:p>
    <w:p w:rsidR="00F11058" w:rsidRDefault="00F11058" w:rsidP="00F11058">
      <w:pPr>
        <w:autoSpaceDE w:val="0"/>
        <w:autoSpaceDN w:val="0"/>
        <w:adjustRightInd w:val="0"/>
        <w:spacing w:after="0" w:line="360" w:lineRule="auto"/>
        <w:jc w:val="center"/>
        <w:rPr>
          <w:rFonts w:ascii="Times New Roman" w:hAnsi="Times New Roman" w:cs="Times New Roman"/>
          <w:b/>
          <w:bCs/>
          <w:color w:val="000000"/>
          <w:sz w:val="24"/>
          <w:szCs w:val="24"/>
        </w:rPr>
      </w:pPr>
    </w:p>
    <w:p w:rsidR="00F11058" w:rsidRDefault="00F11058" w:rsidP="00F11058">
      <w:pPr>
        <w:autoSpaceDE w:val="0"/>
        <w:autoSpaceDN w:val="0"/>
        <w:adjustRightInd w:val="0"/>
        <w:spacing w:after="0" w:line="360" w:lineRule="auto"/>
        <w:jc w:val="center"/>
        <w:rPr>
          <w:rFonts w:ascii="Times New Roman" w:hAnsi="Times New Roman" w:cs="Times New Roman"/>
          <w:b/>
          <w:bCs/>
          <w:color w:val="000000"/>
          <w:sz w:val="24"/>
          <w:szCs w:val="24"/>
        </w:rPr>
      </w:pPr>
    </w:p>
    <w:p w:rsidR="000E4FC6" w:rsidRDefault="0089524E" w:rsidP="00F11058">
      <w:pPr>
        <w:autoSpaceDE w:val="0"/>
        <w:autoSpaceDN w:val="0"/>
        <w:adjustRightInd w:val="0"/>
        <w:spacing w:after="0" w:line="360" w:lineRule="auto"/>
        <w:rPr>
          <w:rFonts w:ascii="Times New Roman" w:hAnsi="Times New Roman" w:cs="Times New Roman"/>
          <w:b/>
          <w:bCs/>
          <w:color w:val="000000"/>
          <w:sz w:val="24"/>
          <w:szCs w:val="24"/>
        </w:rPr>
      </w:pPr>
      <w:r w:rsidRPr="00D4262C">
        <w:rPr>
          <w:rFonts w:ascii="Times New Roman" w:hAnsi="Times New Roman" w:cs="Times New Roman"/>
          <w:b/>
          <w:bCs/>
          <w:color w:val="000000"/>
          <w:sz w:val="24"/>
          <w:szCs w:val="24"/>
        </w:rPr>
        <w:t>2.3</w:t>
      </w:r>
      <w:r w:rsidR="00F75B5C">
        <w:rPr>
          <w:rFonts w:ascii="Times New Roman" w:hAnsi="Times New Roman" w:cs="Times New Roman"/>
          <w:b/>
          <w:bCs/>
          <w:color w:val="000000"/>
          <w:sz w:val="24"/>
          <w:szCs w:val="24"/>
        </w:rPr>
        <w:t xml:space="preserve"> </w:t>
      </w:r>
      <w:r w:rsidR="001A7C99">
        <w:rPr>
          <w:rFonts w:ascii="Times New Roman" w:hAnsi="Times New Roman" w:cs="Times New Roman"/>
          <w:b/>
          <w:bCs/>
          <w:color w:val="000000"/>
          <w:sz w:val="24"/>
          <w:szCs w:val="24"/>
        </w:rPr>
        <w:t>Credit Risk in</w:t>
      </w:r>
      <w:r w:rsidR="0008163B" w:rsidRPr="00D4262C">
        <w:rPr>
          <w:rFonts w:ascii="Times New Roman" w:hAnsi="Times New Roman" w:cs="Times New Roman"/>
          <w:b/>
          <w:bCs/>
          <w:color w:val="000000"/>
          <w:sz w:val="24"/>
          <w:szCs w:val="24"/>
        </w:rPr>
        <w:t xml:space="preserve"> Banks</w:t>
      </w:r>
    </w:p>
    <w:p w:rsidR="003B4DA4" w:rsidRPr="00D4262C" w:rsidRDefault="003B4DA4" w:rsidP="00F11058">
      <w:pPr>
        <w:autoSpaceDE w:val="0"/>
        <w:autoSpaceDN w:val="0"/>
        <w:adjustRightInd w:val="0"/>
        <w:spacing w:after="0" w:line="360" w:lineRule="auto"/>
        <w:rPr>
          <w:rFonts w:ascii="Times New Roman" w:hAnsi="Times New Roman" w:cs="Times New Roman"/>
          <w:b/>
          <w:bCs/>
          <w:color w:val="000000"/>
          <w:sz w:val="24"/>
          <w:szCs w:val="24"/>
        </w:rPr>
      </w:pPr>
    </w:p>
    <w:p w:rsidR="000E4FC6" w:rsidRPr="00D4262C" w:rsidRDefault="0089524E" w:rsidP="0089524E">
      <w:pPr>
        <w:autoSpaceDE w:val="0"/>
        <w:autoSpaceDN w:val="0"/>
        <w:adjustRightInd w:val="0"/>
        <w:spacing w:after="0" w:line="360" w:lineRule="auto"/>
        <w:rPr>
          <w:rFonts w:ascii="Times New Roman" w:hAnsi="Times New Roman" w:cs="Times New Roman"/>
          <w:b/>
          <w:bCs/>
          <w:color w:val="000000"/>
          <w:sz w:val="24"/>
          <w:szCs w:val="24"/>
        </w:rPr>
      </w:pPr>
      <w:r w:rsidRPr="00D4262C">
        <w:rPr>
          <w:rFonts w:ascii="Times New Roman" w:hAnsi="Times New Roman" w:cs="Times New Roman"/>
          <w:b/>
          <w:bCs/>
          <w:color w:val="000000"/>
          <w:sz w:val="24"/>
          <w:szCs w:val="24"/>
        </w:rPr>
        <w:t>2.3.1</w:t>
      </w:r>
      <w:r w:rsidR="000E4FC6" w:rsidRPr="00D4262C">
        <w:rPr>
          <w:rFonts w:ascii="Times New Roman" w:hAnsi="Times New Roman" w:cs="Times New Roman"/>
          <w:b/>
          <w:bCs/>
          <w:color w:val="000000"/>
          <w:sz w:val="24"/>
          <w:szCs w:val="24"/>
        </w:rPr>
        <w:t xml:space="preserve"> Introduction</w:t>
      </w:r>
    </w:p>
    <w:p w:rsidR="00B70D8C" w:rsidRPr="008B0B82" w:rsidRDefault="00E842B6" w:rsidP="00EA3AF9">
      <w:pPr>
        <w:autoSpaceDE w:val="0"/>
        <w:autoSpaceDN w:val="0"/>
        <w:adjustRightInd w:val="0"/>
        <w:spacing w:after="0" w:line="360" w:lineRule="auto"/>
        <w:jc w:val="both"/>
        <w:rPr>
          <w:rFonts w:ascii="Times New Roman" w:hAnsi="Times New Roman" w:cs="Times New Roman"/>
          <w:bCs/>
          <w:color w:val="000000"/>
          <w:sz w:val="24"/>
          <w:szCs w:val="24"/>
        </w:rPr>
      </w:pPr>
      <w:r w:rsidRPr="008B0B82">
        <w:rPr>
          <w:rFonts w:ascii="Times New Roman" w:hAnsi="Times New Roman" w:cs="Times New Roman"/>
          <w:bCs/>
          <w:color w:val="000000"/>
          <w:sz w:val="24"/>
          <w:szCs w:val="24"/>
        </w:rPr>
        <w:t>Since</w:t>
      </w:r>
      <w:r w:rsidR="005E485F">
        <w:rPr>
          <w:rFonts w:ascii="Times New Roman" w:hAnsi="Times New Roman" w:cs="Times New Roman"/>
          <w:bCs/>
          <w:color w:val="000000"/>
          <w:sz w:val="24"/>
          <w:szCs w:val="24"/>
        </w:rPr>
        <w:t xml:space="preserve"> c</w:t>
      </w:r>
      <w:r w:rsidRPr="008B0B82">
        <w:rPr>
          <w:rFonts w:ascii="Times New Roman" w:hAnsi="Times New Roman" w:cs="Times New Roman"/>
          <w:bCs/>
          <w:color w:val="000000"/>
          <w:sz w:val="24"/>
          <w:szCs w:val="24"/>
        </w:rPr>
        <w:t>redit risk continues to remain</w:t>
      </w:r>
      <w:r w:rsidR="00F75B5C">
        <w:rPr>
          <w:rFonts w:ascii="Times New Roman" w:hAnsi="Times New Roman" w:cs="Times New Roman"/>
          <w:bCs/>
          <w:color w:val="000000"/>
          <w:sz w:val="24"/>
          <w:szCs w:val="24"/>
        </w:rPr>
        <w:t>s</w:t>
      </w:r>
      <w:r w:rsidRPr="008B0B82">
        <w:rPr>
          <w:rFonts w:ascii="Times New Roman" w:hAnsi="Times New Roman" w:cs="Times New Roman"/>
          <w:bCs/>
          <w:color w:val="000000"/>
          <w:sz w:val="24"/>
          <w:szCs w:val="24"/>
        </w:rPr>
        <w:t xml:space="preserve"> the largest source of risk for banking institutions, it is one of the most important are</w:t>
      </w:r>
      <w:r w:rsidR="005417EA">
        <w:rPr>
          <w:rFonts w:ascii="Times New Roman" w:hAnsi="Times New Roman" w:cs="Times New Roman"/>
          <w:bCs/>
          <w:color w:val="000000"/>
          <w:sz w:val="24"/>
          <w:szCs w:val="24"/>
        </w:rPr>
        <w:t xml:space="preserve">as of risk management, because the loan </w:t>
      </w:r>
      <w:r w:rsidR="00BF06D2">
        <w:rPr>
          <w:rFonts w:ascii="Times New Roman" w:hAnsi="Times New Roman" w:cs="Times New Roman"/>
          <w:bCs/>
          <w:color w:val="000000"/>
          <w:sz w:val="24"/>
          <w:szCs w:val="24"/>
        </w:rPr>
        <w:t>portfolio is</w:t>
      </w:r>
      <w:r w:rsidR="0019358F">
        <w:rPr>
          <w:rFonts w:ascii="Times New Roman" w:hAnsi="Times New Roman" w:cs="Times New Roman"/>
          <w:bCs/>
          <w:color w:val="000000"/>
          <w:sz w:val="24"/>
          <w:szCs w:val="24"/>
        </w:rPr>
        <w:t xml:space="preserve"> the largest asset and primary </w:t>
      </w:r>
      <w:r w:rsidR="0019358F" w:rsidRPr="008B0B82">
        <w:rPr>
          <w:rFonts w:ascii="Times New Roman" w:hAnsi="Times New Roman" w:cs="Times New Roman"/>
          <w:bCs/>
          <w:color w:val="000000"/>
          <w:sz w:val="24"/>
          <w:szCs w:val="24"/>
        </w:rPr>
        <w:t>source</w:t>
      </w:r>
      <w:r w:rsidR="00B70D8C" w:rsidRPr="008B0B82">
        <w:rPr>
          <w:rFonts w:ascii="Times New Roman" w:hAnsi="Times New Roman" w:cs="Times New Roman"/>
          <w:bCs/>
          <w:color w:val="000000"/>
          <w:sz w:val="24"/>
          <w:szCs w:val="24"/>
        </w:rPr>
        <w:t xml:space="preserve"> of</w:t>
      </w:r>
      <w:r w:rsidR="005417EA">
        <w:rPr>
          <w:rFonts w:ascii="Times New Roman" w:hAnsi="Times New Roman" w:cs="Times New Roman"/>
          <w:bCs/>
          <w:color w:val="000000"/>
          <w:sz w:val="24"/>
          <w:szCs w:val="24"/>
        </w:rPr>
        <w:t xml:space="preserve"> bank’s</w:t>
      </w:r>
      <w:r w:rsidR="00B70D8C" w:rsidRPr="008B0B82">
        <w:rPr>
          <w:rFonts w:ascii="Times New Roman" w:hAnsi="Times New Roman" w:cs="Times New Roman"/>
          <w:bCs/>
          <w:color w:val="000000"/>
          <w:sz w:val="24"/>
          <w:szCs w:val="24"/>
        </w:rPr>
        <w:t xml:space="preserve"> revenue.</w:t>
      </w:r>
    </w:p>
    <w:p w:rsidR="008063A4" w:rsidRPr="008B0B82" w:rsidRDefault="004D657F" w:rsidP="00EA3AF9">
      <w:pPr>
        <w:autoSpaceDE w:val="0"/>
        <w:autoSpaceDN w:val="0"/>
        <w:adjustRightInd w:val="0"/>
        <w:spacing w:after="0" w:line="360" w:lineRule="auto"/>
        <w:jc w:val="both"/>
        <w:rPr>
          <w:rFonts w:ascii="Times New Roman" w:hAnsi="Times New Roman" w:cs="Times New Roman"/>
          <w:bCs/>
          <w:color w:val="000000"/>
          <w:sz w:val="24"/>
          <w:szCs w:val="24"/>
        </w:rPr>
      </w:pPr>
      <w:r w:rsidRPr="008B0B82">
        <w:rPr>
          <w:rFonts w:ascii="Times New Roman" w:hAnsi="Times New Roman" w:cs="Times New Roman"/>
          <w:bCs/>
          <w:color w:val="000000"/>
          <w:sz w:val="24"/>
          <w:szCs w:val="24"/>
        </w:rPr>
        <w:t>The</w:t>
      </w:r>
      <w:r w:rsidR="00014079">
        <w:rPr>
          <w:rFonts w:ascii="Times New Roman" w:hAnsi="Times New Roman" w:cs="Times New Roman"/>
          <w:bCs/>
          <w:color w:val="000000"/>
          <w:sz w:val="24"/>
          <w:szCs w:val="24"/>
        </w:rPr>
        <w:t xml:space="preserve"> </w:t>
      </w:r>
      <w:r w:rsidRPr="008B0B82">
        <w:rPr>
          <w:rFonts w:ascii="Times New Roman" w:hAnsi="Times New Roman" w:cs="Times New Roman"/>
          <w:bCs/>
          <w:color w:val="000000"/>
          <w:sz w:val="24"/>
          <w:szCs w:val="24"/>
        </w:rPr>
        <w:t>absences</w:t>
      </w:r>
      <w:r w:rsidR="002118CA" w:rsidRPr="008B0B82">
        <w:rPr>
          <w:rFonts w:ascii="Times New Roman" w:hAnsi="Times New Roman" w:cs="Times New Roman"/>
          <w:bCs/>
          <w:color w:val="000000"/>
          <w:sz w:val="24"/>
          <w:szCs w:val="24"/>
        </w:rPr>
        <w:t xml:space="preserve"> or the lack</w:t>
      </w:r>
      <w:r w:rsidRPr="008B0B82">
        <w:rPr>
          <w:rFonts w:ascii="Times New Roman" w:hAnsi="Times New Roman" w:cs="Times New Roman"/>
          <w:bCs/>
          <w:color w:val="000000"/>
          <w:sz w:val="24"/>
          <w:szCs w:val="24"/>
        </w:rPr>
        <w:t xml:space="preserve"> of proper management of such risk will results</w:t>
      </w:r>
      <w:r w:rsidR="001634FA" w:rsidRPr="008B0B82">
        <w:rPr>
          <w:rFonts w:ascii="Times New Roman" w:hAnsi="Times New Roman" w:cs="Times New Roman"/>
          <w:bCs/>
          <w:color w:val="000000"/>
          <w:sz w:val="24"/>
          <w:szCs w:val="24"/>
        </w:rPr>
        <w:t xml:space="preserve"> in significant losses</w:t>
      </w:r>
      <w:r w:rsidR="00B70D8C" w:rsidRPr="008B0B82">
        <w:rPr>
          <w:rFonts w:ascii="Times New Roman" w:hAnsi="Times New Roman" w:cs="Times New Roman"/>
          <w:bCs/>
          <w:color w:val="000000"/>
          <w:sz w:val="24"/>
          <w:szCs w:val="24"/>
        </w:rPr>
        <w:t xml:space="preserve"> to</w:t>
      </w:r>
      <w:r w:rsidR="001634FA" w:rsidRPr="008B0B82">
        <w:rPr>
          <w:rFonts w:ascii="Times New Roman" w:hAnsi="Times New Roman" w:cs="Times New Roman"/>
          <w:bCs/>
          <w:color w:val="000000"/>
          <w:sz w:val="24"/>
          <w:szCs w:val="24"/>
        </w:rPr>
        <w:t xml:space="preserve"> the </w:t>
      </w:r>
      <w:r w:rsidRPr="008B0B82">
        <w:rPr>
          <w:rFonts w:ascii="Times New Roman" w:hAnsi="Times New Roman" w:cs="Times New Roman"/>
          <w:bCs/>
          <w:color w:val="000000"/>
          <w:sz w:val="24"/>
          <w:szCs w:val="24"/>
        </w:rPr>
        <w:t xml:space="preserve">banking institutions. The </w:t>
      </w:r>
      <w:r w:rsidR="00B66D78" w:rsidRPr="008B0B82">
        <w:rPr>
          <w:rFonts w:ascii="Times New Roman" w:hAnsi="Times New Roman" w:cs="Times New Roman"/>
          <w:bCs/>
          <w:color w:val="000000"/>
          <w:sz w:val="24"/>
          <w:szCs w:val="24"/>
        </w:rPr>
        <w:t>consequence of such losses not only disrupts the intermediation function of the institution affected, but also imposes large financial burdens on the government in recapitalizing such banking institutions and</w:t>
      </w:r>
      <w:r w:rsidR="00B66D78">
        <w:rPr>
          <w:rFonts w:ascii="Times New Roman" w:hAnsi="Times New Roman" w:cs="Times New Roman"/>
          <w:bCs/>
          <w:color w:val="000000"/>
          <w:sz w:val="24"/>
          <w:szCs w:val="24"/>
        </w:rPr>
        <w:t xml:space="preserve"> has</w:t>
      </w:r>
      <w:r w:rsidR="00B70D8C" w:rsidRPr="008B0B82">
        <w:rPr>
          <w:rFonts w:ascii="Times New Roman" w:hAnsi="Times New Roman" w:cs="Times New Roman"/>
          <w:bCs/>
          <w:color w:val="000000"/>
          <w:sz w:val="24"/>
          <w:szCs w:val="24"/>
        </w:rPr>
        <w:t xml:space="preserve"> negative impact on the economy as a whole. </w:t>
      </w:r>
    </w:p>
    <w:p w:rsidR="00934E8C" w:rsidRPr="006A27E0" w:rsidRDefault="005330B9" w:rsidP="00934E8C">
      <w:pPr>
        <w:spacing w:line="360" w:lineRule="auto"/>
        <w:jc w:val="both"/>
        <w:rPr>
          <w:sz w:val="24"/>
          <w:szCs w:val="24"/>
          <w:lang w:bidi="ar-JO"/>
        </w:rPr>
      </w:pPr>
      <w:r>
        <w:rPr>
          <w:rFonts w:ascii="Times New Roman" w:hAnsi="Times New Roman" w:cs="Times New Roman"/>
          <w:sz w:val="24"/>
          <w:szCs w:val="24"/>
        </w:rPr>
        <w:t>Credit risk has always been an important and crucial issue in the banking business, because of the</w:t>
      </w:r>
      <w:r w:rsidR="00347AFD">
        <w:rPr>
          <w:rFonts w:ascii="Times New Roman" w:hAnsi="Times New Roman" w:cs="Times New Roman"/>
          <w:sz w:val="24"/>
          <w:szCs w:val="24"/>
        </w:rPr>
        <w:t xml:space="preserve"> failure of few number of bank</w:t>
      </w:r>
      <w:r>
        <w:rPr>
          <w:rFonts w:ascii="Times New Roman" w:hAnsi="Times New Roman" w:cs="Times New Roman"/>
          <w:sz w:val="24"/>
          <w:szCs w:val="24"/>
        </w:rPr>
        <w:t xml:space="preserve"> borrowers may originate huge losses for the bank, which may leads to financial problems affected the bank</w:t>
      </w:r>
      <w:r w:rsidR="00F87188">
        <w:rPr>
          <w:rFonts w:ascii="Times New Roman" w:hAnsi="Times New Roman" w:cs="Times New Roman"/>
          <w:sz w:val="24"/>
          <w:szCs w:val="24"/>
        </w:rPr>
        <w:t xml:space="preserve"> (Gestel and </w:t>
      </w:r>
      <w:r w:rsidR="00B96371" w:rsidRPr="008B0B82">
        <w:rPr>
          <w:rFonts w:ascii="Times New Roman" w:hAnsi="Times New Roman" w:cs="Times New Roman"/>
          <w:sz w:val="24"/>
          <w:szCs w:val="24"/>
        </w:rPr>
        <w:t>Baesens, 2008</w:t>
      </w:r>
      <w:r w:rsidR="00242CE5" w:rsidRPr="008B0B82">
        <w:rPr>
          <w:rFonts w:ascii="Times New Roman" w:hAnsi="Times New Roman" w:cs="Times New Roman"/>
          <w:sz w:val="24"/>
          <w:szCs w:val="24"/>
        </w:rPr>
        <w:t>).</w:t>
      </w:r>
      <w:r w:rsidR="00934E8C" w:rsidRPr="00934E8C">
        <w:rPr>
          <w:rFonts w:ascii="Times New Roman" w:hAnsi="Times New Roman" w:cs="Times New Roman"/>
          <w:sz w:val="24"/>
          <w:szCs w:val="24"/>
        </w:rPr>
        <w:t xml:space="preserve"> </w:t>
      </w:r>
      <w:r w:rsidR="00934E8C" w:rsidRPr="008B0B82">
        <w:rPr>
          <w:rFonts w:ascii="Times New Roman" w:hAnsi="Times New Roman" w:cs="Times New Roman"/>
          <w:sz w:val="24"/>
          <w:szCs w:val="24"/>
        </w:rPr>
        <w:t>According to Basel (2000),</w:t>
      </w:r>
      <w:r w:rsidR="00934E8C">
        <w:rPr>
          <w:rFonts w:ascii="Times New Roman" w:hAnsi="Times New Roman" w:cs="Times New Roman"/>
          <w:sz w:val="24"/>
          <w:szCs w:val="24"/>
        </w:rPr>
        <w:t xml:space="preserve"> banks nowadays are confronting more and more credit risk in their operations and activities other than loans, such as </w:t>
      </w:r>
      <w:r w:rsidR="00934E8C" w:rsidRPr="008B0B82">
        <w:rPr>
          <w:rFonts w:ascii="Times New Roman" w:hAnsi="Times New Roman" w:cs="Times New Roman"/>
          <w:sz w:val="24"/>
          <w:szCs w:val="24"/>
        </w:rPr>
        <w:t>foreign exchange transactions,</w:t>
      </w:r>
      <w:r w:rsidR="00934E8C">
        <w:rPr>
          <w:rFonts w:ascii="Times New Roman" w:hAnsi="Times New Roman" w:cs="Times New Roman"/>
          <w:sz w:val="24"/>
          <w:szCs w:val="24"/>
        </w:rPr>
        <w:t xml:space="preserve"> </w:t>
      </w:r>
      <w:r w:rsidR="00934E8C" w:rsidRPr="008B0B82">
        <w:rPr>
          <w:rFonts w:ascii="Times New Roman" w:hAnsi="Times New Roman" w:cs="Times New Roman"/>
          <w:sz w:val="24"/>
          <w:szCs w:val="24"/>
        </w:rPr>
        <w:t>acceptances</w:t>
      </w:r>
      <w:r w:rsidR="00934E8C">
        <w:rPr>
          <w:rFonts w:ascii="Times New Roman" w:hAnsi="Times New Roman" w:cs="Times New Roman"/>
          <w:sz w:val="24"/>
          <w:szCs w:val="24"/>
        </w:rPr>
        <w:t xml:space="preserve">, swaps and bonds.     </w:t>
      </w:r>
    </w:p>
    <w:p w:rsidR="003B4DA4" w:rsidRPr="00EC6649" w:rsidRDefault="00531785" w:rsidP="00594A7B">
      <w:pPr>
        <w:spacing w:line="360" w:lineRule="auto"/>
        <w:contextualSpacing/>
        <w:jc w:val="both"/>
        <w:rPr>
          <w:sz w:val="24"/>
          <w:szCs w:val="24"/>
          <w:lang w:bidi="ar-JO"/>
        </w:rPr>
      </w:pPr>
      <w:r w:rsidRPr="008B0B82">
        <w:rPr>
          <w:rFonts w:ascii="Times New Roman" w:hAnsi="Times New Roman" w:cs="Times New Roman"/>
          <w:sz w:val="24"/>
          <w:szCs w:val="24"/>
        </w:rPr>
        <w:t xml:space="preserve"> </w:t>
      </w:r>
    </w:p>
    <w:p w:rsidR="00FD359B" w:rsidRPr="0023054A" w:rsidRDefault="0089524E" w:rsidP="0089524E">
      <w:pPr>
        <w:spacing w:line="360" w:lineRule="auto"/>
        <w:contextualSpacing/>
        <w:jc w:val="both"/>
        <w:rPr>
          <w:rFonts w:ascii="Times New Roman" w:hAnsi="Times New Roman" w:cs="Times New Roman"/>
          <w:b/>
          <w:bCs/>
          <w:sz w:val="24"/>
          <w:szCs w:val="24"/>
        </w:rPr>
      </w:pPr>
      <w:r w:rsidRPr="0023054A">
        <w:rPr>
          <w:rFonts w:ascii="Times New Roman" w:hAnsi="Times New Roman" w:cs="Times New Roman"/>
          <w:b/>
          <w:bCs/>
          <w:sz w:val="24"/>
          <w:szCs w:val="24"/>
        </w:rPr>
        <w:t>2.3.2</w:t>
      </w:r>
      <w:r w:rsidR="00521EE1">
        <w:rPr>
          <w:rFonts w:ascii="Times New Roman" w:hAnsi="Times New Roman" w:cs="Times New Roman"/>
          <w:b/>
          <w:bCs/>
          <w:sz w:val="24"/>
          <w:szCs w:val="24"/>
        </w:rPr>
        <w:t xml:space="preserve"> </w:t>
      </w:r>
      <w:r w:rsidR="00FD359B" w:rsidRPr="0023054A">
        <w:rPr>
          <w:rFonts w:ascii="Times New Roman" w:hAnsi="Times New Roman" w:cs="Times New Roman"/>
          <w:b/>
          <w:bCs/>
          <w:sz w:val="24"/>
          <w:szCs w:val="24"/>
        </w:rPr>
        <w:t>Categories of Credit Risk</w:t>
      </w:r>
    </w:p>
    <w:p w:rsidR="003B4DA4" w:rsidRPr="008B0B82" w:rsidRDefault="006E08F8" w:rsidP="0021260B">
      <w:pPr>
        <w:spacing w:line="360" w:lineRule="auto"/>
        <w:contextualSpacing/>
        <w:jc w:val="both"/>
        <w:rPr>
          <w:rFonts w:ascii="Times New Roman" w:hAnsi="Times New Roman" w:cs="Times New Roman"/>
          <w:sz w:val="24"/>
          <w:szCs w:val="24"/>
        </w:rPr>
      </w:pPr>
      <w:r w:rsidRPr="008B0B82">
        <w:rPr>
          <w:rFonts w:ascii="Times New Roman" w:hAnsi="Times New Roman" w:cs="Times New Roman"/>
          <w:sz w:val="24"/>
          <w:szCs w:val="24"/>
        </w:rPr>
        <w:t xml:space="preserve">To </w:t>
      </w:r>
      <w:r w:rsidR="00B62DC9">
        <w:rPr>
          <w:rFonts w:ascii="Times New Roman" w:hAnsi="Times New Roman" w:cs="Times New Roman"/>
          <w:sz w:val="24"/>
          <w:szCs w:val="24"/>
        </w:rPr>
        <w:t xml:space="preserve">obtain </w:t>
      </w:r>
      <w:r w:rsidRPr="008B0B82">
        <w:rPr>
          <w:rFonts w:ascii="Times New Roman" w:hAnsi="Times New Roman" w:cs="Times New Roman"/>
          <w:sz w:val="24"/>
          <w:szCs w:val="24"/>
        </w:rPr>
        <w:t xml:space="preserve">a better understanding on the nature of credit risk, it is </w:t>
      </w:r>
      <w:r w:rsidR="00B62DC9">
        <w:rPr>
          <w:rFonts w:ascii="Times New Roman" w:hAnsi="Times New Roman" w:cs="Times New Roman"/>
          <w:sz w:val="24"/>
          <w:szCs w:val="24"/>
        </w:rPr>
        <w:t xml:space="preserve">vital </w:t>
      </w:r>
      <w:r w:rsidR="006A040A">
        <w:rPr>
          <w:rFonts w:ascii="Times New Roman" w:hAnsi="Times New Roman" w:cs="Times New Roman"/>
          <w:sz w:val="24"/>
          <w:szCs w:val="24"/>
        </w:rPr>
        <w:t>to introduce the different forms</w:t>
      </w:r>
      <w:r w:rsidRPr="008B0B82">
        <w:rPr>
          <w:rFonts w:ascii="Times New Roman" w:hAnsi="Times New Roman" w:cs="Times New Roman"/>
          <w:sz w:val="24"/>
          <w:szCs w:val="24"/>
        </w:rPr>
        <w:t xml:space="preserve"> of credit risk </w:t>
      </w:r>
      <w:r w:rsidR="00B62DC9">
        <w:rPr>
          <w:rFonts w:ascii="Times New Roman" w:hAnsi="Times New Roman" w:cs="Times New Roman"/>
          <w:sz w:val="24"/>
          <w:szCs w:val="24"/>
        </w:rPr>
        <w:t xml:space="preserve">engaged </w:t>
      </w:r>
      <w:r w:rsidRPr="008B0B82">
        <w:rPr>
          <w:rFonts w:ascii="Times New Roman" w:hAnsi="Times New Roman" w:cs="Times New Roman"/>
          <w:sz w:val="24"/>
          <w:szCs w:val="24"/>
        </w:rPr>
        <w:t xml:space="preserve">in </w:t>
      </w:r>
      <w:r w:rsidR="006A040A">
        <w:rPr>
          <w:rFonts w:ascii="Times New Roman" w:hAnsi="Times New Roman" w:cs="Times New Roman"/>
          <w:sz w:val="24"/>
          <w:szCs w:val="24"/>
        </w:rPr>
        <w:t xml:space="preserve">the </w:t>
      </w:r>
      <w:r w:rsidRPr="008B0B82">
        <w:rPr>
          <w:rFonts w:ascii="Times New Roman" w:hAnsi="Times New Roman" w:cs="Times New Roman"/>
          <w:sz w:val="24"/>
          <w:szCs w:val="24"/>
        </w:rPr>
        <w:t xml:space="preserve">financial activities before any </w:t>
      </w:r>
      <w:r w:rsidR="005C6FB0">
        <w:rPr>
          <w:rFonts w:ascii="Times New Roman" w:hAnsi="Times New Roman" w:cs="Times New Roman"/>
          <w:sz w:val="24"/>
          <w:szCs w:val="24"/>
        </w:rPr>
        <w:t xml:space="preserve">additional </w:t>
      </w:r>
      <w:r w:rsidRPr="008B0B82">
        <w:rPr>
          <w:rFonts w:ascii="Times New Roman" w:hAnsi="Times New Roman" w:cs="Times New Roman"/>
          <w:sz w:val="24"/>
          <w:szCs w:val="24"/>
        </w:rPr>
        <w:t>discussion. Concerning the categorizing of credit risk, the literate has produced various criteria. For example, Gestel and Baesens (2008)</w:t>
      </w:r>
      <w:r w:rsidR="00D14F25">
        <w:rPr>
          <w:rFonts w:ascii="Times New Roman" w:hAnsi="Times New Roman" w:cs="Times New Roman"/>
          <w:sz w:val="24"/>
          <w:szCs w:val="24"/>
        </w:rPr>
        <w:t>,</w:t>
      </w:r>
      <w:r w:rsidRPr="008B0B82">
        <w:rPr>
          <w:rFonts w:ascii="Times New Roman" w:hAnsi="Times New Roman" w:cs="Times New Roman"/>
          <w:sz w:val="24"/>
          <w:szCs w:val="24"/>
        </w:rPr>
        <w:t xml:space="preserve"> </w:t>
      </w:r>
      <w:r w:rsidR="006A040A">
        <w:rPr>
          <w:rFonts w:ascii="Times New Roman" w:hAnsi="Times New Roman" w:cs="Times New Roman"/>
          <w:sz w:val="24"/>
          <w:szCs w:val="24"/>
        </w:rPr>
        <w:t xml:space="preserve">suggest </w:t>
      </w:r>
      <w:r w:rsidRPr="008B0B82">
        <w:rPr>
          <w:rFonts w:ascii="Times New Roman" w:hAnsi="Times New Roman" w:cs="Times New Roman"/>
          <w:sz w:val="24"/>
          <w:szCs w:val="24"/>
        </w:rPr>
        <w:t>in their book that the two main types of credit risk are pre-settlement risk and sett</w:t>
      </w:r>
      <w:r w:rsidR="00600D3B" w:rsidRPr="008B0B82">
        <w:rPr>
          <w:rFonts w:ascii="Times New Roman" w:hAnsi="Times New Roman" w:cs="Times New Roman"/>
          <w:sz w:val="24"/>
          <w:szCs w:val="24"/>
        </w:rPr>
        <w:t xml:space="preserve">lement risk. According to Greuing and </w:t>
      </w:r>
      <w:r w:rsidR="00600D3B" w:rsidRPr="008B0B82">
        <w:rPr>
          <w:rFonts w:ascii="Times New Roman" w:hAnsi="Times New Roman" w:cs="Times New Roman"/>
          <w:sz w:val="24"/>
          <w:szCs w:val="24"/>
        </w:rPr>
        <w:lastRenderedPageBreak/>
        <w:t>Bratanovic</w:t>
      </w:r>
      <w:r w:rsidR="00671B07">
        <w:rPr>
          <w:rFonts w:ascii="Times New Roman" w:hAnsi="Times New Roman" w:cs="Times New Roman"/>
          <w:sz w:val="24"/>
          <w:szCs w:val="24"/>
        </w:rPr>
        <w:t xml:space="preserve"> </w:t>
      </w:r>
      <w:r w:rsidRPr="008B0B82">
        <w:rPr>
          <w:rFonts w:ascii="Times New Roman" w:hAnsi="Times New Roman" w:cs="Times New Roman"/>
          <w:sz w:val="24"/>
          <w:szCs w:val="24"/>
        </w:rPr>
        <w:t>(2003)</w:t>
      </w:r>
      <w:r w:rsidR="00671B07">
        <w:rPr>
          <w:rFonts w:ascii="Times New Roman" w:hAnsi="Times New Roman" w:cs="Times New Roman"/>
          <w:sz w:val="24"/>
          <w:szCs w:val="24"/>
        </w:rPr>
        <w:t>,</w:t>
      </w:r>
      <w:r w:rsidRPr="008B0B82">
        <w:rPr>
          <w:rFonts w:ascii="Times New Roman" w:hAnsi="Times New Roman" w:cs="Times New Roman"/>
          <w:sz w:val="24"/>
          <w:szCs w:val="24"/>
        </w:rPr>
        <w:t xml:space="preserve"> credit risk is categorized in consumer risk, corporate risk and sovereign or country risk. </w:t>
      </w:r>
      <w:r w:rsidR="00EA614F" w:rsidRPr="008B0B82">
        <w:rPr>
          <w:rFonts w:ascii="Times New Roman" w:hAnsi="Times New Roman" w:cs="Times New Roman"/>
          <w:sz w:val="24"/>
          <w:szCs w:val="24"/>
        </w:rPr>
        <w:t>AL-Zobedi (2002</w:t>
      </w:r>
      <w:r w:rsidRPr="008B0B82">
        <w:rPr>
          <w:rFonts w:ascii="Times New Roman" w:hAnsi="Times New Roman" w:cs="Times New Roman"/>
          <w:sz w:val="24"/>
          <w:szCs w:val="24"/>
        </w:rPr>
        <w:t>)</w:t>
      </w:r>
      <w:r w:rsidR="00671B07">
        <w:rPr>
          <w:rFonts w:ascii="Times New Roman" w:hAnsi="Times New Roman" w:cs="Times New Roman"/>
          <w:sz w:val="24"/>
          <w:szCs w:val="24"/>
        </w:rPr>
        <w:t>,</w:t>
      </w:r>
      <w:r w:rsidR="00521EE1">
        <w:rPr>
          <w:rFonts w:ascii="Times New Roman" w:hAnsi="Times New Roman" w:cs="Times New Roman"/>
          <w:sz w:val="24"/>
          <w:szCs w:val="24"/>
        </w:rPr>
        <w:t xml:space="preserve"> defined</w:t>
      </w:r>
      <w:r w:rsidRPr="008B0B82">
        <w:rPr>
          <w:rFonts w:ascii="Times New Roman" w:hAnsi="Times New Roman" w:cs="Times New Roman"/>
          <w:sz w:val="24"/>
          <w:szCs w:val="24"/>
        </w:rPr>
        <w:t xml:space="preserve"> six types of credit risk, inclu</w:t>
      </w:r>
      <w:r w:rsidR="005E485F">
        <w:rPr>
          <w:rFonts w:ascii="Times New Roman" w:hAnsi="Times New Roman" w:cs="Times New Roman"/>
          <w:sz w:val="24"/>
          <w:szCs w:val="24"/>
        </w:rPr>
        <w:t xml:space="preserve">ding default risk, counterparty </w:t>
      </w:r>
      <w:r w:rsidRPr="008B0B82">
        <w:rPr>
          <w:rFonts w:ascii="Times New Roman" w:hAnsi="Times New Roman" w:cs="Times New Roman"/>
          <w:sz w:val="24"/>
          <w:szCs w:val="24"/>
        </w:rPr>
        <w:t>settlement risk, counterparty pre-settlement risk, country or sovereign risk, legal risk and concentration risk.</w:t>
      </w:r>
      <w:r w:rsidR="001149FB" w:rsidRPr="008B0B82">
        <w:rPr>
          <w:rFonts w:ascii="Times New Roman" w:hAnsi="Times New Roman" w:cs="Times New Roman"/>
          <w:sz w:val="24"/>
          <w:szCs w:val="24"/>
        </w:rPr>
        <w:t xml:space="preserve"> But nowadays, the legal risk considered and treated as independent or part of operational risk</w:t>
      </w:r>
      <w:r w:rsidRPr="008B0B82">
        <w:rPr>
          <w:rFonts w:ascii="Times New Roman" w:hAnsi="Times New Roman" w:cs="Times New Roman"/>
          <w:sz w:val="24"/>
          <w:szCs w:val="24"/>
        </w:rPr>
        <w:t>,</w:t>
      </w:r>
      <w:r w:rsidR="001149FB" w:rsidRPr="008B0B82">
        <w:rPr>
          <w:rFonts w:ascii="Times New Roman" w:hAnsi="Times New Roman" w:cs="Times New Roman"/>
          <w:sz w:val="24"/>
          <w:szCs w:val="24"/>
        </w:rPr>
        <w:t xml:space="preserve"> it</w:t>
      </w:r>
      <w:r w:rsidRPr="008B0B82">
        <w:rPr>
          <w:rFonts w:ascii="Times New Roman" w:hAnsi="Times New Roman" w:cs="Times New Roman"/>
          <w:sz w:val="24"/>
          <w:szCs w:val="24"/>
        </w:rPr>
        <w:t xml:space="preserve"> is more reasonably to be thought of </w:t>
      </w:r>
      <w:r w:rsidR="001149FB" w:rsidRPr="008B0B82">
        <w:rPr>
          <w:rFonts w:ascii="Times New Roman" w:hAnsi="Times New Roman" w:cs="Times New Roman"/>
          <w:sz w:val="24"/>
          <w:szCs w:val="24"/>
        </w:rPr>
        <w:t>as critical issues</w:t>
      </w:r>
      <w:r w:rsidRPr="008B0B82">
        <w:rPr>
          <w:rFonts w:ascii="Times New Roman" w:hAnsi="Times New Roman" w:cs="Times New Roman"/>
          <w:sz w:val="24"/>
          <w:szCs w:val="24"/>
        </w:rPr>
        <w:t xml:space="preserve"> in managing credit risk rather than a type of the risk itself (Casu, et al., 2006). In the follo</w:t>
      </w:r>
      <w:r w:rsidR="00521EE1">
        <w:rPr>
          <w:rFonts w:ascii="Times New Roman" w:hAnsi="Times New Roman" w:cs="Times New Roman"/>
          <w:sz w:val="24"/>
          <w:szCs w:val="24"/>
        </w:rPr>
        <w:t>wing illustration, only</w:t>
      </w:r>
      <w:r w:rsidRPr="008B0B82">
        <w:rPr>
          <w:rFonts w:ascii="Times New Roman" w:hAnsi="Times New Roman" w:cs="Times New Roman"/>
          <w:sz w:val="24"/>
          <w:szCs w:val="24"/>
        </w:rPr>
        <w:t xml:space="preserve"> four</w:t>
      </w:r>
      <w:r w:rsidR="00EA614F" w:rsidRPr="008B0B82">
        <w:rPr>
          <w:rFonts w:ascii="Times New Roman" w:hAnsi="Times New Roman" w:cs="Times New Roman"/>
          <w:sz w:val="24"/>
          <w:szCs w:val="24"/>
        </w:rPr>
        <w:t xml:space="preserve"> t</w:t>
      </w:r>
      <w:r w:rsidR="00001112">
        <w:rPr>
          <w:rFonts w:ascii="Times New Roman" w:hAnsi="Times New Roman" w:cs="Times New Roman"/>
          <w:sz w:val="24"/>
          <w:szCs w:val="24"/>
        </w:rPr>
        <w:t xml:space="preserve">ypes of credit risk </w:t>
      </w:r>
      <w:r w:rsidRPr="008B0B82">
        <w:rPr>
          <w:rFonts w:ascii="Times New Roman" w:hAnsi="Times New Roman" w:cs="Times New Roman"/>
          <w:sz w:val="24"/>
          <w:szCs w:val="24"/>
        </w:rPr>
        <w:t xml:space="preserve">will be highlighted. </w:t>
      </w:r>
    </w:p>
    <w:p w:rsidR="006E08F8" w:rsidRPr="0021260B" w:rsidRDefault="0021260B" w:rsidP="0021260B">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w:t>
      </w:r>
      <w:r w:rsidRPr="0021260B">
        <w:rPr>
          <w:rFonts w:ascii="Times New Roman" w:hAnsi="Times New Roman" w:cs="Times New Roman"/>
          <w:b/>
          <w:sz w:val="24"/>
          <w:szCs w:val="24"/>
        </w:rPr>
        <w:t xml:space="preserve"> Default</w:t>
      </w:r>
      <w:r w:rsidR="006E08F8" w:rsidRPr="0021260B">
        <w:rPr>
          <w:rFonts w:ascii="Times New Roman" w:hAnsi="Times New Roman" w:cs="Times New Roman"/>
          <w:b/>
          <w:sz w:val="24"/>
          <w:szCs w:val="24"/>
        </w:rPr>
        <w:t xml:space="preserve"> Risk</w:t>
      </w:r>
    </w:p>
    <w:p w:rsidR="004A4DAB" w:rsidRPr="008B0B82" w:rsidRDefault="004F4E97" w:rsidP="004E37D7">
      <w:pPr>
        <w:spacing w:line="360" w:lineRule="auto"/>
        <w:contextualSpacing/>
        <w:jc w:val="both"/>
        <w:rPr>
          <w:rFonts w:ascii="Times New Roman" w:hAnsi="Times New Roman" w:cs="Times New Roman"/>
          <w:sz w:val="24"/>
          <w:szCs w:val="24"/>
          <w:lang w:bidi="ar-JO"/>
        </w:rPr>
      </w:pPr>
      <w:r w:rsidRPr="008B0B82">
        <w:rPr>
          <w:rFonts w:ascii="Times New Roman" w:hAnsi="Times New Roman" w:cs="Times New Roman"/>
          <w:sz w:val="24"/>
          <w:szCs w:val="24"/>
        </w:rPr>
        <w:t>A</w:t>
      </w:r>
      <w:r w:rsidR="00ED41F7">
        <w:rPr>
          <w:rFonts w:ascii="Times New Roman" w:hAnsi="Times New Roman" w:cs="Times New Roman"/>
          <w:sz w:val="24"/>
          <w:szCs w:val="24"/>
        </w:rPr>
        <w:t>ccording to Colquitt (2007</w:t>
      </w:r>
      <w:r w:rsidR="00B96371" w:rsidRPr="008B0B82">
        <w:rPr>
          <w:rFonts w:ascii="Times New Roman" w:hAnsi="Times New Roman" w:cs="Times New Roman"/>
          <w:sz w:val="24"/>
          <w:szCs w:val="24"/>
        </w:rPr>
        <w:t xml:space="preserve">), default risk is the risk that a borrower defaults and does not honor its obligation to serve debt. It can occur </w:t>
      </w:r>
      <w:r w:rsidR="00B25E51" w:rsidRPr="008B0B82">
        <w:rPr>
          <w:rFonts w:ascii="Times New Roman" w:hAnsi="Times New Roman" w:cs="Times New Roman"/>
          <w:sz w:val="24"/>
          <w:szCs w:val="24"/>
        </w:rPr>
        <w:t xml:space="preserve">when the counterpart is unable to pay or cannot pay on time. </w:t>
      </w:r>
      <w:r w:rsidR="00F015B1">
        <w:rPr>
          <w:rFonts w:ascii="Times New Roman" w:hAnsi="Times New Roman" w:cs="Times New Roman"/>
          <w:sz w:val="24"/>
          <w:szCs w:val="24"/>
        </w:rPr>
        <w:t xml:space="preserve">The probability that the borrower or the counterparty will fail to pay its obligation over </w:t>
      </w:r>
      <w:r w:rsidR="00381CE4">
        <w:rPr>
          <w:rFonts w:ascii="Times New Roman" w:hAnsi="Times New Roman" w:cs="Times New Roman"/>
          <w:sz w:val="24"/>
          <w:szCs w:val="24"/>
        </w:rPr>
        <w:t>the life</w:t>
      </w:r>
      <w:r w:rsidR="00F015B1">
        <w:rPr>
          <w:rFonts w:ascii="Times New Roman" w:hAnsi="Times New Roman" w:cs="Times New Roman"/>
          <w:sz w:val="24"/>
          <w:szCs w:val="24"/>
        </w:rPr>
        <w:t xml:space="preserve"> of the obligation or over specific time period in the life of the obligation such a year is</w:t>
      </w:r>
      <w:r w:rsidR="00F015B1" w:rsidRPr="007D7818">
        <w:rPr>
          <w:rFonts w:ascii="Times New Roman" w:hAnsi="Times New Roman" w:cs="Times New Roman"/>
          <w:sz w:val="24"/>
          <w:szCs w:val="24"/>
        </w:rPr>
        <w:t xml:space="preserve"> </w:t>
      </w:r>
      <w:r w:rsidR="00F015B1" w:rsidRPr="008B0B82">
        <w:rPr>
          <w:rFonts w:ascii="Times New Roman" w:hAnsi="Times New Roman" w:cs="Times New Roman"/>
          <w:sz w:val="24"/>
          <w:szCs w:val="24"/>
        </w:rPr>
        <w:t>called the probability of default.</w:t>
      </w:r>
      <w:r w:rsidR="00F015B1">
        <w:rPr>
          <w:rFonts w:ascii="Times New Roman" w:hAnsi="Times New Roman" w:cs="Times New Roman"/>
          <w:sz w:val="24"/>
          <w:szCs w:val="24"/>
        </w:rPr>
        <w:t xml:space="preserve">  </w:t>
      </w:r>
    </w:p>
    <w:p w:rsidR="00B25E51" w:rsidRPr="0021260B" w:rsidRDefault="0021260B" w:rsidP="00404887">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w:t>
      </w:r>
      <w:r w:rsidRPr="0021260B">
        <w:rPr>
          <w:rFonts w:ascii="Times New Roman" w:hAnsi="Times New Roman" w:cs="Times New Roman"/>
          <w:b/>
          <w:sz w:val="24"/>
          <w:szCs w:val="24"/>
        </w:rPr>
        <w:t xml:space="preserve"> Counterparty</w:t>
      </w:r>
      <w:r w:rsidR="00B25E51" w:rsidRPr="0021260B">
        <w:rPr>
          <w:rFonts w:ascii="Times New Roman" w:hAnsi="Times New Roman" w:cs="Times New Roman"/>
          <w:b/>
          <w:sz w:val="24"/>
          <w:szCs w:val="24"/>
        </w:rPr>
        <w:t xml:space="preserve"> Pre-Settlement Risk </w:t>
      </w:r>
    </w:p>
    <w:p w:rsidR="000C0510" w:rsidRDefault="000C0510" w:rsidP="00404887">
      <w:pPr>
        <w:spacing w:line="360" w:lineRule="auto"/>
        <w:contextualSpacing/>
        <w:jc w:val="both"/>
        <w:rPr>
          <w:rFonts w:ascii="Times New Roman" w:hAnsi="Times New Roman" w:cs="Times New Roman"/>
          <w:sz w:val="24"/>
          <w:szCs w:val="24"/>
        </w:rPr>
      </w:pPr>
      <w:r w:rsidRPr="000C0510">
        <w:rPr>
          <w:rFonts w:ascii="Times New Roman" w:hAnsi="Times New Roman" w:cs="Times New Roman"/>
          <w:sz w:val="24"/>
          <w:szCs w:val="24"/>
        </w:rPr>
        <w:t>Pre-settlement risk can be defined as the possibility of loss due to the counterparty’s default t</w:t>
      </w:r>
      <w:r w:rsidR="006F5FC1">
        <w:rPr>
          <w:rFonts w:ascii="Times New Roman" w:hAnsi="Times New Roman" w:cs="Times New Roman"/>
          <w:sz w:val="24"/>
          <w:szCs w:val="24"/>
        </w:rPr>
        <w:t xml:space="preserve">hrough the transaction period. </w:t>
      </w:r>
      <w:r w:rsidRPr="000C0510">
        <w:rPr>
          <w:rFonts w:ascii="Times New Roman" w:hAnsi="Times New Roman" w:cs="Times New Roman"/>
          <w:sz w:val="24"/>
          <w:szCs w:val="24"/>
        </w:rPr>
        <w:t>Usually Pre-settlement risk occurs through long time periods, frequently rears, beginning from the time it is contracted until settlement (Gestel and Baesens, 2008).</w:t>
      </w:r>
    </w:p>
    <w:p w:rsidR="00F21316" w:rsidRPr="0021260B" w:rsidRDefault="0021260B" w:rsidP="00404887">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Pr="0021260B">
        <w:rPr>
          <w:rFonts w:ascii="Times New Roman" w:hAnsi="Times New Roman" w:cs="Times New Roman"/>
          <w:b/>
          <w:sz w:val="24"/>
          <w:szCs w:val="24"/>
        </w:rPr>
        <w:t xml:space="preserve"> Counterparty</w:t>
      </w:r>
      <w:r w:rsidR="00151D75" w:rsidRPr="0021260B">
        <w:rPr>
          <w:rFonts w:ascii="Times New Roman" w:hAnsi="Times New Roman" w:cs="Times New Roman"/>
          <w:b/>
          <w:sz w:val="24"/>
          <w:szCs w:val="24"/>
        </w:rPr>
        <w:t xml:space="preserve"> Settlement Risk</w:t>
      </w:r>
    </w:p>
    <w:p w:rsidR="003B4DA4" w:rsidRDefault="0073339F" w:rsidP="0073339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681559" w:rsidRPr="008B0B82">
        <w:rPr>
          <w:rFonts w:ascii="Times New Roman" w:hAnsi="Times New Roman" w:cs="Times New Roman"/>
          <w:sz w:val="24"/>
          <w:szCs w:val="24"/>
        </w:rPr>
        <w:t>Settlement risk is a risk that occurs in the interbank market and it refers to the situation where one party to a contract fails to pay money or deliver assets to another party at the settlement date</w:t>
      </w:r>
      <w:r>
        <w:rPr>
          <w:rFonts w:ascii="Times New Roman" w:hAnsi="Times New Roman" w:cs="Times New Roman"/>
          <w:sz w:val="24"/>
          <w:szCs w:val="24"/>
        </w:rPr>
        <w:t>"</w:t>
      </w:r>
      <w:r w:rsidR="00681559" w:rsidRPr="008B0B82">
        <w:rPr>
          <w:rFonts w:ascii="Times New Roman" w:hAnsi="Times New Roman" w:cs="Times New Roman"/>
          <w:sz w:val="24"/>
          <w:szCs w:val="24"/>
        </w:rPr>
        <w:t xml:space="preserve"> (Casu, et al., 2006).</w:t>
      </w:r>
      <w:r w:rsidR="00681559">
        <w:rPr>
          <w:rFonts w:ascii="Times New Roman" w:hAnsi="Times New Roman" w:cs="Times New Roman"/>
          <w:sz w:val="24"/>
          <w:szCs w:val="24"/>
        </w:rPr>
        <w:t xml:space="preserve"> </w:t>
      </w:r>
    </w:p>
    <w:p w:rsidR="001A617E" w:rsidRDefault="001A617E" w:rsidP="0073339F">
      <w:pPr>
        <w:spacing w:line="360" w:lineRule="auto"/>
        <w:contextualSpacing/>
        <w:jc w:val="both"/>
        <w:rPr>
          <w:rFonts w:ascii="Times New Roman" w:hAnsi="Times New Roman" w:cs="Times New Roman"/>
          <w:sz w:val="24"/>
          <w:szCs w:val="24"/>
        </w:rPr>
      </w:pPr>
    </w:p>
    <w:p w:rsidR="001457BE" w:rsidRPr="0021260B" w:rsidRDefault="00404887" w:rsidP="00404887">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 </w:t>
      </w:r>
      <w:r w:rsidR="0021260B" w:rsidRPr="0021260B">
        <w:rPr>
          <w:rFonts w:ascii="Times New Roman" w:hAnsi="Times New Roman" w:cs="Times New Roman"/>
          <w:b/>
          <w:sz w:val="24"/>
          <w:szCs w:val="24"/>
        </w:rPr>
        <w:t>Country</w:t>
      </w:r>
      <w:r w:rsidR="00F1137D" w:rsidRPr="0021260B">
        <w:rPr>
          <w:rFonts w:ascii="Times New Roman" w:hAnsi="Times New Roman" w:cs="Times New Roman"/>
          <w:b/>
          <w:sz w:val="24"/>
          <w:szCs w:val="24"/>
        </w:rPr>
        <w:t xml:space="preserve"> or Sovereign Risk</w:t>
      </w:r>
    </w:p>
    <w:p w:rsidR="003B4DA4" w:rsidRDefault="00E44003" w:rsidP="00681559">
      <w:pPr>
        <w:spacing w:line="360" w:lineRule="auto"/>
        <w:contextualSpacing/>
        <w:jc w:val="both"/>
        <w:rPr>
          <w:rFonts w:ascii="Times New Roman" w:hAnsi="Times New Roman" w:cs="Times New Roman"/>
          <w:sz w:val="24"/>
          <w:szCs w:val="24"/>
        </w:rPr>
      </w:pPr>
      <w:r w:rsidRPr="00E44003">
        <w:rPr>
          <w:rFonts w:ascii="Times New Roman" w:hAnsi="Times New Roman" w:cs="Times New Roman"/>
          <w:sz w:val="24"/>
          <w:szCs w:val="24"/>
        </w:rPr>
        <w:t>Country risk is the risk that</w:t>
      </w:r>
      <w:r>
        <w:rPr>
          <w:rFonts w:ascii="Times New Roman" w:hAnsi="Times New Roman" w:cs="Times New Roman"/>
          <w:sz w:val="24"/>
          <w:szCs w:val="24"/>
        </w:rPr>
        <w:t xml:space="preserve"> will</w:t>
      </w:r>
      <w:r w:rsidRPr="00E44003">
        <w:rPr>
          <w:rFonts w:ascii="Times New Roman" w:hAnsi="Times New Roman" w:cs="Times New Roman"/>
          <w:sz w:val="24"/>
          <w:szCs w:val="24"/>
        </w:rPr>
        <w:t xml:space="preserve"> adversely affects the firm</w:t>
      </w:r>
      <w:r w:rsidR="00944790">
        <w:rPr>
          <w:rFonts w:ascii="Times New Roman" w:hAnsi="Times New Roman" w:cs="Times New Roman"/>
          <w:sz w:val="24"/>
          <w:szCs w:val="24"/>
        </w:rPr>
        <w:t xml:space="preserve">’s financial or commercial </w:t>
      </w:r>
      <w:r w:rsidRPr="00E44003">
        <w:rPr>
          <w:rFonts w:ascii="Times New Roman" w:hAnsi="Times New Roman" w:cs="Times New Roman"/>
          <w:sz w:val="24"/>
          <w:szCs w:val="24"/>
        </w:rPr>
        <w:t xml:space="preserve">interests, resulted from </w:t>
      </w:r>
      <w:r w:rsidR="005C6FB0" w:rsidRPr="00E44003">
        <w:rPr>
          <w:rFonts w:ascii="Times New Roman" w:hAnsi="Times New Roman" w:cs="Times New Roman"/>
          <w:sz w:val="24"/>
          <w:szCs w:val="24"/>
        </w:rPr>
        <w:t>po</w:t>
      </w:r>
      <w:r w:rsidR="005C6FB0">
        <w:rPr>
          <w:rFonts w:ascii="Times New Roman" w:hAnsi="Times New Roman" w:cs="Times New Roman"/>
          <w:sz w:val="24"/>
          <w:szCs w:val="24"/>
        </w:rPr>
        <w:t xml:space="preserve">litical, </w:t>
      </w:r>
      <w:r w:rsidRPr="00E44003">
        <w:rPr>
          <w:rFonts w:ascii="Times New Roman" w:hAnsi="Times New Roman" w:cs="Times New Roman"/>
          <w:sz w:val="24"/>
          <w:szCs w:val="24"/>
        </w:rPr>
        <w:t>economi</w:t>
      </w:r>
      <w:r w:rsidR="005C6FB0">
        <w:rPr>
          <w:rFonts w:ascii="Times New Roman" w:hAnsi="Times New Roman" w:cs="Times New Roman"/>
          <w:sz w:val="24"/>
          <w:szCs w:val="24"/>
        </w:rPr>
        <w:t>c and social</w:t>
      </w:r>
      <w:r w:rsidRPr="00E44003">
        <w:rPr>
          <w:rFonts w:ascii="Times New Roman" w:hAnsi="Times New Roman" w:cs="Times New Roman"/>
          <w:sz w:val="24"/>
          <w:szCs w:val="24"/>
        </w:rPr>
        <w:t xml:space="preserve"> </w:t>
      </w:r>
      <w:r w:rsidR="005C6FB0">
        <w:rPr>
          <w:rFonts w:ascii="Times New Roman" w:hAnsi="Times New Roman" w:cs="Times New Roman"/>
          <w:sz w:val="24"/>
          <w:szCs w:val="24"/>
        </w:rPr>
        <w:t xml:space="preserve">conditions of oversea </w:t>
      </w:r>
      <w:r w:rsidRPr="00E44003">
        <w:rPr>
          <w:rFonts w:ascii="Times New Roman" w:hAnsi="Times New Roman" w:cs="Times New Roman"/>
          <w:sz w:val="24"/>
          <w:szCs w:val="24"/>
        </w:rPr>
        <w:t>country.</w:t>
      </w:r>
      <w:r>
        <w:rPr>
          <w:rFonts w:ascii="Times New Roman" w:hAnsi="Times New Roman" w:cs="Times New Roman"/>
          <w:sz w:val="24"/>
          <w:szCs w:val="24"/>
        </w:rPr>
        <w:t xml:space="preserve"> </w:t>
      </w:r>
      <w:r w:rsidR="00F1137D" w:rsidRPr="008B0B82">
        <w:rPr>
          <w:rFonts w:ascii="Times New Roman" w:hAnsi="Times New Roman" w:cs="Times New Roman"/>
          <w:sz w:val="24"/>
          <w:szCs w:val="24"/>
        </w:rPr>
        <w:t xml:space="preserve">It relates to the </w:t>
      </w:r>
      <w:r w:rsidR="005C6FB0">
        <w:rPr>
          <w:rFonts w:ascii="Times New Roman" w:hAnsi="Times New Roman" w:cs="Times New Roman"/>
          <w:sz w:val="24"/>
          <w:szCs w:val="24"/>
        </w:rPr>
        <w:t>negative</w:t>
      </w:r>
      <w:r>
        <w:rPr>
          <w:rFonts w:ascii="Times New Roman" w:hAnsi="Times New Roman" w:cs="Times New Roman"/>
          <w:sz w:val="24"/>
          <w:szCs w:val="24"/>
        </w:rPr>
        <w:t xml:space="preserve"> effect</w:t>
      </w:r>
      <w:r w:rsidR="005C6FB0">
        <w:rPr>
          <w:rFonts w:ascii="Times New Roman" w:hAnsi="Times New Roman" w:cs="Times New Roman"/>
          <w:sz w:val="24"/>
          <w:szCs w:val="24"/>
        </w:rPr>
        <w:t>s</w:t>
      </w:r>
      <w:r>
        <w:rPr>
          <w:rFonts w:ascii="Times New Roman" w:hAnsi="Times New Roman" w:cs="Times New Roman"/>
          <w:sz w:val="24"/>
          <w:szCs w:val="24"/>
        </w:rPr>
        <w:t xml:space="preserve"> </w:t>
      </w:r>
      <w:r w:rsidR="00F1137D" w:rsidRPr="008B0B82">
        <w:rPr>
          <w:rFonts w:ascii="Times New Roman" w:hAnsi="Times New Roman" w:cs="Times New Roman"/>
          <w:sz w:val="24"/>
          <w:szCs w:val="24"/>
        </w:rPr>
        <w:t>resulted from deterio</w:t>
      </w:r>
      <w:r w:rsidR="004B6AA0" w:rsidRPr="008B0B82">
        <w:rPr>
          <w:rFonts w:ascii="Times New Roman" w:hAnsi="Times New Roman" w:cs="Times New Roman"/>
          <w:sz w:val="24"/>
          <w:szCs w:val="24"/>
        </w:rPr>
        <w:t>rating conditions</w:t>
      </w:r>
      <w:r w:rsidR="005C6FB0">
        <w:rPr>
          <w:rFonts w:ascii="Times New Roman" w:hAnsi="Times New Roman" w:cs="Times New Roman"/>
          <w:sz w:val="24"/>
          <w:szCs w:val="24"/>
        </w:rPr>
        <w:t xml:space="preserve"> such as political</w:t>
      </w:r>
      <w:r w:rsidR="008F18F8">
        <w:rPr>
          <w:rFonts w:ascii="Times New Roman" w:hAnsi="Times New Roman" w:cs="Times New Roman"/>
          <w:sz w:val="24"/>
          <w:szCs w:val="24"/>
        </w:rPr>
        <w:t xml:space="preserve">, economic and social </w:t>
      </w:r>
      <w:r w:rsidR="004B6AA0" w:rsidRPr="008B0B82">
        <w:rPr>
          <w:rFonts w:ascii="Times New Roman" w:hAnsi="Times New Roman" w:cs="Times New Roman"/>
          <w:sz w:val="24"/>
          <w:szCs w:val="24"/>
        </w:rPr>
        <w:t xml:space="preserve">instability may have on the returns </w:t>
      </w:r>
      <w:r w:rsidR="004B6AA0" w:rsidRPr="0023054A">
        <w:rPr>
          <w:rFonts w:ascii="Times New Roman" w:hAnsi="Times New Roman" w:cs="Times New Roman"/>
          <w:sz w:val="24"/>
          <w:szCs w:val="24"/>
        </w:rPr>
        <w:t>generated from overseas investments (Casu, et al., 200</w:t>
      </w:r>
      <w:r w:rsidR="00ED41F7" w:rsidRPr="0023054A">
        <w:rPr>
          <w:rFonts w:ascii="Times New Roman" w:hAnsi="Times New Roman" w:cs="Times New Roman"/>
          <w:sz w:val="24"/>
          <w:szCs w:val="24"/>
        </w:rPr>
        <w:t>6</w:t>
      </w:r>
      <w:r w:rsidR="004B6AA0" w:rsidRPr="0023054A">
        <w:rPr>
          <w:rFonts w:ascii="Times New Roman" w:hAnsi="Times New Roman" w:cs="Times New Roman"/>
          <w:sz w:val="24"/>
          <w:szCs w:val="24"/>
        </w:rPr>
        <w:t>)</w:t>
      </w:r>
      <w:r w:rsidR="00B8233F">
        <w:rPr>
          <w:rFonts w:ascii="Times New Roman" w:hAnsi="Times New Roman" w:cs="Times New Roman"/>
          <w:sz w:val="24"/>
          <w:szCs w:val="24"/>
        </w:rPr>
        <w:t>.</w:t>
      </w:r>
    </w:p>
    <w:p w:rsidR="00B8233F" w:rsidRDefault="00B8233F" w:rsidP="00681559">
      <w:pPr>
        <w:spacing w:line="360" w:lineRule="auto"/>
        <w:contextualSpacing/>
        <w:jc w:val="both"/>
        <w:rPr>
          <w:rFonts w:ascii="Times New Roman" w:hAnsi="Times New Roman" w:cs="Times New Roman"/>
          <w:sz w:val="24"/>
          <w:szCs w:val="24"/>
        </w:rPr>
      </w:pPr>
    </w:p>
    <w:p w:rsidR="002D4D93" w:rsidRPr="00681559" w:rsidRDefault="0089524E" w:rsidP="00681559">
      <w:pPr>
        <w:spacing w:line="360" w:lineRule="auto"/>
        <w:contextualSpacing/>
        <w:jc w:val="both"/>
        <w:rPr>
          <w:rFonts w:ascii="Times New Roman" w:hAnsi="Times New Roman" w:cs="Times New Roman"/>
          <w:sz w:val="24"/>
          <w:szCs w:val="24"/>
        </w:rPr>
      </w:pPr>
      <w:r w:rsidRPr="0023054A">
        <w:rPr>
          <w:rFonts w:ascii="Times New Roman" w:hAnsi="Times New Roman" w:cs="Times New Roman"/>
          <w:b/>
          <w:bCs/>
          <w:sz w:val="24"/>
          <w:szCs w:val="24"/>
        </w:rPr>
        <w:t>2.3.3</w:t>
      </w:r>
      <w:r w:rsidR="00014079">
        <w:rPr>
          <w:rFonts w:ascii="Times New Roman" w:hAnsi="Times New Roman" w:cs="Times New Roman"/>
          <w:b/>
          <w:bCs/>
          <w:sz w:val="24"/>
          <w:szCs w:val="24"/>
        </w:rPr>
        <w:t xml:space="preserve"> </w:t>
      </w:r>
      <w:r w:rsidR="00E013B6" w:rsidRPr="0023054A">
        <w:rPr>
          <w:rFonts w:ascii="Times New Roman" w:hAnsi="Times New Roman" w:cs="Times New Roman"/>
          <w:b/>
          <w:bCs/>
          <w:sz w:val="24"/>
          <w:szCs w:val="24"/>
        </w:rPr>
        <w:t>Identifying Credit Risk Exposures in Banks</w:t>
      </w:r>
    </w:p>
    <w:p w:rsidR="003B4DA4" w:rsidRPr="00521EE1" w:rsidRDefault="00312484" w:rsidP="00A7693A">
      <w:pPr>
        <w:autoSpaceDE w:val="0"/>
        <w:autoSpaceDN w:val="0"/>
        <w:adjustRightInd w:val="0"/>
        <w:spacing w:after="0" w:line="360" w:lineRule="auto"/>
        <w:contextualSpacing/>
        <w:jc w:val="both"/>
        <w:rPr>
          <w:rFonts w:ascii="Times New Roman" w:hAnsi="Times New Roman" w:cs="Times New Roman"/>
          <w:sz w:val="24"/>
          <w:szCs w:val="24"/>
        </w:rPr>
      </w:pPr>
      <w:r w:rsidRPr="008B0B82">
        <w:rPr>
          <w:rFonts w:ascii="Times New Roman" w:hAnsi="Times New Roman" w:cs="Times New Roman"/>
          <w:sz w:val="24"/>
          <w:szCs w:val="24"/>
        </w:rPr>
        <w:t>According to Basel (2000</w:t>
      </w:r>
      <w:r w:rsidR="002D4D93" w:rsidRPr="008B0B82">
        <w:rPr>
          <w:rFonts w:ascii="Times New Roman" w:hAnsi="Times New Roman" w:cs="Times New Roman"/>
          <w:sz w:val="24"/>
          <w:szCs w:val="24"/>
        </w:rPr>
        <w:t xml:space="preserve">), </w:t>
      </w:r>
      <w:r w:rsidR="0013518A" w:rsidRPr="00C26D71">
        <w:rPr>
          <w:rFonts w:asciiTheme="majorBidi" w:hAnsiTheme="majorBidi" w:cstheme="majorBidi"/>
          <w:sz w:val="24"/>
          <w:szCs w:val="24"/>
        </w:rPr>
        <w:t>Exposure to credit risk has always been</w:t>
      </w:r>
      <w:r w:rsidR="0013518A">
        <w:rPr>
          <w:rFonts w:asciiTheme="majorBidi" w:hAnsiTheme="majorBidi" w:cstheme="majorBidi"/>
          <w:sz w:val="24"/>
          <w:szCs w:val="24"/>
        </w:rPr>
        <w:t xml:space="preserve"> the primary </w:t>
      </w:r>
      <w:r w:rsidR="0013518A" w:rsidRPr="00C26D71">
        <w:rPr>
          <w:rFonts w:asciiTheme="majorBidi" w:hAnsiTheme="majorBidi" w:cstheme="majorBidi"/>
          <w:sz w:val="24"/>
          <w:szCs w:val="24"/>
        </w:rPr>
        <w:t>and major source of problems in banks world-wide since granting credit is one of the main sources of income in commercial banks</w:t>
      </w:r>
      <w:r w:rsidR="0013518A">
        <w:rPr>
          <w:rFonts w:asciiTheme="majorBidi" w:hAnsiTheme="majorBidi" w:cstheme="majorBidi"/>
          <w:sz w:val="24"/>
          <w:szCs w:val="24"/>
        </w:rPr>
        <w:t xml:space="preserve">, </w:t>
      </w:r>
      <w:r w:rsidR="0013518A" w:rsidRPr="008B0B82">
        <w:rPr>
          <w:rFonts w:ascii="Times New Roman" w:hAnsi="Times New Roman" w:cs="Times New Roman"/>
          <w:sz w:val="24"/>
          <w:szCs w:val="24"/>
        </w:rPr>
        <w:t>bot</w:t>
      </w:r>
      <w:r w:rsidR="0013518A">
        <w:rPr>
          <w:rFonts w:ascii="Times New Roman" w:hAnsi="Times New Roman" w:cs="Times New Roman"/>
          <w:sz w:val="24"/>
          <w:szCs w:val="24"/>
        </w:rPr>
        <w:t>h on and off the balance sheet</w:t>
      </w:r>
      <w:r w:rsidR="0013518A" w:rsidRPr="00C26D71">
        <w:rPr>
          <w:rFonts w:asciiTheme="majorBidi" w:hAnsiTheme="majorBidi" w:cstheme="majorBidi"/>
          <w:sz w:val="24"/>
          <w:szCs w:val="24"/>
        </w:rPr>
        <w:t xml:space="preserve"> </w:t>
      </w:r>
      <w:r w:rsidR="0013518A">
        <w:rPr>
          <w:rFonts w:asciiTheme="majorBidi" w:hAnsiTheme="majorBidi" w:cstheme="majorBidi"/>
          <w:sz w:val="24"/>
          <w:szCs w:val="24"/>
        </w:rPr>
        <w:t xml:space="preserve">needs to be </w:t>
      </w:r>
      <w:r w:rsidR="0013518A" w:rsidRPr="00C26D71">
        <w:rPr>
          <w:rFonts w:asciiTheme="majorBidi" w:hAnsiTheme="majorBidi" w:cstheme="majorBidi"/>
          <w:sz w:val="24"/>
          <w:szCs w:val="24"/>
        </w:rPr>
        <w:t>managed</w:t>
      </w:r>
      <w:r w:rsidR="0013518A">
        <w:rPr>
          <w:rFonts w:asciiTheme="majorBidi" w:hAnsiTheme="majorBidi" w:cstheme="majorBidi"/>
          <w:sz w:val="24"/>
          <w:szCs w:val="24"/>
        </w:rPr>
        <w:t xml:space="preserve"> well</w:t>
      </w:r>
      <w:r w:rsidR="0013518A" w:rsidRPr="00C26D71">
        <w:rPr>
          <w:rFonts w:asciiTheme="majorBidi" w:hAnsiTheme="majorBidi" w:cstheme="majorBidi"/>
          <w:sz w:val="24"/>
          <w:szCs w:val="24"/>
        </w:rPr>
        <w:t xml:space="preserve">, </w:t>
      </w:r>
      <w:r w:rsidR="0013518A">
        <w:rPr>
          <w:rFonts w:asciiTheme="majorBidi" w:hAnsiTheme="majorBidi" w:cstheme="majorBidi"/>
          <w:sz w:val="24"/>
          <w:szCs w:val="24"/>
        </w:rPr>
        <w:t xml:space="preserve">or </w:t>
      </w:r>
      <w:r w:rsidR="0013518A" w:rsidRPr="00C26D71">
        <w:rPr>
          <w:rFonts w:asciiTheme="majorBidi" w:hAnsiTheme="majorBidi" w:cstheme="majorBidi"/>
          <w:sz w:val="24"/>
          <w:szCs w:val="24"/>
        </w:rPr>
        <w:t>it</w:t>
      </w:r>
      <w:r w:rsidR="0013518A">
        <w:rPr>
          <w:rFonts w:asciiTheme="majorBidi" w:hAnsiTheme="majorBidi" w:cstheme="majorBidi"/>
          <w:sz w:val="24"/>
          <w:szCs w:val="24"/>
        </w:rPr>
        <w:t xml:space="preserve"> may take the bank into large </w:t>
      </w:r>
      <w:r w:rsidR="0013518A" w:rsidRPr="00C26D71">
        <w:rPr>
          <w:rFonts w:asciiTheme="majorBidi" w:hAnsiTheme="majorBidi" w:cstheme="majorBidi"/>
          <w:sz w:val="24"/>
          <w:szCs w:val="24"/>
        </w:rPr>
        <w:t>trouble or even bankruptcy</w:t>
      </w:r>
      <w:r w:rsidR="00521EE1">
        <w:rPr>
          <w:rFonts w:ascii="Times New Roman" w:hAnsi="Times New Roman" w:cs="Times New Roman"/>
          <w:sz w:val="24"/>
          <w:szCs w:val="24"/>
        </w:rPr>
        <w:t xml:space="preserve">. </w:t>
      </w:r>
      <w:r w:rsidR="002A451E" w:rsidRPr="008B0B82">
        <w:rPr>
          <w:rFonts w:ascii="Times New Roman" w:hAnsi="Times New Roman" w:cs="Times New Roman"/>
          <w:sz w:val="24"/>
          <w:szCs w:val="24"/>
        </w:rPr>
        <w:t>Therefo</w:t>
      </w:r>
      <w:r w:rsidR="00274A3F" w:rsidRPr="008B0B82">
        <w:rPr>
          <w:rFonts w:ascii="Times New Roman" w:hAnsi="Times New Roman" w:cs="Times New Roman"/>
          <w:sz w:val="24"/>
          <w:szCs w:val="24"/>
        </w:rPr>
        <w:t>re, it is essential to cover and highlight the possible credit risk exposures for most banks.</w:t>
      </w:r>
    </w:p>
    <w:p w:rsidR="000A4C95" w:rsidRDefault="0050241B" w:rsidP="0050241B">
      <w:pPr>
        <w:spacing w:line="360" w:lineRule="auto"/>
        <w:contextualSpacing/>
        <w:jc w:val="both"/>
        <w:rPr>
          <w:rFonts w:asciiTheme="majorBidi" w:hAnsiTheme="majorBidi" w:cstheme="majorBidi"/>
          <w:b/>
          <w:sz w:val="24"/>
          <w:szCs w:val="24"/>
        </w:rPr>
      </w:pPr>
      <w:r w:rsidRPr="00671B07">
        <w:rPr>
          <w:rFonts w:asciiTheme="majorBidi" w:hAnsiTheme="majorBidi" w:cstheme="majorBidi"/>
          <w:b/>
          <w:sz w:val="24"/>
          <w:szCs w:val="24"/>
        </w:rPr>
        <w:t>A) On</w:t>
      </w:r>
      <w:r w:rsidR="00671B07" w:rsidRPr="00671B07">
        <w:rPr>
          <w:rFonts w:asciiTheme="majorBidi" w:hAnsiTheme="majorBidi" w:cstheme="majorBidi"/>
          <w:b/>
          <w:sz w:val="24"/>
          <w:szCs w:val="24"/>
        </w:rPr>
        <w:t>-Balance S</w:t>
      </w:r>
      <w:r w:rsidR="000A4C95" w:rsidRPr="00671B07">
        <w:rPr>
          <w:rFonts w:asciiTheme="majorBidi" w:hAnsiTheme="majorBidi" w:cstheme="majorBidi"/>
          <w:b/>
          <w:sz w:val="24"/>
          <w:szCs w:val="24"/>
        </w:rPr>
        <w:t>heet Exposures</w:t>
      </w:r>
    </w:p>
    <w:p w:rsidR="006D19C8" w:rsidRDefault="00D00C17" w:rsidP="006D19C8">
      <w:pPr>
        <w:spacing w:line="360" w:lineRule="auto"/>
        <w:contextualSpacing/>
        <w:jc w:val="both"/>
        <w:rPr>
          <w:rFonts w:asciiTheme="majorBidi" w:hAnsiTheme="majorBidi" w:cstheme="majorBidi"/>
          <w:b/>
          <w:sz w:val="24"/>
          <w:szCs w:val="24"/>
        </w:rPr>
      </w:pPr>
      <w:r w:rsidRPr="00534619">
        <w:rPr>
          <w:rFonts w:asciiTheme="majorBidi" w:hAnsiTheme="majorBidi" w:cstheme="majorBidi"/>
          <w:b/>
          <w:sz w:val="24"/>
          <w:szCs w:val="24"/>
        </w:rPr>
        <w:t>1)</w:t>
      </w:r>
      <w:r w:rsidR="00534619">
        <w:rPr>
          <w:rFonts w:asciiTheme="majorBidi" w:hAnsiTheme="majorBidi" w:cstheme="majorBidi"/>
          <w:b/>
          <w:sz w:val="24"/>
          <w:szCs w:val="24"/>
        </w:rPr>
        <w:t xml:space="preserve"> </w:t>
      </w:r>
      <w:r w:rsidR="000A4C95" w:rsidRPr="00534619">
        <w:rPr>
          <w:rFonts w:asciiTheme="majorBidi" w:hAnsiTheme="majorBidi" w:cstheme="majorBidi"/>
          <w:b/>
          <w:sz w:val="24"/>
          <w:szCs w:val="24"/>
        </w:rPr>
        <w:t>Loans</w:t>
      </w:r>
    </w:p>
    <w:p w:rsidR="001A617E" w:rsidRPr="00EC6649" w:rsidRDefault="009553D6" w:rsidP="00B65226">
      <w:pPr>
        <w:spacing w:line="360" w:lineRule="auto"/>
        <w:contextualSpacing/>
        <w:jc w:val="both"/>
        <w:rPr>
          <w:sz w:val="24"/>
          <w:szCs w:val="24"/>
          <w:lang w:bidi="ar-JO"/>
        </w:rPr>
      </w:pPr>
      <w:r>
        <w:rPr>
          <w:rFonts w:asciiTheme="majorBidi" w:hAnsiTheme="majorBidi" w:cstheme="majorBidi"/>
          <w:sz w:val="24"/>
          <w:szCs w:val="24"/>
        </w:rPr>
        <w:t>The major activity performed by comm</w:t>
      </w:r>
      <w:r w:rsidR="00D70EEB">
        <w:rPr>
          <w:rFonts w:asciiTheme="majorBidi" w:hAnsiTheme="majorBidi" w:cstheme="majorBidi"/>
          <w:sz w:val="24"/>
          <w:szCs w:val="24"/>
        </w:rPr>
        <w:t>ercial banks is granting loans. This activity is considered the major income-channel for most banks,</w:t>
      </w:r>
      <w:r>
        <w:rPr>
          <w:rFonts w:asciiTheme="majorBidi" w:hAnsiTheme="majorBidi" w:cstheme="majorBidi"/>
          <w:sz w:val="24"/>
          <w:szCs w:val="24"/>
        </w:rPr>
        <w:t xml:space="preserve"> but at the same time, it expose them to high default risk.</w:t>
      </w:r>
      <w:r w:rsidRPr="006D19C8">
        <w:rPr>
          <w:rFonts w:asciiTheme="majorBidi" w:hAnsiTheme="majorBidi" w:cstheme="majorBidi"/>
          <w:sz w:val="24"/>
          <w:szCs w:val="24"/>
        </w:rPr>
        <w:t xml:space="preserve"> The</w:t>
      </w:r>
      <w:r w:rsidR="00D410F1" w:rsidRPr="006D19C8">
        <w:rPr>
          <w:rFonts w:asciiTheme="majorBidi" w:hAnsiTheme="majorBidi" w:cstheme="majorBidi"/>
          <w:sz w:val="24"/>
          <w:szCs w:val="24"/>
        </w:rPr>
        <w:t xml:space="preserve"> major types of bank loans are</w:t>
      </w:r>
      <w:r w:rsidR="000F3D87" w:rsidRPr="006D19C8">
        <w:rPr>
          <w:rFonts w:asciiTheme="majorBidi" w:hAnsiTheme="majorBidi" w:cstheme="majorBidi"/>
          <w:sz w:val="24"/>
          <w:szCs w:val="24"/>
        </w:rPr>
        <w:t xml:space="preserve"> commercial and industrial</w:t>
      </w:r>
      <w:r w:rsidR="00D410F1" w:rsidRPr="006D19C8">
        <w:rPr>
          <w:rFonts w:asciiTheme="majorBidi" w:hAnsiTheme="majorBidi" w:cstheme="majorBidi"/>
          <w:sz w:val="24"/>
          <w:szCs w:val="24"/>
        </w:rPr>
        <w:t xml:space="preserve">, real estate, consumer and others. Commercial and </w:t>
      </w:r>
      <w:r w:rsidR="003A65AB" w:rsidRPr="006D19C8">
        <w:rPr>
          <w:rFonts w:asciiTheme="majorBidi" w:hAnsiTheme="majorBidi" w:cstheme="majorBidi"/>
          <w:sz w:val="24"/>
          <w:szCs w:val="24"/>
        </w:rPr>
        <w:t>industrial loans covered period’s</w:t>
      </w:r>
      <w:r w:rsidR="006752B8" w:rsidRPr="006D19C8">
        <w:rPr>
          <w:rFonts w:asciiTheme="majorBidi" w:hAnsiTheme="majorBidi" w:cstheme="majorBidi"/>
          <w:sz w:val="24"/>
          <w:szCs w:val="24"/>
        </w:rPr>
        <w:t xml:space="preserve"> starts</w:t>
      </w:r>
      <w:r w:rsidR="00D410F1" w:rsidRPr="006D19C8">
        <w:rPr>
          <w:rFonts w:asciiTheme="majorBidi" w:hAnsiTheme="majorBidi" w:cstheme="majorBidi"/>
          <w:sz w:val="24"/>
          <w:szCs w:val="24"/>
        </w:rPr>
        <w:t xml:space="preserve"> from a few weeks to several years for financing firms’ working capital needs or credit needs respectively.</w:t>
      </w:r>
      <w:r w:rsidR="000F3D87" w:rsidRPr="006D19C8">
        <w:rPr>
          <w:rFonts w:asciiTheme="majorBidi" w:hAnsiTheme="majorBidi" w:cstheme="majorBidi"/>
          <w:sz w:val="24"/>
          <w:szCs w:val="24"/>
        </w:rPr>
        <w:t xml:space="preserve"> </w:t>
      </w:r>
    </w:p>
    <w:p w:rsidR="00B65226" w:rsidRPr="001028CF" w:rsidRDefault="00D410F1" w:rsidP="00B65226">
      <w:pPr>
        <w:spacing w:line="360" w:lineRule="auto"/>
        <w:contextualSpacing/>
        <w:jc w:val="both"/>
        <w:rPr>
          <w:rFonts w:ascii="Times New Roman" w:hAnsi="Times New Roman" w:cs="Times New Roman"/>
          <w:b/>
          <w:bCs/>
          <w:i/>
          <w:iCs/>
          <w:sz w:val="24"/>
          <w:szCs w:val="24"/>
        </w:rPr>
      </w:pPr>
      <w:r w:rsidRPr="001028CF">
        <w:rPr>
          <w:rFonts w:ascii="Times New Roman" w:hAnsi="Times New Roman" w:cs="Times New Roman"/>
          <w:b/>
          <w:bCs/>
          <w:i/>
          <w:iCs/>
          <w:sz w:val="24"/>
          <w:szCs w:val="24"/>
        </w:rPr>
        <w:t>Nonperforming Loan Portfolio</w:t>
      </w:r>
    </w:p>
    <w:p w:rsidR="00137EBB" w:rsidRPr="00C15227" w:rsidRDefault="00F92CF8" w:rsidP="00944790">
      <w:pPr>
        <w:spacing w:line="360" w:lineRule="auto"/>
        <w:contextualSpacing/>
        <w:jc w:val="both"/>
        <w:rPr>
          <w:rFonts w:asciiTheme="majorBidi" w:hAnsiTheme="majorBidi" w:cstheme="majorBidi"/>
          <w:sz w:val="24"/>
          <w:szCs w:val="24"/>
        </w:rPr>
      </w:pPr>
      <w:r w:rsidRPr="00B65226">
        <w:rPr>
          <w:rFonts w:asciiTheme="majorBidi" w:hAnsiTheme="majorBidi" w:cstheme="majorBidi"/>
          <w:sz w:val="24"/>
          <w:szCs w:val="24"/>
        </w:rPr>
        <w:t>According to Greuning and Bratanovic</w:t>
      </w:r>
      <w:r w:rsidR="00D410F1" w:rsidRPr="00B65226">
        <w:rPr>
          <w:rFonts w:asciiTheme="majorBidi" w:hAnsiTheme="majorBidi" w:cstheme="majorBidi"/>
          <w:sz w:val="24"/>
          <w:szCs w:val="24"/>
        </w:rPr>
        <w:t xml:space="preserve"> (2003), non</w:t>
      </w:r>
      <w:r w:rsidR="0093605A" w:rsidRPr="00B65226">
        <w:rPr>
          <w:rFonts w:asciiTheme="majorBidi" w:hAnsiTheme="majorBidi" w:cstheme="majorBidi"/>
          <w:sz w:val="24"/>
          <w:szCs w:val="24"/>
        </w:rPr>
        <w:t>-</w:t>
      </w:r>
      <w:r w:rsidR="00D410F1" w:rsidRPr="00B65226">
        <w:rPr>
          <w:rFonts w:asciiTheme="majorBidi" w:hAnsiTheme="majorBidi" w:cstheme="majorBidi"/>
          <w:sz w:val="24"/>
          <w:szCs w:val="24"/>
        </w:rPr>
        <w:t>performin</w:t>
      </w:r>
      <w:r w:rsidR="00C91481">
        <w:rPr>
          <w:rFonts w:asciiTheme="majorBidi" w:hAnsiTheme="majorBidi" w:cstheme="majorBidi"/>
          <w:sz w:val="24"/>
          <w:szCs w:val="24"/>
        </w:rPr>
        <w:t xml:space="preserve">g loans are those not </w:t>
      </w:r>
      <w:r w:rsidR="006B7F55">
        <w:rPr>
          <w:rFonts w:asciiTheme="majorBidi" w:hAnsiTheme="majorBidi" w:cstheme="majorBidi"/>
          <w:sz w:val="24"/>
          <w:szCs w:val="24"/>
        </w:rPr>
        <w:t>producing income</w:t>
      </w:r>
      <w:r w:rsidR="00137EBB">
        <w:rPr>
          <w:rFonts w:asciiTheme="majorBidi" w:hAnsiTheme="majorBidi" w:cstheme="majorBidi"/>
          <w:sz w:val="24"/>
          <w:szCs w:val="24"/>
        </w:rPr>
        <w:t>, and loans are frequently considered</w:t>
      </w:r>
      <w:r w:rsidR="00D410F1" w:rsidRPr="00B65226">
        <w:rPr>
          <w:rFonts w:asciiTheme="majorBidi" w:hAnsiTheme="majorBidi" w:cstheme="majorBidi"/>
          <w:sz w:val="24"/>
          <w:szCs w:val="24"/>
        </w:rPr>
        <w:t xml:space="preserve"> as non</w:t>
      </w:r>
      <w:r w:rsidR="006C7FF0" w:rsidRPr="00B65226">
        <w:rPr>
          <w:rFonts w:asciiTheme="majorBidi" w:hAnsiTheme="majorBidi" w:cstheme="majorBidi"/>
          <w:sz w:val="24"/>
          <w:szCs w:val="24"/>
        </w:rPr>
        <w:t>-</w:t>
      </w:r>
      <w:r w:rsidR="00D410F1" w:rsidRPr="00B65226">
        <w:rPr>
          <w:rFonts w:asciiTheme="majorBidi" w:hAnsiTheme="majorBidi" w:cstheme="majorBidi"/>
          <w:sz w:val="24"/>
          <w:szCs w:val="24"/>
        </w:rPr>
        <w:t>performing when princ</w:t>
      </w:r>
      <w:r w:rsidR="00137EBB">
        <w:rPr>
          <w:rFonts w:asciiTheme="majorBidi" w:hAnsiTheme="majorBidi" w:cstheme="majorBidi"/>
          <w:sz w:val="24"/>
          <w:szCs w:val="24"/>
        </w:rPr>
        <w:t>ipal or interest is due and remain</w:t>
      </w:r>
      <w:r w:rsidR="00D410F1" w:rsidRPr="00B65226">
        <w:rPr>
          <w:rFonts w:asciiTheme="majorBidi" w:hAnsiTheme="majorBidi" w:cstheme="majorBidi"/>
          <w:sz w:val="24"/>
          <w:szCs w:val="24"/>
        </w:rPr>
        <w:t xml:space="preserve"> unpaid for 90 days or more. Thus the non</w:t>
      </w:r>
      <w:r w:rsidR="0093605A" w:rsidRPr="00B65226">
        <w:rPr>
          <w:rFonts w:asciiTheme="majorBidi" w:hAnsiTheme="majorBidi" w:cstheme="majorBidi"/>
          <w:sz w:val="24"/>
          <w:szCs w:val="24"/>
        </w:rPr>
        <w:t>-</w:t>
      </w:r>
      <w:r w:rsidR="00D410F1" w:rsidRPr="00B65226">
        <w:rPr>
          <w:rFonts w:asciiTheme="majorBidi" w:hAnsiTheme="majorBidi" w:cstheme="majorBidi"/>
          <w:sz w:val="24"/>
          <w:szCs w:val="24"/>
        </w:rPr>
        <w:t>performing loan portfolio is a very important indication of the bank’s credit risk exposure and lending decisions quality.</w:t>
      </w:r>
    </w:p>
    <w:p w:rsidR="00944790" w:rsidRDefault="002E17CA" w:rsidP="00944790">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w:t>
      </w:r>
      <w:r w:rsidR="00671B07" w:rsidRPr="00AA5F39">
        <w:rPr>
          <w:rFonts w:ascii="Times New Roman" w:hAnsi="Times New Roman" w:cs="Times New Roman"/>
          <w:b/>
          <w:bCs/>
          <w:sz w:val="24"/>
          <w:szCs w:val="24"/>
        </w:rPr>
        <w:t xml:space="preserve">) </w:t>
      </w:r>
      <w:r w:rsidR="006C7FF0" w:rsidRPr="00AA5F39">
        <w:rPr>
          <w:rFonts w:ascii="Times New Roman" w:hAnsi="Times New Roman" w:cs="Times New Roman"/>
          <w:b/>
          <w:bCs/>
          <w:sz w:val="24"/>
          <w:szCs w:val="24"/>
        </w:rPr>
        <w:t>Debt Securities</w:t>
      </w:r>
    </w:p>
    <w:p w:rsidR="001416EF" w:rsidRPr="00EC6649" w:rsidRDefault="002B6783" w:rsidP="00944790">
      <w:pPr>
        <w:spacing w:line="360" w:lineRule="auto"/>
        <w:contextualSpacing/>
        <w:jc w:val="both"/>
        <w:rPr>
          <w:rFonts w:ascii="Times New Roman" w:hAnsi="Times New Roman" w:cs="Times New Roman"/>
          <w:sz w:val="24"/>
          <w:szCs w:val="24"/>
        </w:rPr>
      </w:pPr>
      <w:r w:rsidRPr="00944790">
        <w:rPr>
          <w:rFonts w:ascii="Times New Roman" w:hAnsi="Times New Roman" w:cs="Times New Roman"/>
          <w:sz w:val="24"/>
          <w:szCs w:val="24"/>
        </w:rPr>
        <w:t>Besides lending, investment in debt securities exposes banks to credit risks. Debt securities are debt instruments</w:t>
      </w:r>
      <w:r w:rsidR="0046479D" w:rsidRPr="00944790">
        <w:rPr>
          <w:rFonts w:ascii="Times New Roman" w:hAnsi="Times New Roman" w:cs="Times New Roman"/>
          <w:sz w:val="24"/>
          <w:szCs w:val="24"/>
        </w:rPr>
        <w:t xml:space="preserve"> in the form of government securities</w:t>
      </w:r>
      <w:r w:rsidR="007C435F" w:rsidRPr="00944790">
        <w:rPr>
          <w:rFonts w:ascii="Times New Roman" w:hAnsi="Times New Roman" w:cs="Times New Roman"/>
          <w:sz w:val="24"/>
          <w:szCs w:val="24"/>
        </w:rPr>
        <w:t>, bonds, notes, certificate of deposits, etc,</w:t>
      </w:r>
      <w:r w:rsidRPr="00944790">
        <w:rPr>
          <w:rFonts w:ascii="Times New Roman" w:hAnsi="Times New Roman" w:cs="Times New Roman"/>
          <w:sz w:val="24"/>
          <w:szCs w:val="24"/>
        </w:rPr>
        <w:t xml:space="preserve"> issued by different parties to raise capital</w:t>
      </w:r>
      <w:r w:rsidR="007C435F" w:rsidRPr="00944790">
        <w:rPr>
          <w:rFonts w:ascii="Times New Roman" w:hAnsi="Times New Roman" w:cs="Times New Roman"/>
          <w:sz w:val="24"/>
          <w:szCs w:val="24"/>
        </w:rPr>
        <w:t xml:space="preserve"> such as, governments and large corporations.</w:t>
      </w:r>
      <w:r w:rsidR="00721BF0" w:rsidRPr="00944790">
        <w:rPr>
          <w:rFonts w:ascii="Times New Roman" w:hAnsi="Times New Roman" w:cs="Times New Roman"/>
          <w:sz w:val="24"/>
          <w:szCs w:val="24"/>
        </w:rPr>
        <w:t xml:space="preserve"> </w:t>
      </w:r>
      <w:r w:rsidR="007C435F" w:rsidRPr="00944790">
        <w:rPr>
          <w:rFonts w:ascii="Times New Roman" w:hAnsi="Times New Roman" w:cs="Times New Roman"/>
          <w:sz w:val="24"/>
          <w:szCs w:val="24"/>
        </w:rPr>
        <w:t>The probability that the issuer of these instruments will default always exists, resulting in the loss of interest or ev</w:t>
      </w:r>
      <w:r w:rsidR="008F18F8">
        <w:rPr>
          <w:rFonts w:ascii="Times New Roman" w:hAnsi="Times New Roman" w:cs="Times New Roman"/>
          <w:sz w:val="24"/>
          <w:szCs w:val="24"/>
        </w:rPr>
        <w:t>en the initial investment</w:t>
      </w:r>
      <w:r w:rsidR="007C435F" w:rsidRPr="00944790">
        <w:rPr>
          <w:rFonts w:ascii="Times New Roman" w:hAnsi="Times New Roman" w:cs="Times New Roman"/>
          <w:sz w:val="24"/>
          <w:szCs w:val="24"/>
        </w:rPr>
        <w:t xml:space="preserve"> to banks which can affect the solvency of the bank negatively. </w:t>
      </w:r>
    </w:p>
    <w:p w:rsidR="00C15227" w:rsidRDefault="00C15227" w:rsidP="00944790">
      <w:pPr>
        <w:spacing w:line="360" w:lineRule="auto"/>
        <w:contextualSpacing/>
        <w:jc w:val="both"/>
        <w:rPr>
          <w:rFonts w:ascii="Times New Roman" w:hAnsi="Times New Roman" w:cs="Times New Roman"/>
          <w:b/>
          <w:bCs/>
          <w:sz w:val="24"/>
          <w:szCs w:val="24"/>
        </w:rPr>
      </w:pPr>
    </w:p>
    <w:p w:rsidR="00944790" w:rsidRDefault="00A50F6D" w:rsidP="00944790">
      <w:pPr>
        <w:spacing w:line="360" w:lineRule="auto"/>
        <w:contextualSpacing/>
        <w:jc w:val="both"/>
        <w:rPr>
          <w:rFonts w:ascii="Times New Roman" w:hAnsi="Times New Roman" w:cs="Times New Roman"/>
          <w:b/>
          <w:bCs/>
          <w:sz w:val="24"/>
          <w:szCs w:val="24"/>
        </w:rPr>
      </w:pPr>
      <w:r w:rsidRPr="00944790">
        <w:rPr>
          <w:rFonts w:ascii="Times New Roman" w:hAnsi="Times New Roman" w:cs="Times New Roman"/>
          <w:b/>
          <w:bCs/>
          <w:sz w:val="24"/>
          <w:szCs w:val="24"/>
        </w:rPr>
        <w:lastRenderedPageBreak/>
        <w:t xml:space="preserve">b) </w:t>
      </w:r>
      <w:r w:rsidR="0046479D" w:rsidRPr="00944790">
        <w:rPr>
          <w:rFonts w:ascii="Times New Roman" w:hAnsi="Times New Roman" w:cs="Times New Roman"/>
          <w:b/>
          <w:bCs/>
          <w:sz w:val="24"/>
          <w:szCs w:val="24"/>
        </w:rPr>
        <w:t>Off-Balance Sheet Exposures</w:t>
      </w:r>
    </w:p>
    <w:p w:rsidR="001A617E" w:rsidRPr="002201A5" w:rsidRDefault="00A94E1A" w:rsidP="007708C3">
      <w:pPr>
        <w:spacing w:line="360" w:lineRule="auto"/>
        <w:contextualSpacing/>
        <w:jc w:val="both"/>
        <w:rPr>
          <w:rFonts w:asciiTheme="majorBidi" w:hAnsiTheme="majorBidi" w:cstheme="majorBidi"/>
          <w:sz w:val="24"/>
          <w:szCs w:val="24"/>
        </w:rPr>
      </w:pPr>
      <w:r w:rsidRPr="002201A5">
        <w:rPr>
          <w:rFonts w:ascii="Times New Roman" w:hAnsi="Times New Roman" w:cs="Times New Roman"/>
          <w:sz w:val="24"/>
          <w:szCs w:val="24"/>
        </w:rPr>
        <w:t>Since the 1980s, it has been witnessed rapid growth in ba</w:t>
      </w:r>
      <w:r w:rsidR="006A1B0A" w:rsidRPr="002201A5">
        <w:rPr>
          <w:rFonts w:ascii="Times New Roman" w:hAnsi="Times New Roman" w:cs="Times New Roman"/>
          <w:sz w:val="24"/>
          <w:szCs w:val="24"/>
        </w:rPr>
        <w:t>nks’ off-balance-sheet</w:t>
      </w:r>
      <w:r w:rsidR="00AE53DB" w:rsidRPr="002201A5">
        <w:rPr>
          <w:rFonts w:ascii="Times New Roman" w:hAnsi="Times New Roman" w:cs="Times New Roman"/>
          <w:sz w:val="24"/>
          <w:szCs w:val="24"/>
        </w:rPr>
        <w:t xml:space="preserve"> exposures</w:t>
      </w:r>
      <w:r w:rsidR="006A1B0A" w:rsidRPr="002201A5">
        <w:rPr>
          <w:rFonts w:ascii="Times New Roman" w:hAnsi="Times New Roman" w:cs="Times New Roman"/>
          <w:sz w:val="24"/>
          <w:szCs w:val="24"/>
        </w:rPr>
        <w:t xml:space="preserve"> such as, swaps, forward rate agreements, banker’s acceptance, </w:t>
      </w:r>
      <w:r w:rsidR="00AE53DB" w:rsidRPr="002201A5">
        <w:rPr>
          <w:rFonts w:ascii="Times New Roman" w:hAnsi="Times New Roman" w:cs="Times New Roman"/>
          <w:sz w:val="24"/>
          <w:szCs w:val="24"/>
        </w:rPr>
        <w:t>etc. This</w:t>
      </w:r>
      <w:r w:rsidRPr="002201A5">
        <w:rPr>
          <w:rFonts w:ascii="Times New Roman" w:hAnsi="Times New Roman" w:cs="Times New Roman"/>
          <w:sz w:val="24"/>
          <w:szCs w:val="24"/>
        </w:rPr>
        <w:t xml:space="preserve"> growth </w:t>
      </w:r>
      <w:r w:rsidR="0071298B">
        <w:rPr>
          <w:rFonts w:ascii="Times New Roman" w:hAnsi="Times New Roman" w:cs="Times New Roman"/>
          <w:sz w:val="24"/>
          <w:szCs w:val="24"/>
        </w:rPr>
        <w:t xml:space="preserve">is </w:t>
      </w:r>
      <w:r w:rsidRPr="002201A5">
        <w:rPr>
          <w:rFonts w:ascii="Times New Roman" w:hAnsi="Times New Roman" w:cs="Times New Roman"/>
          <w:sz w:val="24"/>
          <w:szCs w:val="24"/>
        </w:rPr>
        <w:t xml:space="preserve">related to </w:t>
      </w:r>
      <w:r w:rsidR="0071298B">
        <w:rPr>
          <w:rFonts w:ascii="Times New Roman" w:hAnsi="Times New Roman" w:cs="Times New Roman"/>
          <w:sz w:val="24"/>
          <w:szCs w:val="24"/>
        </w:rPr>
        <w:t xml:space="preserve">the </w:t>
      </w:r>
      <w:r w:rsidRPr="002201A5">
        <w:rPr>
          <w:rFonts w:ascii="Times New Roman" w:hAnsi="Times New Roman" w:cs="Times New Roman"/>
          <w:sz w:val="24"/>
          <w:szCs w:val="24"/>
        </w:rPr>
        <w:t>progress i</w:t>
      </w:r>
      <w:r w:rsidR="001205EB">
        <w:rPr>
          <w:rFonts w:ascii="Times New Roman" w:hAnsi="Times New Roman" w:cs="Times New Roman"/>
          <w:sz w:val="24"/>
          <w:szCs w:val="24"/>
        </w:rPr>
        <w:t xml:space="preserve">n Deregulation and Technology which </w:t>
      </w:r>
      <w:r w:rsidR="006B7F55">
        <w:rPr>
          <w:rFonts w:ascii="Times New Roman" w:hAnsi="Times New Roman" w:cs="Times New Roman"/>
          <w:sz w:val="24"/>
          <w:szCs w:val="24"/>
        </w:rPr>
        <w:t>produces</w:t>
      </w:r>
      <w:r w:rsidRPr="002201A5">
        <w:rPr>
          <w:rFonts w:ascii="Times New Roman" w:hAnsi="Times New Roman" w:cs="Times New Roman"/>
          <w:sz w:val="24"/>
          <w:szCs w:val="24"/>
        </w:rPr>
        <w:t xml:space="preserve"> new opportunities for banks but</w:t>
      </w:r>
      <w:r w:rsidR="001205EB">
        <w:rPr>
          <w:rFonts w:ascii="Times New Roman" w:hAnsi="Times New Roman" w:cs="Times New Roman"/>
          <w:sz w:val="24"/>
          <w:szCs w:val="24"/>
        </w:rPr>
        <w:t xml:space="preserve"> in the same</w:t>
      </w:r>
      <w:r w:rsidR="0071298B">
        <w:rPr>
          <w:rFonts w:ascii="Times New Roman" w:hAnsi="Times New Roman" w:cs="Times New Roman"/>
          <w:sz w:val="24"/>
          <w:szCs w:val="24"/>
        </w:rPr>
        <w:t xml:space="preserve"> competitive pressures</w:t>
      </w:r>
      <w:r w:rsidR="001205EB">
        <w:rPr>
          <w:rFonts w:ascii="Times New Roman" w:hAnsi="Times New Roman" w:cs="Times New Roman"/>
          <w:sz w:val="24"/>
          <w:szCs w:val="24"/>
        </w:rPr>
        <w:t xml:space="preserve"> had increase among financial and non</w:t>
      </w:r>
      <w:r w:rsidR="006779E0">
        <w:rPr>
          <w:rFonts w:ascii="Times New Roman" w:hAnsi="Times New Roman" w:cs="Times New Roman"/>
          <w:sz w:val="24"/>
          <w:szCs w:val="24"/>
        </w:rPr>
        <w:t>-</w:t>
      </w:r>
      <w:r w:rsidR="001205EB">
        <w:rPr>
          <w:rFonts w:ascii="Times New Roman" w:hAnsi="Times New Roman" w:cs="Times New Roman"/>
          <w:sz w:val="24"/>
          <w:szCs w:val="24"/>
        </w:rPr>
        <w:t>financial institution</w:t>
      </w:r>
      <w:r w:rsidR="006779E0">
        <w:rPr>
          <w:rFonts w:ascii="Times New Roman" w:hAnsi="Times New Roman" w:cs="Times New Roman"/>
          <w:sz w:val="24"/>
          <w:szCs w:val="24"/>
        </w:rPr>
        <w:t>s</w:t>
      </w:r>
      <w:r w:rsidR="00AE53DB" w:rsidRPr="002201A5">
        <w:rPr>
          <w:rFonts w:ascii="Times New Roman" w:hAnsi="Times New Roman" w:cs="Times New Roman"/>
          <w:sz w:val="24"/>
          <w:szCs w:val="24"/>
        </w:rPr>
        <w:t xml:space="preserve"> and increase</w:t>
      </w:r>
      <w:r w:rsidR="006779E0">
        <w:rPr>
          <w:rFonts w:ascii="Times New Roman" w:hAnsi="Times New Roman" w:cs="Times New Roman"/>
          <w:sz w:val="24"/>
          <w:szCs w:val="24"/>
        </w:rPr>
        <w:t>d</w:t>
      </w:r>
      <w:r w:rsidR="00AE53DB" w:rsidRPr="002201A5">
        <w:rPr>
          <w:rFonts w:ascii="Times New Roman" w:hAnsi="Times New Roman" w:cs="Times New Roman"/>
          <w:sz w:val="24"/>
          <w:szCs w:val="24"/>
        </w:rPr>
        <w:t xml:space="preserve"> new types of credit risk from the possibility of default by the counterparty on banks.</w:t>
      </w:r>
      <w:r w:rsidR="00944790" w:rsidRPr="002201A5">
        <w:rPr>
          <w:rFonts w:ascii="Times New Roman" w:hAnsi="Times New Roman" w:cs="Times New Roman"/>
          <w:sz w:val="24"/>
          <w:szCs w:val="24"/>
        </w:rPr>
        <w:t xml:space="preserve"> </w:t>
      </w:r>
      <w:r w:rsidR="001F7835" w:rsidRPr="002201A5">
        <w:rPr>
          <w:rFonts w:asciiTheme="majorBidi" w:hAnsiTheme="majorBidi" w:cstheme="majorBidi"/>
          <w:sz w:val="24"/>
          <w:szCs w:val="24"/>
        </w:rPr>
        <w:t>Credit risk in off-balance-sheet exposures refers to the possibility of loss that a bank may incur on account of default by the counterparty in performing obligations or honoring commitments under agreements o</w:t>
      </w:r>
      <w:r w:rsidR="00ED41F7" w:rsidRPr="002201A5">
        <w:rPr>
          <w:rFonts w:asciiTheme="majorBidi" w:hAnsiTheme="majorBidi" w:cstheme="majorBidi"/>
          <w:sz w:val="24"/>
          <w:szCs w:val="24"/>
        </w:rPr>
        <w:t>r contracts (Ghosh, 2012</w:t>
      </w:r>
      <w:r w:rsidR="001F7835" w:rsidRPr="002201A5">
        <w:rPr>
          <w:rFonts w:asciiTheme="majorBidi" w:hAnsiTheme="majorBidi" w:cstheme="majorBidi"/>
          <w:sz w:val="24"/>
          <w:szCs w:val="24"/>
        </w:rPr>
        <w:t>).</w:t>
      </w:r>
      <w:r w:rsidR="00AE53DB" w:rsidRPr="002201A5">
        <w:rPr>
          <w:rFonts w:asciiTheme="majorBidi" w:hAnsiTheme="majorBidi" w:cstheme="majorBidi"/>
          <w:sz w:val="24"/>
          <w:szCs w:val="24"/>
        </w:rPr>
        <w:t xml:space="preserve"> In this part, some of the off-balance sheet cred</w:t>
      </w:r>
      <w:r w:rsidR="00CA087D" w:rsidRPr="002201A5">
        <w:rPr>
          <w:rFonts w:asciiTheme="majorBidi" w:hAnsiTheme="majorBidi" w:cstheme="majorBidi"/>
          <w:sz w:val="24"/>
          <w:szCs w:val="24"/>
        </w:rPr>
        <w:t>it exposures will be presented:</w:t>
      </w:r>
    </w:p>
    <w:p w:rsidR="007708C3" w:rsidRPr="007708C3" w:rsidRDefault="007708C3" w:rsidP="007708C3">
      <w:pPr>
        <w:spacing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Pr="007708C3">
        <w:rPr>
          <w:rFonts w:ascii="Times New Roman" w:hAnsi="Times New Roman" w:cs="Times New Roman"/>
          <w:b/>
          <w:bCs/>
          <w:sz w:val="24"/>
          <w:szCs w:val="24"/>
        </w:rPr>
        <w:t xml:space="preserve"> Derivatives</w:t>
      </w:r>
      <w:r w:rsidR="00AE53DB" w:rsidRPr="007708C3">
        <w:rPr>
          <w:rFonts w:ascii="Times New Roman" w:hAnsi="Times New Roman" w:cs="Times New Roman"/>
          <w:b/>
          <w:bCs/>
          <w:sz w:val="24"/>
          <w:szCs w:val="24"/>
        </w:rPr>
        <w:t xml:space="preserve"> Contracts</w:t>
      </w:r>
    </w:p>
    <w:p w:rsidR="00683C6A" w:rsidRPr="005B093E" w:rsidRDefault="007708C3" w:rsidP="00540F48">
      <w:pPr>
        <w:spacing w:line="360" w:lineRule="auto"/>
        <w:contextualSpacing/>
        <w:jc w:val="both"/>
        <w:rPr>
          <w:rFonts w:asciiTheme="majorBidi" w:hAnsiTheme="majorBidi" w:cstheme="majorBidi"/>
          <w:sz w:val="24"/>
          <w:szCs w:val="24"/>
          <w:lang w:bidi="ar-JO"/>
        </w:rPr>
      </w:pPr>
      <w:r w:rsidRPr="00540F48">
        <w:rPr>
          <w:rFonts w:ascii="Times New Roman" w:hAnsi="Times New Roman" w:cs="Times New Roman"/>
          <w:sz w:val="24"/>
          <w:szCs w:val="24"/>
        </w:rPr>
        <w:t>A derivative is a financial instrument whose value is based o</w:t>
      </w:r>
      <w:r w:rsidR="008D1066">
        <w:rPr>
          <w:rFonts w:ascii="Times New Roman" w:hAnsi="Times New Roman" w:cs="Times New Roman"/>
          <w:sz w:val="24"/>
          <w:szCs w:val="24"/>
        </w:rPr>
        <w:t>n one or more underlying assets and this value is affected by the fluctuations of the underlying assets.</w:t>
      </w:r>
      <w:r w:rsidR="00540F48" w:rsidRPr="00540F48">
        <w:rPr>
          <w:rFonts w:ascii="Times New Roman" w:hAnsi="Times New Roman" w:cs="Times New Roman"/>
          <w:sz w:val="24"/>
          <w:szCs w:val="24"/>
        </w:rPr>
        <w:t xml:space="preserve"> The most common types of derivatives are </w:t>
      </w:r>
      <w:r w:rsidR="003C6023" w:rsidRPr="00540F48">
        <w:rPr>
          <w:rFonts w:ascii="Times New Roman" w:hAnsi="Times New Roman" w:cs="Times New Roman"/>
          <w:sz w:val="24"/>
          <w:szCs w:val="24"/>
        </w:rPr>
        <w:t>future</w:t>
      </w:r>
      <w:r w:rsidR="00184D28">
        <w:rPr>
          <w:rFonts w:ascii="Times New Roman" w:hAnsi="Times New Roman" w:cs="Times New Roman"/>
          <w:sz w:val="24"/>
          <w:szCs w:val="24"/>
        </w:rPr>
        <w:t>s, forwards, options, and swaps</w:t>
      </w:r>
      <w:r w:rsidR="00184D28" w:rsidRPr="00540F48">
        <w:rPr>
          <w:rFonts w:ascii="Times New Roman" w:hAnsi="Times New Roman" w:cs="Times New Roman"/>
          <w:sz w:val="24"/>
          <w:szCs w:val="24"/>
        </w:rPr>
        <w:t>.</w:t>
      </w:r>
      <w:r w:rsidR="00184D28">
        <w:rPr>
          <w:rFonts w:asciiTheme="majorBidi" w:hAnsiTheme="majorBidi" w:cstheme="majorBidi"/>
          <w:sz w:val="24"/>
          <w:szCs w:val="24"/>
          <w:lang w:bidi="ar-JO"/>
        </w:rPr>
        <w:t xml:space="preserve"> Using </w:t>
      </w:r>
      <w:r w:rsidR="00184D28" w:rsidRPr="00540F48">
        <w:rPr>
          <w:rFonts w:ascii="Times New Roman" w:hAnsi="Times New Roman" w:cs="Times New Roman"/>
          <w:sz w:val="24"/>
          <w:szCs w:val="24"/>
        </w:rPr>
        <w:t>derivatives contracts</w:t>
      </w:r>
      <w:r w:rsidR="00184D28">
        <w:rPr>
          <w:rFonts w:ascii="Times New Roman" w:hAnsi="Times New Roman" w:cs="Times New Roman"/>
          <w:sz w:val="24"/>
          <w:szCs w:val="24"/>
        </w:rPr>
        <w:t xml:space="preserve"> by banks could be for trading purposes (hedging) or as dealers </w:t>
      </w:r>
      <w:r w:rsidR="00184D28" w:rsidRPr="00540F48">
        <w:rPr>
          <w:rFonts w:ascii="Times New Roman" w:hAnsi="Times New Roman" w:cs="Times New Roman"/>
          <w:sz w:val="24"/>
          <w:szCs w:val="24"/>
        </w:rPr>
        <w:t>(non- trading purposes)</w:t>
      </w:r>
      <w:r w:rsidR="00184D28">
        <w:rPr>
          <w:rFonts w:ascii="Times New Roman" w:hAnsi="Times New Roman" w:cs="Times New Roman"/>
          <w:sz w:val="24"/>
          <w:szCs w:val="24"/>
        </w:rPr>
        <w:t xml:space="preserve"> </w:t>
      </w:r>
      <w:r w:rsidR="00184D28" w:rsidRPr="00540F48">
        <w:rPr>
          <w:rFonts w:ascii="Times New Roman" w:hAnsi="Times New Roman" w:cs="Times New Roman"/>
          <w:sz w:val="24"/>
          <w:szCs w:val="24"/>
        </w:rPr>
        <w:t>that act as counterparties in trades with customers for a fee</w:t>
      </w:r>
      <w:r w:rsidR="00184D28">
        <w:rPr>
          <w:rFonts w:asciiTheme="majorBidi" w:hAnsiTheme="majorBidi" w:cstheme="majorBidi"/>
          <w:sz w:val="24"/>
          <w:szCs w:val="24"/>
          <w:lang w:bidi="ar-JO"/>
        </w:rPr>
        <w:t>.</w:t>
      </w:r>
      <w:r w:rsidR="0006573A" w:rsidRPr="00540F48">
        <w:rPr>
          <w:rFonts w:ascii="Times New Roman" w:hAnsi="Times New Roman" w:cs="Times New Roman"/>
          <w:sz w:val="24"/>
          <w:szCs w:val="24"/>
        </w:rPr>
        <w:t xml:space="preserve"> When banks</w:t>
      </w:r>
      <w:r w:rsidR="00184D28">
        <w:rPr>
          <w:rFonts w:ascii="Times New Roman" w:hAnsi="Times New Roman" w:cs="Times New Roman"/>
          <w:sz w:val="24"/>
          <w:szCs w:val="24"/>
        </w:rPr>
        <w:t xml:space="preserve"> involve in </w:t>
      </w:r>
      <w:r w:rsidR="00184D28" w:rsidRPr="00540F48">
        <w:rPr>
          <w:rFonts w:ascii="Times New Roman" w:hAnsi="Times New Roman" w:cs="Times New Roman"/>
          <w:sz w:val="24"/>
          <w:szCs w:val="24"/>
        </w:rPr>
        <w:t>derivative trades</w:t>
      </w:r>
      <w:r w:rsidR="00184D28">
        <w:rPr>
          <w:rFonts w:ascii="Times New Roman" w:hAnsi="Times New Roman" w:cs="Times New Roman"/>
          <w:sz w:val="24"/>
          <w:szCs w:val="24"/>
        </w:rPr>
        <w:t xml:space="preserve"> as </w:t>
      </w:r>
      <w:r w:rsidR="00C94DDB">
        <w:rPr>
          <w:rFonts w:ascii="Times New Roman" w:hAnsi="Times New Roman" w:cs="Times New Roman"/>
          <w:sz w:val="24"/>
          <w:szCs w:val="24"/>
        </w:rPr>
        <w:t xml:space="preserve">counterparties </w:t>
      </w:r>
      <w:r w:rsidR="00C94DDB" w:rsidRPr="00540F48">
        <w:rPr>
          <w:rFonts w:ascii="Times New Roman" w:hAnsi="Times New Roman" w:cs="Times New Roman"/>
          <w:sz w:val="24"/>
          <w:szCs w:val="24"/>
        </w:rPr>
        <w:t>with</w:t>
      </w:r>
      <w:r w:rsidR="0006573A" w:rsidRPr="00540F48">
        <w:rPr>
          <w:rFonts w:ascii="Times New Roman" w:hAnsi="Times New Roman" w:cs="Times New Roman"/>
          <w:sz w:val="24"/>
          <w:szCs w:val="24"/>
        </w:rPr>
        <w:t xml:space="preserve"> clients for a fee, </w:t>
      </w:r>
      <w:r w:rsidR="00184D28">
        <w:rPr>
          <w:rFonts w:ascii="Times New Roman" w:hAnsi="Times New Roman" w:cs="Times New Roman"/>
          <w:sz w:val="24"/>
          <w:szCs w:val="24"/>
        </w:rPr>
        <w:t xml:space="preserve">conditions </w:t>
      </w:r>
      <w:r w:rsidR="0006573A" w:rsidRPr="00540F48">
        <w:rPr>
          <w:rFonts w:ascii="Times New Roman" w:hAnsi="Times New Roman" w:cs="Times New Roman"/>
          <w:sz w:val="24"/>
          <w:szCs w:val="24"/>
        </w:rPr>
        <w:t>credit risk is likely</w:t>
      </w:r>
      <w:r w:rsidR="009616AF" w:rsidRPr="00540F48">
        <w:rPr>
          <w:rFonts w:ascii="Times New Roman" w:hAnsi="Times New Roman" w:cs="Times New Roman"/>
          <w:sz w:val="24"/>
          <w:szCs w:val="24"/>
        </w:rPr>
        <w:t xml:space="preserve"> to </w:t>
      </w:r>
      <w:r w:rsidR="00184D28">
        <w:rPr>
          <w:rFonts w:ascii="Times New Roman" w:hAnsi="Times New Roman" w:cs="Times New Roman"/>
          <w:sz w:val="24"/>
          <w:szCs w:val="24"/>
        </w:rPr>
        <w:t xml:space="preserve">exist </w:t>
      </w:r>
      <w:r w:rsidR="009616AF" w:rsidRPr="00540F48">
        <w:rPr>
          <w:rFonts w:ascii="Times New Roman" w:hAnsi="Times New Roman" w:cs="Times New Roman"/>
          <w:sz w:val="24"/>
          <w:szCs w:val="24"/>
        </w:rPr>
        <w:t>when banks increase</w:t>
      </w:r>
      <w:r w:rsidR="0006573A" w:rsidRPr="00540F48">
        <w:rPr>
          <w:rFonts w:ascii="Times New Roman" w:hAnsi="Times New Roman" w:cs="Times New Roman"/>
          <w:sz w:val="24"/>
          <w:szCs w:val="24"/>
        </w:rPr>
        <w:t xml:space="preserve"> their positions in derivative contracts</w:t>
      </w:r>
      <w:r w:rsidR="004E35FA" w:rsidRPr="00540F48">
        <w:rPr>
          <w:rFonts w:ascii="Times New Roman" w:hAnsi="Times New Roman" w:cs="Times New Roman"/>
          <w:sz w:val="24"/>
          <w:szCs w:val="24"/>
        </w:rPr>
        <w:t xml:space="preserve"> (Saunders and Cornett, 2006).</w:t>
      </w:r>
      <w:r w:rsidR="00671B07" w:rsidRPr="00540F48">
        <w:rPr>
          <w:rFonts w:ascii="Times New Roman" w:hAnsi="Times New Roman" w:cs="Times New Roman"/>
          <w:sz w:val="24"/>
          <w:szCs w:val="24"/>
        </w:rPr>
        <w:t xml:space="preserve"> </w:t>
      </w:r>
      <w:r w:rsidR="009616AF" w:rsidRPr="00540F48">
        <w:rPr>
          <w:rFonts w:ascii="Times New Roman" w:hAnsi="Times New Roman" w:cs="Times New Roman"/>
          <w:sz w:val="24"/>
          <w:szCs w:val="24"/>
        </w:rPr>
        <w:t>Since the counterparty</w:t>
      </w:r>
      <w:r w:rsidR="005671CE" w:rsidRPr="00540F48">
        <w:rPr>
          <w:rFonts w:ascii="Times New Roman" w:hAnsi="Times New Roman" w:cs="Times New Roman"/>
          <w:sz w:val="24"/>
          <w:szCs w:val="24"/>
        </w:rPr>
        <w:t xml:space="preserve"> risk in a derivativ</w:t>
      </w:r>
      <w:r w:rsidR="00603130">
        <w:rPr>
          <w:rFonts w:ascii="Times New Roman" w:hAnsi="Times New Roman" w:cs="Times New Roman"/>
          <w:sz w:val="24"/>
          <w:szCs w:val="24"/>
        </w:rPr>
        <w:t>es transaction</w:t>
      </w:r>
      <w:r w:rsidR="005671CE" w:rsidRPr="00540F48">
        <w:rPr>
          <w:rFonts w:ascii="Times New Roman" w:hAnsi="Times New Roman" w:cs="Times New Roman"/>
          <w:sz w:val="24"/>
          <w:szCs w:val="24"/>
        </w:rPr>
        <w:t xml:space="preserve"> a</w:t>
      </w:r>
      <w:r w:rsidR="00603130">
        <w:rPr>
          <w:rFonts w:ascii="Times New Roman" w:hAnsi="Times New Roman" w:cs="Times New Roman"/>
          <w:sz w:val="24"/>
          <w:szCs w:val="24"/>
        </w:rPr>
        <w:t xml:space="preserve">rise when the counterparty </w:t>
      </w:r>
      <w:r w:rsidR="005671CE" w:rsidRPr="00540F48">
        <w:rPr>
          <w:rFonts w:ascii="Times New Roman" w:hAnsi="Times New Roman" w:cs="Times New Roman"/>
          <w:sz w:val="24"/>
          <w:szCs w:val="24"/>
        </w:rPr>
        <w:t>default prior to expiration of a trade and will not therefore make the current and future payments required by the contract,</w:t>
      </w:r>
      <w:r w:rsidR="00715BFD" w:rsidRPr="00540F48">
        <w:rPr>
          <w:rFonts w:ascii="Times New Roman" w:hAnsi="Times New Roman" w:cs="Times New Roman"/>
          <w:sz w:val="24"/>
          <w:szCs w:val="24"/>
        </w:rPr>
        <w:t xml:space="preserve"> leaves the bank un</w:t>
      </w:r>
      <w:r w:rsidR="004F48A1">
        <w:rPr>
          <w:rFonts w:ascii="Times New Roman" w:hAnsi="Times New Roman" w:cs="Times New Roman"/>
          <w:sz w:val="24"/>
          <w:szCs w:val="24"/>
        </w:rPr>
        <w:t xml:space="preserve"> </w:t>
      </w:r>
      <w:r w:rsidR="00715BFD" w:rsidRPr="00540F48">
        <w:rPr>
          <w:rFonts w:ascii="Times New Roman" w:hAnsi="Times New Roman" w:cs="Times New Roman"/>
          <w:sz w:val="24"/>
          <w:szCs w:val="24"/>
        </w:rPr>
        <w:t xml:space="preserve">hedged </w:t>
      </w:r>
      <w:r w:rsidR="00C4745D" w:rsidRPr="00540F48">
        <w:rPr>
          <w:rFonts w:ascii="Times New Roman" w:hAnsi="Times New Roman" w:cs="Times New Roman"/>
          <w:sz w:val="24"/>
          <w:szCs w:val="24"/>
        </w:rPr>
        <w:t xml:space="preserve">and having to substitute the contract at </w:t>
      </w:r>
      <w:r w:rsidR="0093605A" w:rsidRPr="00540F48">
        <w:rPr>
          <w:rFonts w:ascii="Times New Roman" w:hAnsi="Times New Roman" w:cs="Times New Roman"/>
          <w:sz w:val="24"/>
          <w:szCs w:val="24"/>
        </w:rPr>
        <w:t>today’s</w:t>
      </w:r>
      <w:r w:rsidR="005671CE" w:rsidRPr="00540F48">
        <w:rPr>
          <w:rFonts w:ascii="Times New Roman" w:hAnsi="Times New Roman" w:cs="Times New Roman"/>
          <w:sz w:val="24"/>
          <w:szCs w:val="24"/>
        </w:rPr>
        <w:t xml:space="preserve"> interest rates and prices</w:t>
      </w:r>
      <w:r w:rsidR="00A53571" w:rsidRPr="00540F48">
        <w:rPr>
          <w:rFonts w:ascii="Times New Roman" w:hAnsi="Times New Roman" w:cs="Times New Roman"/>
          <w:sz w:val="24"/>
          <w:szCs w:val="24"/>
        </w:rPr>
        <w:t>, or exchange rates, which may be relatively unfavorable</w:t>
      </w:r>
      <w:r w:rsidR="00671B07" w:rsidRPr="00540F48">
        <w:rPr>
          <w:rFonts w:ascii="Times New Roman" w:hAnsi="Times New Roman" w:cs="Times New Roman"/>
          <w:sz w:val="24"/>
          <w:szCs w:val="24"/>
        </w:rPr>
        <w:t xml:space="preserve"> </w:t>
      </w:r>
      <w:r w:rsidR="00ED41F7" w:rsidRPr="00540F48">
        <w:rPr>
          <w:rFonts w:ascii="Times New Roman" w:hAnsi="Times New Roman" w:cs="Times New Roman"/>
          <w:sz w:val="24"/>
          <w:szCs w:val="24"/>
        </w:rPr>
        <w:t>(Gregory, 2011</w:t>
      </w:r>
      <w:r w:rsidR="00A53571" w:rsidRPr="00540F48">
        <w:rPr>
          <w:rFonts w:ascii="Times New Roman" w:hAnsi="Times New Roman" w:cs="Times New Roman"/>
          <w:sz w:val="24"/>
          <w:szCs w:val="24"/>
        </w:rPr>
        <w:t>).</w:t>
      </w:r>
      <w:r w:rsidR="00CA087D" w:rsidRPr="00540F48">
        <w:rPr>
          <w:rFonts w:ascii="Times New Roman" w:hAnsi="Times New Roman" w:cs="Times New Roman"/>
          <w:sz w:val="24"/>
          <w:szCs w:val="24"/>
        </w:rPr>
        <w:t xml:space="preserve"> </w:t>
      </w:r>
      <w:r w:rsidR="001B406B">
        <w:rPr>
          <w:rFonts w:ascii="Times New Roman" w:hAnsi="Times New Roman" w:cs="Times New Roman"/>
          <w:sz w:val="24"/>
          <w:szCs w:val="24"/>
        </w:rPr>
        <w:t>Also hedging</w:t>
      </w:r>
      <w:r w:rsidR="001B406B" w:rsidRPr="00540F48">
        <w:rPr>
          <w:rFonts w:ascii="Times New Roman" w:hAnsi="Times New Roman" w:cs="Times New Roman"/>
          <w:sz w:val="24"/>
          <w:szCs w:val="24"/>
        </w:rPr>
        <w:t xml:space="preserve"> against the future uncertainty of interest rates and exchange rates</w:t>
      </w:r>
      <w:r w:rsidR="001B406B">
        <w:rPr>
          <w:rFonts w:ascii="Times New Roman" w:hAnsi="Times New Roman" w:cs="Times New Roman"/>
          <w:sz w:val="24"/>
          <w:szCs w:val="24"/>
        </w:rPr>
        <w:t xml:space="preserve"> by using </w:t>
      </w:r>
      <w:r w:rsidR="001B406B" w:rsidRPr="00540F48">
        <w:rPr>
          <w:rFonts w:ascii="Times New Roman" w:hAnsi="Times New Roman" w:cs="Times New Roman"/>
          <w:sz w:val="24"/>
          <w:szCs w:val="24"/>
        </w:rPr>
        <w:t>Derivative contracts</w:t>
      </w:r>
      <w:r w:rsidR="001B406B">
        <w:rPr>
          <w:rFonts w:ascii="Times New Roman" w:hAnsi="Times New Roman" w:cs="Times New Roman"/>
          <w:sz w:val="24"/>
          <w:szCs w:val="24"/>
        </w:rPr>
        <w:t xml:space="preserve"> could have </w:t>
      </w:r>
      <w:r w:rsidR="001B406B" w:rsidRPr="00540F48">
        <w:rPr>
          <w:rFonts w:ascii="Times New Roman" w:hAnsi="Times New Roman" w:cs="Times New Roman"/>
          <w:sz w:val="24"/>
          <w:szCs w:val="24"/>
        </w:rPr>
        <w:t>a favorable impact on total bank’s risk</w:t>
      </w:r>
      <w:r w:rsidR="001B406B">
        <w:rPr>
          <w:rFonts w:ascii="Times New Roman" w:hAnsi="Times New Roman" w:cs="Times New Roman"/>
          <w:sz w:val="24"/>
          <w:szCs w:val="24"/>
        </w:rPr>
        <w:t xml:space="preserve">. </w:t>
      </w:r>
    </w:p>
    <w:p w:rsidR="00294A3C" w:rsidRPr="00294A3C" w:rsidRDefault="00944790" w:rsidP="00540F48">
      <w:pPr>
        <w:spacing w:line="360" w:lineRule="auto"/>
        <w:contextualSpacing/>
        <w:jc w:val="both"/>
        <w:rPr>
          <w:rFonts w:ascii="Times New Roman" w:hAnsi="Times New Roman" w:cs="Times New Roman"/>
          <w:b/>
          <w:bCs/>
          <w:sz w:val="24"/>
          <w:szCs w:val="24"/>
        </w:rPr>
      </w:pPr>
      <w:r w:rsidRPr="00294A3C">
        <w:rPr>
          <w:rFonts w:ascii="Times New Roman" w:hAnsi="Times New Roman" w:cs="Times New Roman"/>
          <w:b/>
          <w:bCs/>
          <w:sz w:val="24"/>
          <w:szCs w:val="24"/>
        </w:rPr>
        <w:t>2) Guarantees</w:t>
      </w:r>
      <w:r w:rsidR="00A459A8" w:rsidRPr="00294A3C">
        <w:rPr>
          <w:rFonts w:ascii="Times New Roman" w:hAnsi="Times New Roman" w:cs="Times New Roman"/>
          <w:b/>
          <w:bCs/>
          <w:sz w:val="24"/>
          <w:szCs w:val="24"/>
        </w:rPr>
        <w:t xml:space="preserve"> and Acceptances</w:t>
      </w:r>
    </w:p>
    <w:p w:rsidR="001B406B" w:rsidRPr="002F0F14" w:rsidRDefault="00692E39" w:rsidP="002A584A">
      <w:pPr>
        <w:spacing w:line="360" w:lineRule="auto"/>
        <w:contextualSpacing/>
        <w:jc w:val="both"/>
        <w:rPr>
          <w:rFonts w:ascii="Times New Roman" w:hAnsi="Times New Roman" w:cs="Times New Roman"/>
          <w:sz w:val="24"/>
          <w:szCs w:val="24"/>
        </w:rPr>
      </w:pPr>
      <w:r w:rsidRPr="00294A3C">
        <w:rPr>
          <w:rFonts w:ascii="Times New Roman" w:hAnsi="Times New Roman" w:cs="Times New Roman"/>
          <w:sz w:val="24"/>
          <w:szCs w:val="24"/>
        </w:rPr>
        <w:t xml:space="preserve">A bank guarantee is a guarantee </w:t>
      </w:r>
      <w:r w:rsidR="001B406B">
        <w:rPr>
          <w:rFonts w:ascii="Times New Roman" w:hAnsi="Times New Roman" w:cs="Times New Roman"/>
          <w:sz w:val="24"/>
          <w:szCs w:val="24"/>
        </w:rPr>
        <w:t>issued by the bank to ensure</w:t>
      </w:r>
      <w:r w:rsidRPr="00294A3C">
        <w:rPr>
          <w:rFonts w:ascii="Times New Roman" w:hAnsi="Times New Roman" w:cs="Times New Roman"/>
          <w:sz w:val="24"/>
          <w:szCs w:val="24"/>
        </w:rPr>
        <w:t xml:space="preserve"> that the liabilities of a debt</w:t>
      </w:r>
      <w:r w:rsidR="00362AF4">
        <w:rPr>
          <w:rFonts w:ascii="Times New Roman" w:hAnsi="Times New Roman" w:cs="Times New Roman"/>
          <w:sz w:val="24"/>
          <w:szCs w:val="24"/>
        </w:rPr>
        <w:t xml:space="preserve">or will be met, in case </w:t>
      </w:r>
      <w:r w:rsidR="00603130">
        <w:rPr>
          <w:rFonts w:ascii="Times New Roman" w:hAnsi="Times New Roman" w:cs="Times New Roman"/>
          <w:sz w:val="24"/>
          <w:szCs w:val="24"/>
        </w:rPr>
        <w:t>if the debtor fails to</w:t>
      </w:r>
      <w:r w:rsidR="001B406B">
        <w:rPr>
          <w:rFonts w:ascii="Times New Roman" w:hAnsi="Times New Roman" w:cs="Times New Roman"/>
          <w:sz w:val="24"/>
          <w:szCs w:val="24"/>
        </w:rPr>
        <w:t xml:space="preserve"> pay</w:t>
      </w:r>
      <w:r w:rsidR="00362AF4">
        <w:rPr>
          <w:rFonts w:ascii="Times New Roman" w:hAnsi="Times New Roman" w:cs="Times New Roman"/>
          <w:sz w:val="24"/>
          <w:szCs w:val="24"/>
        </w:rPr>
        <w:t xml:space="preserve"> its debt, the bank wi</w:t>
      </w:r>
      <w:r w:rsidR="00603130">
        <w:rPr>
          <w:rFonts w:ascii="Times New Roman" w:hAnsi="Times New Roman" w:cs="Times New Roman"/>
          <w:sz w:val="24"/>
          <w:szCs w:val="24"/>
        </w:rPr>
        <w:t>ll perform</w:t>
      </w:r>
      <w:r w:rsidR="00362AF4">
        <w:rPr>
          <w:rFonts w:ascii="Times New Roman" w:hAnsi="Times New Roman" w:cs="Times New Roman"/>
          <w:sz w:val="24"/>
          <w:szCs w:val="24"/>
        </w:rPr>
        <w:t xml:space="preserve"> as guarantor and cover it.</w:t>
      </w:r>
      <w:r w:rsidRPr="00294A3C">
        <w:rPr>
          <w:rFonts w:ascii="Times New Roman" w:hAnsi="Times New Roman" w:cs="Times New Roman"/>
          <w:sz w:val="24"/>
          <w:szCs w:val="24"/>
        </w:rPr>
        <w:t xml:space="preserve"> While</w:t>
      </w:r>
      <w:r w:rsidR="0050241B" w:rsidRPr="00294A3C">
        <w:rPr>
          <w:rFonts w:ascii="Times New Roman" w:hAnsi="Times New Roman" w:cs="Times New Roman"/>
          <w:sz w:val="24"/>
          <w:szCs w:val="24"/>
        </w:rPr>
        <w:t xml:space="preserve"> a banker’s acceptance is an obligation by a bank to pay the par value of </w:t>
      </w:r>
      <w:r w:rsidR="0050241B" w:rsidRPr="00294A3C">
        <w:rPr>
          <w:rFonts w:ascii="Times New Roman" w:hAnsi="Times New Roman" w:cs="Times New Roman"/>
          <w:sz w:val="24"/>
          <w:szCs w:val="24"/>
        </w:rPr>
        <w:lastRenderedPageBreak/>
        <w:t>a bill of exchan</w:t>
      </w:r>
      <w:r w:rsidR="00ED41F7" w:rsidRPr="00294A3C">
        <w:rPr>
          <w:rFonts w:ascii="Times New Roman" w:hAnsi="Times New Roman" w:cs="Times New Roman"/>
          <w:sz w:val="24"/>
          <w:szCs w:val="24"/>
        </w:rPr>
        <w:t>ge at maturity (Basel, 1986</w:t>
      </w:r>
      <w:r w:rsidR="00953595" w:rsidRPr="00294A3C">
        <w:rPr>
          <w:rFonts w:ascii="Times New Roman" w:hAnsi="Times New Roman" w:cs="Times New Roman"/>
          <w:sz w:val="24"/>
          <w:szCs w:val="24"/>
        </w:rPr>
        <w:t xml:space="preserve">). </w:t>
      </w:r>
      <w:r w:rsidR="002A584A" w:rsidRPr="00294A3C">
        <w:rPr>
          <w:rFonts w:ascii="Times New Roman" w:hAnsi="Times New Roman" w:cs="Times New Roman"/>
          <w:sz w:val="24"/>
          <w:szCs w:val="24"/>
        </w:rPr>
        <w:t>Guarantees and Acceptances</w:t>
      </w:r>
      <w:r w:rsidR="002A584A">
        <w:rPr>
          <w:rFonts w:ascii="Times New Roman" w:hAnsi="Times New Roman" w:cs="Times New Roman"/>
          <w:sz w:val="24"/>
          <w:szCs w:val="24"/>
          <w:lang w:bidi="ar-JO"/>
        </w:rPr>
        <w:t xml:space="preserve"> are regarded </w:t>
      </w:r>
      <w:r w:rsidR="00090BAC">
        <w:rPr>
          <w:rFonts w:ascii="Times New Roman" w:hAnsi="Times New Roman" w:cs="Times New Roman"/>
          <w:sz w:val="24"/>
          <w:szCs w:val="24"/>
          <w:lang w:bidi="ar-JO"/>
        </w:rPr>
        <w:t>as direct</w:t>
      </w:r>
      <w:r w:rsidR="002A584A">
        <w:rPr>
          <w:rFonts w:ascii="Times New Roman" w:hAnsi="Times New Roman" w:cs="Times New Roman"/>
          <w:sz w:val="24"/>
          <w:szCs w:val="24"/>
          <w:lang w:bidi="ar-JO"/>
        </w:rPr>
        <w:t xml:space="preserve"> credit replacement, and the credit risk resulted is equal to that risk of a loan, since the bank obligated himself fo</w:t>
      </w:r>
      <w:r w:rsidR="002201A5">
        <w:rPr>
          <w:rFonts w:ascii="Times New Roman" w:hAnsi="Times New Roman" w:cs="Times New Roman"/>
          <w:sz w:val="24"/>
          <w:szCs w:val="24"/>
          <w:lang w:bidi="ar-JO"/>
        </w:rPr>
        <w:t xml:space="preserve">r standing behind a third party </w:t>
      </w:r>
      <w:r w:rsidR="00090BAC">
        <w:rPr>
          <w:rFonts w:ascii="Times New Roman" w:hAnsi="Times New Roman" w:cs="Times New Roman"/>
          <w:sz w:val="24"/>
          <w:szCs w:val="24"/>
        </w:rPr>
        <w:t xml:space="preserve">(Basel, </w:t>
      </w:r>
      <w:r w:rsidR="00ED41F7" w:rsidRPr="00294A3C">
        <w:rPr>
          <w:rFonts w:ascii="Times New Roman" w:hAnsi="Times New Roman" w:cs="Times New Roman"/>
          <w:sz w:val="24"/>
          <w:szCs w:val="24"/>
        </w:rPr>
        <w:t>1986</w:t>
      </w:r>
      <w:r w:rsidR="00953595" w:rsidRPr="00294A3C">
        <w:rPr>
          <w:rFonts w:ascii="Times New Roman" w:hAnsi="Times New Roman" w:cs="Times New Roman"/>
          <w:sz w:val="24"/>
          <w:szCs w:val="24"/>
        </w:rPr>
        <w:t>). Upon that, it is clear that there is a full risk exposure in these off balance sheet activities.</w:t>
      </w:r>
    </w:p>
    <w:p w:rsidR="00294A3C" w:rsidRPr="00294A3C" w:rsidRDefault="00944790" w:rsidP="00294A3C">
      <w:pPr>
        <w:spacing w:line="360" w:lineRule="auto"/>
        <w:contextualSpacing/>
        <w:jc w:val="both"/>
        <w:rPr>
          <w:rFonts w:ascii="Times New Roman" w:hAnsi="Times New Roman" w:cs="Times New Roman"/>
          <w:b/>
          <w:bCs/>
          <w:sz w:val="24"/>
          <w:szCs w:val="24"/>
        </w:rPr>
      </w:pPr>
      <w:r w:rsidRPr="00294A3C">
        <w:rPr>
          <w:rFonts w:ascii="Times New Roman" w:hAnsi="Times New Roman" w:cs="Times New Roman"/>
          <w:b/>
          <w:bCs/>
          <w:sz w:val="24"/>
          <w:szCs w:val="24"/>
        </w:rPr>
        <w:t>3) Loan</w:t>
      </w:r>
      <w:r w:rsidR="00DE36B6" w:rsidRPr="00294A3C">
        <w:rPr>
          <w:rFonts w:ascii="Times New Roman" w:hAnsi="Times New Roman" w:cs="Times New Roman"/>
          <w:b/>
          <w:bCs/>
          <w:sz w:val="24"/>
          <w:szCs w:val="24"/>
        </w:rPr>
        <w:t xml:space="preserve"> Commitments</w:t>
      </w:r>
    </w:p>
    <w:p w:rsidR="001A617E" w:rsidRPr="00EC6649" w:rsidRDefault="00565BE5" w:rsidP="00294A3C">
      <w:pPr>
        <w:spacing w:line="360" w:lineRule="auto"/>
        <w:contextualSpacing/>
        <w:jc w:val="both"/>
        <w:rPr>
          <w:rFonts w:ascii="Times New Roman" w:hAnsi="Times New Roman" w:cs="Times New Roman"/>
          <w:sz w:val="24"/>
          <w:szCs w:val="24"/>
        </w:rPr>
      </w:pPr>
      <w:r w:rsidRPr="00294A3C">
        <w:rPr>
          <w:rFonts w:ascii="Times New Roman" w:hAnsi="Times New Roman" w:cs="Times New Roman"/>
          <w:sz w:val="24"/>
          <w:szCs w:val="24"/>
        </w:rPr>
        <w:t>A loan commitment agreement is a contractual commitment by a bank to loan to a customer a certain maximum amount at given interest rate terms. The commitment contracts also define the period over which the customer will be abl</w:t>
      </w:r>
      <w:r w:rsidR="003A099A" w:rsidRPr="00294A3C">
        <w:rPr>
          <w:rFonts w:ascii="Times New Roman" w:hAnsi="Times New Roman" w:cs="Times New Roman"/>
          <w:sz w:val="24"/>
          <w:szCs w:val="24"/>
        </w:rPr>
        <w:t xml:space="preserve">e to utilize his contracted loan. </w:t>
      </w:r>
      <w:r w:rsidR="006A1E51" w:rsidRPr="00294A3C">
        <w:rPr>
          <w:rFonts w:ascii="Times New Roman" w:hAnsi="Times New Roman" w:cs="Times New Roman"/>
          <w:sz w:val="24"/>
          <w:szCs w:val="24"/>
        </w:rPr>
        <w:t xml:space="preserve">Despite </w:t>
      </w:r>
      <w:r w:rsidR="003A099A" w:rsidRPr="00294A3C">
        <w:rPr>
          <w:rFonts w:ascii="Times New Roman" w:hAnsi="Times New Roman" w:cs="Times New Roman"/>
          <w:sz w:val="24"/>
          <w:szCs w:val="24"/>
        </w:rPr>
        <w:t>T</w:t>
      </w:r>
      <w:r w:rsidRPr="00294A3C">
        <w:rPr>
          <w:rFonts w:ascii="Times New Roman" w:hAnsi="Times New Roman" w:cs="Times New Roman"/>
          <w:sz w:val="24"/>
          <w:szCs w:val="24"/>
        </w:rPr>
        <w:t>he</w:t>
      </w:r>
      <w:r w:rsidR="00C85D5F" w:rsidRPr="00294A3C">
        <w:rPr>
          <w:rFonts w:ascii="Times New Roman" w:hAnsi="Times New Roman" w:cs="Times New Roman"/>
          <w:sz w:val="24"/>
          <w:szCs w:val="24"/>
        </w:rPr>
        <w:t xml:space="preserve"> bank</w:t>
      </w:r>
      <w:r w:rsidR="003A099A" w:rsidRPr="00294A3C">
        <w:rPr>
          <w:rFonts w:ascii="Times New Roman" w:hAnsi="Times New Roman" w:cs="Times New Roman"/>
          <w:sz w:val="24"/>
          <w:szCs w:val="24"/>
        </w:rPr>
        <w:t xml:space="preserve"> will </w:t>
      </w:r>
      <w:r w:rsidR="00C85D5F" w:rsidRPr="00294A3C">
        <w:rPr>
          <w:rFonts w:ascii="Times New Roman" w:hAnsi="Times New Roman" w:cs="Times New Roman"/>
          <w:sz w:val="24"/>
          <w:szCs w:val="24"/>
        </w:rPr>
        <w:t>generate fee income for making these commitments to the borrowers, but it will also exposed</w:t>
      </w:r>
      <w:r w:rsidR="00BF35D6">
        <w:rPr>
          <w:rFonts w:ascii="Times New Roman" w:hAnsi="Times New Roman" w:cs="Times New Roman"/>
          <w:sz w:val="24"/>
          <w:szCs w:val="24"/>
        </w:rPr>
        <w:t xml:space="preserve"> them</w:t>
      </w:r>
      <w:r w:rsidR="00C85D5F" w:rsidRPr="00294A3C">
        <w:rPr>
          <w:rFonts w:ascii="Times New Roman" w:hAnsi="Times New Roman" w:cs="Times New Roman"/>
          <w:sz w:val="24"/>
          <w:szCs w:val="24"/>
        </w:rPr>
        <w:t xml:space="preserve"> to contingent credit risk by setting</w:t>
      </w:r>
      <w:r w:rsidR="003D4CD8">
        <w:rPr>
          <w:rFonts w:ascii="Times New Roman" w:hAnsi="Times New Roman" w:cs="Times New Roman"/>
          <w:sz w:val="24"/>
          <w:szCs w:val="24"/>
        </w:rPr>
        <w:t xml:space="preserve"> predetermined </w:t>
      </w:r>
      <w:r w:rsidR="00C85D5F" w:rsidRPr="00294A3C">
        <w:rPr>
          <w:rFonts w:ascii="Times New Roman" w:hAnsi="Times New Roman" w:cs="Times New Roman"/>
          <w:sz w:val="24"/>
          <w:szCs w:val="24"/>
        </w:rPr>
        <w:t>interest rate on a loan commitment</w:t>
      </w:r>
      <w:r w:rsidR="00ED41F7" w:rsidRPr="00294A3C">
        <w:rPr>
          <w:rFonts w:ascii="Times New Roman" w:hAnsi="Times New Roman" w:cs="Times New Roman"/>
          <w:sz w:val="24"/>
          <w:szCs w:val="24"/>
        </w:rPr>
        <w:t xml:space="preserve"> (Basel, 1986</w:t>
      </w:r>
      <w:r w:rsidR="00692E39" w:rsidRPr="00294A3C">
        <w:rPr>
          <w:rFonts w:ascii="Times New Roman" w:hAnsi="Times New Roman" w:cs="Times New Roman"/>
          <w:sz w:val="24"/>
          <w:szCs w:val="24"/>
        </w:rPr>
        <w:t>).</w:t>
      </w:r>
      <w:r w:rsidR="00D62ED6" w:rsidRPr="00294A3C">
        <w:rPr>
          <w:rFonts w:ascii="Times New Roman" w:hAnsi="Times New Roman" w:cs="Times New Roman"/>
          <w:sz w:val="24"/>
          <w:szCs w:val="24"/>
        </w:rPr>
        <w:t xml:space="preserve">Risk is entailed because the bank is locked into lending to a borrower who might suffer a decline in creditworthiness that would otherwise dictate either a higher </w:t>
      </w:r>
      <w:r w:rsidR="006A1E51" w:rsidRPr="00294A3C">
        <w:rPr>
          <w:rFonts w:ascii="Times New Roman" w:hAnsi="Times New Roman" w:cs="Times New Roman"/>
          <w:sz w:val="24"/>
          <w:szCs w:val="24"/>
        </w:rPr>
        <w:t xml:space="preserve">interest rate or no loan at </w:t>
      </w:r>
      <w:r w:rsidR="008210E1" w:rsidRPr="00294A3C">
        <w:rPr>
          <w:rFonts w:ascii="Times New Roman" w:hAnsi="Times New Roman" w:cs="Times New Roman"/>
          <w:sz w:val="24"/>
          <w:szCs w:val="24"/>
        </w:rPr>
        <w:t>all (</w:t>
      </w:r>
      <w:r w:rsidR="006A1E51" w:rsidRPr="00294A3C">
        <w:rPr>
          <w:rFonts w:ascii="Times New Roman" w:hAnsi="Times New Roman" w:cs="Times New Roman"/>
          <w:sz w:val="24"/>
          <w:szCs w:val="24"/>
        </w:rPr>
        <w:t>Saunders and Cornett, 2006).</w:t>
      </w:r>
    </w:p>
    <w:p w:rsidR="00294A3C" w:rsidRPr="00294A3C" w:rsidRDefault="00944790" w:rsidP="00294A3C">
      <w:pPr>
        <w:spacing w:line="360" w:lineRule="auto"/>
        <w:contextualSpacing/>
        <w:jc w:val="both"/>
        <w:rPr>
          <w:rFonts w:ascii="Times New Roman" w:hAnsi="Times New Roman" w:cs="Times New Roman"/>
          <w:b/>
          <w:sz w:val="24"/>
          <w:szCs w:val="24"/>
        </w:rPr>
      </w:pPr>
      <w:r w:rsidRPr="00294A3C">
        <w:rPr>
          <w:rFonts w:ascii="Times New Roman" w:hAnsi="Times New Roman" w:cs="Times New Roman"/>
          <w:b/>
          <w:sz w:val="24"/>
          <w:szCs w:val="24"/>
        </w:rPr>
        <w:t>4) Interbank</w:t>
      </w:r>
      <w:r w:rsidR="006A1E51" w:rsidRPr="00294A3C">
        <w:rPr>
          <w:rFonts w:ascii="Times New Roman" w:hAnsi="Times New Roman" w:cs="Times New Roman"/>
          <w:b/>
          <w:sz w:val="24"/>
          <w:szCs w:val="24"/>
        </w:rPr>
        <w:t xml:space="preserve"> Transactions</w:t>
      </w:r>
    </w:p>
    <w:p w:rsidR="002F0F14" w:rsidRPr="00BF35D6" w:rsidRDefault="00984601" w:rsidP="00BF35D6">
      <w:pPr>
        <w:spacing w:line="360" w:lineRule="auto"/>
        <w:jc w:val="both"/>
        <w:rPr>
          <w:rFonts w:ascii="Times New Roman" w:hAnsi="Times New Roman" w:cs="Times New Roman"/>
          <w:sz w:val="24"/>
          <w:szCs w:val="24"/>
        </w:rPr>
      </w:pPr>
      <w:r w:rsidRPr="00006364">
        <w:rPr>
          <w:rFonts w:ascii="Times New Roman" w:hAnsi="Times New Roman" w:cs="Times New Roman"/>
          <w:sz w:val="24"/>
          <w:szCs w:val="24"/>
        </w:rPr>
        <w:t>Banks usually transfer the wholesale volume of money payments through transfer systems. The funds message sent on the CHIPS network within the day are temporary, and then settled at the end of the day. Therefore, when prime fraud is occurred and has been found out in the bank’s book during the day, which may result in instant shutting down, in which the committed payment will not be received by the counterpart bank and may not be able meet the payment commitments to other ba</w:t>
      </w:r>
      <w:r w:rsidR="00BF35D6">
        <w:rPr>
          <w:rFonts w:ascii="Times New Roman" w:hAnsi="Times New Roman" w:cs="Times New Roman"/>
          <w:sz w:val="24"/>
          <w:szCs w:val="24"/>
        </w:rPr>
        <w:t>nks, leaving a serious trouble.</w:t>
      </w:r>
    </w:p>
    <w:p w:rsidR="00F97CAD" w:rsidRDefault="00F97CAD"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C15227" w:rsidRDefault="00C15227" w:rsidP="00EC6649">
      <w:pPr>
        <w:autoSpaceDE w:val="0"/>
        <w:autoSpaceDN w:val="0"/>
        <w:adjustRightInd w:val="0"/>
        <w:spacing w:after="0" w:line="360" w:lineRule="auto"/>
        <w:jc w:val="center"/>
        <w:rPr>
          <w:rFonts w:asciiTheme="majorBidi" w:hAnsiTheme="majorBidi" w:cstheme="majorBidi"/>
          <w:b/>
          <w:bCs/>
          <w:color w:val="000000"/>
          <w:sz w:val="24"/>
          <w:szCs w:val="24"/>
        </w:rPr>
      </w:pPr>
    </w:p>
    <w:p w:rsidR="00547E81" w:rsidRPr="0063349F" w:rsidRDefault="00766771" w:rsidP="00EC6649">
      <w:pPr>
        <w:autoSpaceDE w:val="0"/>
        <w:autoSpaceDN w:val="0"/>
        <w:adjustRightInd w:val="0"/>
        <w:spacing w:after="0" w:line="360" w:lineRule="auto"/>
        <w:jc w:val="center"/>
        <w:rPr>
          <w:rFonts w:asciiTheme="majorBidi" w:hAnsiTheme="majorBidi" w:cstheme="majorBidi"/>
          <w:b/>
          <w:bCs/>
          <w:color w:val="000000"/>
          <w:sz w:val="24"/>
          <w:szCs w:val="24"/>
        </w:rPr>
      </w:pPr>
      <w:r w:rsidRPr="0063349F">
        <w:rPr>
          <w:rFonts w:asciiTheme="majorBidi" w:hAnsiTheme="majorBidi" w:cstheme="majorBidi"/>
          <w:b/>
          <w:bCs/>
          <w:color w:val="000000"/>
          <w:sz w:val="24"/>
          <w:szCs w:val="24"/>
        </w:rPr>
        <w:lastRenderedPageBreak/>
        <w:t>SECTION FOUR</w:t>
      </w:r>
    </w:p>
    <w:p w:rsidR="004E0EF3" w:rsidRDefault="00766771" w:rsidP="004E0EF3">
      <w:pPr>
        <w:pStyle w:val="ListParagraph"/>
        <w:autoSpaceDE w:val="0"/>
        <w:autoSpaceDN w:val="0"/>
        <w:adjustRightInd w:val="0"/>
        <w:spacing w:after="0" w:line="360" w:lineRule="auto"/>
        <w:jc w:val="center"/>
        <w:rPr>
          <w:rFonts w:asciiTheme="majorBidi" w:hAnsiTheme="majorBidi" w:cstheme="majorBidi"/>
          <w:b/>
          <w:bCs/>
          <w:sz w:val="24"/>
          <w:szCs w:val="24"/>
        </w:rPr>
      </w:pPr>
      <w:r w:rsidRPr="0063349F">
        <w:rPr>
          <w:rFonts w:asciiTheme="majorBidi" w:hAnsiTheme="majorBidi" w:cstheme="majorBidi"/>
          <w:b/>
          <w:bCs/>
          <w:sz w:val="24"/>
          <w:szCs w:val="24"/>
        </w:rPr>
        <w:t>GENERAL</w:t>
      </w:r>
      <w:r w:rsidR="00D63310">
        <w:rPr>
          <w:rFonts w:asciiTheme="majorBidi" w:hAnsiTheme="majorBidi" w:cstheme="majorBidi"/>
          <w:b/>
          <w:bCs/>
          <w:sz w:val="24"/>
          <w:szCs w:val="24"/>
        </w:rPr>
        <w:t xml:space="preserve"> </w:t>
      </w:r>
      <w:r w:rsidRPr="0063349F">
        <w:rPr>
          <w:rFonts w:asciiTheme="majorBidi" w:hAnsiTheme="majorBidi" w:cstheme="majorBidi"/>
          <w:b/>
          <w:bCs/>
          <w:sz w:val="24"/>
          <w:szCs w:val="24"/>
        </w:rPr>
        <w:t>PRINCIPLES OF SOUND CREDIT RISK</w:t>
      </w:r>
      <w:r w:rsidR="002F6A1D" w:rsidRPr="0063349F">
        <w:rPr>
          <w:rFonts w:asciiTheme="majorBidi" w:hAnsiTheme="majorBidi" w:cstheme="majorBidi"/>
          <w:b/>
          <w:bCs/>
          <w:sz w:val="24"/>
          <w:szCs w:val="24"/>
        </w:rPr>
        <w:t xml:space="preserve"> M</w:t>
      </w:r>
      <w:r w:rsidRPr="0063349F">
        <w:rPr>
          <w:rFonts w:asciiTheme="majorBidi" w:hAnsiTheme="majorBidi" w:cstheme="majorBidi"/>
          <w:b/>
          <w:bCs/>
          <w:sz w:val="24"/>
          <w:szCs w:val="24"/>
        </w:rPr>
        <w:t>ANAGEMENT</w:t>
      </w:r>
    </w:p>
    <w:p w:rsidR="002220E3" w:rsidRDefault="002220E3" w:rsidP="004E0EF3">
      <w:pPr>
        <w:autoSpaceDE w:val="0"/>
        <w:autoSpaceDN w:val="0"/>
        <w:adjustRightInd w:val="0"/>
        <w:spacing w:after="0" w:line="360" w:lineRule="auto"/>
        <w:rPr>
          <w:rFonts w:asciiTheme="majorBidi" w:hAnsiTheme="majorBidi" w:cstheme="majorBidi"/>
          <w:b/>
          <w:bCs/>
          <w:sz w:val="24"/>
          <w:szCs w:val="24"/>
        </w:rPr>
      </w:pPr>
    </w:p>
    <w:p w:rsidR="002220E3" w:rsidRDefault="002220E3" w:rsidP="004E0EF3">
      <w:pPr>
        <w:autoSpaceDE w:val="0"/>
        <w:autoSpaceDN w:val="0"/>
        <w:adjustRightInd w:val="0"/>
        <w:spacing w:after="0" w:line="360" w:lineRule="auto"/>
        <w:rPr>
          <w:rFonts w:asciiTheme="majorBidi" w:hAnsiTheme="majorBidi" w:cstheme="majorBidi"/>
          <w:b/>
          <w:bCs/>
          <w:sz w:val="24"/>
          <w:szCs w:val="24"/>
        </w:rPr>
      </w:pPr>
    </w:p>
    <w:p w:rsidR="002220E3" w:rsidRDefault="002220E3" w:rsidP="004E0EF3">
      <w:pPr>
        <w:autoSpaceDE w:val="0"/>
        <w:autoSpaceDN w:val="0"/>
        <w:adjustRightInd w:val="0"/>
        <w:spacing w:after="0" w:line="360" w:lineRule="auto"/>
        <w:rPr>
          <w:rFonts w:asciiTheme="majorBidi" w:hAnsiTheme="majorBidi" w:cstheme="majorBidi"/>
          <w:b/>
          <w:bCs/>
          <w:sz w:val="24"/>
          <w:szCs w:val="24"/>
        </w:rPr>
      </w:pPr>
    </w:p>
    <w:p w:rsidR="00467EA9" w:rsidRDefault="00C03EE9" w:rsidP="004E0EF3">
      <w:pPr>
        <w:autoSpaceDE w:val="0"/>
        <w:autoSpaceDN w:val="0"/>
        <w:adjustRightInd w:val="0"/>
        <w:spacing w:after="0" w:line="360" w:lineRule="auto"/>
        <w:rPr>
          <w:rFonts w:ascii="Times New Roman" w:hAnsi="Times New Roman" w:cs="Times New Roman"/>
          <w:b/>
          <w:bCs/>
          <w:sz w:val="24"/>
          <w:szCs w:val="24"/>
        </w:rPr>
      </w:pPr>
      <w:r w:rsidRPr="004E0EF3">
        <w:rPr>
          <w:rFonts w:ascii="Times New Roman" w:hAnsi="Times New Roman" w:cs="Times New Roman"/>
          <w:b/>
          <w:bCs/>
          <w:sz w:val="24"/>
          <w:szCs w:val="24"/>
        </w:rPr>
        <w:t>2.4</w:t>
      </w:r>
      <w:r w:rsidR="00D113AB" w:rsidRPr="004E0EF3">
        <w:rPr>
          <w:rFonts w:ascii="Times New Roman" w:hAnsi="Times New Roman" w:cs="Times New Roman"/>
          <w:b/>
          <w:bCs/>
          <w:sz w:val="24"/>
          <w:szCs w:val="24"/>
        </w:rPr>
        <w:t xml:space="preserve"> </w:t>
      </w:r>
      <w:r w:rsidR="0066369F" w:rsidRPr="004E0EF3">
        <w:rPr>
          <w:rFonts w:ascii="Times New Roman" w:hAnsi="Times New Roman" w:cs="Times New Roman"/>
          <w:b/>
          <w:bCs/>
          <w:sz w:val="24"/>
          <w:szCs w:val="24"/>
        </w:rPr>
        <w:t>General</w:t>
      </w:r>
      <w:r w:rsidR="00467EA9" w:rsidRPr="004E0EF3">
        <w:rPr>
          <w:rFonts w:ascii="Times New Roman" w:hAnsi="Times New Roman" w:cs="Times New Roman"/>
          <w:b/>
          <w:bCs/>
          <w:sz w:val="24"/>
          <w:szCs w:val="24"/>
        </w:rPr>
        <w:t xml:space="preserve"> Principles of Sound Credit Risk Management</w:t>
      </w:r>
    </w:p>
    <w:p w:rsidR="003B4DA4" w:rsidRPr="004E0EF3" w:rsidRDefault="003B4DA4" w:rsidP="004E0EF3">
      <w:pPr>
        <w:autoSpaceDE w:val="0"/>
        <w:autoSpaceDN w:val="0"/>
        <w:adjustRightInd w:val="0"/>
        <w:spacing w:after="0" w:line="360" w:lineRule="auto"/>
        <w:rPr>
          <w:rFonts w:asciiTheme="majorBidi" w:hAnsiTheme="majorBidi" w:cstheme="majorBidi"/>
          <w:b/>
          <w:bCs/>
          <w:color w:val="000000"/>
          <w:sz w:val="24"/>
          <w:szCs w:val="24"/>
        </w:rPr>
      </w:pPr>
    </w:p>
    <w:p w:rsidR="00C703AE" w:rsidRPr="0023054A" w:rsidRDefault="008B0B82" w:rsidP="008B0B82">
      <w:pPr>
        <w:autoSpaceDE w:val="0"/>
        <w:autoSpaceDN w:val="0"/>
        <w:adjustRightInd w:val="0"/>
        <w:spacing w:after="0" w:line="360" w:lineRule="auto"/>
        <w:rPr>
          <w:rFonts w:ascii="Times New Roman" w:hAnsi="Times New Roman" w:cs="Times New Roman"/>
          <w:bCs/>
          <w:color w:val="000000"/>
          <w:sz w:val="24"/>
          <w:szCs w:val="24"/>
        </w:rPr>
      </w:pPr>
      <w:r w:rsidRPr="0023054A">
        <w:rPr>
          <w:rFonts w:ascii="Times New Roman" w:hAnsi="Times New Roman" w:cs="Times New Roman"/>
          <w:b/>
          <w:bCs/>
          <w:color w:val="000000"/>
          <w:sz w:val="24"/>
          <w:szCs w:val="24"/>
        </w:rPr>
        <w:t>2.4.1</w:t>
      </w:r>
      <w:r w:rsidR="00467EA9" w:rsidRPr="0023054A">
        <w:rPr>
          <w:rFonts w:ascii="Times New Roman" w:hAnsi="Times New Roman" w:cs="Times New Roman"/>
          <w:b/>
          <w:bCs/>
          <w:color w:val="000000"/>
          <w:sz w:val="24"/>
          <w:szCs w:val="24"/>
        </w:rPr>
        <w:t>Introduction</w:t>
      </w:r>
    </w:p>
    <w:p w:rsidR="003B4DA4" w:rsidRPr="008E38BB" w:rsidRDefault="008E38BB" w:rsidP="008E38BB">
      <w:pPr>
        <w:spacing w:line="360" w:lineRule="auto"/>
        <w:jc w:val="both"/>
        <w:rPr>
          <w:rFonts w:asciiTheme="majorBidi" w:hAnsiTheme="majorBidi" w:cstheme="majorBidi"/>
          <w:color w:val="000000" w:themeColor="text1"/>
          <w:sz w:val="24"/>
          <w:szCs w:val="24"/>
        </w:rPr>
      </w:pPr>
      <w:r w:rsidRPr="00022FDD">
        <w:rPr>
          <w:rFonts w:asciiTheme="majorBidi" w:hAnsiTheme="majorBidi" w:cstheme="majorBidi"/>
          <w:color w:val="000000" w:themeColor="text1"/>
          <w:sz w:val="24"/>
          <w:szCs w:val="24"/>
        </w:rPr>
        <w:t xml:space="preserve">Credit risk continues to remain the major </w:t>
      </w:r>
      <w:r>
        <w:rPr>
          <w:rFonts w:asciiTheme="majorBidi" w:hAnsiTheme="majorBidi" w:cstheme="majorBidi"/>
          <w:color w:val="000000" w:themeColor="text1"/>
          <w:sz w:val="24"/>
          <w:szCs w:val="24"/>
        </w:rPr>
        <w:t xml:space="preserve">threats </w:t>
      </w:r>
      <w:r w:rsidRPr="00022FDD">
        <w:rPr>
          <w:rFonts w:asciiTheme="majorBidi" w:hAnsiTheme="majorBidi" w:cstheme="majorBidi"/>
          <w:color w:val="000000" w:themeColor="text1"/>
          <w:sz w:val="24"/>
          <w:szCs w:val="24"/>
        </w:rPr>
        <w:t>to any bank's performance and the</w:t>
      </w:r>
      <w:r>
        <w:rPr>
          <w:rFonts w:asciiTheme="majorBidi" w:hAnsiTheme="majorBidi" w:cstheme="majorBidi"/>
          <w:color w:val="000000" w:themeColor="text1"/>
          <w:sz w:val="24"/>
          <w:szCs w:val="24"/>
        </w:rPr>
        <w:t xml:space="preserve"> largest</w:t>
      </w:r>
      <w:r w:rsidRPr="00022FDD">
        <w:rPr>
          <w:rFonts w:asciiTheme="majorBidi" w:hAnsiTheme="majorBidi" w:cstheme="majorBidi"/>
          <w:color w:val="000000" w:themeColor="text1"/>
          <w:sz w:val="24"/>
          <w:szCs w:val="24"/>
        </w:rPr>
        <w:t xml:space="preserve"> leading source of bank's failure </w:t>
      </w:r>
      <w:r w:rsidR="00C703AE" w:rsidRPr="008B0B82">
        <w:rPr>
          <w:rFonts w:ascii="Times New Roman" w:hAnsi="Times New Roman" w:cs="Times New Roman"/>
          <w:sz w:val="24"/>
          <w:szCs w:val="24"/>
        </w:rPr>
        <w:t>(Gr</w:t>
      </w:r>
      <w:r w:rsidR="00671B07">
        <w:rPr>
          <w:rFonts w:ascii="Times New Roman" w:hAnsi="Times New Roman" w:cs="Times New Roman"/>
          <w:sz w:val="24"/>
          <w:szCs w:val="24"/>
        </w:rPr>
        <w:t xml:space="preserve">euning and </w:t>
      </w:r>
      <w:r w:rsidR="00ED41F7">
        <w:rPr>
          <w:rFonts w:ascii="Times New Roman" w:hAnsi="Times New Roman" w:cs="Times New Roman"/>
          <w:sz w:val="24"/>
          <w:szCs w:val="24"/>
        </w:rPr>
        <w:t>Bratanovic</w:t>
      </w:r>
      <w:r w:rsidR="00671B07">
        <w:rPr>
          <w:rFonts w:ascii="Times New Roman" w:hAnsi="Times New Roman" w:cs="Times New Roman"/>
          <w:sz w:val="24"/>
          <w:szCs w:val="24"/>
        </w:rPr>
        <w:t>,</w:t>
      </w:r>
      <w:r w:rsidR="00ED41F7">
        <w:rPr>
          <w:rFonts w:ascii="Times New Roman" w:hAnsi="Times New Roman" w:cs="Times New Roman"/>
          <w:sz w:val="24"/>
          <w:szCs w:val="24"/>
        </w:rPr>
        <w:t xml:space="preserve"> 2009</w:t>
      </w:r>
      <w:r w:rsidR="00C703AE" w:rsidRPr="008B0B82">
        <w:rPr>
          <w:rFonts w:ascii="Times New Roman" w:hAnsi="Times New Roman" w:cs="Times New Roman"/>
          <w:sz w:val="24"/>
          <w:szCs w:val="24"/>
        </w:rPr>
        <w:t>). Therefore, a sound credit risk management framework is a vital and critical to a healthy and profitable banking institution.</w:t>
      </w:r>
      <w:r w:rsidR="00EC64C1" w:rsidRPr="008B0B82">
        <w:rPr>
          <w:rFonts w:ascii="Times New Roman" w:hAnsi="Times New Roman" w:cs="Times New Roman"/>
          <w:sz w:val="24"/>
          <w:szCs w:val="24"/>
        </w:rPr>
        <w:t xml:space="preserve"> Also, as it has been mentioned before</w:t>
      </w:r>
      <w:r w:rsidR="00794BC0" w:rsidRPr="008B0B82">
        <w:rPr>
          <w:rFonts w:ascii="Times New Roman" w:hAnsi="Times New Roman" w:cs="Times New Roman"/>
          <w:sz w:val="24"/>
          <w:szCs w:val="24"/>
        </w:rPr>
        <w:t>,</w:t>
      </w:r>
      <w:r w:rsidR="00EC64C1" w:rsidRPr="008B0B82">
        <w:rPr>
          <w:rFonts w:ascii="Times New Roman" w:hAnsi="Times New Roman" w:cs="Times New Roman"/>
          <w:sz w:val="24"/>
          <w:szCs w:val="24"/>
        </w:rPr>
        <w:t xml:space="preserve"> the consultat</w:t>
      </w:r>
      <w:r w:rsidR="00312484" w:rsidRPr="008B0B82">
        <w:rPr>
          <w:rFonts w:ascii="Times New Roman" w:hAnsi="Times New Roman" w:cs="Times New Roman"/>
          <w:sz w:val="24"/>
          <w:szCs w:val="24"/>
        </w:rPr>
        <w:t>ive paper issued by Basel (2000</w:t>
      </w:r>
      <w:r w:rsidR="00EC64C1" w:rsidRPr="008B0B82">
        <w:rPr>
          <w:rFonts w:ascii="Times New Roman" w:hAnsi="Times New Roman" w:cs="Times New Roman"/>
          <w:sz w:val="24"/>
          <w:szCs w:val="24"/>
        </w:rPr>
        <w:t xml:space="preserve">) </w:t>
      </w:r>
      <w:r w:rsidR="00573B40" w:rsidRPr="008B0B82">
        <w:rPr>
          <w:rFonts w:ascii="Times New Roman" w:hAnsi="Times New Roman" w:cs="Times New Roman"/>
          <w:sz w:val="24"/>
          <w:szCs w:val="24"/>
        </w:rPr>
        <w:t xml:space="preserve">(Principles for the Management of Credit Risk) </w:t>
      </w:r>
      <w:r w:rsidR="00597008" w:rsidRPr="008B0B82">
        <w:rPr>
          <w:rFonts w:ascii="Times New Roman" w:hAnsi="Times New Roman" w:cs="Times New Roman"/>
          <w:sz w:val="24"/>
          <w:szCs w:val="24"/>
        </w:rPr>
        <w:t>reported</w:t>
      </w:r>
      <w:r w:rsidR="00832453">
        <w:rPr>
          <w:rFonts w:ascii="Times New Roman" w:hAnsi="Times New Roman" w:cs="Times New Roman"/>
          <w:sz w:val="24"/>
          <w:szCs w:val="24"/>
        </w:rPr>
        <w:t xml:space="preserve"> </w:t>
      </w:r>
      <w:r w:rsidR="00B11F4D">
        <w:rPr>
          <w:rFonts w:ascii="Times New Roman" w:hAnsi="Times New Roman" w:cs="Times New Roman"/>
          <w:sz w:val="24"/>
          <w:szCs w:val="24"/>
        </w:rPr>
        <w:t xml:space="preserve">that, </w:t>
      </w:r>
      <w:r w:rsidR="00B11F4D" w:rsidRPr="008B0B82">
        <w:rPr>
          <w:rFonts w:ascii="Times New Roman" w:hAnsi="Times New Roman" w:cs="Times New Roman"/>
          <w:sz w:val="24"/>
          <w:szCs w:val="24"/>
        </w:rPr>
        <w:t>lax</w:t>
      </w:r>
      <w:r w:rsidR="00B11F4D">
        <w:rPr>
          <w:rFonts w:ascii="Times New Roman" w:hAnsi="Times New Roman" w:cs="Times New Roman"/>
          <w:sz w:val="24"/>
          <w:szCs w:val="24"/>
        </w:rPr>
        <w:t xml:space="preserve"> of</w:t>
      </w:r>
      <w:r w:rsidR="00B11F4D" w:rsidRPr="008B0B82">
        <w:rPr>
          <w:rFonts w:ascii="Times New Roman" w:hAnsi="Times New Roman" w:cs="Times New Roman"/>
          <w:sz w:val="24"/>
          <w:szCs w:val="24"/>
        </w:rPr>
        <w:t xml:space="preserve"> credit standards for borrowers and counterparties</w:t>
      </w:r>
      <w:r w:rsidR="00B11F4D">
        <w:rPr>
          <w:rFonts w:ascii="Times New Roman" w:hAnsi="Times New Roman" w:cs="Times New Roman"/>
          <w:sz w:val="24"/>
          <w:szCs w:val="24"/>
        </w:rPr>
        <w:t xml:space="preserve"> </w:t>
      </w:r>
      <w:r w:rsidR="00B11F4D" w:rsidRPr="008B0B82">
        <w:rPr>
          <w:rFonts w:ascii="Times New Roman" w:hAnsi="Times New Roman" w:cs="Times New Roman"/>
          <w:sz w:val="24"/>
          <w:szCs w:val="24"/>
        </w:rPr>
        <w:t>continues</w:t>
      </w:r>
      <w:r w:rsidR="00B11F4D">
        <w:rPr>
          <w:rFonts w:ascii="Times New Roman" w:hAnsi="Times New Roman" w:cs="Times New Roman"/>
          <w:sz w:val="24"/>
          <w:szCs w:val="24"/>
        </w:rPr>
        <w:t xml:space="preserve"> and remain</w:t>
      </w:r>
      <w:r w:rsidR="00B11F4D" w:rsidRPr="008B0B82">
        <w:rPr>
          <w:rFonts w:ascii="Times New Roman" w:hAnsi="Times New Roman" w:cs="Times New Roman"/>
          <w:sz w:val="24"/>
          <w:szCs w:val="24"/>
        </w:rPr>
        <w:t xml:space="preserve"> to be</w:t>
      </w:r>
      <w:r w:rsidR="00B11F4D">
        <w:rPr>
          <w:rFonts w:ascii="Times New Roman" w:hAnsi="Times New Roman" w:cs="Times New Roman"/>
          <w:sz w:val="24"/>
          <w:szCs w:val="24"/>
        </w:rPr>
        <w:t xml:space="preserve"> the primary</w:t>
      </w:r>
      <w:r w:rsidR="00EC64C1" w:rsidRPr="008B0B82">
        <w:rPr>
          <w:rFonts w:ascii="Times New Roman" w:hAnsi="Times New Roman" w:cs="Times New Roman"/>
          <w:sz w:val="24"/>
          <w:szCs w:val="24"/>
        </w:rPr>
        <w:t xml:space="preserve"> </w:t>
      </w:r>
      <w:r w:rsidR="00B11F4D">
        <w:rPr>
          <w:rFonts w:ascii="Times New Roman" w:hAnsi="Times New Roman" w:cs="Times New Roman"/>
          <w:sz w:val="24"/>
          <w:szCs w:val="24"/>
        </w:rPr>
        <w:t>reason</w:t>
      </w:r>
      <w:r>
        <w:rPr>
          <w:rFonts w:ascii="Times New Roman" w:hAnsi="Times New Roman" w:cs="Times New Roman"/>
          <w:sz w:val="24"/>
          <w:szCs w:val="24"/>
        </w:rPr>
        <w:t xml:space="preserve"> for dangerous</w:t>
      </w:r>
      <w:r w:rsidR="00B11F4D">
        <w:rPr>
          <w:rFonts w:ascii="Times New Roman" w:hAnsi="Times New Roman" w:cs="Times New Roman"/>
          <w:sz w:val="24"/>
          <w:szCs w:val="24"/>
        </w:rPr>
        <w:t xml:space="preserve"> banking problems. </w:t>
      </w:r>
      <w:r w:rsidR="00794BC0" w:rsidRPr="008B0B82">
        <w:rPr>
          <w:rFonts w:ascii="Times New Roman" w:hAnsi="Times New Roman" w:cs="Times New Roman"/>
          <w:sz w:val="24"/>
          <w:szCs w:val="24"/>
        </w:rPr>
        <w:t>All such evidence demonstrate the extremely crucial role credit risk management</w:t>
      </w:r>
      <w:r w:rsidR="003C3A89">
        <w:rPr>
          <w:rFonts w:ascii="Times New Roman" w:hAnsi="Times New Roman" w:cs="Times New Roman"/>
          <w:sz w:val="24"/>
          <w:szCs w:val="24"/>
        </w:rPr>
        <w:t xml:space="preserve"> function </w:t>
      </w:r>
      <w:r w:rsidR="00794BC0" w:rsidRPr="008B0B82">
        <w:rPr>
          <w:rFonts w:ascii="Times New Roman" w:hAnsi="Times New Roman" w:cs="Times New Roman"/>
          <w:sz w:val="24"/>
          <w:szCs w:val="24"/>
        </w:rPr>
        <w:t xml:space="preserve"> plays in the whole banking risk management approaches and the sustainable success of the </w:t>
      </w:r>
      <w:r w:rsidR="00900F9D" w:rsidRPr="008B0B82">
        <w:rPr>
          <w:rFonts w:ascii="Times New Roman" w:hAnsi="Times New Roman" w:cs="Times New Roman"/>
          <w:sz w:val="24"/>
          <w:szCs w:val="24"/>
        </w:rPr>
        <w:t>financial institution.</w:t>
      </w:r>
      <w:r w:rsidR="00C614BF">
        <w:rPr>
          <w:rFonts w:ascii="Times New Roman" w:hAnsi="Times New Roman" w:cs="Times New Roman"/>
          <w:sz w:val="24"/>
          <w:szCs w:val="24"/>
        </w:rPr>
        <w:t xml:space="preserve"> </w:t>
      </w:r>
      <w:r w:rsidR="00F22DD0" w:rsidRPr="008B0B82">
        <w:rPr>
          <w:rFonts w:ascii="Times New Roman" w:hAnsi="Times New Roman" w:cs="Times New Roman"/>
          <w:sz w:val="24"/>
          <w:szCs w:val="24"/>
        </w:rPr>
        <w:t>So</w:t>
      </w:r>
      <w:r w:rsidR="00832453">
        <w:rPr>
          <w:rFonts w:ascii="Times New Roman" w:hAnsi="Times New Roman" w:cs="Times New Roman"/>
          <w:sz w:val="24"/>
          <w:szCs w:val="24"/>
        </w:rPr>
        <w:t xml:space="preserve"> </w:t>
      </w:r>
      <w:r w:rsidR="00F22DD0" w:rsidRPr="008B0B82">
        <w:rPr>
          <w:rFonts w:ascii="Times New Roman" w:hAnsi="Times New Roman" w:cs="Times New Roman"/>
          <w:sz w:val="24"/>
          <w:szCs w:val="24"/>
        </w:rPr>
        <w:t>t</w:t>
      </w:r>
      <w:r w:rsidR="001D6AF2" w:rsidRPr="008B0B82">
        <w:rPr>
          <w:rFonts w:ascii="Times New Roman" w:hAnsi="Times New Roman" w:cs="Times New Roman"/>
          <w:sz w:val="24"/>
          <w:szCs w:val="24"/>
        </w:rPr>
        <w:t>he development an</w:t>
      </w:r>
      <w:r w:rsidR="00900F9D" w:rsidRPr="008B0B82">
        <w:rPr>
          <w:rFonts w:ascii="Times New Roman" w:hAnsi="Times New Roman" w:cs="Times New Roman"/>
          <w:sz w:val="24"/>
          <w:szCs w:val="24"/>
        </w:rPr>
        <w:t xml:space="preserve">d establishment of </w:t>
      </w:r>
      <w:r w:rsidR="001D6AF2" w:rsidRPr="008B0B82">
        <w:rPr>
          <w:rFonts w:ascii="Times New Roman" w:hAnsi="Times New Roman" w:cs="Times New Roman"/>
          <w:sz w:val="24"/>
          <w:szCs w:val="24"/>
        </w:rPr>
        <w:t>credit risk management</w:t>
      </w:r>
      <w:r w:rsidR="00900F9D" w:rsidRPr="008B0B82">
        <w:rPr>
          <w:rFonts w:ascii="Times New Roman" w:hAnsi="Times New Roman" w:cs="Times New Roman"/>
          <w:sz w:val="24"/>
          <w:szCs w:val="24"/>
        </w:rPr>
        <w:t xml:space="preserve"> system</w:t>
      </w:r>
      <w:r w:rsidR="00F22DD0" w:rsidRPr="008B0B82">
        <w:rPr>
          <w:rFonts w:ascii="Times New Roman" w:hAnsi="Times New Roman" w:cs="Times New Roman"/>
          <w:sz w:val="24"/>
          <w:szCs w:val="24"/>
        </w:rPr>
        <w:t xml:space="preserve"> by the management of the </w:t>
      </w:r>
      <w:r w:rsidR="00F22DD0" w:rsidRPr="0023054A">
        <w:rPr>
          <w:rFonts w:ascii="Times New Roman" w:hAnsi="Times New Roman" w:cs="Times New Roman"/>
          <w:sz w:val="24"/>
          <w:szCs w:val="24"/>
        </w:rPr>
        <w:t>institution</w:t>
      </w:r>
      <w:r w:rsidR="001D6AF2" w:rsidRPr="0023054A">
        <w:rPr>
          <w:rFonts w:ascii="Times New Roman" w:hAnsi="Times New Roman" w:cs="Times New Roman"/>
          <w:sz w:val="24"/>
          <w:szCs w:val="24"/>
        </w:rPr>
        <w:t xml:space="preserve"> is </w:t>
      </w:r>
      <w:r w:rsidR="00900F9D" w:rsidRPr="0023054A">
        <w:rPr>
          <w:rFonts w:ascii="Times New Roman" w:hAnsi="Times New Roman" w:cs="Times New Roman"/>
          <w:sz w:val="24"/>
          <w:szCs w:val="24"/>
        </w:rPr>
        <w:t>very important to ensure sound</w:t>
      </w:r>
      <w:r w:rsidR="001D6AF2" w:rsidRPr="0023054A">
        <w:rPr>
          <w:rFonts w:ascii="Times New Roman" w:hAnsi="Times New Roman" w:cs="Times New Roman"/>
          <w:sz w:val="24"/>
          <w:szCs w:val="24"/>
        </w:rPr>
        <w:t xml:space="preserve"> and </w:t>
      </w:r>
      <w:r w:rsidR="00900F9D" w:rsidRPr="0023054A">
        <w:rPr>
          <w:rFonts w:ascii="Times New Roman" w:hAnsi="Times New Roman" w:cs="Times New Roman"/>
          <w:sz w:val="24"/>
          <w:szCs w:val="24"/>
        </w:rPr>
        <w:t xml:space="preserve">suitable </w:t>
      </w:r>
      <w:r w:rsidR="001D6AF2" w:rsidRPr="0023054A">
        <w:rPr>
          <w:rFonts w:ascii="Times New Roman" w:hAnsi="Times New Roman" w:cs="Times New Roman"/>
          <w:sz w:val="24"/>
          <w:szCs w:val="24"/>
        </w:rPr>
        <w:t>of a financial</w:t>
      </w:r>
      <w:r w:rsidR="00832453">
        <w:rPr>
          <w:rFonts w:ascii="Times New Roman" w:hAnsi="Times New Roman" w:cs="Times New Roman"/>
          <w:sz w:val="24"/>
          <w:szCs w:val="24"/>
        </w:rPr>
        <w:t xml:space="preserve"> </w:t>
      </w:r>
      <w:r w:rsidR="001D6AF2" w:rsidRPr="0023054A">
        <w:rPr>
          <w:rFonts w:ascii="Times New Roman" w:hAnsi="Times New Roman" w:cs="Times New Roman"/>
          <w:sz w:val="24"/>
          <w:szCs w:val="24"/>
        </w:rPr>
        <w:t xml:space="preserve">institution’s business. </w:t>
      </w:r>
    </w:p>
    <w:p w:rsidR="00974BD8" w:rsidRPr="0023054A" w:rsidRDefault="00974BD8" w:rsidP="008E38BB">
      <w:pPr>
        <w:autoSpaceDE w:val="0"/>
        <w:autoSpaceDN w:val="0"/>
        <w:adjustRightInd w:val="0"/>
        <w:spacing w:after="0" w:line="360" w:lineRule="auto"/>
        <w:jc w:val="both"/>
        <w:rPr>
          <w:rFonts w:ascii="Times New Roman" w:hAnsi="Times New Roman" w:cs="Times New Roman"/>
          <w:sz w:val="24"/>
          <w:szCs w:val="24"/>
        </w:rPr>
      </w:pPr>
    </w:p>
    <w:p w:rsidR="00513154" w:rsidRDefault="00153521" w:rsidP="00540F48">
      <w:pPr>
        <w:autoSpaceDE w:val="0"/>
        <w:autoSpaceDN w:val="0"/>
        <w:adjustRightInd w:val="0"/>
        <w:spacing w:after="0" w:line="360" w:lineRule="auto"/>
        <w:rPr>
          <w:rFonts w:ascii="Times New Roman" w:hAnsi="Times New Roman" w:cs="Times New Roman"/>
          <w:sz w:val="24"/>
          <w:szCs w:val="24"/>
        </w:rPr>
      </w:pPr>
      <w:r w:rsidRPr="0023054A">
        <w:rPr>
          <w:rFonts w:ascii="Times New Roman" w:hAnsi="Times New Roman" w:cs="Times New Roman"/>
          <w:b/>
          <w:sz w:val="24"/>
          <w:szCs w:val="24"/>
        </w:rPr>
        <w:t>2.4.2</w:t>
      </w:r>
      <w:r w:rsidR="00A71248">
        <w:rPr>
          <w:rFonts w:ascii="Times New Roman" w:hAnsi="Times New Roman" w:cs="Times New Roman"/>
          <w:b/>
          <w:sz w:val="24"/>
          <w:szCs w:val="24"/>
        </w:rPr>
        <w:t xml:space="preserve"> </w:t>
      </w:r>
      <w:r w:rsidR="00F22DD0" w:rsidRPr="0023054A">
        <w:rPr>
          <w:rFonts w:ascii="Times New Roman" w:hAnsi="Times New Roman" w:cs="Times New Roman"/>
          <w:b/>
          <w:bCs/>
          <w:sz w:val="24"/>
          <w:szCs w:val="24"/>
        </w:rPr>
        <w:t>The Goal of Credit Risk Management</w:t>
      </w:r>
    </w:p>
    <w:p w:rsidR="005101CA" w:rsidRDefault="005101CA" w:rsidP="005101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One of the major difficulties and threats facing financial institutions over years is continued to be poor credit risk management, including the following (Basel, 2000</w:t>
      </w:r>
      <w:r w:rsidRPr="008B0B82">
        <w:rPr>
          <w:rFonts w:ascii="Times New Roman" w:hAnsi="Times New Roman" w:cs="Times New Roman"/>
          <w:sz w:val="24"/>
          <w:szCs w:val="24"/>
        </w:rPr>
        <w:t>):</w:t>
      </w:r>
    </w:p>
    <w:p w:rsidR="005101CA" w:rsidRDefault="005101CA" w:rsidP="00F873C9">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or absence of</w:t>
      </w:r>
      <w:r w:rsidR="0071298B">
        <w:rPr>
          <w:rFonts w:ascii="Times New Roman" w:hAnsi="Times New Roman" w:cs="Times New Roman"/>
          <w:sz w:val="24"/>
          <w:szCs w:val="24"/>
        </w:rPr>
        <w:t xml:space="preserve"> credit standards;</w:t>
      </w:r>
    </w:p>
    <w:p w:rsidR="005101CA" w:rsidRDefault="005101CA" w:rsidP="00F873C9">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Lack of focusing on the economic changes that may affect the financial position or th</w:t>
      </w:r>
      <w:r w:rsidR="0071298B">
        <w:rPr>
          <w:rFonts w:ascii="Times New Roman" w:hAnsi="Times New Roman" w:cs="Times New Roman"/>
          <w:sz w:val="24"/>
          <w:szCs w:val="24"/>
        </w:rPr>
        <w:t>e borrower's financial capacity;</w:t>
      </w:r>
    </w:p>
    <w:p w:rsidR="005101CA" w:rsidRDefault="005101CA" w:rsidP="00F873C9">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Improper risk pricing</w:t>
      </w:r>
      <w:r w:rsidR="0071298B">
        <w:rPr>
          <w:rFonts w:ascii="Times New Roman" w:hAnsi="Times New Roman" w:cs="Times New Roman"/>
          <w:sz w:val="24"/>
          <w:szCs w:val="24"/>
        </w:rPr>
        <w:t>;</w:t>
      </w:r>
    </w:p>
    <w:p w:rsidR="005101CA" w:rsidRDefault="005101CA" w:rsidP="00F873C9">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Immoderate credit growth</w:t>
      </w:r>
      <w:r w:rsidR="0071298B">
        <w:rPr>
          <w:rFonts w:ascii="Times New Roman" w:hAnsi="Times New Roman" w:cs="Times New Roman"/>
          <w:sz w:val="24"/>
          <w:szCs w:val="24"/>
        </w:rPr>
        <w:t>;</w:t>
      </w:r>
    </w:p>
    <w:p w:rsidR="005101CA" w:rsidRDefault="005101CA" w:rsidP="00F873C9">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Ineffective control to reveal any credit fraud</w:t>
      </w:r>
      <w:r w:rsidR="0071298B">
        <w:rPr>
          <w:rFonts w:ascii="Times New Roman" w:hAnsi="Times New Roman" w:cs="Times New Roman"/>
          <w:sz w:val="24"/>
          <w:szCs w:val="24"/>
        </w:rPr>
        <w:t>;</w:t>
      </w:r>
    </w:p>
    <w:p w:rsidR="005101CA" w:rsidRPr="00F15119" w:rsidRDefault="005101CA" w:rsidP="00F873C9">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Failure in monitoring borrower f</w:t>
      </w:r>
      <w:r w:rsidR="0071298B">
        <w:rPr>
          <w:rFonts w:ascii="Times New Roman" w:hAnsi="Times New Roman" w:cs="Times New Roman"/>
          <w:sz w:val="24"/>
          <w:szCs w:val="24"/>
        </w:rPr>
        <w:t xml:space="preserve">inancial position or collateral. </w:t>
      </w:r>
    </w:p>
    <w:p w:rsidR="00F22DD0" w:rsidRPr="000F37C7" w:rsidRDefault="00DA2C97" w:rsidP="000F37C7">
      <w:pPr>
        <w:autoSpaceDE w:val="0"/>
        <w:autoSpaceDN w:val="0"/>
        <w:adjustRightInd w:val="0"/>
        <w:spacing w:after="0" w:line="360" w:lineRule="auto"/>
        <w:jc w:val="both"/>
        <w:rPr>
          <w:rFonts w:ascii="Times New Roman" w:hAnsi="Times New Roman" w:cs="Times New Roman"/>
          <w:sz w:val="24"/>
          <w:szCs w:val="24"/>
        </w:rPr>
      </w:pPr>
      <w:r w:rsidRPr="008B0B82">
        <w:rPr>
          <w:rFonts w:ascii="Times New Roman" w:hAnsi="Times New Roman" w:cs="Times New Roman"/>
          <w:sz w:val="24"/>
          <w:szCs w:val="24"/>
        </w:rPr>
        <w:t>Effective credit risk management will help to eliminate most of the problems presently experience by financial institutions.</w:t>
      </w:r>
      <w:r w:rsidR="00832453">
        <w:rPr>
          <w:rFonts w:ascii="Times New Roman" w:hAnsi="Times New Roman" w:cs="Times New Roman"/>
          <w:sz w:val="24"/>
          <w:szCs w:val="24"/>
        </w:rPr>
        <w:t xml:space="preserve"> </w:t>
      </w:r>
      <w:r w:rsidR="00F22DD0" w:rsidRPr="008B0B82">
        <w:rPr>
          <w:rFonts w:ascii="Times New Roman" w:hAnsi="Times New Roman" w:cs="Times New Roman"/>
          <w:sz w:val="24"/>
          <w:szCs w:val="24"/>
        </w:rPr>
        <w:t xml:space="preserve">Credit risk often does not occur in isolation. A risk event may cause both market and credit risks. For example, a rise in </w:t>
      </w:r>
      <w:r w:rsidR="000F37C7">
        <w:rPr>
          <w:rFonts w:ascii="Times New Roman" w:hAnsi="Times New Roman" w:cs="Times New Roman"/>
          <w:sz w:val="24"/>
          <w:szCs w:val="24"/>
        </w:rPr>
        <w:t xml:space="preserve">interest rates could weaken the </w:t>
      </w:r>
      <w:r w:rsidR="00F739F9" w:rsidRPr="008B0B82">
        <w:rPr>
          <w:rFonts w:ascii="Times New Roman" w:hAnsi="Times New Roman" w:cs="Times New Roman"/>
          <w:sz w:val="24"/>
          <w:szCs w:val="24"/>
        </w:rPr>
        <w:t>C</w:t>
      </w:r>
      <w:r w:rsidR="00F22DD0" w:rsidRPr="008B0B82">
        <w:rPr>
          <w:rFonts w:ascii="Times New Roman" w:hAnsi="Times New Roman" w:cs="Times New Roman"/>
          <w:sz w:val="24"/>
          <w:szCs w:val="24"/>
        </w:rPr>
        <w:t>reditworthiness of the bond issuer thereby increasing the credit risk to an institution holding those bonds. At the same time, the fall in the value of the bond raises the market risk for the institution (issuer).</w:t>
      </w:r>
      <w:r w:rsidR="0089753A">
        <w:rPr>
          <w:rFonts w:ascii="Times New Roman" w:hAnsi="Times New Roman" w:cs="Times New Roman"/>
          <w:sz w:val="24"/>
          <w:szCs w:val="24"/>
        </w:rPr>
        <w:t xml:space="preserve"> </w:t>
      </w:r>
      <w:r w:rsidR="00F22DD0" w:rsidRPr="008B0B82">
        <w:rPr>
          <w:rFonts w:ascii="Times New Roman" w:hAnsi="Times New Roman" w:cs="Times New Roman"/>
          <w:sz w:val="24"/>
          <w:szCs w:val="24"/>
        </w:rPr>
        <w:t>An institution should therefore choose and follow a holistic approach to assessing credit risk and ensure that credit risk management is part of an integrated approach to the management of all financial risks.</w:t>
      </w:r>
      <w:r w:rsidR="00A01519" w:rsidRPr="00A01519">
        <w:rPr>
          <w:rFonts w:ascii="Times New Roman" w:hAnsi="Times New Roman" w:cs="Times New Roman"/>
          <w:sz w:val="24"/>
          <w:szCs w:val="24"/>
        </w:rPr>
        <w:t xml:space="preserve"> </w:t>
      </w:r>
      <w:r w:rsidR="00A01519">
        <w:rPr>
          <w:rFonts w:ascii="Times New Roman" w:hAnsi="Times New Roman" w:cs="Times New Roman"/>
          <w:sz w:val="24"/>
          <w:szCs w:val="24"/>
        </w:rPr>
        <w:t>Any financial institution should develop a risk management framework to identify, monitor, measure and control credit risk effectively and sufficiently. Also it should keep adequate capital to meet potential credit risk, and comply with all effective and soundness rules and regulations.</w:t>
      </w:r>
      <w:r w:rsidR="00F22DD0" w:rsidRPr="008B0B82">
        <w:rPr>
          <w:rFonts w:ascii="Times New Roman" w:hAnsi="Times New Roman" w:cs="Times New Roman"/>
          <w:sz w:val="24"/>
          <w:szCs w:val="24"/>
        </w:rPr>
        <w:t xml:space="preserve"> (Monetary Au</w:t>
      </w:r>
      <w:r w:rsidR="00ED41F7">
        <w:rPr>
          <w:rFonts w:ascii="Times New Roman" w:hAnsi="Times New Roman" w:cs="Times New Roman"/>
          <w:sz w:val="24"/>
          <w:szCs w:val="24"/>
        </w:rPr>
        <w:t>thority of Singapore, 2006</w:t>
      </w:r>
      <w:r w:rsidR="00F22DD0" w:rsidRPr="008B0B82">
        <w:rPr>
          <w:rFonts w:ascii="Times New Roman" w:hAnsi="Times New Roman" w:cs="Times New Roman"/>
          <w:sz w:val="24"/>
          <w:szCs w:val="24"/>
        </w:rPr>
        <w:t>)</w:t>
      </w:r>
    </w:p>
    <w:p w:rsidR="003B4DA4" w:rsidRDefault="00F22DD0" w:rsidP="007A62C7">
      <w:pPr>
        <w:spacing w:line="360" w:lineRule="auto"/>
        <w:contextualSpacing/>
        <w:jc w:val="both"/>
        <w:rPr>
          <w:rFonts w:ascii="Times New Roman" w:hAnsi="Times New Roman" w:cs="Times New Roman"/>
          <w:sz w:val="24"/>
          <w:szCs w:val="24"/>
        </w:rPr>
      </w:pPr>
      <w:r w:rsidRPr="008B0B82">
        <w:rPr>
          <w:rFonts w:ascii="Times New Roman" w:hAnsi="Times New Roman" w:cs="Times New Roman"/>
          <w:sz w:val="24"/>
          <w:szCs w:val="24"/>
        </w:rPr>
        <w:t xml:space="preserve">Therefore, the goal of credit risk management is to achieve the maximum risk adjusted rate of return by maintaining credit risk </w:t>
      </w:r>
      <w:r w:rsidR="0089753A">
        <w:rPr>
          <w:rFonts w:ascii="Times New Roman" w:hAnsi="Times New Roman" w:cs="Times New Roman"/>
          <w:sz w:val="24"/>
          <w:szCs w:val="24"/>
        </w:rPr>
        <w:t>exposure within acceptable levels</w:t>
      </w:r>
      <w:r w:rsidR="00E963C9" w:rsidRPr="008B0B82">
        <w:rPr>
          <w:rFonts w:ascii="Times New Roman" w:hAnsi="Times New Roman" w:cs="Times New Roman"/>
          <w:sz w:val="24"/>
          <w:szCs w:val="24"/>
        </w:rPr>
        <w:t xml:space="preserve"> or parameters in</w:t>
      </w:r>
      <w:r w:rsidRPr="008B0B82">
        <w:rPr>
          <w:rFonts w:ascii="Times New Roman" w:hAnsi="Times New Roman" w:cs="Times New Roman"/>
          <w:sz w:val="24"/>
          <w:szCs w:val="24"/>
        </w:rPr>
        <w:t xml:space="preserve"> order to provide a clear picture and framework of understanding the impact of credit risk management on banks profitability. An effective credit risk management is a crucial component of an extensive approach to risk management and essential to the long-term success of any banking orga</w:t>
      </w:r>
      <w:r w:rsidR="00ED41F7">
        <w:rPr>
          <w:rFonts w:ascii="Times New Roman" w:hAnsi="Times New Roman" w:cs="Times New Roman"/>
          <w:sz w:val="24"/>
          <w:szCs w:val="24"/>
        </w:rPr>
        <w:t>nization (Basel, 2000</w:t>
      </w:r>
      <w:r w:rsidRPr="008B0B82">
        <w:rPr>
          <w:rFonts w:ascii="Times New Roman" w:hAnsi="Times New Roman" w:cs="Times New Roman"/>
          <w:sz w:val="24"/>
          <w:szCs w:val="24"/>
        </w:rPr>
        <w:t xml:space="preserve">). </w:t>
      </w:r>
    </w:p>
    <w:p w:rsidR="00974BD8" w:rsidRPr="005B093E" w:rsidRDefault="00974BD8" w:rsidP="007A62C7">
      <w:pPr>
        <w:spacing w:line="360" w:lineRule="auto"/>
        <w:contextualSpacing/>
        <w:jc w:val="both"/>
        <w:rPr>
          <w:rFonts w:ascii="Times New Roman" w:hAnsi="Times New Roman" w:cs="Times New Roman"/>
          <w:sz w:val="24"/>
          <w:szCs w:val="24"/>
        </w:rPr>
      </w:pPr>
    </w:p>
    <w:p w:rsidR="00F22DD0" w:rsidRPr="004D6E2C" w:rsidRDefault="00834679" w:rsidP="004D6E2C">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2.4.3</w:t>
      </w:r>
      <w:r w:rsidR="00F22DD0" w:rsidRPr="0023054A">
        <w:rPr>
          <w:rFonts w:ascii="Times New Roman" w:hAnsi="Times New Roman" w:cs="Times New Roman"/>
          <w:b/>
          <w:sz w:val="24"/>
          <w:szCs w:val="24"/>
        </w:rPr>
        <w:t xml:space="preserve"> Principles of Credit Risk Management</w:t>
      </w:r>
    </w:p>
    <w:p w:rsidR="00CB03B5" w:rsidRPr="0091714B" w:rsidRDefault="00EE29A7" w:rsidP="0091714B">
      <w:pPr>
        <w:spacing w:line="360" w:lineRule="auto"/>
        <w:jc w:val="both"/>
        <w:rPr>
          <w:rFonts w:asciiTheme="majorBidi" w:hAnsiTheme="majorBidi" w:cstheme="majorBidi"/>
          <w:color w:val="000000" w:themeColor="text1"/>
          <w:sz w:val="24"/>
          <w:szCs w:val="24"/>
        </w:rPr>
      </w:pPr>
      <w:r>
        <w:rPr>
          <w:rFonts w:asciiTheme="majorBidi" w:hAnsiTheme="majorBidi" w:cstheme="majorBidi"/>
          <w:sz w:val="24"/>
          <w:szCs w:val="24"/>
          <w:lang w:bidi="ar-JO"/>
        </w:rPr>
        <w:t xml:space="preserve"> </w:t>
      </w:r>
      <w:r w:rsidR="001C6973" w:rsidRPr="008B0B82">
        <w:rPr>
          <w:rFonts w:ascii="Times New Roman" w:hAnsi="Times New Roman" w:cs="Times New Roman"/>
          <w:sz w:val="24"/>
          <w:szCs w:val="24"/>
        </w:rPr>
        <w:t xml:space="preserve">According to Colquitt (2007), </w:t>
      </w:r>
      <w:r w:rsidR="001178DC">
        <w:rPr>
          <w:rFonts w:asciiTheme="majorBidi" w:hAnsiTheme="majorBidi" w:cstheme="majorBidi"/>
          <w:color w:val="000000" w:themeColor="text1"/>
          <w:sz w:val="24"/>
          <w:szCs w:val="24"/>
        </w:rPr>
        <w:t>the</w:t>
      </w:r>
      <w:r w:rsidR="0091714B">
        <w:rPr>
          <w:rFonts w:asciiTheme="majorBidi" w:hAnsiTheme="majorBidi" w:cstheme="majorBidi"/>
          <w:color w:val="000000" w:themeColor="text1"/>
          <w:sz w:val="24"/>
          <w:szCs w:val="24"/>
        </w:rPr>
        <w:t xml:space="preserve"> credit risk strategy adopted by financial institutions is extracted from its credit culture, by which how risks are managed and how the institutions risk tolerance are defined. This</w:t>
      </w:r>
      <w:r w:rsidR="002941A1" w:rsidRPr="008B0B82">
        <w:rPr>
          <w:rFonts w:ascii="Times New Roman" w:hAnsi="Times New Roman" w:cs="Times New Roman"/>
          <w:sz w:val="24"/>
          <w:szCs w:val="24"/>
        </w:rPr>
        <w:t xml:space="preserve"> formulates the basis for how credit risk is monitored, controlled and responded to. This strategy must be clearly understood by everyone in the credit administration in order to pursue new business </w:t>
      </w:r>
      <w:r w:rsidR="008B2E44" w:rsidRPr="008B0B82">
        <w:rPr>
          <w:rFonts w:ascii="Times New Roman" w:hAnsi="Times New Roman" w:cs="Times New Roman"/>
          <w:sz w:val="24"/>
          <w:szCs w:val="24"/>
        </w:rPr>
        <w:t>opportunities.</w:t>
      </w:r>
      <w:r w:rsidR="0091714B">
        <w:rPr>
          <w:rFonts w:ascii="Times New Roman" w:hAnsi="Times New Roman" w:cs="Times New Roman"/>
          <w:sz w:val="24"/>
          <w:szCs w:val="24"/>
        </w:rPr>
        <w:t xml:space="preserve"> </w:t>
      </w:r>
      <w:r w:rsidR="00C77A1A">
        <w:rPr>
          <w:rFonts w:ascii="Times New Roman" w:hAnsi="Times New Roman" w:cs="Times New Roman"/>
          <w:sz w:val="24"/>
          <w:szCs w:val="24"/>
        </w:rPr>
        <w:t>T</w:t>
      </w:r>
      <w:r w:rsidR="004628A7" w:rsidRPr="008B0B82">
        <w:rPr>
          <w:rFonts w:ascii="Times New Roman" w:hAnsi="Times New Roman" w:cs="Times New Roman"/>
          <w:sz w:val="24"/>
          <w:szCs w:val="24"/>
        </w:rPr>
        <w:t>he many</w:t>
      </w:r>
      <w:r w:rsidR="00EA222A" w:rsidRPr="008B0B82">
        <w:rPr>
          <w:rFonts w:ascii="Times New Roman" w:hAnsi="Times New Roman" w:cs="Times New Roman"/>
          <w:sz w:val="24"/>
          <w:szCs w:val="24"/>
        </w:rPr>
        <w:t xml:space="preserve"> strategies and</w:t>
      </w:r>
      <w:r w:rsidR="00A71248">
        <w:rPr>
          <w:rFonts w:ascii="Times New Roman" w:hAnsi="Times New Roman" w:cs="Times New Roman"/>
          <w:sz w:val="24"/>
          <w:szCs w:val="24"/>
        </w:rPr>
        <w:t xml:space="preserve"> </w:t>
      </w:r>
      <w:r w:rsidR="00E00769" w:rsidRPr="008B0B82">
        <w:rPr>
          <w:rFonts w:ascii="Times New Roman" w:hAnsi="Times New Roman" w:cs="Times New Roman"/>
          <w:sz w:val="24"/>
          <w:szCs w:val="24"/>
        </w:rPr>
        <w:t>methods</w:t>
      </w:r>
      <w:r w:rsidR="00317CD2" w:rsidRPr="008B0B82">
        <w:rPr>
          <w:rFonts w:ascii="Times New Roman" w:hAnsi="Times New Roman" w:cs="Times New Roman"/>
          <w:sz w:val="24"/>
          <w:szCs w:val="24"/>
        </w:rPr>
        <w:t xml:space="preserve"> followed or practiced by banks to manage their credit risk</w:t>
      </w:r>
      <w:r w:rsidR="004628A7" w:rsidRPr="008B0B82">
        <w:rPr>
          <w:rFonts w:ascii="Times New Roman" w:hAnsi="Times New Roman" w:cs="Times New Roman"/>
          <w:sz w:val="24"/>
          <w:szCs w:val="24"/>
        </w:rPr>
        <w:t xml:space="preserve"> depend on the institution’s strategic objectives, the diversity and complex</w:t>
      </w:r>
      <w:r w:rsidR="00CB03B5">
        <w:rPr>
          <w:rFonts w:ascii="Times New Roman" w:hAnsi="Times New Roman" w:cs="Times New Roman"/>
          <w:sz w:val="24"/>
          <w:szCs w:val="24"/>
        </w:rPr>
        <w:t>ity of their credit activities. R</w:t>
      </w:r>
      <w:r w:rsidR="00317CD2" w:rsidRPr="008B0B82">
        <w:rPr>
          <w:rFonts w:ascii="Times New Roman" w:hAnsi="Times New Roman" w:cs="Times New Roman"/>
          <w:sz w:val="24"/>
          <w:szCs w:val="24"/>
        </w:rPr>
        <w:t>eviewing the general principles of credit risk management can provide</w:t>
      </w:r>
      <w:r w:rsidR="00A71248">
        <w:rPr>
          <w:rFonts w:ascii="Times New Roman" w:hAnsi="Times New Roman" w:cs="Times New Roman"/>
          <w:sz w:val="24"/>
          <w:szCs w:val="24"/>
        </w:rPr>
        <w:t xml:space="preserve"> </w:t>
      </w:r>
      <w:r w:rsidR="000F37C7">
        <w:rPr>
          <w:rFonts w:ascii="Times New Roman" w:hAnsi="Times New Roman" w:cs="Times New Roman"/>
          <w:sz w:val="24"/>
          <w:szCs w:val="24"/>
        </w:rPr>
        <w:t>an</w:t>
      </w:r>
      <w:r w:rsidR="00317CD2" w:rsidRPr="008B0B82">
        <w:rPr>
          <w:rFonts w:ascii="Times New Roman" w:hAnsi="Times New Roman" w:cs="Times New Roman"/>
          <w:sz w:val="24"/>
          <w:szCs w:val="24"/>
        </w:rPr>
        <w:t xml:space="preserve"> obvious picture </w:t>
      </w:r>
      <w:r w:rsidR="00317CD2" w:rsidRPr="008B0B82">
        <w:rPr>
          <w:rFonts w:ascii="Times New Roman" w:hAnsi="Times New Roman" w:cs="Times New Roman"/>
          <w:sz w:val="24"/>
          <w:szCs w:val="24"/>
        </w:rPr>
        <w:lastRenderedPageBreak/>
        <w:t>on how banks manage their credit risk</w:t>
      </w:r>
      <w:r w:rsidR="004628A7" w:rsidRPr="008B0B82">
        <w:rPr>
          <w:rFonts w:ascii="Times New Roman" w:hAnsi="Times New Roman" w:cs="Times New Roman"/>
          <w:sz w:val="24"/>
          <w:szCs w:val="24"/>
        </w:rPr>
        <w:t>.  T</w:t>
      </w:r>
      <w:r w:rsidR="00627D25" w:rsidRPr="008B0B82">
        <w:rPr>
          <w:rFonts w:ascii="Times New Roman" w:hAnsi="Times New Roman" w:cs="Times New Roman"/>
          <w:sz w:val="24"/>
          <w:szCs w:val="24"/>
        </w:rPr>
        <w:t>herefore a complex or sophisticated credit risk management method is not necessarily suited to all financial</w:t>
      </w:r>
      <w:r w:rsidR="00A71248">
        <w:rPr>
          <w:rFonts w:ascii="Times New Roman" w:hAnsi="Times New Roman" w:cs="Times New Roman"/>
          <w:sz w:val="24"/>
          <w:szCs w:val="24"/>
        </w:rPr>
        <w:t xml:space="preserve"> institutions (Basel, 2000,</w:t>
      </w:r>
      <w:r w:rsidR="00627D25" w:rsidRPr="008B0B82">
        <w:rPr>
          <w:rFonts w:ascii="Times New Roman" w:hAnsi="Times New Roman" w:cs="Times New Roman"/>
          <w:sz w:val="24"/>
          <w:szCs w:val="24"/>
        </w:rPr>
        <w:t>).</w:t>
      </w:r>
    </w:p>
    <w:p w:rsidR="005461A3" w:rsidRPr="000F37C7" w:rsidRDefault="00627D25" w:rsidP="007A62C7">
      <w:pPr>
        <w:autoSpaceDE w:val="0"/>
        <w:autoSpaceDN w:val="0"/>
        <w:adjustRightInd w:val="0"/>
        <w:spacing w:after="0" w:line="360" w:lineRule="auto"/>
        <w:contextualSpacing/>
        <w:jc w:val="both"/>
        <w:rPr>
          <w:rFonts w:ascii="Times New Roman" w:hAnsi="Times New Roman" w:cs="Times New Roman"/>
          <w:bCs/>
          <w:sz w:val="24"/>
          <w:szCs w:val="24"/>
        </w:rPr>
      </w:pPr>
      <w:r w:rsidRPr="008B0B82">
        <w:rPr>
          <w:rFonts w:ascii="Times New Roman" w:hAnsi="Times New Roman" w:cs="Times New Roman"/>
          <w:sz w:val="24"/>
          <w:szCs w:val="24"/>
        </w:rPr>
        <w:t xml:space="preserve"> </w:t>
      </w:r>
      <w:r w:rsidR="005461A3" w:rsidRPr="008B0B82">
        <w:rPr>
          <w:rFonts w:ascii="Times New Roman" w:hAnsi="Times New Roman" w:cs="Times New Roman"/>
          <w:sz w:val="24"/>
          <w:szCs w:val="24"/>
        </w:rPr>
        <w:t>This part</w:t>
      </w:r>
      <w:r w:rsidR="00CB03B5">
        <w:rPr>
          <w:rFonts w:ascii="Times New Roman" w:hAnsi="Times New Roman" w:cs="Times New Roman"/>
          <w:sz w:val="24"/>
          <w:szCs w:val="24"/>
        </w:rPr>
        <w:t xml:space="preserve"> of the dissertation</w:t>
      </w:r>
      <w:r w:rsidR="005461A3" w:rsidRPr="008B0B82">
        <w:rPr>
          <w:rFonts w:ascii="Times New Roman" w:hAnsi="Times New Roman" w:cs="Times New Roman"/>
          <w:sz w:val="24"/>
          <w:szCs w:val="24"/>
        </w:rPr>
        <w:t xml:space="preserve"> is based on the consultative paper </w:t>
      </w:r>
      <w:r w:rsidR="005461A3" w:rsidRPr="00E33E05">
        <w:rPr>
          <w:rFonts w:ascii="Times New Roman" w:hAnsi="Times New Roman" w:cs="Times New Roman"/>
          <w:sz w:val="24"/>
          <w:szCs w:val="24"/>
        </w:rPr>
        <w:t>“</w:t>
      </w:r>
      <w:r w:rsidR="00313484" w:rsidRPr="00E33E05">
        <w:rPr>
          <w:rFonts w:ascii="Times New Roman" w:hAnsi="Times New Roman" w:cs="Times New Roman"/>
          <w:bCs/>
          <w:sz w:val="24"/>
          <w:szCs w:val="24"/>
        </w:rPr>
        <w:t>Principles for the Management of Credit Risk”</w:t>
      </w:r>
      <w:r w:rsidR="005461A3" w:rsidRPr="00E33E05">
        <w:rPr>
          <w:rFonts w:ascii="Times New Roman" w:hAnsi="Times New Roman" w:cs="Times New Roman"/>
          <w:sz w:val="24"/>
          <w:szCs w:val="24"/>
        </w:rPr>
        <w:t xml:space="preserve"> issued by Basel in September 2000 (see appe</w:t>
      </w:r>
      <w:r w:rsidR="005461A3" w:rsidRPr="008B0B82">
        <w:rPr>
          <w:rFonts w:ascii="Times New Roman" w:hAnsi="Times New Roman" w:cs="Times New Roman"/>
          <w:sz w:val="24"/>
          <w:szCs w:val="24"/>
        </w:rPr>
        <w:t>ndix 3). The sound pra</w:t>
      </w:r>
      <w:r w:rsidR="008B2E44" w:rsidRPr="008B0B82">
        <w:rPr>
          <w:rFonts w:ascii="Times New Roman" w:hAnsi="Times New Roman" w:cs="Times New Roman"/>
          <w:sz w:val="24"/>
          <w:szCs w:val="24"/>
        </w:rPr>
        <w:t xml:space="preserve">ctices set out in this document </w:t>
      </w:r>
      <w:r w:rsidR="005461A3" w:rsidRPr="008B0B82">
        <w:rPr>
          <w:rFonts w:ascii="Times New Roman" w:hAnsi="Times New Roman" w:cs="Times New Roman"/>
          <w:sz w:val="24"/>
          <w:szCs w:val="24"/>
        </w:rPr>
        <w:t>specifically address the following areas:</w:t>
      </w:r>
    </w:p>
    <w:p w:rsidR="003B4DA4" w:rsidRDefault="00A8019D" w:rsidP="00EA3AF9">
      <w:pPr>
        <w:autoSpaceDE w:val="0"/>
        <w:autoSpaceDN w:val="0"/>
        <w:adjustRightInd w:val="0"/>
        <w:spacing w:after="0" w:line="360" w:lineRule="auto"/>
        <w:jc w:val="both"/>
        <w:rPr>
          <w:rFonts w:ascii="Times New Roman" w:hAnsi="Times New Roman" w:cs="Times New Roman"/>
          <w:sz w:val="24"/>
          <w:szCs w:val="24"/>
        </w:rPr>
      </w:pPr>
      <w:r w:rsidRPr="008B0B82">
        <w:rPr>
          <w:rFonts w:ascii="Times New Roman" w:hAnsi="Times New Roman" w:cs="Times New Roman"/>
          <w:sz w:val="24"/>
          <w:szCs w:val="24"/>
        </w:rPr>
        <w:t>(1</w:t>
      </w:r>
      <w:r w:rsidR="005461A3" w:rsidRPr="008B0B82">
        <w:rPr>
          <w:rFonts w:ascii="Times New Roman" w:hAnsi="Times New Roman" w:cs="Times New Roman"/>
          <w:sz w:val="24"/>
          <w:szCs w:val="24"/>
        </w:rPr>
        <w:t xml:space="preserve">) </w:t>
      </w:r>
      <w:r w:rsidR="00C03010" w:rsidRPr="008B0B82">
        <w:rPr>
          <w:rFonts w:ascii="Times New Roman" w:hAnsi="Times New Roman" w:cs="Times New Roman"/>
          <w:sz w:val="24"/>
          <w:szCs w:val="24"/>
        </w:rPr>
        <w:t>Establishing</w:t>
      </w:r>
      <w:r w:rsidR="005461A3" w:rsidRPr="008B0B82">
        <w:rPr>
          <w:rFonts w:ascii="Times New Roman" w:hAnsi="Times New Roman" w:cs="Times New Roman"/>
          <w:sz w:val="24"/>
          <w:szCs w:val="24"/>
        </w:rPr>
        <w:t xml:space="preserve"> an appropriate</w:t>
      </w:r>
      <w:r w:rsidRPr="008B0B82">
        <w:rPr>
          <w:rFonts w:ascii="Times New Roman" w:hAnsi="Times New Roman" w:cs="Times New Roman"/>
          <w:sz w:val="24"/>
          <w:szCs w:val="24"/>
        </w:rPr>
        <w:t xml:space="preserve"> credit risk environment; (2</w:t>
      </w:r>
      <w:r w:rsidR="00C03010" w:rsidRPr="008B0B82">
        <w:rPr>
          <w:rFonts w:ascii="Times New Roman" w:hAnsi="Times New Roman" w:cs="Times New Roman"/>
          <w:sz w:val="24"/>
          <w:szCs w:val="24"/>
        </w:rPr>
        <w:t>) O</w:t>
      </w:r>
      <w:r w:rsidR="005461A3" w:rsidRPr="008B0B82">
        <w:rPr>
          <w:rFonts w:ascii="Times New Roman" w:hAnsi="Times New Roman" w:cs="Times New Roman"/>
          <w:sz w:val="24"/>
          <w:szCs w:val="24"/>
        </w:rPr>
        <w:t xml:space="preserve">perating under a sound credit granting </w:t>
      </w:r>
      <w:r w:rsidRPr="008B0B82">
        <w:rPr>
          <w:rFonts w:ascii="Times New Roman" w:hAnsi="Times New Roman" w:cs="Times New Roman"/>
          <w:sz w:val="24"/>
          <w:szCs w:val="24"/>
        </w:rPr>
        <w:t>process; (3</w:t>
      </w:r>
      <w:r w:rsidR="00C03010" w:rsidRPr="008B0B82">
        <w:rPr>
          <w:rFonts w:ascii="Times New Roman" w:hAnsi="Times New Roman" w:cs="Times New Roman"/>
          <w:sz w:val="24"/>
          <w:szCs w:val="24"/>
        </w:rPr>
        <w:t>) M</w:t>
      </w:r>
      <w:r w:rsidR="005461A3" w:rsidRPr="008B0B82">
        <w:rPr>
          <w:rFonts w:ascii="Times New Roman" w:hAnsi="Times New Roman" w:cs="Times New Roman"/>
          <w:sz w:val="24"/>
          <w:szCs w:val="24"/>
        </w:rPr>
        <w:t xml:space="preserve">aintaining an appropriate credit administration, measurement and </w:t>
      </w:r>
      <w:r w:rsidRPr="008B0B82">
        <w:rPr>
          <w:rFonts w:ascii="Times New Roman" w:hAnsi="Times New Roman" w:cs="Times New Roman"/>
          <w:sz w:val="24"/>
          <w:szCs w:val="24"/>
        </w:rPr>
        <w:t>monitoring process; and (4</w:t>
      </w:r>
      <w:r w:rsidR="00C03010" w:rsidRPr="008B0B82">
        <w:rPr>
          <w:rFonts w:ascii="Times New Roman" w:hAnsi="Times New Roman" w:cs="Times New Roman"/>
          <w:sz w:val="24"/>
          <w:szCs w:val="24"/>
        </w:rPr>
        <w:t>) E</w:t>
      </w:r>
      <w:r w:rsidR="005461A3" w:rsidRPr="008B0B82">
        <w:rPr>
          <w:rFonts w:ascii="Times New Roman" w:hAnsi="Times New Roman" w:cs="Times New Roman"/>
          <w:sz w:val="24"/>
          <w:szCs w:val="24"/>
        </w:rPr>
        <w:t>nsuring adequate controls over credit risk.</w:t>
      </w:r>
      <w:r w:rsidR="002309C8" w:rsidRPr="008B0B82">
        <w:rPr>
          <w:rFonts w:ascii="Times New Roman" w:hAnsi="Times New Roman" w:cs="Times New Roman"/>
          <w:sz w:val="24"/>
          <w:szCs w:val="24"/>
        </w:rPr>
        <w:t xml:space="preserve"> A</w:t>
      </w:r>
      <w:r w:rsidR="005461A3" w:rsidRPr="008B0B82">
        <w:rPr>
          <w:rFonts w:ascii="Times New Roman" w:hAnsi="Times New Roman" w:cs="Times New Roman"/>
          <w:sz w:val="24"/>
          <w:szCs w:val="24"/>
        </w:rPr>
        <w:t xml:space="preserve"> comprehensive credit risk management program will </w:t>
      </w:r>
      <w:r w:rsidR="008C3D88" w:rsidRPr="008B0B82">
        <w:rPr>
          <w:rFonts w:ascii="Times New Roman" w:hAnsi="Times New Roman" w:cs="Times New Roman"/>
          <w:sz w:val="24"/>
          <w:szCs w:val="24"/>
        </w:rPr>
        <w:t xml:space="preserve">address these four areas, despite the different credit risk </w:t>
      </w:r>
      <w:r w:rsidR="008C3D88" w:rsidRPr="0023054A">
        <w:rPr>
          <w:rFonts w:ascii="Times New Roman" w:hAnsi="Times New Roman" w:cs="Times New Roman"/>
          <w:sz w:val="24"/>
          <w:szCs w:val="24"/>
        </w:rPr>
        <w:t xml:space="preserve">management practices followed </w:t>
      </w:r>
      <w:r w:rsidR="00C03010" w:rsidRPr="0023054A">
        <w:rPr>
          <w:rFonts w:ascii="Times New Roman" w:hAnsi="Times New Roman" w:cs="Times New Roman"/>
          <w:sz w:val="24"/>
          <w:szCs w:val="24"/>
        </w:rPr>
        <w:t>by banks as mentioned before.</w:t>
      </w:r>
    </w:p>
    <w:p w:rsidR="00974BD8" w:rsidRPr="0023054A" w:rsidRDefault="00974BD8" w:rsidP="00EA3AF9">
      <w:pPr>
        <w:autoSpaceDE w:val="0"/>
        <w:autoSpaceDN w:val="0"/>
        <w:adjustRightInd w:val="0"/>
        <w:spacing w:after="0" w:line="360" w:lineRule="auto"/>
        <w:jc w:val="both"/>
        <w:rPr>
          <w:rFonts w:ascii="Times New Roman" w:hAnsi="Times New Roman" w:cs="Times New Roman"/>
          <w:sz w:val="24"/>
          <w:szCs w:val="24"/>
        </w:rPr>
      </w:pPr>
    </w:p>
    <w:p w:rsidR="002213D2" w:rsidRPr="0023054A" w:rsidRDefault="002213D2" w:rsidP="005461A3">
      <w:pPr>
        <w:autoSpaceDE w:val="0"/>
        <w:autoSpaceDN w:val="0"/>
        <w:adjustRightInd w:val="0"/>
        <w:spacing w:after="0" w:line="360" w:lineRule="auto"/>
        <w:rPr>
          <w:rFonts w:ascii="Times New Roman" w:hAnsi="Times New Roman" w:cs="Times New Roman"/>
          <w:b/>
          <w:sz w:val="24"/>
          <w:szCs w:val="24"/>
        </w:rPr>
      </w:pPr>
      <w:r w:rsidRPr="0023054A">
        <w:rPr>
          <w:rFonts w:ascii="Times New Roman" w:hAnsi="Times New Roman" w:cs="Times New Roman"/>
          <w:b/>
          <w:sz w:val="24"/>
          <w:szCs w:val="24"/>
        </w:rPr>
        <w:t>2.4.3.1 Establishing an Appropriate Credit Risk Environment</w:t>
      </w:r>
    </w:p>
    <w:p w:rsidR="00E1512D" w:rsidRDefault="004831D5" w:rsidP="002C63D4">
      <w:pPr>
        <w:autoSpaceDE w:val="0"/>
        <w:autoSpaceDN w:val="0"/>
        <w:adjustRightInd w:val="0"/>
        <w:spacing w:after="0" w:line="360" w:lineRule="auto"/>
        <w:rPr>
          <w:rFonts w:ascii="Times New Roman" w:hAnsi="Times New Roman" w:cs="Times New Roman"/>
          <w:sz w:val="24"/>
          <w:szCs w:val="24"/>
        </w:rPr>
      </w:pPr>
      <w:r w:rsidRPr="008B0B82">
        <w:rPr>
          <w:rFonts w:ascii="Times New Roman" w:hAnsi="Times New Roman" w:cs="Times New Roman"/>
          <w:sz w:val="24"/>
          <w:szCs w:val="24"/>
        </w:rPr>
        <w:t xml:space="preserve">Credit risk management can be defined as </w:t>
      </w:r>
      <w:r w:rsidR="00E33E05">
        <w:rPr>
          <w:rFonts w:ascii="Times New Roman" w:hAnsi="Times New Roman" w:cs="Times New Roman"/>
          <w:sz w:val="24"/>
          <w:szCs w:val="24"/>
        </w:rPr>
        <w:t>“</w:t>
      </w:r>
      <w:r w:rsidRPr="008B0B82">
        <w:rPr>
          <w:rFonts w:ascii="Times New Roman" w:hAnsi="Times New Roman" w:cs="Times New Roman"/>
          <w:sz w:val="24"/>
          <w:szCs w:val="24"/>
        </w:rPr>
        <w:t>the process of identifying, measuring, controlling and monitoring</w:t>
      </w:r>
      <w:r w:rsidR="00C32D0C" w:rsidRPr="008B0B82">
        <w:rPr>
          <w:rFonts w:ascii="Times New Roman" w:hAnsi="Times New Roman" w:cs="Times New Roman"/>
          <w:sz w:val="24"/>
          <w:szCs w:val="24"/>
        </w:rPr>
        <w:t xml:space="preserve"> credit risk</w:t>
      </w:r>
      <w:r w:rsidR="00E33E05">
        <w:rPr>
          <w:rFonts w:ascii="Times New Roman" w:hAnsi="Times New Roman" w:cs="Times New Roman"/>
          <w:sz w:val="24"/>
          <w:szCs w:val="24"/>
        </w:rPr>
        <w:t>”</w:t>
      </w:r>
      <w:r w:rsidR="00C32D0C" w:rsidRPr="008B0B82">
        <w:rPr>
          <w:rFonts w:ascii="Times New Roman" w:hAnsi="Times New Roman" w:cs="Times New Roman"/>
          <w:sz w:val="24"/>
          <w:szCs w:val="24"/>
        </w:rPr>
        <w:t xml:space="preserve"> (Coyle, 2000).</w:t>
      </w:r>
    </w:p>
    <w:p w:rsidR="008815C9" w:rsidRPr="008B0B82" w:rsidRDefault="008815C9" w:rsidP="00B44594">
      <w:pPr>
        <w:autoSpaceDE w:val="0"/>
        <w:autoSpaceDN w:val="0"/>
        <w:adjustRightInd w:val="0"/>
        <w:spacing w:after="0" w:line="360" w:lineRule="auto"/>
        <w:jc w:val="center"/>
        <w:rPr>
          <w:rFonts w:ascii="Times New Roman" w:hAnsi="Times New Roman" w:cs="Times New Roman"/>
          <w:sz w:val="24"/>
          <w:szCs w:val="24"/>
        </w:rPr>
      </w:pPr>
      <w:r w:rsidRPr="008815C9">
        <w:rPr>
          <w:rFonts w:ascii="Times New Roman" w:hAnsi="Times New Roman" w:cs="Times New Roman"/>
          <w:b/>
          <w:bCs/>
          <w:sz w:val="24"/>
          <w:szCs w:val="24"/>
        </w:rPr>
        <w:t>Figure 2.7</w:t>
      </w:r>
      <w:r w:rsidR="00317048">
        <w:rPr>
          <w:rFonts w:ascii="Times New Roman" w:hAnsi="Times New Roman" w:cs="Times New Roman"/>
          <w:sz w:val="24"/>
          <w:szCs w:val="24"/>
        </w:rPr>
        <w:t xml:space="preserve">: </w:t>
      </w:r>
      <w:r w:rsidR="00317048" w:rsidRPr="002201A5">
        <w:rPr>
          <w:rFonts w:ascii="Times New Roman" w:hAnsi="Times New Roman" w:cs="Times New Roman"/>
          <w:b/>
        </w:rPr>
        <w:t>Credit R</w:t>
      </w:r>
      <w:r w:rsidRPr="002201A5">
        <w:rPr>
          <w:rFonts w:ascii="Times New Roman" w:hAnsi="Times New Roman" w:cs="Times New Roman"/>
          <w:b/>
        </w:rPr>
        <w:t xml:space="preserve">isk </w:t>
      </w:r>
      <w:r w:rsidR="00317048" w:rsidRPr="002201A5">
        <w:rPr>
          <w:rFonts w:ascii="Times New Roman" w:hAnsi="Times New Roman" w:cs="Times New Roman"/>
          <w:b/>
        </w:rPr>
        <w:t>Management P</w:t>
      </w:r>
      <w:r w:rsidRPr="002201A5">
        <w:rPr>
          <w:rFonts w:ascii="Times New Roman" w:hAnsi="Times New Roman" w:cs="Times New Roman"/>
          <w:b/>
        </w:rPr>
        <w:t>rocess.</w:t>
      </w:r>
    </w:p>
    <w:p w:rsidR="00E1512D" w:rsidRPr="00A125C1" w:rsidRDefault="007A78D1" w:rsidP="002C63D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059" style="position:absolute;margin-left:75.45pt;margin-top:4.65pt;width:289.75pt;height:36.3pt;z-index:251688960" arcsize="10923f" fillcolor="#4f81bd [3204]" strokecolor="#f2f2f2 [3041]" strokeweight="3pt">
            <v:shadow on="t" type="perspective" color="#243f60 [1604]" opacity=".5" offset="1pt" offset2="-1pt"/>
            <v:textbox>
              <w:txbxContent>
                <w:p w:rsidR="00095056" w:rsidRDefault="00095056">
                  <w:r>
                    <w:t xml:space="preserve">              Risk Identification: What are the risks?</w:t>
                  </w:r>
                </w:p>
              </w:txbxContent>
            </v:textbox>
          </v:roundrect>
        </w:pict>
      </w:r>
    </w:p>
    <w:p w:rsidR="00E1512D" w:rsidRPr="008B0B82" w:rsidRDefault="007A78D1" w:rsidP="008B0B82">
      <w:pPr>
        <w:tabs>
          <w:tab w:val="left" w:pos="90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margin-left:210.8pt;margin-top:4.95pt;width:13.25pt;height:36.85pt;z-index:251696128" fillcolor="#c0504d [3205]" strokecolor="#f2f2f2 [3041]" strokeweight="3pt">
            <v:shadow on="t" type="perspective" color="#622423 [1605]" opacity=".5" offset="1pt" offset2="-1pt"/>
            <v:textbox style="layout-flow:vertical-ideographic"/>
          </v:shape>
        </w:pict>
      </w:r>
      <w:r w:rsidR="008B0B82" w:rsidRPr="008B0B82">
        <w:rPr>
          <w:rFonts w:ascii="Times New Roman" w:hAnsi="Times New Roman" w:cs="Times New Roman"/>
          <w:sz w:val="24"/>
          <w:szCs w:val="24"/>
        </w:rPr>
        <w:tab/>
      </w:r>
    </w:p>
    <w:p w:rsidR="00E1512D" w:rsidRPr="008B0B82" w:rsidRDefault="007A78D1" w:rsidP="002C63D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060" style="position:absolute;margin-left:75.45pt;margin-top:12.25pt;width:289.75pt;height:39.3pt;z-index:251689984" arcsize="10923f" fillcolor="#4f81bd [3204]" strokecolor="#f2f2f2 [3041]" strokeweight="3pt">
            <v:shadow on="t" type="perspective" color="#243f60 [1604]" opacity=".5" offset="1pt" offset2="-1pt"/>
            <v:textbox>
              <w:txbxContent>
                <w:p w:rsidR="00095056" w:rsidRDefault="00095056">
                  <w:r>
                    <w:t>Risk Measurement: What is the likelihood of occurrence?</w:t>
                  </w:r>
                </w:p>
              </w:txbxContent>
            </v:textbox>
          </v:roundrect>
        </w:pict>
      </w:r>
    </w:p>
    <w:p w:rsidR="00E1512D" w:rsidRPr="00A125C1" w:rsidRDefault="00E1512D" w:rsidP="002C63D4">
      <w:pPr>
        <w:autoSpaceDE w:val="0"/>
        <w:autoSpaceDN w:val="0"/>
        <w:adjustRightInd w:val="0"/>
        <w:spacing w:after="0" w:line="360" w:lineRule="auto"/>
        <w:rPr>
          <w:rFonts w:ascii="Times New Roman" w:hAnsi="Times New Roman" w:cs="Times New Roman"/>
          <w:color w:val="000000" w:themeColor="text1"/>
          <w:sz w:val="24"/>
          <w:szCs w:val="24"/>
        </w:rPr>
      </w:pPr>
    </w:p>
    <w:p w:rsidR="00E1512D" w:rsidRPr="008B0B82" w:rsidRDefault="007A78D1" w:rsidP="002C63D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79" type="#_x0000_t67" style="position:absolute;margin-left:210.8pt;margin-top:5.45pt;width:13.25pt;height:33.95pt;z-index:251700224" fillcolor="#c0504d [3205]" strokecolor="#f2f2f2 [3041]" strokeweight="3pt">
            <v:shadow on="t" type="perspective" color="#622423 [1605]" opacity=".5" offset="1pt" offset2="-1pt"/>
            <v:textbox style="layout-flow:vertical-ideographic"/>
          </v:shape>
        </w:pict>
      </w:r>
    </w:p>
    <w:p w:rsidR="00E1512D" w:rsidRPr="008B0B82" w:rsidRDefault="007A78D1" w:rsidP="002C63D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061" style="position:absolute;margin-left:75.45pt;margin-top:7.8pt;width:293.2pt;height:36.85pt;z-index:251691008" arcsize="10923f" fillcolor="#4f81bd [3204]" strokecolor="#f2f2f2 [3041]" strokeweight="3pt">
            <v:shadow on="t" type="perspective" color="#243f60 [1604]" opacity=".5" offset="1pt" offset2="-1pt"/>
            <v:textbox style="mso-next-textbox:#_x0000_s1061">
              <w:txbxContent>
                <w:p w:rsidR="00095056" w:rsidRDefault="00095056">
                  <w:r>
                    <w:t>Risk Control: What are the possible mitigations and control?</w:t>
                  </w:r>
                </w:p>
              </w:txbxContent>
            </v:textbox>
          </v:roundrect>
        </w:pict>
      </w:r>
    </w:p>
    <w:p w:rsidR="00E1512D" w:rsidRPr="00A125C1" w:rsidRDefault="007A78D1" w:rsidP="002C63D4">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5" type="#_x0000_t67" style="position:absolute;margin-left:211.35pt;margin-top:14.5pt;width:12.7pt;height:35.7pt;z-index:251699200" fillcolor="#c0504d [3205]" strokecolor="#f2f2f2 [3041]" strokeweight="3pt">
            <v:shadow on="t" type="perspective" color="#622423 [1605]" opacity=".5" offset="1pt" offset2="-1pt"/>
            <v:textbox style="layout-flow:vertical-ideographic"/>
          </v:shape>
        </w:pict>
      </w:r>
      <w:r w:rsidR="00A71248">
        <w:rPr>
          <w:rFonts w:ascii="Times New Roman" w:hAnsi="Times New Roman" w:cs="Times New Roman"/>
          <w:color w:val="000000" w:themeColor="text1"/>
          <w:sz w:val="24"/>
          <w:szCs w:val="24"/>
        </w:rPr>
        <w:t xml:space="preserve">               </w:t>
      </w:r>
    </w:p>
    <w:p w:rsidR="00120714" w:rsidRPr="008B0B82" w:rsidRDefault="00120714" w:rsidP="002C63D4">
      <w:pPr>
        <w:autoSpaceDE w:val="0"/>
        <w:autoSpaceDN w:val="0"/>
        <w:adjustRightInd w:val="0"/>
        <w:spacing w:after="0" w:line="360" w:lineRule="auto"/>
        <w:rPr>
          <w:rFonts w:ascii="Times New Roman" w:hAnsi="Times New Roman" w:cs="Times New Roman"/>
          <w:sz w:val="24"/>
          <w:szCs w:val="24"/>
        </w:rPr>
      </w:pPr>
    </w:p>
    <w:p w:rsidR="00120714" w:rsidRPr="00A125C1" w:rsidRDefault="007A78D1" w:rsidP="002C63D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074" style="position:absolute;margin-left:75.45pt;margin-top:1pt;width:293.2pt;height:34pt;z-index:251698176" arcsize="10923f" fillcolor="#4f81bd [3204]" strokecolor="#f2f2f2 [3041]" strokeweight="3pt">
            <v:shadow on="t" type="perspective" color="#243f60 [1604]" opacity=".5" offset="1pt" offset2="-1pt"/>
            <v:textbox>
              <w:txbxContent>
                <w:p w:rsidR="00095056" w:rsidRDefault="00095056">
                  <w:r>
                    <w:t xml:space="preserve">          Risk Monitoring: How do we ensure compliance?</w:t>
                  </w:r>
                </w:p>
              </w:txbxContent>
            </v:textbox>
          </v:roundrect>
        </w:pict>
      </w:r>
      <w:r w:rsidR="00A71248">
        <w:rPr>
          <w:rFonts w:ascii="Times New Roman" w:hAnsi="Times New Roman" w:cs="Times New Roman"/>
          <w:sz w:val="24"/>
          <w:szCs w:val="24"/>
        </w:rPr>
        <w:t xml:space="preserve">               </w:t>
      </w:r>
    </w:p>
    <w:p w:rsidR="00035D23" w:rsidRPr="008B0B82" w:rsidRDefault="00035D23" w:rsidP="002C63D4">
      <w:pPr>
        <w:autoSpaceDE w:val="0"/>
        <w:autoSpaceDN w:val="0"/>
        <w:adjustRightInd w:val="0"/>
        <w:spacing w:after="0" w:line="360" w:lineRule="auto"/>
        <w:rPr>
          <w:rFonts w:ascii="Times New Roman" w:hAnsi="Times New Roman" w:cs="Times New Roman"/>
          <w:sz w:val="24"/>
          <w:szCs w:val="24"/>
        </w:rPr>
      </w:pPr>
    </w:p>
    <w:p w:rsidR="00B101F7" w:rsidRPr="006D5CE2" w:rsidRDefault="006D5CE2" w:rsidP="006D5CE2">
      <w:pPr>
        <w:spacing w:line="360" w:lineRule="auto"/>
        <w:jc w:val="center"/>
        <w:rPr>
          <w:rFonts w:asciiTheme="majorBidi" w:hAnsiTheme="majorBidi" w:cstheme="majorBidi"/>
          <w:sz w:val="20"/>
          <w:szCs w:val="20"/>
        </w:rPr>
      </w:pPr>
      <w:r>
        <w:rPr>
          <w:rFonts w:asciiTheme="majorBidi" w:hAnsiTheme="majorBidi" w:cstheme="majorBidi"/>
          <w:sz w:val="20"/>
          <w:szCs w:val="20"/>
        </w:rPr>
        <w:t>Source: Zidan (the Author), 2013</w:t>
      </w:r>
    </w:p>
    <w:p w:rsidR="004831D5" w:rsidRDefault="00DA6262" w:rsidP="00974BD8">
      <w:pPr>
        <w:spacing w:line="360" w:lineRule="auto"/>
        <w:jc w:val="both"/>
        <w:rPr>
          <w:rFonts w:asciiTheme="majorBidi" w:hAnsiTheme="majorBidi" w:cstheme="majorBidi"/>
          <w:sz w:val="24"/>
          <w:szCs w:val="24"/>
          <w:lang w:bidi="ar-JO"/>
        </w:rPr>
      </w:pPr>
      <w:r w:rsidRPr="00DA6262">
        <w:rPr>
          <w:rFonts w:asciiTheme="majorBidi" w:hAnsiTheme="majorBidi" w:cstheme="majorBidi"/>
          <w:sz w:val="24"/>
          <w:szCs w:val="24"/>
        </w:rPr>
        <w:t xml:space="preserve">Establishing proper credit risk management environment depends largely and primarily on suitable identification of credit risk and the development of inclusive credit risk strategy </w:t>
      </w:r>
      <w:r w:rsidRPr="00DA6262">
        <w:rPr>
          <w:rFonts w:asciiTheme="majorBidi" w:hAnsiTheme="majorBidi" w:cstheme="majorBidi"/>
          <w:sz w:val="24"/>
          <w:szCs w:val="24"/>
        </w:rPr>
        <w:lastRenderedPageBreak/>
        <w:t>and policies</w:t>
      </w:r>
      <w:r w:rsidR="00DA0296">
        <w:rPr>
          <w:rFonts w:asciiTheme="majorBidi" w:hAnsiTheme="majorBidi" w:cstheme="majorBidi"/>
          <w:sz w:val="24"/>
          <w:szCs w:val="24"/>
        </w:rPr>
        <w:t xml:space="preserve">. </w:t>
      </w:r>
      <w:r w:rsidR="00DA0296">
        <w:rPr>
          <w:rFonts w:asciiTheme="majorBidi" w:hAnsiTheme="majorBidi" w:cstheme="majorBidi"/>
          <w:sz w:val="24"/>
          <w:szCs w:val="24"/>
          <w:lang w:bidi="ar-JO"/>
        </w:rPr>
        <w:t>The credit strategy of any bank should be a reflection to the bank's tolerance and appetite for handling risks and profitability levels the bank is expected to achieve. Approving and reviewing the credit risk strategy is the</w:t>
      </w:r>
      <w:r w:rsidR="00DA0296" w:rsidRPr="008925FA">
        <w:rPr>
          <w:rFonts w:asciiTheme="majorBidi" w:hAnsiTheme="majorBidi" w:cstheme="majorBidi"/>
          <w:bCs/>
          <w:sz w:val="24"/>
          <w:szCs w:val="24"/>
        </w:rPr>
        <w:t xml:space="preserve"> </w:t>
      </w:r>
      <w:r w:rsidR="00DA0296" w:rsidRPr="00DA6262">
        <w:rPr>
          <w:rFonts w:asciiTheme="majorBidi" w:hAnsiTheme="majorBidi" w:cstheme="majorBidi"/>
          <w:bCs/>
          <w:sz w:val="24"/>
          <w:szCs w:val="24"/>
        </w:rPr>
        <w:t>responsibility</w:t>
      </w:r>
      <w:r w:rsidR="00DA0296">
        <w:rPr>
          <w:rFonts w:asciiTheme="majorBidi" w:hAnsiTheme="majorBidi" w:cstheme="majorBidi"/>
          <w:sz w:val="24"/>
          <w:szCs w:val="24"/>
          <w:lang w:bidi="ar-JO"/>
        </w:rPr>
        <w:t xml:space="preserve"> of the</w:t>
      </w:r>
      <w:r w:rsidR="00C614BF">
        <w:rPr>
          <w:rFonts w:asciiTheme="majorBidi" w:hAnsiTheme="majorBidi" w:cstheme="majorBidi"/>
          <w:sz w:val="24"/>
          <w:szCs w:val="24"/>
          <w:lang w:bidi="ar-JO"/>
        </w:rPr>
        <w:t xml:space="preserve"> institution board of directors </w:t>
      </w:r>
      <w:r w:rsidR="002C63D4" w:rsidRPr="00DA6262">
        <w:rPr>
          <w:rFonts w:asciiTheme="majorBidi" w:hAnsiTheme="majorBidi" w:cstheme="majorBidi"/>
          <w:bCs/>
          <w:sz w:val="24"/>
          <w:szCs w:val="24"/>
        </w:rPr>
        <w:t>(B</w:t>
      </w:r>
      <w:r w:rsidR="00ED41F7" w:rsidRPr="00DA6262">
        <w:rPr>
          <w:rFonts w:asciiTheme="majorBidi" w:hAnsiTheme="majorBidi" w:cstheme="majorBidi"/>
          <w:bCs/>
          <w:sz w:val="24"/>
          <w:szCs w:val="24"/>
        </w:rPr>
        <w:t>asel, 2000</w:t>
      </w:r>
      <w:r w:rsidR="00BD7518" w:rsidRPr="00DA6262">
        <w:rPr>
          <w:rFonts w:asciiTheme="majorBidi" w:hAnsiTheme="majorBidi" w:cstheme="majorBidi"/>
          <w:bCs/>
          <w:sz w:val="24"/>
          <w:szCs w:val="24"/>
        </w:rPr>
        <w:t xml:space="preserve">). </w:t>
      </w:r>
      <w:r w:rsidR="002B26EB" w:rsidRPr="00DA6262">
        <w:rPr>
          <w:rFonts w:asciiTheme="majorBidi" w:hAnsiTheme="majorBidi" w:cstheme="majorBidi"/>
          <w:bCs/>
          <w:sz w:val="24"/>
          <w:szCs w:val="24"/>
        </w:rPr>
        <w:t>This strategy includes</w:t>
      </w:r>
      <w:r w:rsidR="00EA222A" w:rsidRPr="00DA6262">
        <w:rPr>
          <w:rFonts w:asciiTheme="majorBidi" w:hAnsiTheme="majorBidi" w:cstheme="majorBidi"/>
          <w:bCs/>
          <w:sz w:val="24"/>
          <w:szCs w:val="24"/>
        </w:rPr>
        <w:t xml:space="preserve"> number of aspects:</w:t>
      </w:r>
    </w:p>
    <w:p w:rsidR="00EA3F2C" w:rsidRDefault="00EA3F2C" w:rsidP="00F873C9">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Depiction of bank's tolerance toward credit risk;</w:t>
      </w:r>
    </w:p>
    <w:p w:rsidR="00EA3F2C" w:rsidRDefault="00EA3F2C" w:rsidP="00F873C9">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Ensure that bank's capital is maintained at sufficiently levels to meet </w:t>
      </w:r>
      <w:r w:rsidRPr="008B0B82">
        <w:rPr>
          <w:rFonts w:ascii="Times New Roman" w:hAnsi="Times New Roman" w:cs="Times New Roman"/>
          <w:sz w:val="24"/>
          <w:szCs w:val="24"/>
        </w:rPr>
        <w:t>bank’s overall credit risk exposure</w:t>
      </w:r>
      <w:r>
        <w:rPr>
          <w:rFonts w:ascii="Times New Roman" w:hAnsi="Times New Roman" w:cs="Times New Roman"/>
          <w:sz w:val="24"/>
          <w:szCs w:val="24"/>
        </w:rPr>
        <w:t>;</w:t>
      </w:r>
    </w:p>
    <w:p w:rsidR="00EA3F2C" w:rsidRDefault="00EA3F2C" w:rsidP="00F873C9">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implementation of sound credit principles to speed up the </w:t>
      </w:r>
      <w:r w:rsidRPr="00861B0A">
        <w:rPr>
          <w:rFonts w:ascii="Times New Roman" w:hAnsi="Times New Roman" w:cs="Times New Roman"/>
          <w:sz w:val="24"/>
          <w:szCs w:val="24"/>
        </w:rPr>
        <w:t>identification, measurement, monitoring and control</w:t>
      </w:r>
      <w:r>
        <w:rPr>
          <w:rFonts w:ascii="Times New Roman" w:hAnsi="Times New Roman" w:cs="Times New Roman"/>
          <w:sz w:val="24"/>
          <w:szCs w:val="24"/>
        </w:rPr>
        <w:t>ling credit risk;</w:t>
      </w:r>
    </w:p>
    <w:p w:rsidR="00EA3F2C" w:rsidRDefault="00EA3F2C" w:rsidP="00F873C9">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Ide</w:t>
      </w:r>
      <w:r w:rsidR="0047139B">
        <w:rPr>
          <w:rFonts w:ascii="Times New Roman" w:hAnsi="Times New Roman" w:cs="Times New Roman"/>
          <w:sz w:val="24"/>
          <w:szCs w:val="24"/>
        </w:rPr>
        <w:t xml:space="preserve">ntification of target markets, </w:t>
      </w:r>
      <w:r w:rsidRPr="008B0B82">
        <w:rPr>
          <w:rFonts w:ascii="Times New Roman" w:hAnsi="Times New Roman" w:cs="Times New Roman"/>
          <w:sz w:val="24"/>
          <w:szCs w:val="24"/>
        </w:rPr>
        <w:t>including levels of diversification and concentration</w:t>
      </w:r>
      <w:r>
        <w:rPr>
          <w:rFonts w:ascii="Times New Roman" w:hAnsi="Times New Roman" w:cs="Times New Roman"/>
          <w:sz w:val="24"/>
          <w:szCs w:val="24"/>
        </w:rPr>
        <w:t xml:space="preserve"> tolerances</w:t>
      </w:r>
      <w:r w:rsidR="00725773">
        <w:rPr>
          <w:rFonts w:ascii="Times New Roman" w:hAnsi="Times New Roman" w:cs="Times New Roman"/>
          <w:sz w:val="24"/>
          <w:szCs w:val="24"/>
        </w:rPr>
        <w:t>.</w:t>
      </w:r>
    </w:p>
    <w:p w:rsidR="00A91F59" w:rsidRPr="004C7E8D" w:rsidRDefault="00A91F59" w:rsidP="00974BD8">
      <w:pPr>
        <w:spacing w:line="360" w:lineRule="auto"/>
        <w:jc w:val="both"/>
        <w:rPr>
          <w:rFonts w:asciiTheme="majorBidi" w:hAnsiTheme="majorBidi" w:cstheme="majorBidi"/>
          <w:sz w:val="24"/>
          <w:szCs w:val="24"/>
          <w:rtl/>
          <w:lang w:bidi="ar-JO"/>
        </w:rPr>
      </w:pPr>
      <w:r>
        <w:rPr>
          <w:rFonts w:asciiTheme="majorBidi" w:hAnsiTheme="majorBidi" w:cstheme="majorBidi"/>
          <w:sz w:val="24"/>
          <w:szCs w:val="24"/>
          <w:lang w:bidi="ar-JO"/>
        </w:rPr>
        <w:t xml:space="preserve">The responsibility of implementing the credit risk strategy that established by the board is lies on the senior management, in accordance with establishing policies and procedures </w:t>
      </w:r>
      <w:r w:rsidR="00BA22A7">
        <w:rPr>
          <w:rFonts w:asciiTheme="majorBidi" w:hAnsiTheme="majorBidi" w:cstheme="majorBidi"/>
          <w:sz w:val="24"/>
          <w:szCs w:val="24"/>
          <w:lang w:bidi="ar-JO"/>
        </w:rPr>
        <w:t xml:space="preserve">for </w:t>
      </w:r>
      <w:r w:rsidR="00BA22A7" w:rsidRPr="008B0B82">
        <w:rPr>
          <w:rFonts w:ascii="Times New Roman" w:hAnsi="Times New Roman" w:cs="Times New Roman"/>
          <w:bCs/>
          <w:sz w:val="24"/>
          <w:szCs w:val="24"/>
        </w:rPr>
        <w:t>identifying</w:t>
      </w:r>
      <w:r w:rsidRPr="008B0B82">
        <w:rPr>
          <w:rFonts w:ascii="Times New Roman" w:hAnsi="Times New Roman" w:cs="Times New Roman"/>
          <w:bCs/>
          <w:sz w:val="24"/>
          <w:szCs w:val="24"/>
        </w:rPr>
        <w:t>, measuring, monitoring and controlling credit risk</w:t>
      </w:r>
      <w:r>
        <w:rPr>
          <w:rFonts w:asciiTheme="majorBidi" w:hAnsiTheme="majorBidi" w:cstheme="majorBidi"/>
          <w:sz w:val="24"/>
          <w:szCs w:val="24"/>
          <w:lang w:bidi="ar-JO"/>
        </w:rPr>
        <w:t xml:space="preserve">. These policies </w:t>
      </w:r>
      <w:r w:rsidR="00BA22A7">
        <w:rPr>
          <w:rFonts w:asciiTheme="majorBidi" w:hAnsiTheme="majorBidi" w:cstheme="majorBidi"/>
          <w:sz w:val="24"/>
          <w:szCs w:val="24"/>
          <w:lang w:bidi="ar-JO"/>
        </w:rPr>
        <w:t>should reflect</w:t>
      </w:r>
      <w:r>
        <w:rPr>
          <w:rFonts w:asciiTheme="majorBidi" w:hAnsiTheme="majorBidi" w:cstheme="majorBidi"/>
          <w:sz w:val="24"/>
          <w:szCs w:val="24"/>
          <w:lang w:bidi="ar-JO"/>
        </w:rPr>
        <w:t xml:space="preserve"> credit risk in bank's </w:t>
      </w:r>
      <w:r w:rsidR="00BA22A7">
        <w:rPr>
          <w:rFonts w:asciiTheme="majorBidi" w:hAnsiTheme="majorBidi" w:cstheme="majorBidi"/>
          <w:sz w:val="24"/>
          <w:szCs w:val="24"/>
          <w:lang w:bidi="ar-JO"/>
        </w:rPr>
        <w:t>activities;</w:t>
      </w:r>
      <w:r>
        <w:rPr>
          <w:rFonts w:asciiTheme="majorBidi" w:hAnsiTheme="majorBidi" w:cstheme="majorBidi"/>
          <w:sz w:val="24"/>
          <w:szCs w:val="24"/>
          <w:lang w:bidi="ar-JO"/>
        </w:rPr>
        <w:t xml:space="preserve"> this includes the following aspects (Basel, 2000): </w:t>
      </w:r>
    </w:p>
    <w:p w:rsidR="00467AC4" w:rsidRPr="00467AC4" w:rsidRDefault="00467AC4" w:rsidP="00F873C9">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467AC4">
        <w:rPr>
          <w:rFonts w:ascii="Times New Roman" w:hAnsi="Times New Roman" w:cs="Times New Roman"/>
          <w:sz w:val="24"/>
          <w:szCs w:val="24"/>
        </w:rPr>
        <w:t xml:space="preserve">Bank's credit-granting activity is conforming to the developed strategy; </w:t>
      </w:r>
    </w:p>
    <w:p w:rsidR="00467AC4" w:rsidRPr="00467AC4" w:rsidRDefault="00467AC4" w:rsidP="00F873C9">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467AC4">
        <w:rPr>
          <w:rFonts w:ascii="Times New Roman" w:hAnsi="Times New Roman" w:cs="Times New Roman"/>
          <w:sz w:val="24"/>
          <w:szCs w:val="24"/>
        </w:rPr>
        <w:t xml:space="preserve">Procedures for implementation strategy should be written; - </w:t>
      </w:r>
    </w:p>
    <w:p w:rsidR="00467AC4" w:rsidRPr="00467AC4" w:rsidRDefault="00467AC4" w:rsidP="00F873C9">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467AC4">
        <w:rPr>
          <w:rFonts w:ascii="Times New Roman" w:hAnsi="Times New Roman" w:cs="Times New Roman"/>
          <w:sz w:val="24"/>
          <w:szCs w:val="24"/>
        </w:rPr>
        <w:t xml:space="preserve">Clear identification of responsibilities for loan approval and reviewing process; - </w:t>
      </w:r>
    </w:p>
    <w:p w:rsidR="0047139B" w:rsidRDefault="00467AC4" w:rsidP="00F873C9">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467AC4">
        <w:rPr>
          <w:rFonts w:ascii="Times New Roman" w:hAnsi="Times New Roman" w:cs="Times New Roman"/>
          <w:sz w:val="24"/>
          <w:szCs w:val="24"/>
        </w:rPr>
        <w:t>Bank's credit-granting and management function should have periodically internal assessmen</w:t>
      </w:r>
      <w:r>
        <w:rPr>
          <w:rFonts w:ascii="Times New Roman" w:hAnsi="Times New Roman" w:cs="Times New Roman"/>
          <w:sz w:val="24"/>
          <w:szCs w:val="24"/>
        </w:rPr>
        <w:t>t</w:t>
      </w:r>
    </w:p>
    <w:p w:rsidR="00BB6B0E" w:rsidRPr="008B0B82" w:rsidRDefault="00F47530" w:rsidP="006846A1">
      <w:pPr>
        <w:autoSpaceDE w:val="0"/>
        <w:autoSpaceDN w:val="0"/>
        <w:adjustRightInd w:val="0"/>
        <w:spacing w:after="0" w:line="360" w:lineRule="auto"/>
        <w:jc w:val="both"/>
        <w:rPr>
          <w:rFonts w:ascii="Times New Roman" w:hAnsi="Times New Roman" w:cs="Times New Roman"/>
          <w:sz w:val="24"/>
          <w:szCs w:val="24"/>
        </w:rPr>
      </w:pPr>
      <w:r w:rsidRPr="0047139B">
        <w:rPr>
          <w:rFonts w:ascii="Times New Roman" w:hAnsi="Times New Roman" w:cs="Times New Roman"/>
          <w:sz w:val="24"/>
          <w:szCs w:val="24"/>
        </w:rPr>
        <w:t xml:space="preserve">Also the senior management of a bank is responsible for developing and </w:t>
      </w:r>
      <w:r w:rsidR="00832453" w:rsidRPr="0047139B">
        <w:rPr>
          <w:rFonts w:ascii="Times New Roman" w:hAnsi="Times New Roman" w:cs="Times New Roman"/>
          <w:sz w:val="24"/>
          <w:szCs w:val="24"/>
        </w:rPr>
        <w:t>establishing</w:t>
      </w:r>
      <w:r w:rsidR="00FF4BD2" w:rsidRPr="0047139B">
        <w:rPr>
          <w:rFonts w:ascii="Times New Roman" w:hAnsi="Times New Roman" w:cs="Times New Roman"/>
          <w:sz w:val="24"/>
          <w:szCs w:val="24"/>
        </w:rPr>
        <w:t xml:space="preserve"> </w:t>
      </w:r>
      <w:r w:rsidR="00F10922" w:rsidRPr="0047139B">
        <w:rPr>
          <w:rFonts w:ascii="Times New Roman" w:hAnsi="Times New Roman" w:cs="Times New Roman"/>
          <w:sz w:val="24"/>
          <w:szCs w:val="24"/>
        </w:rPr>
        <w:t>written credit policies</w:t>
      </w:r>
      <w:r w:rsidRPr="0047139B">
        <w:rPr>
          <w:rFonts w:ascii="Times New Roman" w:hAnsi="Times New Roman" w:cs="Times New Roman"/>
          <w:sz w:val="24"/>
          <w:szCs w:val="24"/>
        </w:rPr>
        <w:t xml:space="preserve"> as a part from the overall credit risk management strategy which reflects</w:t>
      </w:r>
      <w:r w:rsidR="00F10922" w:rsidRPr="0047139B">
        <w:rPr>
          <w:rFonts w:ascii="Times New Roman" w:hAnsi="Times New Roman" w:cs="Times New Roman"/>
          <w:sz w:val="24"/>
          <w:szCs w:val="24"/>
        </w:rPr>
        <w:t xml:space="preserve"> and </w:t>
      </w:r>
      <w:r w:rsidRPr="0047139B">
        <w:rPr>
          <w:rFonts w:ascii="Times New Roman" w:hAnsi="Times New Roman" w:cs="Times New Roman"/>
          <w:sz w:val="24"/>
          <w:szCs w:val="24"/>
        </w:rPr>
        <w:t>express the bank’s credit risk philosophy</w:t>
      </w:r>
      <w:r w:rsidR="00F97B16">
        <w:rPr>
          <w:rFonts w:ascii="Times New Roman" w:hAnsi="Times New Roman" w:cs="Times New Roman"/>
          <w:sz w:val="24"/>
          <w:szCs w:val="24"/>
        </w:rPr>
        <w:t xml:space="preserve">. This </w:t>
      </w:r>
      <w:r w:rsidR="00F97B16" w:rsidRPr="0047139B">
        <w:rPr>
          <w:rFonts w:ascii="Times New Roman" w:hAnsi="Times New Roman" w:cs="Times New Roman"/>
          <w:sz w:val="24"/>
          <w:szCs w:val="24"/>
        </w:rPr>
        <w:t>credit risk management strategy</w:t>
      </w:r>
      <w:r w:rsidR="00F97B16">
        <w:rPr>
          <w:rFonts w:ascii="Times New Roman" w:hAnsi="Times New Roman" w:cs="Times New Roman"/>
          <w:sz w:val="24"/>
          <w:szCs w:val="24"/>
        </w:rPr>
        <w:t xml:space="preserve"> should be</w:t>
      </w:r>
      <w:r w:rsidR="0047139B" w:rsidRPr="0047139B">
        <w:rPr>
          <w:rFonts w:ascii="Times New Roman" w:hAnsi="Times New Roman" w:cs="Times New Roman"/>
          <w:sz w:val="24"/>
          <w:szCs w:val="24"/>
        </w:rPr>
        <w:t xml:space="preserve"> consistent </w:t>
      </w:r>
      <w:r w:rsidR="00F10922" w:rsidRPr="0047139B">
        <w:rPr>
          <w:rFonts w:ascii="Times New Roman" w:hAnsi="Times New Roman" w:cs="Times New Roman"/>
          <w:sz w:val="24"/>
          <w:szCs w:val="24"/>
        </w:rPr>
        <w:t>with prudent practices</w:t>
      </w:r>
      <w:r w:rsidR="00F97B16">
        <w:rPr>
          <w:rFonts w:ascii="Times New Roman" w:hAnsi="Times New Roman" w:cs="Times New Roman"/>
          <w:sz w:val="24"/>
          <w:szCs w:val="24"/>
        </w:rPr>
        <w:t>,</w:t>
      </w:r>
      <w:r w:rsidR="00F10922" w:rsidRPr="0047139B">
        <w:rPr>
          <w:rFonts w:ascii="Times New Roman" w:hAnsi="Times New Roman" w:cs="Times New Roman"/>
          <w:sz w:val="24"/>
          <w:szCs w:val="24"/>
        </w:rPr>
        <w:t xml:space="preserve"> regulatory requirements, and adequate for t</w:t>
      </w:r>
      <w:r w:rsidR="009B395F" w:rsidRPr="0047139B">
        <w:rPr>
          <w:rFonts w:ascii="Times New Roman" w:hAnsi="Times New Roman" w:cs="Times New Roman"/>
          <w:sz w:val="24"/>
          <w:szCs w:val="24"/>
        </w:rPr>
        <w:t xml:space="preserve">he nature and complexity of the </w:t>
      </w:r>
      <w:r w:rsidR="00F10922" w:rsidRPr="0047139B">
        <w:rPr>
          <w:rFonts w:ascii="Times New Roman" w:hAnsi="Times New Roman" w:cs="Times New Roman"/>
          <w:sz w:val="24"/>
          <w:szCs w:val="24"/>
        </w:rPr>
        <w:t xml:space="preserve">institution’s activities concerning the conditions and guidelines for the granting, maintenance, monitoring and management of credit, at both the individual transaction and portfolio </w:t>
      </w:r>
      <w:r w:rsidR="006846A1" w:rsidRPr="0047139B">
        <w:rPr>
          <w:rFonts w:ascii="Times New Roman" w:hAnsi="Times New Roman" w:cs="Times New Roman"/>
          <w:sz w:val="24"/>
          <w:szCs w:val="24"/>
        </w:rPr>
        <w:t>levels.</w:t>
      </w:r>
      <w:r w:rsidR="006846A1" w:rsidRPr="008B0B82">
        <w:rPr>
          <w:rFonts w:ascii="Times New Roman" w:hAnsi="Times New Roman" w:cs="Times New Roman"/>
          <w:color w:val="000000"/>
          <w:sz w:val="24"/>
          <w:szCs w:val="24"/>
        </w:rPr>
        <w:t xml:space="preserve"> To</w:t>
      </w:r>
      <w:r w:rsidR="00BB6B0E" w:rsidRPr="008B0B82">
        <w:rPr>
          <w:rFonts w:ascii="Times New Roman" w:hAnsi="Times New Roman" w:cs="Times New Roman"/>
          <w:color w:val="000000"/>
          <w:sz w:val="24"/>
          <w:szCs w:val="24"/>
        </w:rPr>
        <w:t xml:space="preserve"> conclude, establishing</w:t>
      </w:r>
      <w:r w:rsidR="00BB6B0E" w:rsidRPr="008B0B82">
        <w:rPr>
          <w:rFonts w:ascii="Times New Roman" w:hAnsi="Times New Roman" w:cs="Times New Roman"/>
          <w:sz w:val="24"/>
          <w:szCs w:val="24"/>
        </w:rPr>
        <w:t xml:space="preserve"> an Appropriate Credit Risk Environment could</w:t>
      </w:r>
      <w:r w:rsidR="0050268E" w:rsidRPr="008B0B82">
        <w:rPr>
          <w:rFonts w:ascii="Times New Roman" w:hAnsi="Times New Roman" w:cs="Times New Roman"/>
          <w:sz w:val="24"/>
          <w:szCs w:val="24"/>
        </w:rPr>
        <w:t xml:space="preserve"> be summarized in the following (Basel, 2000):</w:t>
      </w:r>
    </w:p>
    <w:p w:rsidR="000C6142" w:rsidRPr="0047139B" w:rsidRDefault="000C6142" w:rsidP="00F873C9">
      <w:pPr>
        <w:pStyle w:val="ListParagraph"/>
        <w:numPr>
          <w:ilvl w:val="0"/>
          <w:numId w:val="35"/>
        </w:numPr>
        <w:spacing w:line="360" w:lineRule="auto"/>
        <w:rPr>
          <w:rFonts w:asciiTheme="majorBidi" w:hAnsiTheme="majorBidi" w:cstheme="majorBidi"/>
          <w:sz w:val="24"/>
          <w:szCs w:val="24"/>
          <w:lang w:bidi="ar-JO"/>
        </w:rPr>
      </w:pPr>
      <w:r w:rsidRPr="000C6142">
        <w:rPr>
          <w:rFonts w:asciiTheme="majorBidi" w:hAnsiTheme="majorBidi" w:cstheme="majorBidi"/>
          <w:sz w:val="24"/>
          <w:szCs w:val="24"/>
          <w:lang w:bidi="ar-JO"/>
        </w:rPr>
        <w:lastRenderedPageBreak/>
        <w:t>Clear monitoring and control</w:t>
      </w:r>
      <w:r w:rsidR="00F97B16">
        <w:rPr>
          <w:rFonts w:asciiTheme="majorBidi" w:hAnsiTheme="majorBidi" w:cstheme="majorBidi"/>
          <w:sz w:val="24"/>
          <w:szCs w:val="24"/>
          <w:lang w:bidi="ar-JO"/>
        </w:rPr>
        <w:t>ling</w:t>
      </w:r>
      <w:r w:rsidRPr="000C6142">
        <w:rPr>
          <w:rFonts w:asciiTheme="majorBidi" w:hAnsiTheme="majorBidi" w:cstheme="majorBidi"/>
          <w:sz w:val="24"/>
          <w:szCs w:val="24"/>
          <w:lang w:bidi="ar-JO"/>
        </w:rPr>
        <w:t xml:space="preserve"> of credit risk management all over the bank;</w:t>
      </w:r>
    </w:p>
    <w:p w:rsidR="000C6142" w:rsidRPr="000C6142" w:rsidRDefault="000C6142" w:rsidP="00F873C9">
      <w:pPr>
        <w:pStyle w:val="ListParagraph"/>
        <w:numPr>
          <w:ilvl w:val="0"/>
          <w:numId w:val="35"/>
        </w:numPr>
        <w:spacing w:line="360" w:lineRule="auto"/>
        <w:rPr>
          <w:rFonts w:asciiTheme="majorBidi" w:hAnsiTheme="majorBidi" w:cstheme="majorBidi"/>
          <w:sz w:val="24"/>
          <w:szCs w:val="24"/>
          <w:lang w:bidi="ar-JO"/>
        </w:rPr>
      </w:pPr>
      <w:r w:rsidRPr="000C6142">
        <w:rPr>
          <w:rFonts w:asciiTheme="majorBidi" w:hAnsiTheme="majorBidi" w:cstheme="majorBidi"/>
          <w:sz w:val="24"/>
          <w:szCs w:val="24"/>
          <w:lang w:bidi="ar-JO"/>
        </w:rPr>
        <w:t xml:space="preserve">Risk </w:t>
      </w:r>
      <w:r w:rsidRPr="000C6142">
        <w:rPr>
          <w:rFonts w:ascii="Times New Roman" w:hAnsi="Times New Roman" w:cs="Times New Roman"/>
          <w:color w:val="000000"/>
          <w:sz w:val="24"/>
          <w:szCs w:val="24"/>
        </w:rPr>
        <w:t>origination</w:t>
      </w:r>
      <w:r w:rsidRPr="000C6142">
        <w:rPr>
          <w:rFonts w:asciiTheme="majorBidi" w:hAnsiTheme="majorBidi" w:cstheme="majorBidi"/>
          <w:sz w:val="24"/>
          <w:szCs w:val="24"/>
          <w:lang w:bidi="ar-JO"/>
        </w:rPr>
        <w:t xml:space="preserve"> and policy setting should have clear segregation;</w:t>
      </w:r>
    </w:p>
    <w:p w:rsidR="000C6142" w:rsidRPr="000C6142" w:rsidRDefault="000C6142" w:rsidP="00F873C9">
      <w:pPr>
        <w:pStyle w:val="ListParagraph"/>
        <w:numPr>
          <w:ilvl w:val="0"/>
          <w:numId w:val="35"/>
        </w:numPr>
        <w:spacing w:line="360" w:lineRule="auto"/>
        <w:rPr>
          <w:rFonts w:asciiTheme="majorBidi" w:hAnsiTheme="majorBidi" w:cstheme="majorBidi"/>
          <w:sz w:val="24"/>
          <w:szCs w:val="24"/>
          <w:lang w:bidi="ar-JO"/>
        </w:rPr>
      </w:pPr>
      <w:r w:rsidRPr="000C6142">
        <w:rPr>
          <w:rFonts w:asciiTheme="majorBidi" w:hAnsiTheme="majorBidi" w:cstheme="majorBidi"/>
          <w:sz w:val="24"/>
          <w:szCs w:val="24"/>
          <w:lang w:bidi="ar-JO"/>
        </w:rPr>
        <w:t>Top management should define and communicate risk strategy to all levels;</w:t>
      </w:r>
    </w:p>
    <w:p w:rsidR="000C6142" w:rsidRPr="000C6142" w:rsidRDefault="000C6142" w:rsidP="00F873C9">
      <w:pPr>
        <w:pStyle w:val="ListParagraph"/>
        <w:numPr>
          <w:ilvl w:val="0"/>
          <w:numId w:val="35"/>
        </w:numPr>
        <w:spacing w:line="360" w:lineRule="auto"/>
        <w:rPr>
          <w:rFonts w:asciiTheme="majorBidi" w:hAnsiTheme="majorBidi" w:cstheme="majorBidi"/>
          <w:sz w:val="24"/>
          <w:szCs w:val="24"/>
          <w:lang w:bidi="ar-JO"/>
        </w:rPr>
      </w:pPr>
      <w:r w:rsidRPr="000C6142">
        <w:rPr>
          <w:rFonts w:asciiTheme="majorBidi" w:hAnsiTheme="majorBidi" w:cstheme="majorBidi"/>
          <w:sz w:val="24"/>
          <w:szCs w:val="24"/>
          <w:lang w:bidi="ar-JO"/>
        </w:rPr>
        <w:t>Top management should has visible and strong commitment;</w:t>
      </w:r>
    </w:p>
    <w:p w:rsidR="000C6142" w:rsidRPr="000C6142" w:rsidRDefault="000C6142" w:rsidP="00F873C9">
      <w:pPr>
        <w:pStyle w:val="ListParagraph"/>
        <w:numPr>
          <w:ilvl w:val="0"/>
          <w:numId w:val="35"/>
        </w:numPr>
        <w:spacing w:line="360" w:lineRule="auto"/>
        <w:rPr>
          <w:rFonts w:asciiTheme="majorBidi" w:hAnsiTheme="majorBidi" w:cstheme="majorBidi"/>
          <w:sz w:val="24"/>
          <w:szCs w:val="24"/>
          <w:lang w:bidi="ar-JO"/>
        </w:rPr>
      </w:pPr>
      <w:r w:rsidRPr="000C6142">
        <w:rPr>
          <w:rFonts w:asciiTheme="majorBidi" w:hAnsiTheme="majorBidi" w:cstheme="majorBidi"/>
          <w:sz w:val="24"/>
          <w:szCs w:val="24"/>
          <w:lang w:bidi="ar-JO"/>
        </w:rPr>
        <w:t>Periodic employee training;</w:t>
      </w:r>
    </w:p>
    <w:p w:rsidR="003B4DA4" w:rsidRPr="000F37C7" w:rsidRDefault="000C6142" w:rsidP="00F873C9">
      <w:pPr>
        <w:pStyle w:val="ListParagraph"/>
        <w:numPr>
          <w:ilvl w:val="0"/>
          <w:numId w:val="35"/>
        </w:numPr>
        <w:spacing w:line="360" w:lineRule="auto"/>
        <w:rPr>
          <w:rFonts w:asciiTheme="majorBidi" w:hAnsiTheme="majorBidi" w:cstheme="majorBidi"/>
          <w:sz w:val="24"/>
          <w:szCs w:val="24"/>
          <w:lang w:bidi="ar-JO"/>
        </w:rPr>
      </w:pPr>
      <w:r w:rsidRPr="000C6142">
        <w:rPr>
          <w:rFonts w:asciiTheme="majorBidi" w:hAnsiTheme="majorBidi" w:cstheme="majorBidi"/>
          <w:sz w:val="24"/>
          <w:szCs w:val="24"/>
          <w:lang w:bidi="ar-JO"/>
        </w:rPr>
        <w:t>Relationship between business units should be strong</w:t>
      </w:r>
    </w:p>
    <w:p w:rsidR="00E57D63" w:rsidRPr="000C6142" w:rsidRDefault="000C6142" w:rsidP="00974BD8">
      <w:pPr>
        <w:spacing w:line="240" w:lineRule="auto"/>
        <w:rPr>
          <w:rFonts w:asciiTheme="majorBidi" w:hAnsiTheme="majorBidi" w:cstheme="majorBidi"/>
          <w:sz w:val="24"/>
          <w:szCs w:val="24"/>
          <w:lang w:bidi="ar-JO"/>
        </w:rPr>
      </w:pPr>
      <w:r>
        <w:rPr>
          <w:rFonts w:asciiTheme="majorBidi" w:hAnsiTheme="majorBidi" w:cstheme="majorBidi"/>
          <w:sz w:val="24"/>
          <w:szCs w:val="24"/>
          <w:lang w:bidi="ar-JO"/>
        </w:rPr>
        <w:t xml:space="preserve"> </w:t>
      </w:r>
      <w:r w:rsidR="004544AC" w:rsidRPr="00861B0A">
        <w:rPr>
          <w:rFonts w:ascii="Times New Roman" w:hAnsi="Times New Roman" w:cs="Times New Roman"/>
          <w:b/>
          <w:color w:val="000000"/>
          <w:sz w:val="24"/>
          <w:szCs w:val="24"/>
        </w:rPr>
        <w:t>2.4.</w:t>
      </w:r>
      <w:r w:rsidR="00CD0EF0">
        <w:rPr>
          <w:rFonts w:ascii="Times New Roman" w:hAnsi="Times New Roman" w:cs="Times New Roman"/>
          <w:b/>
          <w:color w:val="000000"/>
          <w:sz w:val="24"/>
          <w:szCs w:val="24"/>
        </w:rPr>
        <w:t>3.2 Operating U</w:t>
      </w:r>
      <w:r w:rsidR="004544AC" w:rsidRPr="00861B0A">
        <w:rPr>
          <w:rFonts w:ascii="Times New Roman" w:hAnsi="Times New Roman" w:cs="Times New Roman"/>
          <w:b/>
          <w:color w:val="000000"/>
          <w:sz w:val="24"/>
          <w:szCs w:val="24"/>
        </w:rPr>
        <w:t>nder a Sound Credit Granting Process</w:t>
      </w:r>
    </w:p>
    <w:p w:rsidR="00EE29A7" w:rsidRDefault="00F6606A" w:rsidP="00EA3AF9">
      <w:pPr>
        <w:autoSpaceDE w:val="0"/>
        <w:autoSpaceDN w:val="0"/>
        <w:adjustRightInd w:val="0"/>
        <w:spacing w:after="0" w:line="360" w:lineRule="auto"/>
        <w:jc w:val="both"/>
        <w:rPr>
          <w:rFonts w:ascii="Times New Roman" w:hAnsi="Times New Roman" w:cs="Times New Roman"/>
          <w:sz w:val="24"/>
          <w:szCs w:val="24"/>
        </w:rPr>
      </w:pPr>
      <w:r w:rsidRPr="008B0B82">
        <w:rPr>
          <w:rFonts w:ascii="Times New Roman" w:hAnsi="Times New Roman" w:cs="Times New Roman"/>
          <w:sz w:val="24"/>
          <w:szCs w:val="24"/>
        </w:rPr>
        <w:t xml:space="preserve"> Establishing a</w:t>
      </w:r>
      <w:r w:rsidR="003575D3" w:rsidRPr="008B0B82">
        <w:rPr>
          <w:rFonts w:ascii="Times New Roman" w:hAnsi="Times New Roman" w:cs="Times New Roman"/>
          <w:sz w:val="24"/>
          <w:szCs w:val="24"/>
        </w:rPr>
        <w:t xml:space="preserve"> sound credit granting pr</w:t>
      </w:r>
      <w:r w:rsidR="008870A3" w:rsidRPr="008B0B82">
        <w:rPr>
          <w:rFonts w:ascii="Times New Roman" w:hAnsi="Times New Roman" w:cs="Times New Roman"/>
          <w:sz w:val="24"/>
          <w:szCs w:val="24"/>
        </w:rPr>
        <w:t>ocess requires the development</w:t>
      </w:r>
      <w:r w:rsidR="003575D3" w:rsidRPr="008B0B82">
        <w:rPr>
          <w:rFonts w:ascii="Times New Roman" w:hAnsi="Times New Roman" w:cs="Times New Roman"/>
          <w:sz w:val="24"/>
          <w:szCs w:val="24"/>
        </w:rPr>
        <w:t xml:space="preserve"> of well-def</w:t>
      </w:r>
      <w:r w:rsidRPr="008B0B82">
        <w:rPr>
          <w:rFonts w:ascii="Times New Roman" w:hAnsi="Times New Roman" w:cs="Times New Roman"/>
          <w:sz w:val="24"/>
          <w:szCs w:val="24"/>
        </w:rPr>
        <w:t xml:space="preserve">ined credit granting criteria </w:t>
      </w:r>
      <w:r w:rsidR="003575D3" w:rsidRPr="008B0B82">
        <w:rPr>
          <w:rFonts w:ascii="Times New Roman" w:hAnsi="Times New Roman" w:cs="Times New Roman"/>
          <w:sz w:val="24"/>
          <w:szCs w:val="24"/>
        </w:rPr>
        <w:t xml:space="preserve">in order to </w:t>
      </w:r>
      <w:r w:rsidR="008870A3" w:rsidRPr="008B0B82">
        <w:rPr>
          <w:rFonts w:ascii="Times New Roman" w:hAnsi="Times New Roman" w:cs="Times New Roman"/>
          <w:sz w:val="24"/>
          <w:szCs w:val="24"/>
        </w:rPr>
        <w:t xml:space="preserve">estimate </w:t>
      </w:r>
      <w:r w:rsidR="003575D3" w:rsidRPr="008B0B82">
        <w:rPr>
          <w:rFonts w:ascii="Times New Roman" w:hAnsi="Times New Roman" w:cs="Times New Roman"/>
          <w:sz w:val="24"/>
          <w:szCs w:val="24"/>
        </w:rPr>
        <w:t>the c</w:t>
      </w:r>
      <w:r w:rsidR="008870A3" w:rsidRPr="008B0B82">
        <w:rPr>
          <w:rFonts w:ascii="Times New Roman" w:hAnsi="Times New Roman" w:cs="Times New Roman"/>
          <w:sz w:val="24"/>
          <w:szCs w:val="24"/>
        </w:rPr>
        <w:t xml:space="preserve">reditworthiness of the borrower or counterparties </w:t>
      </w:r>
      <w:r w:rsidR="00810C5F">
        <w:rPr>
          <w:rFonts w:ascii="Times New Roman" w:hAnsi="Times New Roman" w:cs="Times New Roman"/>
          <w:sz w:val="24"/>
          <w:szCs w:val="24"/>
        </w:rPr>
        <w:t>and pick up</w:t>
      </w:r>
      <w:r w:rsidR="003575D3" w:rsidRPr="008B0B82">
        <w:rPr>
          <w:rFonts w:ascii="Times New Roman" w:hAnsi="Times New Roman" w:cs="Times New Roman"/>
          <w:sz w:val="24"/>
          <w:szCs w:val="24"/>
        </w:rPr>
        <w:t xml:space="preserve"> the preferred ones. </w:t>
      </w:r>
      <w:r w:rsidRPr="008B0B82">
        <w:rPr>
          <w:rFonts w:ascii="Times New Roman" w:hAnsi="Times New Roman" w:cs="Times New Roman"/>
          <w:sz w:val="24"/>
          <w:szCs w:val="24"/>
        </w:rPr>
        <w:t>A bank’s credit criteria should be</w:t>
      </w:r>
      <w:r w:rsidR="003575D3" w:rsidRPr="008B0B82">
        <w:rPr>
          <w:rFonts w:ascii="Times New Roman" w:hAnsi="Times New Roman" w:cs="Times New Roman"/>
          <w:sz w:val="24"/>
          <w:szCs w:val="24"/>
        </w:rPr>
        <w:t xml:space="preserve"> designed to </w:t>
      </w:r>
      <w:r w:rsidRPr="008B0B82">
        <w:rPr>
          <w:rFonts w:ascii="Times New Roman" w:hAnsi="Times New Roman" w:cs="Times New Roman"/>
          <w:sz w:val="24"/>
          <w:szCs w:val="24"/>
        </w:rPr>
        <w:t xml:space="preserve">define </w:t>
      </w:r>
      <w:r w:rsidR="003575D3" w:rsidRPr="008B0B82">
        <w:rPr>
          <w:rFonts w:ascii="Times New Roman" w:hAnsi="Times New Roman" w:cs="Times New Roman"/>
          <w:sz w:val="24"/>
          <w:szCs w:val="24"/>
        </w:rPr>
        <w:t>the types and character</w:t>
      </w:r>
      <w:r w:rsidRPr="008B0B82">
        <w:rPr>
          <w:rFonts w:ascii="Times New Roman" w:hAnsi="Times New Roman" w:cs="Times New Roman"/>
          <w:sz w:val="24"/>
          <w:szCs w:val="24"/>
        </w:rPr>
        <w:t>istics of its prefe</w:t>
      </w:r>
      <w:r w:rsidR="0018354F">
        <w:rPr>
          <w:rFonts w:ascii="Times New Roman" w:hAnsi="Times New Roman" w:cs="Times New Roman"/>
          <w:sz w:val="24"/>
          <w:szCs w:val="24"/>
        </w:rPr>
        <w:t>rred borrowers or counterpart</w:t>
      </w:r>
      <w:r w:rsidR="003575D3" w:rsidRPr="008B0B82">
        <w:rPr>
          <w:rFonts w:ascii="Times New Roman" w:hAnsi="Times New Roman" w:cs="Times New Roman"/>
          <w:sz w:val="24"/>
          <w:szCs w:val="24"/>
        </w:rPr>
        <w:t xml:space="preserve"> and they should set out who are eligible for the credit</w:t>
      </w:r>
      <w:r w:rsidR="0002099A" w:rsidRPr="008B0B82">
        <w:rPr>
          <w:rFonts w:ascii="Times New Roman" w:hAnsi="Times New Roman" w:cs="Times New Roman"/>
          <w:sz w:val="24"/>
          <w:szCs w:val="24"/>
        </w:rPr>
        <w:t xml:space="preserve"> and</w:t>
      </w:r>
      <w:r w:rsidRPr="008B0B82">
        <w:rPr>
          <w:rFonts w:ascii="Times New Roman" w:hAnsi="Times New Roman" w:cs="Times New Roman"/>
          <w:sz w:val="24"/>
          <w:szCs w:val="24"/>
        </w:rPr>
        <w:t xml:space="preserve"> under what terms and conditions the credit can be granted</w:t>
      </w:r>
      <w:r w:rsidR="00001112">
        <w:rPr>
          <w:rFonts w:ascii="Times New Roman" w:hAnsi="Times New Roman" w:cs="Times New Roman"/>
          <w:sz w:val="24"/>
          <w:szCs w:val="24"/>
        </w:rPr>
        <w:t xml:space="preserve"> (Basel, 2000</w:t>
      </w:r>
      <w:r w:rsidR="0002099A" w:rsidRPr="008B0B82">
        <w:rPr>
          <w:rFonts w:ascii="Times New Roman" w:hAnsi="Times New Roman" w:cs="Times New Roman"/>
          <w:sz w:val="24"/>
          <w:szCs w:val="24"/>
        </w:rPr>
        <w:t>).</w:t>
      </w:r>
    </w:p>
    <w:p w:rsidR="004544AC" w:rsidRPr="008B0B82" w:rsidRDefault="003575D3" w:rsidP="00EA3AF9">
      <w:pPr>
        <w:autoSpaceDE w:val="0"/>
        <w:autoSpaceDN w:val="0"/>
        <w:adjustRightInd w:val="0"/>
        <w:spacing w:after="0" w:line="360" w:lineRule="auto"/>
        <w:jc w:val="both"/>
        <w:rPr>
          <w:rFonts w:ascii="Times New Roman" w:hAnsi="Times New Roman" w:cs="Times New Roman"/>
          <w:sz w:val="24"/>
          <w:szCs w:val="24"/>
        </w:rPr>
      </w:pPr>
      <w:r w:rsidRPr="008B0B82">
        <w:rPr>
          <w:rFonts w:ascii="Times New Roman" w:hAnsi="Times New Roman" w:cs="Times New Roman"/>
          <w:sz w:val="24"/>
          <w:szCs w:val="24"/>
        </w:rPr>
        <w:t>In other words</w:t>
      </w:r>
      <w:r w:rsidR="005B2982" w:rsidRPr="008B0B82">
        <w:rPr>
          <w:rFonts w:ascii="Times New Roman" w:hAnsi="Times New Roman" w:cs="Times New Roman"/>
          <w:sz w:val="24"/>
          <w:szCs w:val="24"/>
        </w:rPr>
        <w:t>, making</w:t>
      </w:r>
      <w:r w:rsidR="00FE1743" w:rsidRPr="008B0B82">
        <w:rPr>
          <w:rFonts w:ascii="Times New Roman" w:hAnsi="Times New Roman" w:cs="Times New Roman"/>
          <w:sz w:val="24"/>
          <w:szCs w:val="24"/>
        </w:rPr>
        <w:t xml:space="preserve"> credit</w:t>
      </w:r>
      <w:r w:rsidR="00566F44" w:rsidRPr="008B0B82">
        <w:rPr>
          <w:rFonts w:ascii="Times New Roman" w:hAnsi="Times New Roman" w:cs="Times New Roman"/>
          <w:sz w:val="24"/>
          <w:szCs w:val="24"/>
        </w:rPr>
        <w:t xml:space="preserve"> risk</w:t>
      </w:r>
      <w:r w:rsidR="00FE1743" w:rsidRPr="008B0B82">
        <w:rPr>
          <w:rFonts w:ascii="Times New Roman" w:hAnsi="Times New Roman" w:cs="Times New Roman"/>
          <w:sz w:val="24"/>
          <w:szCs w:val="24"/>
        </w:rPr>
        <w:t xml:space="preserve"> analysis</w:t>
      </w:r>
      <w:r w:rsidR="006A6DF2" w:rsidRPr="008B0B82">
        <w:rPr>
          <w:rFonts w:ascii="Times New Roman" w:hAnsi="Times New Roman" w:cs="Times New Roman"/>
          <w:sz w:val="24"/>
          <w:szCs w:val="24"/>
        </w:rPr>
        <w:t xml:space="preserve"> by evaluating</w:t>
      </w:r>
      <w:r w:rsidR="00832453">
        <w:rPr>
          <w:rFonts w:ascii="Times New Roman" w:hAnsi="Times New Roman" w:cs="Times New Roman"/>
          <w:sz w:val="24"/>
          <w:szCs w:val="24"/>
        </w:rPr>
        <w:t xml:space="preserve"> </w:t>
      </w:r>
      <w:r w:rsidR="002B26EB" w:rsidRPr="008B0B82">
        <w:rPr>
          <w:rFonts w:ascii="Times New Roman" w:hAnsi="Times New Roman" w:cs="Times New Roman"/>
          <w:sz w:val="24"/>
          <w:szCs w:val="24"/>
        </w:rPr>
        <w:t>the credit-</w:t>
      </w:r>
      <w:r w:rsidRPr="008B0B82">
        <w:rPr>
          <w:rFonts w:ascii="Times New Roman" w:hAnsi="Times New Roman" w:cs="Times New Roman"/>
          <w:sz w:val="24"/>
          <w:szCs w:val="24"/>
        </w:rPr>
        <w:t xml:space="preserve">worthiness of the borrower or the </w:t>
      </w:r>
      <w:r w:rsidR="006A6DF2" w:rsidRPr="008B0B82">
        <w:rPr>
          <w:rFonts w:ascii="Times New Roman" w:hAnsi="Times New Roman" w:cs="Times New Roman"/>
          <w:sz w:val="24"/>
          <w:szCs w:val="24"/>
        </w:rPr>
        <w:t>counterparty,</w:t>
      </w:r>
      <w:r w:rsidRPr="008B0B82">
        <w:rPr>
          <w:rFonts w:ascii="Times New Roman" w:hAnsi="Times New Roman" w:cs="Times New Roman"/>
          <w:sz w:val="24"/>
          <w:szCs w:val="24"/>
        </w:rPr>
        <w:t xml:space="preserve"> to </w:t>
      </w:r>
      <w:r w:rsidR="00FE1743" w:rsidRPr="008B0B82">
        <w:rPr>
          <w:rFonts w:ascii="Times New Roman" w:hAnsi="Times New Roman" w:cs="Times New Roman"/>
          <w:sz w:val="24"/>
          <w:szCs w:val="24"/>
        </w:rPr>
        <w:t>have</w:t>
      </w:r>
      <w:r w:rsidRPr="008B0B82">
        <w:rPr>
          <w:rFonts w:ascii="Times New Roman" w:hAnsi="Times New Roman" w:cs="Times New Roman"/>
          <w:sz w:val="24"/>
          <w:szCs w:val="24"/>
        </w:rPr>
        <w:t xml:space="preserve"> sufficient inform</w:t>
      </w:r>
      <w:r w:rsidR="00757FF3">
        <w:rPr>
          <w:rFonts w:ascii="Times New Roman" w:hAnsi="Times New Roman" w:cs="Times New Roman"/>
          <w:sz w:val="24"/>
          <w:szCs w:val="24"/>
        </w:rPr>
        <w:t xml:space="preserve">ation to have an overall </w:t>
      </w:r>
      <w:r w:rsidRPr="008B0B82">
        <w:rPr>
          <w:rFonts w:ascii="Times New Roman" w:hAnsi="Times New Roman" w:cs="Times New Roman"/>
          <w:sz w:val="24"/>
          <w:szCs w:val="24"/>
        </w:rPr>
        <w:t>assessment of the true risk profile</w:t>
      </w:r>
      <w:r w:rsidR="00832453">
        <w:rPr>
          <w:rFonts w:ascii="Times New Roman" w:hAnsi="Times New Roman" w:cs="Times New Roman"/>
          <w:sz w:val="24"/>
          <w:szCs w:val="24"/>
        </w:rPr>
        <w:t xml:space="preserve"> </w:t>
      </w:r>
      <w:r w:rsidRPr="008B0B82">
        <w:rPr>
          <w:rFonts w:ascii="Times New Roman" w:hAnsi="Times New Roman" w:cs="Times New Roman"/>
          <w:sz w:val="24"/>
          <w:szCs w:val="24"/>
        </w:rPr>
        <w:t>of th</w:t>
      </w:r>
      <w:r w:rsidR="00FE1743" w:rsidRPr="008B0B82">
        <w:rPr>
          <w:rFonts w:ascii="Times New Roman" w:hAnsi="Times New Roman" w:cs="Times New Roman"/>
          <w:sz w:val="24"/>
          <w:szCs w:val="24"/>
        </w:rPr>
        <w:t>em</w:t>
      </w:r>
      <w:r w:rsidR="006A6DF2" w:rsidRPr="008B0B82">
        <w:rPr>
          <w:rFonts w:ascii="Times New Roman" w:hAnsi="Times New Roman" w:cs="Times New Roman"/>
          <w:sz w:val="24"/>
          <w:szCs w:val="24"/>
        </w:rPr>
        <w:t xml:space="preserve"> and </w:t>
      </w:r>
      <w:r w:rsidR="00296650" w:rsidRPr="008B0B82">
        <w:rPr>
          <w:rFonts w:ascii="Times New Roman" w:hAnsi="Times New Roman" w:cs="Times New Roman"/>
          <w:sz w:val="24"/>
          <w:szCs w:val="24"/>
        </w:rPr>
        <w:t xml:space="preserve">to </w:t>
      </w:r>
      <w:r w:rsidR="006A6DF2" w:rsidRPr="008B0B82">
        <w:rPr>
          <w:rFonts w:ascii="Times New Roman" w:hAnsi="Times New Roman" w:cs="Times New Roman"/>
          <w:sz w:val="24"/>
          <w:szCs w:val="24"/>
        </w:rPr>
        <w:t>mak</w:t>
      </w:r>
      <w:r w:rsidR="00757FF3">
        <w:rPr>
          <w:rFonts w:ascii="Times New Roman" w:hAnsi="Times New Roman" w:cs="Times New Roman"/>
          <w:sz w:val="24"/>
          <w:szCs w:val="24"/>
        </w:rPr>
        <w:t>e an a appropriate</w:t>
      </w:r>
      <w:r w:rsidR="00832453">
        <w:rPr>
          <w:rFonts w:ascii="Times New Roman" w:hAnsi="Times New Roman" w:cs="Times New Roman"/>
          <w:sz w:val="24"/>
          <w:szCs w:val="24"/>
        </w:rPr>
        <w:t xml:space="preserve"> </w:t>
      </w:r>
      <w:r w:rsidR="00296650" w:rsidRPr="008B0B82">
        <w:rPr>
          <w:rFonts w:ascii="Times New Roman" w:hAnsi="Times New Roman" w:cs="Times New Roman"/>
          <w:sz w:val="24"/>
          <w:szCs w:val="24"/>
        </w:rPr>
        <w:t>credit-granting decision</w:t>
      </w:r>
      <w:r w:rsidR="005B2982" w:rsidRPr="008B0B82">
        <w:rPr>
          <w:rFonts w:ascii="Times New Roman" w:hAnsi="Times New Roman" w:cs="Times New Roman"/>
          <w:sz w:val="24"/>
          <w:szCs w:val="24"/>
        </w:rPr>
        <w:t xml:space="preserve"> </w:t>
      </w:r>
      <w:r w:rsidR="00296650" w:rsidRPr="008B0B82">
        <w:rPr>
          <w:rFonts w:ascii="Times New Roman" w:hAnsi="Times New Roman" w:cs="Times New Roman"/>
          <w:sz w:val="24"/>
          <w:szCs w:val="24"/>
        </w:rPr>
        <w:t>(</w:t>
      </w:r>
      <w:r w:rsidR="00DA32C8" w:rsidRPr="008B0B82">
        <w:rPr>
          <w:rFonts w:ascii="Times New Roman" w:hAnsi="Times New Roman" w:cs="Times New Roman"/>
          <w:sz w:val="24"/>
          <w:szCs w:val="24"/>
        </w:rPr>
        <w:t>Monetary Authority of Singapore</w:t>
      </w:r>
      <w:r w:rsidR="00001112">
        <w:rPr>
          <w:rFonts w:ascii="Times New Roman" w:hAnsi="Times New Roman" w:cs="Times New Roman"/>
          <w:sz w:val="24"/>
          <w:szCs w:val="24"/>
        </w:rPr>
        <w:t>,</w:t>
      </w:r>
      <w:r w:rsidR="00DA32C8" w:rsidRPr="008B0B82">
        <w:rPr>
          <w:rFonts w:ascii="Times New Roman" w:hAnsi="Times New Roman" w:cs="Times New Roman"/>
          <w:sz w:val="24"/>
          <w:szCs w:val="24"/>
        </w:rPr>
        <w:t xml:space="preserve"> 2006)</w:t>
      </w:r>
      <w:r w:rsidR="00296650" w:rsidRPr="008B0B82">
        <w:rPr>
          <w:rFonts w:ascii="Times New Roman" w:hAnsi="Times New Roman" w:cs="Times New Roman"/>
          <w:sz w:val="24"/>
          <w:szCs w:val="24"/>
        </w:rPr>
        <w:t>.</w:t>
      </w:r>
    </w:p>
    <w:p w:rsidR="004C56F4" w:rsidRPr="008B0B82" w:rsidRDefault="005B2982" w:rsidP="00EA3AF9">
      <w:pPr>
        <w:autoSpaceDE w:val="0"/>
        <w:autoSpaceDN w:val="0"/>
        <w:adjustRightInd w:val="0"/>
        <w:spacing w:after="0" w:line="360" w:lineRule="auto"/>
        <w:jc w:val="both"/>
        <w:rPr>
          <w:rFonts w:ascii="Times New Roman" w:hAnsi="Times New Roman" w:cs="Times New Roman"/>
          <w:sz w:val="24"/>
          <w:szCs w:val="24"/>
        </w:rPr>
      </w:pPr>
      <w:r w:rsidRPr="00861B0A">
        <w:rPr>
          <w:rFonts w:ascii="Times New Roman" w:hAnsi="Times New Roman" w:cs="Times New Roman"/>
          <w:sz w:val="24"/>
          <w:szCs w:val="24"/>
        </w:rPr>
        <w:t>Credit</w:t>
      </w:r>
      <w:r w:rsidR="001C100A" w:rsidRPr="00861B0A">
        <w:rPr>
          <w:rFonts w:ascii="Times New Roman" w:hAnsi="Times New Roman" w:cs="Times New Roman"/>
          <w:sz w:val="24"/>
          <w:szCs w:val="24"/>
        </w:rPr>
        <w:t xml:space="preserve"> risk</w:t>
      </w:r>
      <w:r w:rsidRPr="00861B0A">
        <w:rPr>
          <w:rFonts w:ascii="Times New Roman" w:hAnsi="Times New Roman" w:cs="Times New Roman"/>
          <w:sz w:val="24"/>
          <w:szCs w:val="24"/>
        </w:rPr>
        <w:t xml:space="preserve"> analysis</w:t>
      </w:r>
      <w:r w:rsidR="00832453">
        <w:rPr>
          <w:rFonts w:ascii="Times New Roman" w:hAnsi="Times New Roman" w:cs="Times New Roman"/>
          <w:sz w:val="24"/>
          <w:szCs w:val="24"/>
        </w:rPr>
        <w:t xml:space="preserve"> </w:t>
      </w:r>
      <w:r w:rsidR="00C6459B" w:rsidRPr="008B0B82">
        <w:rPr>
          <w:rFonts w:ascii="Times New Roman" w:hAnsi="Times New Roman" w:cs="Times New Roman"/>
          <w:sz w:val="24"/>
          <w:szCs w:val="24"/>
        </w:rPr>
        <w:t xml:space="preserve">is a crucial part of the </w:t>
      </w:r>
      <w:r w:rsidR="00BB103E" w:rsidRPr="008B0B82">
        <w:rPr>
          <w:rFonts w:ascii="Times New Roman" w:hAnsi="Times New Roman" w:cs="Times New Roman"/>
          <w:sz w:val="24"/>
          <w:szCs w:val="24"/>
        </w:rPr>
        <w:t>banks</w:t>
      </w:r>
      <w:r w:rsidR="00C6459B" w:rsidRPr="008B0B82">
        <w:rPr>
          <w:rFonts w:ascii="Times New Roman" w:hAnsi="Times New Roman" w:cs="Times New Roman"/>
          <w:sz w:val="24"/>
          <w:szCs w:val="24"/>
        </w:rPr>
        <w:t xml:space="preserve"> ex ante credit risk management</w:t>
      </w:r>
      <w:r w:rsidR="00227C3B" w:rsidRPr="008B0B82">
        <w:rPr>
          <w:rFonts w:ascii="Times New Roman" w:hAnsi="Times New Roman" w:cs="Times New Roman"/>
          <w:sz w:val="24"/>
          <w:szCs w:val="24"/>
        </w:rPr>
        <w:t>.</w:t>
      </w:r>
      <w:r w:rsidR="00DD495C" w:rsidRPr="008B0B82">
        <w:rPr>
          <w:rFonts w:ascii="Times New Roman" w:hAnsi="Times New Roman" w:cs="Times New Roman"/>
          <w:sz w:val="24"/>
          <w:szCs w:val="24"/>
        </w:rPr>
        <w:t xml:space="preserve"> This credit analysis process or credit assessment process major goal is to identify and control risks by determining the borrower’s probability of repaying the debt. This is achieved through analyzing all factors surrounding the borrower’s ability</w:t>
      </w:r>
      <w:r w:rsidR="004C56F4" w:rsidRPr="008B0B82">
        <w:rPr>
          <w:rFonts w:ascii="Times New Roman" w:hAnsi="Times New Roman" w:cs="Times New Roman"/>
          <w:sz w:val="24"/>
          <w:szCs w:val="24"/>
        </w:rPr>
        <w:t xml:space="preserve"> or capacity and willingness to repay the debt, such as, borrower’s income, balance sheet, cas</w:t>
      </w:r>
      <w:r w:rsidR="00420FB9">
        <w:rPr>
          <w:rFonts w:ascii="Times New Roman" w:hAnsi="Times New Roman" w:cs="Times New Roman"/>
          <w:sz w:val="24"/>
          <w:szCs w:val="24"/>
        </w:rPr>
        <w:t>h flow statements,</w:t>
      </w:r>
      <w:r w:rsidR="00420FB9" w:rsidRPr="00420FB9">
        <w:rPr>
          <w:rFonts w:ascii="Times New Roman" w:hAnsi="Times New Roman" w:cs="Times New Roman"/>
          <w:sz w:val="24"/>
          <w:szCs w:val="24"/>
        </w:rPr>
        <w:t xml:space="preserve"> </w:t>
      </w:r>
      <w:r w:rsidR="00420FB9">
        <w:rPr>
          <w:rFonts w:ascii="Times New Roman" w:hAnsi="Times New Roman" w:cs="Times New Roman"/>
          <w:sz w:val="24"/>
          <w:szCs w:val="24"/>
        </w:rPr>
        <w:t>t</w:t>
      </w:r>
      <w:r w:rsidR="00420FB9" w:rsidRPr="008B0B82">
        <w:rPr>
          <w:rFonts w:ascii="Times New Roman" w:hAnsi="Times New Roman" w:cs="Times New Roman"/>
          <w:sz w:val="24"/>
          <w:szCs w:val="24"/>
        </w:rPr>
        <w:t>he purpose of credit</w:t>
      </w:r>
      <w:r w:rsidR="00420FB9">
        <w:rPr>
          <w:rFonts w:ascii="Times New Roman" w:hAnsi="Times New Roman" w:cs="Times New Roman"/>
          <w:sz w:val="24"/>
          <w:szCs w:val="24"/>
        </w:rPr>
        <w:t>, payment capacity, adequacy of collateral and</w:t>
      </w:r>
      <w:r w:rsidR="004C56F4" w:rsidRPr="008B0B82">
        <w:rPr>
          <w:rFonts w:ascii="Times New Roman" w:hAnsi="Times New Roman" w:cs="Times New Roman"/>
          <w:sz w:val="24"/>
          <w:szCs w:val="24"/>
        </w:rPr>
        <w:t xml:space="preserve"> capital adequacy. Another major goal of credit analysis is to have an understanding of the borrower’s</w:t>
      </w:r>
      <w:r w:rsidR="00832453">
        <w:rPr>
          <w:rFonts w:ascii="Times New Roman" w:hAnsi="Times New Roman" w:cs="Times New Roman"/>
          <w:sz w:val="24"/>
          <w:szCs w:val="24"/>
        </w:rPr>
        <w:t xml:space="preserve"> </w:t>
      </w:r>
      <w:r w:rsidR="004C56F4" w:rsidRPr="008B0B82">
        <w:rPr>
          <w:rFonts w:ascii="Times New Roman" w:hAnsi="Times New Roman" w:cs="Times New Roman"/>
          <w:sz w:val="24"/>
          <w:szCs w:val="24"/>
        </w:rPr>
        <w:t>primary source of funds and secondary source of funds to repay</w:t>
      </w:r>
      <w:r w:rsidR="00ED41F7">
        <w:rPr>
          <w:rFonts w:ascii="Times New Roman" w:hAnsi="Times New Roman" w:cs="Times New Roman"/>
          <w:sz w:val="24"/>
          <w:szCs w:val="24"/>
        </w:rPr>
        <w:t xml:space="preserve"> the debt (Colquitt, 2007</w:t>
      </w:r>
      <w:r w:rsidR="004C56F4" w:rsidRPr="008B0B82">
        <w:rPr>
          <w:rFonts w:ascii="Times New Roman" w:hAnsi="Times New Roman" w:cs="Times New Roman"/>
          <w:sz w:val="24"/>
          <w:szCs w:val="24"/>
        </w:rPr>
        <w:t xml:space="preserve">). </w:t>
      </w:r>
    </w:p>
    <w:p w:rsidR="00B077FC" w:rsidRPr="008B0B82" w:rsidRDefault="00BF2027" w:rsidP="00420FB9">
      <w:pPr>
        <w:autoSpaceDE w:val="0"/>
        <w:autoSpaceDN w:val="0"/>
        <w:adjustRightInd w:val="0"/>
        <w:spacing w:after="0" w:line="360" w:lineRule="auto"/>
        <w:jc w:val="both"/>
        <w:rPr>
          <w:rFonts w:ascii="Times New Roman" w:hAnsi="Times New Roman" w:cs="Times New Roman"/>
          <w:color w:val="000000"/>
          <w:sz w:val="24"/>
          <w:szCs w:val="24"/>
        </w:rPr>
      </w:pPr>
      <w:r w:rsidRPr="008B0B82">
        <w:rPr>
          <w:rFonts w:ascii="Times New Roman" w:hAnsi="Times New Roman" w:cs="Times New Roman"/>
          <w:sz w:val="24"/>
          <w:szCs w:val="24"/>
        </w:rPr>
        <w:t>Most banks have a separate cr</w:t>
      </w:r>
      <w:r w:rsidR="00F31843" w:rsidRPr="008B0B82">
        <w:rPr>
          <w:rFonts w:ascii="Times New Roman" w:hAnsi="Times New Roman" w:cs="Times New Roman"/>
          <w:sz w:val="24"/>
          <w:szCs w:val="24"/>
        </w:rPr>
        <w:t>edit</w:t>
      </w:r>
      <w:r w:rsidR="003A19CF">
        <w:rPr>
          <w:rFonts w:ascii="Times New Roman" w:hAnsi="Times New Roman" w:cs="Times New Roman"/>
          <w:sz w:val="24"/>
          <w:szCs w:val="24"/>
        </w:rPr>
        <w:t xml:space="preserve"> risk analysis department. a</w:t>
      </w:r>
      <w:r w:rsidRPr="008B0B82">
        <w:rPr>
          <w:rFonts w:ascii="Times New Roman" w:hAnsi="Times New Roman" w:cs="Times New Roman"/>
          <w:sz w:val="24"/>
          <w:szCs w:val="24"/>
        </w:rPr>
        <w:t xml:space="preserve"> good credit risk team will use qualitative and quantitative methods to assess credit risk.</w:t>
      </w:r>
      <w:r w:rsidR="00FE6B86" w:rsidRPr="008B0B82">
        <w:rPr>
          <w:rFonts w:ascii="Times New Roman" w:hAnsi="Times New Roman" w:cs="Times New Roman"/>
          <w:sz w:val="24"/>
          <w:szCs w:val="24"/>
        </w:rPr>
        <w:t xml:space="preserve"> Qualitative approaches</w:t>
      </w:r>
      <w:r w:rsidR="003C22BD" w:rsidRPr="008B0B82">
        <w:rPr>
          <w:rFonts w:ascii="Times New Roman" w:hAnsi="Times New Roman" w:cs="Times New Roman"/>
          <w:sz w:val="24"/>
          <w:szCs w:val="24"/>
        </w:rPr>
        <w:t xml:space="preserve"> or models</w:t>
      </w:r>
      <w:r w:rsidR="00FE6B86" w:rsidRPr="008B0B82">
        <w:rPr>
          <w:rFonts w:ascii="Times New Roman" w:hAnsi="Times New Roman" w:cs="Times New Roman"/>
          <w:sz w:val="24"/>
          <w:szCs w:val="24"/>
        </w:rPr>
        <w:t xml:space="preserve"> aim to determine to what extent the potential borrower is willing to repay its obligations on </w:t>
      </w:r>
      <w:r w:rsidR="00FE6B86" w:rsidRPr="008B0B82">
        <w:rPr>
          <w:rFonts w:ascii="Times New Roman" w:hAnsi="Times New Roman" w:cs="Times New Roman"/>
          <w:sz w:val="24"/>
          <w:szCs w:val="24"/>
        </w:rPr>
        <w:lastRenderedPageBreak/>
        <w:t>time which is measured outside the financial statements on the one hand and quantitative approaches aim to determine the pote</w:t>
      </w:r>
      <w:r w:rsidR="00FE0937" w:rsidRPr="008B0B82">
        <w:rPr>
          <w:rFonts w:ascii="Times New Roman" w:hAnsi="Times New Roman" w:cs="Times New Roman"/>
          <w:sz w:val="24"/>
          <w:szCs w:val="24"/>
        </w:rPr>
        <w:t>ntial borrower’s ability to repay its obligations on time which is measured through financi</w:t>
      </w:r>
      <w:r w:rsidR="001B087E" w:rsidRPr="008B0B82">
        <w:rPr>
          <w:rFonts w:ascii="Times New Roman" w:hAnsi="Times New Roman" w:cs="Times New Roman"/>
          <w:sz w:val="24"/>
          <w:szCs w:val="24"/>
        </w:rPr>
        <w:t>al statements on the othe</w:t>
      </w:r>
      <w:r w:rsidR="003A19CF">
        <w:rPr>
          <w:rFonts w:ascii="Times New Roman" w:hAnsi="Times New Roman" w:cs="Times New Roman"/>
          <w:sz w:val="24"/>
          <w:szCs w:val="24"/>
        </w:rPr>
        <w:t>r hand (AL-Zubeidi, 2002</w:t>
      </w:r>
      <w:r w:rsidR="001B087E" w:rsidRPr="008B0B82">
        <w:rPr>
          <w:rFonts w:ascii="Times New Roman" w:hAnsi="Times New Roman" w:cs="Times New Roman"/>
          <w:sz w:val="24"/>
          <w:szCs w:val="24"/>
        </w:rPr>
        <w:t>)</w:t>
      </w:r>
      <w:r w:rsidR="003A19CF">
        <w:rPr>
          <w:rFonts w:ascii="Times New Roman" w:hAnsi="Times New Roman" w:cs="Times New Roman"/>
          <w:sz w:val="24"/>
          <w:szCs w:val="24"/>
        </w:rPr>
        <w:t xml:space="preserve">. </w:t>
      </w:r>
      <w:r w:rsidR="003C22BD" w:rsidRPr="008B0B82">
        <w:rPr>
          <w:rFonts w:ascii="Times New Roman" w:hAnsi="Times New Roman" w:cs="Times New Roman"/>
          <w:sz w:val="24"/>
          <w:szCs w:val="24"/>
        </w:rPr>
        <w:t>The use of different approaches and models</w:t>
      </w:r>
      <w:r w:rsidRPr="008B0B82">
        <w:rPr>
          <w:rFonts w:ascii="Times New Roman" w:hAnsi="Times New Roman" w:cs="Times New Roman"/>
          <w:sz w:val="24"/>
          <w:szCs w:val="24"/>
        </w:rPr>
        <w:t xml:space="preserve"> will be determined by the information the b</w:t>
      </w:r>
      <w:r w:rsidR="00F31843" w:rsidRPr="008B0B82">
        <w:rPr>
          <w:rFonts w:ascii="Times New Roman" w:hAnsi="Times New Roman" w:cs="Times New Roman"/>
          <w:sz w:val="24"/>
          <w:szCs w:val="24"/>
        </w:rPr>
        <w:t>ank can gather on the potential borrower and</w:t>
      </w:r>
      <w:r w:rsidR="00832453">
        <w:rPr>
          <w:rFonts w:ascii="Times New Roman" w:hAnsi="Times New Roman" w:cs="Times New Roman"/>
          <w:sz w:val="24"/>
          <w:szCs w:val="24"/>
        </w:rPr>
        <w:t xml:space="preserve"> d</w:t>
      </w:r>
      <w:r w:rsidR="00704ADA" w:rsidRPr="008B0B82">
        <w:rPr>
          <w:rFonts w:ascii="Times New Roman" w:hAnsi="Times New Roman" w:cs="Times New Roman"/>
          <w:sz w:val="24"/>
          <w:szCs w:val="24"/>
        </w:rPr>
        <w:t xml:space="preserve">epending on the type of credit exposure and nature of </w:t>
      </w:r>
      <w:r w:rsidR="00420FB9">
        <w:rPr>
          <w:rFonts w:ascii="Times New Roman" w:hAnsi="Times New Roman" w:cs="Times New Roman"/>
          <w:sz w:val="24"/>
          <w:szCs w:val="24"/>
        </w:rPr>
        <w:t>the credit relationship to date.</w:t>
      </w:r>
      <w:r w:rsidR="00704ADA" w:rsidRPr="008B0B82">
        <w:rPr>
          <w:rFonts w:ascii="Times New Roman" w:hAnsi="Times New Roman" w:cs="Times New Roman"/>
          <w:sz w:val="24"/>
          <w:szCs w:val="24"/>
        </w:rPr>
        <w:t xml:space="preserve"> </w:t>
      </w:r>
    </w:p>
    <w:p w:rsidR="00BF2027" w:rsidRPr="00770F78" w:rsidRDefault="003C22BD" w:rsidP="00EA3AF9">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8B0B82">
        <w:rPr>
          <w:rFonts w:ascii="Times New Roman" w:hAnsi="Times New Roman" w:cs="Times New Roman"/>
          <w:color w:val="000000" w:themeColor="text1"/>
          <w:sz w:val="24"/>
          <w:szCs w:val="24"/>
        </w:rPr>
        <w:t xml:space="preserve">These models are not mutually exclusive; </w:t>
      </w:r>
      <w:r w:rsidRPr="008B0B82">
        <w:rPr>
          <w:rFonts w:ascii="Times New Roman" w:hAnsi="Times New Roman" w:cs="Times New Roman"/>
          <w:sz w:val="24"/>
          <w:szCs w:val="24"/>
        </w:rPr>
        <w:t>the analyzer may use more than one to reach a credit pricing or loan quantity rationing decision. In general,</w:t>
      </w:r>
      <w:r w:rsidR="00BF2027" w:rsidRPr="008B0B82">
        <w:rPr>
          <w:rFonts w:ascii="Times New Roman" w:hAnsi="Times New Roman" w:cs="Times New Roman"/>
          <w:color w:val="000000" w:themeColor="text1"/>
          <w:sz w:val="24"/>
          <w:szCs w:val="24"/>
        </w:rPr>
        <w:t xml:space="preserve"> if a bank is unable to obtain information on a potential borrower (for example annual financial reports</w:t>
      </w:r>
      <w:r w:rsidR="00297E2D" w:rsidRPr="008B0B82">
        <w:rPr>
          <w:rFonts w:ascii="Times New Roman" w:hAnsi="Times New Roman" w:cs="Times New Roman"/>
          <w:color w:val="000000" w:themeColor="text1"/>
          <w:sz w:val="24"/>
          <w:szCs w:val="24"/>
        </w:rPr>
        <w:t>),</w:t>
      </w:r>
      <w:r w:rsidR="00BF2027" w:rsidRPr="008B0B82">
        <w:rPr>
          <w:rFonts w:ascii="Times New Roman" w:hAnsi="Times New Roman" w:cs="Times New Roman"/>
          <w:color w:val="000000" w:themeColor="text1"/>
          <w:sz w:val="24"/>
          <w:szCs w:val="24"/>
        </w:rPr>
        <w:t xml:space="preserve"> it is likely to adopt </w:t>
      </w:r>
      <w:r w:rsidR="00297E2D" w:rsidRPr="00916D35">
        <w:rPr>
          <w:rFonts w:ascii="Times New Roman" w:hAnsi="Times New Roman" w:cs="Times New Roman"/>
          <w:bCs/>
          <w:color w:val="000000" w:themeColor="text1"/>
          <w:sz w:val="24"/>
          <w:szCs w:val="24"/>
        </w:rPr>
        <w:t>qualitative approach to evaluating credit risk or to evaluating the credit worthiness of th</w:t>
      </w:r>
      <w:r w:rsidR="00297E2D" w:rsidRPr="008B0B82">
        <w:rPr>
          <w:rFonts w:ascii="Times New Roman" w:hAnsi="Times New Roman" w:cs="Times New Roman"/>
          <w:color w:val="000000" w:themeColor="text1"/>
          <w:sz w:val="24"/>
          <w:szCs w:val="24"/>
        </w:rPr>
        <w:t>e potential borrower, taking into account factors such as, the wealth of the borrower, employment history, earning volatility, borrower credit history, and future economic conditions if it will affect the borrower ability to repay</w:t>
      </w:r>
      <w:r w:rsidR="00ED41F7">
        <w:rPr>
          <w:rFonts w:ascii="Times New Roman" w:hAnsi="Times New Roman" w:cs="Times New Roman"/>
          <w:color w:val="000000" w:themeColor="text1"/>
          <w:sz w:val="24"/>
          <w:szCs w:val="24"/>
        </w:rPr>
        <w:t xml:space="preserve"> (Heffernan, 2005</w:t>
      </w:r>
      <w:r w:rsidR="005539E7" w:rsidRPr="008B0B82">
        <w:rPr>
          <w:rFonts w:ascii="Times New Roman" w:hAnsi="Times New Roman" w:cs="Times New Roman"/>
          <w:color w:val="000000" w:themeColor="text1"/>
          <w:sz w:val="24"/>
          <w:szCs w:val="24"/>
        </w:rPr>
        <w:t>).</w:t>
      </w:r>
    </w:p>
    <w:p w:rsidR="005539E7" w:rsidRPr="008B0B82" w:rsidRDefault="00F31843" w:rsidP="00EA3AF9">
      <w:pPr>
        <w:autoSpaceDE w:val="0"/>
        <w:autoSpaceDN w:val="0"/>
        <w:adjustRightInd w:val="0"/>
        <w:spacing w:after="0" w:line="360" w:lineRule="auto"/>
        <w:jc w:val="both"/>
        <w:rPr>
          <w:rFonts w:ascii="Times New Roman" w:hAnsi="Times New Roman" w:cs="Times New Roman"/>
          <w:sz w:val="24"/>
          <w:szCs w:val="24"/>
        </w:rPr>
      </w:pPr>
      <w:r w:rsidRPr="008B0B82">
        <w:rPr>
          <w:rFonts w:ascii="Times New Roman" w:hAnsi="Times New Roman" w:cs="Times New Roman"/>
          <w:color w:val="000000" w:themeColor="text1"/>
          <w:sz w:val="24"/>
          <w:szCs w:val="24"/>
        </w:rPr>
        <w:t>A well known</w:t>
      </w:r>
      <w:r w:rsidR="005539E7" w:rsidRPr="008B0B82">
        <w:rPr>
          <w:rFonts w:ascii="Times New Roman" w:hAnsi="Times New Roman" w:cs="Times New Roman"/>
          <w:color w:val="000000" w:themeColor="text1"/>
          <w:sz w:val="24"/>
          <w:szCs w:val="24"/>
        </w:rPr>
        <w:t xml:space="preserve"> approach used by banks in</w:t>
      </w:r>
      <w:r w:rsidR="00723C16" w:rsidRPr="008B0B82">
        <w:rPr>
          <w:rFonts w:ascii="Times New Roman" w:hAnsi="Times New Roman" w:cs="Times New Roman"/>
          <w:color w:val="000000" w:themeColor="text1"/>
          <w:sz w:val="24"/>
          <w:szCs w:val="24"/>
        </w:rPr>
        <w:t xml:space="preserve"> retail loans</w:t>
      </w:r>
      <w:r w:rsidR="00721BF0">
        <w:rPr>
          <w:rFonts w:ascii="Times New Roman" w:hAnsi="Times New Roman" w:cs="Times New Roman"/>
          <w:color w:val="000000" w:themeColor="text1"/>
          <w:sz w:val="24"/>
          <w:szCs w:val="24"/>
        </w:rPr>
        <w:t xml:space="preserve"> </w:t>
      </w:r>
      <w:r w:rsidR="005539E7" w:rsidRPr="008B0B82">
        <w:rPr>
          <w:rFonts w:ascii="Times New Roman" w:hAnsi="Times New Roman" w:cs="Times New Roman"/>
          <w:sz w:val="24"/>
          <w:szCs w:val="24"/>
        </w:rPr>
        <w:t>a</w:t>
      </w:r>
      <w:r w:rsidR="00723C16" w:rsidRPr="008B0B82">
        <w:rPr>
          <w:rFonts w:ascii="Times New Roman" w:hAnsi="Times New Roman" w:cs="Times New Roman"/>
          <w:sz w:val="24"/>
          <w:szCs w:val="24"/>
        </w:rPr>
        <w:t>s</w:t>
      </w:r>
      <w:r w:rsidR="005539E7" w:rsidRPr="008B0B82">
        <w:rPr>
          <w:rFonts w:ascii="Times New Roman" w:hAnsi="Times New Roman" w:cs="Times New Roman"/>
          <w:sz w:val="24"/>
          <w:szCs w:val="24"/>
        </w:rPr>
        <w:t xml:space="preserve"> qualitative assessment of credit risk</w:t>
      </w:r>
      <w:r w:rsidR="00305C7C" w:rsidRPr="008B0B82">
        <w:rPr>
          <w:rFonts w:ascii="Times New Roman" w:hAnsi="Times New Roman" w:cs="Times New Roman"/>
          <w:sz w:val="24"/>
          <w:szCs w:val="24"/>
        </w:rPr>
        <w:t xml:space="preserve"> and analyzing the borrower creditworthiness</w:t>
      </w:r>
      <w:r w:rsidR="005539E7" w:rsidRPr="008B0B82">
        <w:rPr>
          <w:rFonts w:ascii="Times New Roman" w:hAnsi="Times New Roman" w:cs="Times New Roman"/>
          <w:sz w:val="24"/>
          <w:szCs w:val="24"/>
        </w:rPr>
        <w:t xml:space="preserve"> what is so called “</w:t>
      </w:r>
      <w:r w:rsidR="005539E7" w:rsidRPr="008B0B82">
        <w:rPr>
          <w:rFonts w:ascii="Times New Roman" w:hAnsi="Times New Roman" w:cs="Times New Roman"/>
          <w:b/>
          <w:sz w:val="24"/>
          <w:szCs w:val="24"/>
        </w:rPr>
        <w:t>5Cs</w:t>
      </w:r>
      <w:r w:rsidR="005539E7" w:rsidRPr="008B0B82">
        <w:rPr>
          <w:rFonts w:ascii="Times New Roman" w:hAnsi="Times New Roman" w:cs="Times New Roman"/>
          <w:sz w:val="24"/>
          <w:szCs w:val="24"/>
        </w:rPr>
        <w:t>” of credit analysis</w:t>
      </w:r>
      <w:r w:rsidR="00B64B8D" w:rsidRPr="008B0B82">
        <w:rPr>
          <w:rFonts w:ascii="Times New Roman" w:hAnsi="Times New Roman" w:cs="Times New Roman"/>
          <w:sz w:val="24"/>
          <w:szCs w:val="24"/>
        </w:rPr>
        <w:t xml:space="preserve"> (Al</w:t>
      </w:r>
      <w:r w:rsidR="005D7D11" w:rsidRPr="008B0B82">
        <w:rPr>
          <w:rFonts w:ascii="Times New Roman" w:hAnsi="Times New Roman" w:cs="Times New Roman"/>
          <w:sz w:val="24"/>
          <w:szCs w:val="24"/>
        </w:rPr>
        <w:t>- Z</w:t>
      </w:r>
      <w:r w:rsidR="00B64B8D" w:rsidRPr="008B0B82">
        <w:rPr>
          <w:rFonts w:ascii="Times New Roman" w:hAnsi="Times New Roman" w:cs="Times New Roman"/>
          <w:sz w:val="24"/>
          <w:szCs w:val="24"/>
        </w:rPr>
        <w:t>ube</w:t>
      </w:r>
      <w:r w:rsidR="005D7D11" w:rsidRPr="008B0B82">
        <w:rPr>
          <w:rFonts w:ascii="Times New Roman" w:hAnsi="Times New Roman" w:cs="Times New Roman"/>
          <w:sz w:val="24"/>
          <w:szCs w:val="24"/>
        </w:rPr>
        <w:t>i</w:t>
      </w:r>
      <w:r w:rsidR="00B64B8D" w:rsidRPr="008B0B82">
        <w:rPr>
          <w:rFonts w:ascii="Times New Roman" w:hAnsi="Times New Roman" w:cs="Times New Roman"/>
          <w:sz w:val="24"/>
          <w:szCs w:val="24"/>
        </w:rPr>
        <w:t>di</w:t>
      </w:r>
      <w:r w:rsidR="003957CF">
        <w:rPr>
          <w:rFonts w:ascii="Times New Roman" w:hAnsi="Times New Roman" w:cs="Times New Roman"/>
          <w:sz w:val="24"/>
          <w:szCs w:val="24"/>
        </w:rPr>
        <w:t>, 2002)</w:t>
      </w:r>
      <w:r w:rsidR="00B64B8D" w:rsidRPr="008B0B82">
        <w:rPr>
          <w:rFonts w:ascii="Times New Roman" w:hAnsi="Times New Roman" w:cs="Times New Roman"/>
          <w:sz w:val="24"/>
          <w:szCs w:val="24"/>
        </w:rPr>
        <w:t>):</w:t>
      </w:r>
    </w:p>
    <w:p w:rsidR="001747A6" w:rsidRPr="00CD0EF0" w:rsidRDefault="00B64B8D" w:rsidP="00F873C9">
      <w:pPr>
        <w:pStyle w:val="ListParagraph"/>
        <w:numPr>
          <w:ilvl w:val="0"/>
          <w:numId w:val="1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CD0EF0">
        <w:rPr>
          <w:rFonts w:ascii="Times New Roman" w:hAnsi="Times New Roman" w:cs="Times New Roman"/>
          <w:bCs/>
          <w:color w:val="000000" w:themeColor="text1"/>
          <w:sz w:val="24"/>
          <w:szCs w:val="24"/>
        </w:rPr>
        <w:t>Character:  Is the borrower trustworthy with regard to repaying the loan and generating a return on the investment</w:t>
      </w:r>
      <w:r w:rsidR="001747A6" w:rsidRPr="00CD0EF0">
        <w:rPr>
          <w:rFonts w:ascii="Times New Roman" w:hAnsi="Times New Roman" w:cs="Times New Roman"/>
          <w:bCs/>
          <w:color w:val="000000" w:themeColor="text1"/>
          <w:sz w:val="24"/>
          <w:szCs w:val="24"/>
        </w:rPr>
        <w:t>?</w:t>
      </w:r>
      <w:r w:rsidRPr="00CD0EF0">
        <w:rPr>
          <w:rFonts w:ascii="Times New Roman" w:hAnsi="Times New Roman" w:cs="Times New Roman"/>
          <w:bCs/>
          <w:color w:val="000000" w:themeColor="text1"/>
          <w:sz w:val="24"/>
          <w:szCs w:val="24"/>
        </w:rPr>
        <w:t xml:space="preserve"> (</w:t>
      </w:r>
      <w:r w:rsidR="00861B0A" w:rsidRPr="00CD0EF0">
        <w:rPr>
          <w:rFonts w:ascii="Times New Roman" w:hAnsi="Times New Roman" w:cs="Times New Roman"/>
          <w:bCs/>
          <w:color w:val="000000" w:themeColor="text1"/>
          <w:sz w:val="24"/>
          <w:szCs w:val="24"/>
        </w:rPr>
        <w:t>Reflects</w:t>
      </w:r>
      <w:r w:rsidRPr="00CD0EF0">
        <w:rPr>
          <w:rFonts w:ascii="Times New Roman" w:hAnsi="Times New Roman" w:cs="Times New Roman"/>
          <w:bCs/>
          <w:color w:val="000000" w:themeColor="text1"/>
          <w:sz w:val="24"/>
          <w:szCs w:val="24"/>
        </w:rPr>
        <w:t xml:space="preserve"> the degree of borrower willingness to repay the loan, taking into consideration variables such borrower education and </w:t>
      </w:r>
      <w:r w:rsidR="001747A6" w:rsidRPr="00CD0EF0">
        <w:rPr>
          <w:rFonts w:ascii="Times New Roman" w:hAnsi="Times New Roman" w:cs="Times New Roman"/>
          <w:bCs/>
          <w:color w:val="000000" w:themeColor="text1"/>
          <w:sz w:val="24"/>
          <w:szCs w:val="24"/>
        </w:rPr>
        <w:t>experience</w:t>
      </w:r>
      <w:r w:rsidRPr="00CD0EF0">
        <w:rPr>
          <w:rFonts w:ascii="Times New Roman" w:hAnsi="Times New Roman" w:cs="Times New Roman"/>
          <w:bCs/>
          <w:color w:val="000000" w:themeColor="text1"/>
          <w:sz w:val="24"/>
          <w:szCs w:val="24"/>
        </w:rPr>
        <w:t>...).</w:t>
      </w:r>
    </w:p>
    <w:p w:rsidR="001747A6" w:rsidRPr="00CD0EF0" w:rsidRDefault="001747A6" w:rsidP="00F873C9">
      <w:pPr>
        <w:pStyle w:val="ListParagraph"/>
        <w:numPr>
          <w:ilvl w:val="0"/>
          <w:numId w:val="16"/>
        </w:numPr>
        <w:shd w:val="clear" w:color="auto" w:fill="FFFFFF"/>
        <w:spacing w:after="360" w:line="360" w:lineRule="auto"/>
        <w:jc w:val="both"/>
        <w:rPr>
          <w:rFonts w:ascii="Times New Roman" w:eastAsia="Times New Roman" w:hAnsi="Times New Roman" w:cs="Times New Roman"/>
          <w:bCs/>
          <w:color w:val="000000" w:themeColor="text1"/>
          <w:sz w:val="24"/>
          <w:szCs w:val="24"/>
        </w:rPr>
      </w:pPr>
      <w:r w:rsidRPr="00CD0EF0">
        <w:rPr>
          <w:rFonts w:ascii="Times New Roman" w:hAnsi="Times New Roman" w:cs="Times New Roman"/>
          <w:bCs/>
          <w:color w:val="000000" w:themeColor="text1"/>
          <w:sz w:val="24"/>
          <w:szCs w:val="24"/>
        </w:rPr>
        <w:t xml:space="preserve">Capital: </w:t>
      </w:r>
      <w:r w:rsidRPr="00CD0EF0">
        <w:rPr>
          <w:rFonts w:ascii="Times New Roman" w:hAnsi="Times New Roman" w:cs="Times New Roman"/>
          <w:bCs/>
          <w:sz w:val="24"/>
          <w:szCs w:val="24"/>
        </w:rPr>
        <w:t xml:space="preserve">What assets or capital does the borrower </w:t>
      </w:r>
      <w:r w:rsidR="00832453" w:rsidRPr="00CD0EF0">
        <w:rPr>
          <w:rFonts w:ascii="Times New Roman" w:hAnsi="Times New Roman" w:cs="Times New Roman"/>
          <w:bCs/>
          <w:sz w:val="24"/>
          <w:szCs w:val="24"/>
        </w:rPr>
        <w:t>have?</w:t>
      </w:r>
      <w:r w:rsidR="00832453">
        <w:rPr>
          <w:rFonts w:ascii="Times New Roman" w:hAnsi="Times New Roman" w:cs="Times New Roman"/>
          <w:bCs/>
          <w:color w:val="000000" w:themeColor="text1"/>
          <w:sz w:val="24"/>
          <w:szCs w:val="24"/>
        </w:rPr>
        <w:t>,</w:t>
      </w:r>
      <w:r w:rsidR="00832453" w:rsidRPr="00CD0EF0">
        <w:rPr>
          <w:rFonts w:ascii="Times New Roman" w:hAnsi="Times New Roman" w:cs="Times New Roman"/>
          <w:bCs/>
          <w:color w:val="000000" w:themeColor="text1"/>
          <w:sz w:val="24"/>
          <w:szCs w:val="24"/>
        </w:rPr>
        <w:t xml:space="preserve"> Represents</w:t>
      </w:r>
      <w:r w:rsidRPr="00CD0EF0">
        <w:rPr>
          <w:rFonts w:ascii="Times New Roman" w:hAnsi="Times New Roman" w:cs="Times New Roman"/>
          <w:bCs/>
          <w:color w:val="000000" w:themeColor="text1"/>
          <w:sz w:val="24"/>
          <w:szCs w:val="24"/>
        </w:rPr>
        <w:t xml:space="preserve"> the owner's investment in the business, the owner has to have a significant investment in the business. </w:t>
      </w:r>
      <w:r w:rsidRPr="00CD0EF0">
        <w:rPr>
          <w:rFonts w:ascii="Times New Roman" w:eastAsia="Times New Roman" w:hAnsi="Times New Roman" w:cs="Times New Roman"/>
          <w:bCs/>
          <w:color w:val="000000" w:themeColor="text1"/>
          <w:sz w:val="24"/>
          <w:szCs w:val="24"/>
        </w:rPr>
        <w:t>The loan officer will look carefully at the amount and quality of capital the owner has to offer.</w:t>
      </w:r>
    </w:p>
    <w:p w:rsidR="00B64B8D" w:rsidRPr="00CD0EF0" w:rsidRDefault="001747A6" w:rsidP="00F873C9">
      <w:pPr>
        <w:pStyle w:val="ListParagraph"/>
        <w:numPr>
          <w:ilvl w:val="0"/>
          <w:numId w:val="1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CD0EF0">
        <w:rPr>
          <w:rFonts w:ascii="Times New Roman" w:hAnsi="Times New Roman" w:cs="Times New Roman"/>
          <w:bCs/>
          <w:color w:val="000000" w:themeColor="text1"/>
          <w:sz w:val="24"/>
          <w:szCs w:val="24"/>
        </w:rPr>
        <w:t xml:space="preserve">Capacity: Is the borrower has the ability to repay the loan? </w:t>
      </w:r>
      <w:r w:rsidR="00010BE1" w:rsidRPr="00CD0EF0">
        <w:rPr>
          <w:rFonts w:ascii="Times New Roman" w:hAnsi="Times New Roman" w:cs="Times New Roman"/>
          <w:bCs/>
          <w:color w:val="000000" w:themeColor="text1"/>
          <w:sz w:val="24"/>
          <w:szCs w:val="24"/>
        </w:rPr>
        <w:t>Refers to how and when you intend to repay the loan and from where? This is an indication of the amount of the borrower cash flows and the timing of cash flows with regard to repayment. Capacity also</w:t>
      </w:r>
      <w:r w:rsidR="00832453">
        <w:rPr>
          <w:rFonts w:ascii="Times New Roman" w:hAnsi="Times New Roman" w:cs="Times New Roman"/>
          <w:bCs/>
          <w:color w:val="000000" w:themeColor="text1"/>
          <w:sz w:val="24"/>
          <w:szCs w:val="24"/>
        </w:rPr>
        <w:t xml:space="preserve"> </w:t>
      </w:r>
      <w:r w:rsidR="00010BE1" w:rsidRPr="00CD0EF0">
        <w:rPr>
          <w:rFonts w:ascii="Times New Roman" w:hAnsi="Times New Roman" w:cs="Times New Roman"/>
          <w:bCs/>
          <w:color w:val="000000" w:themeColor="text1"/>
          <w:sz w:val="24"/>
          <w:szCs w:val="24"/>
        </w:rPr>
        <w:t>refers to the borrower credit history. Does the borrower have a good credit score?</w:t>
      </w:r>
    </w:p>
    <w:p w:rsidR="00010BE1" w:rsidRPr="00CD0EF0" w:rsidRDefault="00010BE1" w:rsidP="00F873C9">
      <w:pPr>
        <w:pStyle w:val="ListParagraph"/>
        <w:numPr>
          <w:ilvl w:val="0"/>
          <w:numId w:val="1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CD0EF0">
        <w:rPr>
          <w:rFonts w:ascii="Times New Roman" w:hAnsi="Times New Roman" w:cs="Times New Roman"/>
          <w:bCs/>
          <w:color w:val="000000" w:themeColor="text1"/>
          <w:sz w:val="24"/>
          <w:szCs w:val="24"/>
        </w:rPr>
        <w:lastRenderedPageBreak/>
        <w:t>Collateral or Security: Can the borrower put up security, which will be owned by the bank in the event of default)?</w:t>
      </w:r>
      <w:r w:rsidR="00801607" w:rsidRPr="00CD0EF0">
        <w:rPr>
          <w:rFonts w:ascii="Times New Roman" w:hAnsi="Times New Roman" w:cs="Times New Roman"/>
          <w:bCs/>
          <w:color w:val="000000" w:themeColor="text1"/>
          <w:sz w:val="24"/>
          <w:szCs w:val="24"/>
        </w:rPr>
        <w:t xml:space="preserve"> Collateral represent an additional form of security to the bank in case of default by the borrower. Collateral may be buildings, equipment, shares, account receivables owned by the borrower. Collateral may also include a guarantee by someone else that, in case the borrower cannot repay the loan, the other party will. Collaterals as credit risk mitigation technique will be discussed in details later.</w:t>
      </w:r>
    </w:p>
    <w:p w:rsidR="0018354F" w:rsidRPr="000F37C7" w:rsidRDefault="00795C84" w:rsidP="00F873C9">
      <w:pPr>
        <w:pStyle w:val="ListParagraph"/>
        <w:numPr>
          <w:ilvl w:val="0"/>
          <w:numId w:val="16"/>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CD0EF0">
        <w:rPr>
          <w:rFonts w:ascii="Times New Roman" w:hAnsi="Times New Roman" w:cs="Times New Roman"/>
          <w:bCs/>
          <w:color w:val="000000" w:themeColor="text1"/>
          <w:sz w:val="24"/>
          <w:szCs w:val="24"/>
        </w:rPr>
        <w:t xml:space="preserve">Conditions: What is the state of the economy? How robust will the borrower be in the event of a downturn? Conditions refer to the overall economic climate and external environment surrounding the bank and the borrower. During a recession or periods of tight credit, it is obviously more difficult for the borrower to repay a loan and more </w:t>
      </w:r>
      <w:r w:rsidRPr="000F37C7">
        <w:rPr>
          <w:rFonts w:ascii="Times New Roman" w:hAnsi="Times New Roman" w:cs="Times New Roman"/>
          <w:bCs/>
          <w:color w:val="000000" w:themeColor="text1"/>
          <w:sz w:val="24"/>
          <w:szCs w:val="24"/>
        </w:rPr>
        <w:t>difficult for a bank to find the funds to loan. Also conditions refer to the intended purpose of the loan. Are you buying new equipment for expansion? Are you replenishing working capital to prepare for seasonal inventory buildup? Why do you need the money</w:t>
      </w:r>
      <w:r w:rsidR="00F31843" w:rsidRPr="000F37C7">
        <w:rPr>
          <w:rFonts w:ascii="Times New Roman" w:hAnsi="Times New Roman" w:cs="Times New Roman"/>
          <w:bCs/>
          <w:color w:val="000000" w:themeColor="text1"/>
          <w:sz w:val="24"/>
          <w:szCs w:val="24"/>
        </w:rPr>
        <w:t>?</w:t>
      </w:r>
    </w:p>
    <w:p w:rsidR="003D40C5" w:rsidRPr="003D40C5" w:rsidRDefault="003D40C5" w:rsidP="003D40C5">
      <w:pPr>
        <w:autoSpaceDE w:val="0"/>
        <w:autoSpaceDN w:val="0"/>
        <w:adjustRightInd w:val="0"/>
        <w:spacing w:after="0"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 use of this credit analysis approach in credit scoring, usually applied when there is inadequate information and data related to the borrower.  </w:t>
      </w:r>
    </w:p>
    <w:p w:rsidR="003E6894" w:rsidRDefault="00A22D67" w:rsidP="00EA3AF9">
      <w:pPr>
        <w:autoSpaceDE w:val="0"/>
        <w:autoSpaceDN w:val="0"/>
        <w:adjustRightInd w:val="0"/>
        <w:spacing w:after="0" w:line="360" w:lineRule="auto"/>
        <w:jc w:val="both"/>
        <w:rPr>
          <w:rFonts w:ascii="Times New Roman" w:hAnsi="Times New Roman" w:cs="Times New Roman"/>
          <w:sz w:val="24"/>
          <w:szCs w:val="24"/>
        </w:rPr>
      </w:pPr>
      <w:r w:rsidRPr="00CD0EF0">
        <w:rPr>
          <w:rFonts w:ascii="Times New Roman" w:hAnsi="Times New Roman" w:cs="Times New Roman"/>
          <w:bCs/>
          <w:color w:val="000000"/>
          <w:sz w:val="24"/>
          <w:szCs w:val="24"/>
        </w:rPr>
        <w:t>Quantitative approaches</w:t>
      </w:r>
      <w:r w:rsidR="003C22BD" w:rsidRPr="008B0B82">
        <w:rPr>
          <w:rFonts w:ascii="Times New Roman" w:hAnsi="Times New Roman" w:cs="Times New Roman"/>
          <w:color w:val="000000"/>
          <w:sz w:val="24"/>
          <w:szCs w:val="24"/>
        </w:rPr>
        <w:t xml:space="preserve"> or methods</w:t>
      </w:r>
      <w:r w:rsidRPr="008B0B82">
        <w:rPr>
          <w:rFonts w:ascii="Times New Roman" w:hAnsi="Times New Roman" w:cs="Times New Roman"/>
          <w:color w:val="000000"/>
          <w:sz w:val="24"/>
          <w:szCs w:val="24"/>
        </w:rPr>
        <w:t xml:space="preserve"> to credit risk analysis requires the use of financial data and predict the probability of default by the potential borro</w:t>
      </w:r>
      <w:r w:rsidR="00682684" w:rsidRPr="008B0B82">
        <w:rPr>
          <w:rFonts w:ascii="Times New Roman" w:hAnsi="Times New Roman" w:cs="Times New Roman"/>
          <w:color w:val="000000"/>
          <w:sz w:val="24"/>
          <w:szCs w:val="24"/>
        </w:rPr>
        <w:t>wer. Different models and approaches</w:t>
      </w:r>
      <w:r w:rsidRPr="008B0B82">
        <w:rPr>
          <w:rFonts w:ascii="Times New Roman" w:hAnsi="Times New Roman" w:cs="Times New Roman"/>
          <w:color w:val="000000"/>
          <w:sz w:val="24"/>
          <w:szCs w:val="24"/>
        </w:rPr>
        <w:t xml:space="preserve"> are used</w:t>
      </w:r>
      <w:r w:rsidR="00A253C9" w:rsidRPr="008B0B82">
        <w:rPr>
          <w:rFonts w:ascii="Times New Roman" w:hAnsi="Times New Roman" w:cs="Times New Roman"/>
          <w:color w:val="000000"/>
          <w:sz w:val="24"/>
          <w:szCs w:val="24"/>
        </w:rPr>
        <w:t xml:space="preserve"> under </w:t>
      </w:r>
      <w:r w:rsidR="00682684" w:rsidRPr="008B0B82">
        <w:rPr>
          <w:rFonts w:ascii="Times New Roman" w:hAnsi="Times New Roman" w:cs="Times New Roman"/>
          <w:color w:val="000000"/>
          <w:sz w:val="24"/>
          <w:szCs w:val="24"/>
        </w:rPr>
        <w:t>credit rating</w:t>
      </w:r>
      <w:r w:rsidR="001B087E" w:rsidRPr="008B0B82">
        <w:rPr>
          <w:rFonts w:ascii="Times New Roman" w:hAnsi="Times New Roman" w:cs="Times New Roman"/>
          <w:color w:val="000000"/>
          <w:sz w:val="24"/>
          <w:szCs w:val="24"/>
        </w:rPr>
        <w:t xml:space="preserve"> (internal and external rating) and credit scoring models to measure</w:t>
      </w:r>
      <w:r w:rsidR="003E6894" w:rsidRPr="008B0B82">
        <w:rPr>
          <w:rFonts w:ascii="Times New Roman" w:hAnsi="Times New Roman" w:cs="Times New Roman"/>
          <w:color w:val="000000"/>
          <w:sz w:val="24"/>
          <w:szCs w:val="24"/>
        </w:rPr>
        <w:t xml:space="preserve"> and mitigate</w:t>
      </w:r>
      <w:r w:rsidR="001B087E" w:rsidRPr="008B0B82">
        <w:rPr>
          <w:rFonts w:ascii="Times New Roman" w:hAnsi="Times New Roman" w:cs="Times New Roman"/>
          <w:color w:val="000000"/>
          <w:sz w:val="24"/>
          <w:szCs w:val="24"/>
        </w:rPr>
        <w:t xml:space="preserve"> the obligor’s credit risk. Either the credit scoring or credit rating</w:t>
      </w:r>
      <w:r w:rsidR="003E6894" w:rsidRPr="008B0B82">
        <w:rPr>
          <w:rFonts w:ascii="Times New Roman" w:hAnsi="Times New Roman" w:cs="Times New Roman"/>
          <w:color w:val="000000"/>
          <w:sz w:val="24"/>
          <w:szCs w:val="24"/>
        </w:rPr>
        <w:t xml:space="preserve"> in the form of qualitative or quantitative approaches is</w:t>
      </w:r>
      <w:r w:rsidR="001B087E" w:rsidRPr="008B0B82">
        <w:rPr>
          <w:rFonts w:ascii="Times New Roman" w:hAnsi="Times New Roman" w:cs="Times New Roman"/>
          <w:color w:val="000000"/>
          <w:sz w:val="24"/>
          <w:szCs w:val="24"/>
        </w:rPr>
        <w:t xml:space="preserve"> both </w:t>
      </w:r>
      <w:r w:rsidR="00223FD2" w:rsidRPr="008B0B82">
        <w:rPr>
          <w:rFonts w:ascii="Times New Roman" w:hAnsi="Times New Roman" w:cs="Times New Roman"/>
          <w:color w:val="000000"/>
          <w:sz w:val="24"/>
          <w:szCs w:val="24"/>
        </w:rPr>
        <w:t>aims</w:t>
      </w:r>
      <w:r w:rsidR="003E6894" w:rsidRPr="008B0B82">
        <w:rPr>
          <w:rFonts w:ascii="Times New Roman" w:hAnsi="Times New Roman" w:cs="Times New Roman"/>
          <w:color w:val="000000"/>
          <w:sz w:val="24"/>
          <w:szCs w:val="24"/>
        </w:rPr>
        <w:t xml:space="preserve"> to measure and mitigate credit risks (</w:t>
      </w:r>
      <w:r w:rsidR="003E6894" w:rsidRPr="008B0B82">
        <w:rPr>
          <w:rFonts w:ascii="Times New Roman" w:hAnsi="Times New Roman" w:cs="Times New Roman"/>
          <w:sz w:val="24"/>
          <w:szCs w:val="24"/>
        </w:rPr>
        <w:t>Cr</w:t>
      </w:r>
      <w:r w:rsidR="00ED41F7">
        <w:rPr>
          <w:rFonts w:ascii="Times New Roman" w:hAnsi="Times New Roman" w:cs="Times New Roman"/>
          <w:sz w:val="24"/>
          <w:szCs w:val="24"/>
        </w:rPr>
        <w:t>ouhy, Galai</w:t>
      </w:r>
      <w:r w:rsidR="00832453">
        <w:rPr>
          <w:rFonts w:ascii="Times New Roman" w:hAnsi="Times New Roman" w:cs="Times New Roman"/>
          <w:sz w:val="24"/>
          <w:szCs w:val="24"/>
        </w:rPr>
        <w:t xml:space="preserve"> </w:t>
      </w:r>
      <w:r w:rsidR="006D5CE2">
        <w:rPr>
          <w:rFonts w:ascii="Times New Roman" w:hAnsi="Times New Roman" w:cs="Times New Roman"/>
          <w:sz w:val="24"/>
          <w:szCs w:val="24"/>
        </w:rPr>
        <w:t>and</w:t>
      </w:r>
      <w:r w:rsidR="00ED41F7">
        <w:rPr>
          <w:rFonts w:ascii="Times New Roman" w:hAnsi="Times New Roman" w:cs="Times New Roman"/>
          <w:sz w:val="24"/>
          <w:szCs w:val="24"/>
        </w:rPr>
        <w:t xml:space="preserve"> Mark 2006</w:t>
      </w:r>
      <w:r w:rsidR="003E6894" w:rsidRPr="008B0B82">
        <w:rPr>
          <w:rFonts w:ascii="Times New Roman" w:hAnsi="Times New Roman" w:cs="Times New Roman"/>
          <w:sz w:val="24"/>
          <w:szCs w:val="24"/>
        </w:rPr>
        <w:t>).</w:t>
      </w:r>
      <w:r w:rsidR="00D95353" w:rsidRPr="008B0B82">
        <w:rPr>
          <w:rFonts w:ascii="Times New Roman" w:hAnsi="Times New Roman" w:cs="Times New Roman"/>
          <w:color w:val="000000"/>
          <w:sz w:val="24"/>
          <w:szCs w:val="24"/>
        </w:rPr>
        <w:t>These models will be discussed later in credit risk measurement section as a part from this thesis.</w:t>
      </w:r>
    </w:p>
    <w:p w:rsidR="000530CE" w:rsidRDefault="008E225B" w:rsidP="00CD7F23">
      <w:pPr>
        <w:tabs>
          <w:tab w:val="left" w:pos="2621"/>
        </w:tabs>
        <w:spacing w:line="360" w:lineRule="auto"/>
        <w:contextualSpacing/>
        <w:jc w:val="both"/>
        <w:rPr>
          <w:rFonts w:asciiTheme="majorBidi" w:hAnsiTheme="majorBidi" w:cstheme="majorBidi"/>
          <w:sz w:val="24"/>
          <w:szCs w:val="24"/>
          <w:lang w:bidi="ar-JO"/>
        </w:rPr>
      </w:pPr>
      <w:r w:rsidRPr="008B0B82">
        <w:rPr>
          <w:rFonts w:ascii="Times New Roman" w:hAnsi="Times New Roman" w:cs="Times New Roman"/>
          <w:color w:val="000000"/>
          <w:sz w:val="24"/>
          <w:szCs w:val="24"/>
        </w:rPr>
        <w:t>In addition, if the borrower or the counterparty dealt with</w:t>
      </w:r>
      <w:r w:rsidR="0067423C" w:rsidRPr="008B0B82">
        <w:rPr>
          <w:rFonts w:ascii="Times New Roman" w:hAnsi="Times New Roman" w:cs="Times New Roman"/>
          <w:color w:val="000000"/>
          <w:sz w:val="24"/>
          <w:szCs w:val="24"/>
        </w:rPr>
        <w:t xml:space="preserve"> a</w:t>
      </w:r>
      <w:r w:rsidRPr="008B0B82">
        <w:rPr>
          <w:rFonts w:ascii="Times New Roman" w:hAnsi="Times New Roman" w:cs="Times New Roman"/>
          <w:color w:val="000000"/>
          <w:sz w:val="24"/>
          <w:szCs w:val="24"/>
        </w:rPr>
        <w:t xml:space="preserve"> bank for the first time, the integrity and reputation of them should be taken into consideration as well as their legal capacity to assume the liability</w:t>
      </w:r>
      <w:r w:rsidR="0067423C" w:rsidRPr="008B0B82">
        <w:rPr>
          <w:rFonts w:ascii="Times New Roman" w:hAnsi="Times New Roman" w:cs="Times New Roman"/>
          <w:color w:val="000000"/>
          <w:sz w:val="24"/>
          <w:szCs w:val="24"/>
        </w:rPr>
        <w:t>.</w:t>
      </w:r>
      <w:r w:rsidR="00E679B5" w:rsidRPr="008B0B82">
        <w:rPr>
          <w:rFonts w:ascii="Times New Roman" w:hAnsi="Times New Roman" w:cs="Times New Roman"/>
          <w:color w:val="000000"/>
          <w:sz w:val="24"/>
          <w:szCs w:val="24"/>
        </w:rPr>
        <w:t xml:space="preserve"> But a bank should not grant credit simply because the borrower or the counterparty is familiar to the bank or has high reputation</w:t>
      </w:r>
      <w:r w:rsidR="00144F95" w:rsidRPr="008B0B82">
        <w:rPr>
          <w:rFonts w:ascii="Times New Roman" w:hAnsi="Times New Roman" w:cs="Times New Roman"/>
          <w:color w:val="000000"/>
          <w:sz w:val="24"/>
          <w:szCs w:val="24"/>
        </w:rPr>
        <w:t xml:space="preserve">. </w:t>
      </w:r>
      <w:r w:rsidR="000530CE">
        <w:rPr>
          <w:rFonts w:asciiTheme="majorBidi" w:hAnsiTheme="majorBidi" w:cstheme="majorBidi"/>
          <w:sz w:val="24"/>
          <w:szCs w:val="24"/>
          <w:lang w:bidi="ar-JO"/>
        </w:rPr>
        <w:t xml:space="preserve">In order to avoid dealing with parties engages in </w:t>
      </w:r>
      <w:r w:rsidR="000530CE" w:rsidRPr="008B0B82">
        <w:rPr>
          <w:rFonts w:ascii="Times New Roman" w:hAnsi="Times New Roman" w:cs="Times New Roman"/>
          <w:color w:val="000000"/>
          <w:sz w:val="24"/>
          <w:szCs w:val="24"/>
        </w:rPr>
        <w:t>fraudulent activities</w:t>
      </w:r>
      <w:r w:rsidR="000530CE">
        <w:rPr>
          <w:rFonts w:ascii="Times New Roman" w:hAnsi="Times New Roman" w:cs="Times New Roman"/>
          <w:color w:val="000000"/>
          <w:sz w:val="24"/>
          <w:szCs w:val="24"/>
        </w:rPr>
        <w:t xml:space="preserve"> </w:t>
      </w:r>
      <w:r w:rsidR="000530CE">
        <w:rPr>
          <w:rFonts w:asciiTheme="majorBidi" w:hAnsiTheme="majorBidi" w:cstheme="majorBidi"/>
          <w:sz w:val="24"/>
          <w:szCs w:val="24"/>
          <w:lang w:bidi="ar-JO"/>
        </w:rPr>
        <w:t xml:space="preserve">rigorous policies must be in </w:t>
      </w:r>
      <w:r w:rsidR="000530CE">
        <w:rPr>
          <w:rFonts w:asciiTheme="majorBidi" w:hAnsiTheme="majorBidi" w:cstheme="majorBidi"/>
          <w:sz w:val="24"/>
          <w:szCs w:val="24"/>
          <w:lang w:bidi="ar-JO"/>
        </w:rPr>
        <w:lastRenderedPageBreak/>
        <w:t xml:space="preserve">place. This could be done in many ways, such asking for references from </w:t>
      </w:r>
      <w:r w:rsidR="000530CE" w:rsidRPr="008B0B82">
        <w:rPr>
          <w:rFonts w:ascii="Times New Roman" w:hAnsi="Times New Roman" w:cs="Times New Roman"/>
          <w:color w:val="000000"/>
          <w:sz w:val="24"/>
          <w:szCs w:val="24"/>
        </w:rPr>
        <w:t xml:space="preserve">known parties and access credit registries. </w:t>
      </w:r>
    </w:p>
    <w:p w:rsidR="00E91479" w:rsidRPr="000F37C7" w:rsidRDefault="006975B2" w:rsidP="00725773">
      <w:pPr>
        <w:tabs>
          <w:tab w:val="left" w:pos="2621"/>
        </w:tabs>
        <w:spacing w:line="360" w:lineRule="auto"/>
        <w:jc w:val="both"/>
        <w:rPr>
          <w:rFonts w:asciiTheme="majorBidi" w:hAnsiTheme="majorBidi" w:cstheme="majorBidi"/>
          <w:sz w:val="24"/>
          <w:szCs w:val="24"/>
          <w:lang w:bidi="ar-JO"/>
        </w:rPr>
      </w:pPr>
      <w:r w:rsidRPr="00725773">
        <w:rPr>
          <w:rFonts w:ascii="Times New Roman" w:hAnsi="Times New Roman" w:cs="Times New Roman"/>
          <w:sz w:val="24"/>
          <w:szCs w:val="24"/>
        </w:rPr>
        <w:t xml:space="preserve">Granting credit by banks exposes them to risks as </w:t>
      </w:r>
      <w:r w:rsidR="00BF5D2F" w:rsidRPr="00725773">
        <w:rPr>
          <w:rFonts w:ascii="Times New Roman" w:hAnsi="Times New Roman" w:cs="Times New Roman"/>
          <w:sz w:val="24"/>
          <w:szCs w:val="24"/>
        </w:rPr>
        <w:t xml:space="preserve">well as generates profits, so </w:t>
      </w:r>
      <w:r w:rsidR="000530CE" w:rsidRPr="00725773">
        <w:rPr>
          <w:rFonts w:ascii="Times New Roman" w:hAnsi="Times New Roman" w:cs="Times New Roman"/>
          <w:sz w:val="24"/>
          <w:szCs w:val="24"/>
          <w:lang w:bidi="ar-JO"/>
        </w:rPr>
        <w:t>Banks should estimate the risk-return relationship in any credit.</w:t>
      </w:r>
      <w:r w:rsidR="00FA6374" w:rsidRPr="00725773">
        <w:rPr>
          <w:rFonts w:ascii="Times New Roman" w:hAnsi="Times New Roman" w:cs="Times New Roman"/>
          <w:sz w:val="24"/>
          <w:szCs w:val="24"/>
        </w:rPr>
        <w:t xml:space="preserve"> </w:t>
      </w:r>
      <w:r w:rsidR="00CD7F23" w:rsidRPr="00725773">
        <w:rPr>
          <w:rFonts w:ascii="Times New Roman" w:hAnsi="Times New Roman" w:cs="Times New Roman"/>
          <w:sz w:val="24"/>
          <w:szCs w:val="24"/>
          <w:lang w:bidi="ar-JO"/>
        </w:rPr>
        <w:t xml:space="preserve">To evaluate and </w:t>
      </w:r>
      <w:r w:rsidR="00BA22A7" w:rsidRPr="00725773">
        <w:rPr>
          <w:rFonts w:ascii="Times New Roman" w:hAnsi="Times New Roman" w:cs="Times New Roman"/>
          <w:sz w:val="24"/>
          <w:szCs w:val="24"/>
          <w:lang w:bidi="ar-JO"/>
        </w:rPr>
        <w:t>determine the</w:t>
      </w:r>
      <w:r w:rsidR="00CD7F23" w:rsidRPr="00725773">
        <w:rPr>
          <w:rFonts w:ascii="Times New Roman" w:hAnsi="Times New Roman" w:cs="Times New Roman"/>
          <w:sz w:val="24"/>
          <w:szCs w:val="24"/>
          <w:lang w:bidi="ar-JO"/>
        </w:rPr>
        <w:t xml:space="preserve"> credit terms, banks need to estimate the risks versus expected return, taking into account other aspects such collateral </w:t>
      </w:r>
      <w:r w:rsidR="00BA22A7" w:rsidRPr="00725773">
        <w:rPr>
          <w:rFonts w:ascii="Times New Roman" w:hAnsi="Times New Roman" w:cs="Times New Roman"/>
          <w:sz w:val="24"/>
          <w:szCs w:val="24"/>
          <w:lang w:bidi="ar-JO"/>
        </w:rPr>
        <w:t xml:space="preserve">and </w:t>
      </w:r>
      <w:r w:rsidR="00BA22A7" w:rsidRPr="00725773">
        <w:rPr>
          <w:rFonts w:ascii="Times New Roman" w:hAnsi="Times New Roman" w:cs="Times New Roman"/>
          <w:sz w:val="24"/>
          <w:szCs w:val="24"/>
        </w:rPr>
        <w:t>restrictive</w:t>
      </w:r>
      <w:r w:rsidR="00CD7F23" w:rsidRPr="00725773">
        <w:rPr>
          <w:rFonts w:ascii="Times New Roman" w:hAnsi="Times New Roman" w:cs="Times New Roman"/>
          <w:sz w:val="24"/>
          <w:szCs w:val="24"/>
        </w:rPr>
        <w:t xml:space="preserve"> covenants</w:t>
      </w:r>
      <w:r w:rsidR="00CD7F23" w:rsidRPr="00725773">
        <w:rPr>
          <w:rFonts w:ascii="Times New Roman" w:hAnsi="Times New Roman" w:cs="Times New Roman"/>
          <w:sz w:val="24"/>
          <w:szCs w:val="24"/>
          <w:lang w:bidi="ar-JO"/>
        </w:rPr>
        <w:t xml:space="preserve">. Banks should take into consideration in evaluation risks, the </w:t>
      </w:r>
      <w:r w:rsidR="00BA22A7" w:rsidRPr="00725773">
        <w:rPr>
          <w:rFonts w:ascii="Times New Roman" w:hAnsi="Times New Roman" w:cs="Times New Roman"/>
          <w:sz w:val="24"/>
          <w:szCs w:val="24"/>
          <w:lang w:bidi="ar-JO"/>
        </w:rPr>
        <w:t>negative scenarios</w:t>
      </w:r>
      <w:r w:rsidR="00CD7F23" w:rsidRPr="00725773">
        <w:rPr>
          <w:rFonts w:ascii="Times New Roman" w:hAnsi="Times New Roman" w:cs="Times New Roman"/>
          <w:sz w:val="24"/>
          <w:szCs w:val="24"/>
        </w:rPr>
        <w:t xml:space="preserve"> and their possible impact on borrowers or counterparties. One of the most problems facing </w:t>
      </w:r>
      <w:r w:rsidR="00CD7F23" w:rsidRPr="00725773">
        <w:rPr>
          <w:rFonts w:ascii="Times New Roman" w:hAnsi="Times New Roman" w:cs="Times New Roman"/>
          <w:sz w:val="24"/>
          <w:szCs w:val="24"/>
          <w:lang w:bidi="ar-JO"/>
        </w:rPr>
        <w:t>banks is the possibility not to price credit properly which affect the expected return</w:t>
      </w:r>
      <w:r w:rsidR="00CD7F23" w:rsidRPr="00725773">
        <w:rPr>
          <w:rFonts w:ascii="Times New Roman" w:hAnsi="Times New Roman" w:cs="Times New Roman"/>
          <w:sz w:val="24"/>
          <w:szCs w:val="24"/>
        </w:rPr>
        <w:t xml:space="preserve"> </w:t>
      </w:r>
      <w:r w:rsidR="00ED41F7" w:rsidRPr="00725773">
        <w:rPr>
          <w:rFonts w:ascii="Times New Roman" w:hAnsi="Times New Roman" w:cs="Times New Roman"/>
          <w:sz w:val="24"/>
          <w:szCs w:val="24"/>
        </w:rPr>
        <w:t>(Basel, 2000</w:t>
      </w:r>
      <w:r w:rsidR="00FA6374" w:rsidRPr="00725773">
        <w:rPr>
          <w:rFonts w:ascii="Times New Roman" w:hAnsi="Times New Roman" w:cs="Times New Roman"/>
          <w:sz w:val="24"/>
          <w:szCs w:val="24"/>
        </w:rPr>
        <w:t>).</w:t>
      </w:r>
      <w:r w:rsidR="000F37C7" w:rsidRPr="00725773">
        <w:rPr>
          <w:rFonts w:ascii="Times New Roman" w:hAnsi="Times New Roman" w:cs="Times New Roman"/>
          <w:sz w:val="24"/>
          <w:szCs w:val="24"/>
          <w:lang w:bidi="ar-JO"/>
        </w:rPr>
        <w:t xml:space="preserve"> </w:t>
      </w:r>
      <w:r w:rsidR="00255FD1" w:rsidRPr="00725773">
        <w:rPr>
          <w:rFonts w:ascii="Times New Roman" w:hAnsi="Times New Roman" w:cs="Times New Roman"/>
          <w:sz w:val="24"/>
          <w:szCs w:val="24"/>
        </w:rPr>
        <w:t xml:space="preserve">During </w:t>
      </w:r>
      <w:r w:rsidR="00C6459B" w:rsidRPr="00725773">
        <w:rPr>
          <w:rFonts w:ascii="Times New Roman" w:hAnsi="Times New Roman" w:cs="Times New Roman"/>
          <w:sz w:val="24"/>
          <w:szCs w:val="24"/>
        </w:rPr>
        <w:t xml:space="preserve">structuring credit facilities a bank should </w:t>
      </w:r>
      <w:r w:rsidR="00D91EE0" w:rsidRPr="00725773">
        <w:rPr>
          <w:rFonts w:ascii="Times New Roman" w:hAnsi="Times New Roman" w:cs="Times New Roman"/>
          <w:sz w:val="24"/>
          <w:szCs w:val="24"/>
        </w:rPr>
        <w:t xml:space="preserve">estimate </w:t>
      </w:r>
      <w:r w:rsidR="00C6459B" w:rsidRPr="00725773">
        <w:rPr>
          <w:rFonts w:ascii="Times New Roman" w:hAnsi="Times New Roman" w:cs="Times New Roman"/>
          <w:sz w:val="24"/>
          <w:szCs w:val="24"/>
        </w:rPr>
        <w:t>the amount and timing of the cash flows as well as the financial position of the borrower and intended purpose of the funds</w:t>
      </w:r>
      <w:r w:rsidR="00E91479" w:rsidRPr="00725773">
        <w:rPr>
          <w:rFonts w:ascii="Times New Roman" w:hAnsi="Times New Roman" w:cs="Times New Roman"/>
          <w:sz w:val="24"/>
          <w:szCs w:val="24"/>
        </w:rPr>
        <w:t xml:space="preserve"> to make sure that the credit is used for the purpose it was borrowed. </w:t>
      </w:r>
      <w:r w:rsidR="00C6459B" w:rsidRPr="00725773">
        <w:rPr>
          <w:rFonts w:ascii="Times New Roman" w:hAnsi="Times New Roman" w:cs="Times New Roman"/>
          <w:sz w:val="24"/>
          <w:szCs w:val="24"/>
        </w:rPr>
        <w:t xml:space="preserve">It is </w:t>
      </w:r>
      <w:r w:rsidR="00D91EE0" w:rsidRPr="00725773">
        <w:rPr>
          <w:rFonts w:ascii="Times New Roman" w:hAnsi="Times New Roman" w:cs="Times New Roman"/>
          <w:sz w:val="24"/>
          <w:szCs w:val="24"/>
        </w:rPr>
        <w:t xml:space="preserve">extreme </w:t>
      </w:r>
      <w:r w:rsidR="00C6459B" w:rsidRPr="00725773">
        <w:rPr>
          <w:rFonts w:ascii="Times New Roman" w:hAnsi="Times New Roman" w:cs="Times New Roman"/>
          <w:sz w:val="24"/>
          <w:szCs w:val="24"/>
        </w:rPr>
        <w:t>important that due consideration should be given to the risk reward trade –off in granting a credit facility and credit should be priced to cover all embedded costs. Relevant terms and conditions should be laid down to protect the bank’s interest.</w:t>
      </w:r>
      <w:r w:rsidR="000F37C7" w:rsidRPr="00725773">
        <w:rPr>
          <w:rFonts w:ascii="Times New Roman" w:hAnsi="Times New Roman" w:cs="Times New Roman"/>
          <w:sz w:val="24"/>
          <w:szCs w:val="24"/>
          <w:lang w:bidi="ar-JO"/>
        </w:rPr>
        <w:t xml:space="preserve"> </w:t>
      </w:r>
      <w:r w:rsidR="00E91479" w:rsidRPr="00725773">
        <w:rPr>
          <w:rFonts w:ascii="Times New Roman" w:hAnsi="Times New Roman" w:cs="Times New Roman"/>
          <w:sz w:val="24"/>
          <w:szCs w:val="24"/>
        </w:rPr>
        <w:t>Also t</w:t>
      </w:r>
      <w:r w:rsidR="00531127" w:rsidRPr="00725773">
        <w:rPr>
          <w:rFonts w:ascii="Times New Roman" w:hAnsi="Times New Roman" w:cs="Times New Roman"/>
          <w:sz w:val="24"/>
          <w:szCs w:val="24"/>
        </w:rPr>
        <w:t>he bank should no</w:t>
      </w:r>
      <w:r w:rsidR="00223FD2" w:rsidRPr="00725773">
        <w:rPr>
          <w:rFonts w:ascii="Times New Roman" w:hAnsi="Times New Roman" w:cs="Times New Roman"/>
          <w:sz w:val="24"/>
          <w:szCs w:val="24"/>
        </w:rPr>
        <w:t>t</w:t>
      </w:r>
      <w:r w:rsidR="00832453" w:rsidRPr="00725773">
        <w:rPr>
          <w:rFonts w:ascii="Times New Roman" w:hAnsi="Times New Roman" w:cs="Times New Roman"/>
          <w:sz w:val="24"/>
          <w:szCs w:val="24"/>
        </w:rPr>
        <w:t xml:space="preserve"> </w:t>
      </w:r>
      <w:r w:rsidR="00223FD2" w:rsidRPr="00725773">
        <w:rPr>
          <w:rFonts w:ascii="Times New Roman" w:hAnsi="Times New Roman" w:cs="Times New Roman"/>
          <w:sz w:val="24"/>
          <w:szCs w:val="24"/>
        </w:rPr>
        <w:t>depend</w:t>
      </w:r>
      <w:r w:rsidR="00531127" w:rsidRPr="00725773">
        <w:rPr>
          <w:rFonts w:ascii="Times New Roman" w:hAnsi="Times New Roman" w:cs="Times New Roman"/>
          <w:sz w:val="24"/>
          <w:szCs w:val="24"/>
        </w:rPr>
        <w:t xml:space="preserve"> that much </w:t>
      </w:r>
      <w:r w:rsidR="00E91479" w:rsidRPr="00725773">
        <w:rPr>
          <w:rFonts w:ascii="Times New Roman" w:hAnsi="Times New Roman" w:cs="Times New Roman"/>
          <w:sz w:val="24"/>
          <w:szCs w:val="24"/>
        </w:rPr>
        <w:t xml:space="preserve">on collaterals / covenant. </w:t>
      </w:r>
      <w:r w:rsidR="00925118" w:rsidRPr="00725773">
        <w:rPr>
          <w:rFonts w:ascii="Times New Roman" w:hAnsi="Times New Roman" w:cs="Times New Roman"/>
          <w:sz w:val="24"/>
          <w:szCs w:val="24"/>
        </w:rPr>
        <w:t xml:space="preserve">Despite </w:t>
      </w:r>
      <w:r w:rsidR="00E91479" w:rsidRPr="00725773">
        <w:rPr>
          <w:rFonts w:ascii="Times New Roman" w:hAnsi="Times New Roman" w:cs="Times New Roman"/>
          <w:sz w:val="24"/>
          <w:szCs w:val="24"/>
        </w:rPr>
        <w:t xml:space="preserve">the importance of collaterals held </w:t>
      </w:r>
      <w:r w:rsidR="00A7264C" w:rsidRPr="00725773">
        <w:rPr>
          <w:rFonts w:ascii="Times New Roman" w:hAnsi="Times New Roman" w:cs="Times New Roman"/>
          <w:sz w:val="24"/>
          <w:szCs w:val="24"/>
        </w:rPr>
        <w:t>against loan</w:t>
      </w:r>
      <w:r w:rsidR="00E91479" w:rsidRPr="00725773">
        <w:rPr>
          <w:rFonts w:ascii="Times New Roman" w:hAnsi="Times New Roman" w:cs="Times New Roman"/>
          <w:sz w:val="24"/>
          <w:szCs w:val="24"/>
        </w:rPr>
        <w:t xml:space="preserve">, yet these should </w:t>
      </w:r>
      <w:r w:rsidR="00531127" w:rsidRPr="00725773">
        <w:rPr>
          <w:rFonts w:ascii="Times New Roman" w:hAnsi="Times New Roman" w:cs="Times New Roman"/>
          <w:sz w:val="24"/>
          <w:szCs w:val="24"/>
        </w:rPr>
        <w:t>be</w:t>
      </w:r>
      <w:r w:rsidR="00531127" w:rsidRPr="008B0B82">
        <w:rPr>
          <w:rFonts w:ascii="Times New Roman" w:hAnsi="Times New Roman" w:cs="Times New Roman"/>
          <w:sz w:val="24"/>
          <w:szCs w:val="24"/>
        </w:rPr>
        <w:t xml:space="preserve"> considered as a shield</w:t>
      </w:r>
      <w:r w:rsidRPr="008B0B82">
        <w:rPr>
          <w:rFonts w:ascii="Times New Roman" w:hAnsi="Times New Roman" w:cs="Times New Roman"/>
          <w:sz w:val="24"/>
          <w:szCs w:val="24"/>
        </w:rPr>
        <w:t xml:space="preserve"> (second-line of defense)</w:t>
      </w:r>
      <w:r w:rsidR="00E91479" w:rsidRPr="008B0B82">
        <w:rPr>
          <w:rFonts w:ascii="Times New Roman" w:hAnsi="Times New Roman" w:cs="Times New Roman"/>
          <w:sz w:val="24"/>
          <w:szCs w:val="24"/>
        </w:rPr>
        <w:t xml:space="preserve"> providing</w:t>
      </w:r>
      <w:r w:rsidRPr="008B0B82">
        <w:rPr>
          <w:rFonts w:ascii="Times New Roman" w:hAnsi="Times New Roman" w:cs="Times New Roman"/>
          <w:sz w:val="24"/>
          <w:szCs w:val="24"/>
        </w:rPr>
        <w:t xml:space="preserve"> protection in case of default, </w:t>
      </w:r>
      <w:r w:rsidR="00E91479" w:rsidRPr="008B0B82">
        <w:rPr>
          <w:rFonts w:ascii="Times New Roman" w:hAnsi="Times New Roman" w:cs="Times New Roman"/>
          <w:sz w:val="24"/>
          <w:szCs w:val="24"/>
        </w:rPr>
        <w:t>primary focus should be o</w:t>
      </w:r>
      <w:r w:rsidR="00531127" w:rsidRPr="008B0B82">
        <w:rPr>
          <w:rFonts w:ascii="Times New Roman" w:hAnsi="Times New Roman" w:cs="Times New Roman"/>
          <w:sz w:val="24"/>
          <w:szCs w:val="24"/>
        </w:rPr>
        <w:t>n the borrower’s debt payment capacity and willingness to repay the loan</w:t>
      </w:r>
      <w:r w:rsidRPr="008B0B82">
        <w:rPr>
          <w:rFonts w:ascii="Times New Roman" w:hAnsi="Times New Roman" w:cs="Times New Roman"/>
          <w:sz w:val="24"/>
          <w:szCs w:val="24"/>
        </w:rPr>
        <w:t xml:space="preserve"> (first-line of defense)</w:t>
      </w:r>
      <w:r w:rsidR="00ED41F7">
        <w:rPr>
          <w:rFonts w:ascii="Times New Roman" w:hAnsi="Times New Roman" w:cs="Times New Roman"/>
          <w:sz w:val="24"/>
          <w:szCs w:val="24"/>
        </w:rPr>
        <w:t xml:space="preserve"> (Basel, 2000</w:t>
      </w:r>
      <w:r w:rsidR="00E91479" w:rsidRPr="008B0B82">
        <w:rPr>
          <w:rFonts w:ascii="Times New Roman" w:hAnsi="Times New Roman" w:cs="Times New Roman"/>
          <w:sz w:val="24"/>
          <w:szCs w:val="24"/>
        </w:rPr>
        <w:t>).</w:t>
      </w:r>
    </w:p>
    <w:p w:rsidR="00DA72B5" w:rsidRPr="008B0B82" w:rsidRDefault="00911BBC" w:rsidP="00725773">
      <w:pPr>
        <w:autoSpaceDE w:val="0"/>
        <w:autoSpaceDN w:val="0"/>
        <w:adjustRightInd w:val="0"/>
        <w:spacing w:after="0" w:line="360" w:lineRule="auto"/>
        <w:jc w:val="both"/>
        <w:rPr>
          <w:rFonts w:ascii="Times New Roman" w:hAnsi="Times New Roman" w:cs="Times New Roman"/>
          <w:sz w:val="24"/>
          <w:szCs w:val="24"/>
        </w:rPr>
      </w:pPr>
      <w:r w:rsidRPr="008B0B82">
        <w:rPr>
          <w:rFonts w:ascii="Times New Roman" w:hAnsi="Times New Roman" w:cs="Times New Roman"/>
          <w:color w:val="000000"/>
          <w:sz w:val="24"/>
          <w:szCs w:val="24"/>
        </w:rPr>
        <w:t>To operate under a Sound Credit Granting Process</w:t>
      </w:r>
      <w:r w:rsidRPr="008B0B82">
        <w:rPr>
          <w:rFonts w:ascii="Times New Roman" w:hAnsi="Times New Roman" w:cs="Times New Roman"/>
          <w:sz w:val="24"/>
          <w:szCs w:val="24"/>
        </w:rPr>
        <w:t>, a bank should develop</w:t>
      </w:r>
      <w:r w:rsidR="00DA72B5" w:rsidRPr="008B0B82">
        <w:rPr>
          <w:rFonts w:ascii="Times New Roman" w:hAnsi="Times New Roman" w:cs="Times New Roman"/>
          <w:sz w:val="24"/>
          <w:szCs w:val="24"/>
        </w:rPr>
        <w:t xml:space="preserve"> an effective risk measurement system such information systems and analytical techniques to measure risk inherent in credit requests and support accurate approval/rejection decisions</w:t>
      </w:r>
      <w:r w:rsidR="00CA68A9" w:rsidRPr="008B0B82">
        <w:rPr>
          <w:rFonts w:ascii="Times New Roman" w:hAnsi="Times New Roman" w:cs="Times New Roman"/>
          <w:sz w:val="24"/>
          <w:szCs w:val="24"/>
        </w:rPr>
        <w:t xml:space="preserve"> (credit rating tools for corporate customers and behavioral score card for retail customers) consistent with the nature, size and complexity of the bank’s activities. Effective measures of potential future exposure are essential for the establishment of meaningful limits.</w:t>
      </w:r>
    </w:p>
    <w:p w:rsidR="00974BD8" w:rsidRPr="008B0B82" w:rsidRDefault="00E85F1A" w:rsidP="00725773">
      <w:pPr>
        <w:autoSpaceDE w:val="0"/>
        <w:autoSpaceDN w:val="0"/>
        <w:adjustRightInd w:val="0"/>
        <w:spacing w:after="0" w:line="360" w:lineRule="auto"/>
        <w:jc w:val="both"/>
        <w:rPr>
          <w:rFonts w:ascii="Times New Roman" w:hAnsi="Times New Roman" w:cs="Times New Roman"/>
          <w:bCs/>
          <w:sz w:val="24"/>
          <w:szCs w:val="24"/>
        </w:rPr>
      </w:pPr>
      <w:r w:rsidRPr="008B0B82">
        <w:rPr>
          <w:rFonts w:ascii="Times New Roman" w:hAnsi="Times New Roman" w:cs="Times New Roman"/>
          <w:bCs/>
          <w:sz w:val="24"/>
          <w:szCs w:val="24"/>
        </w:rPr>
        <w:t xml:space="preserve"> In order to maintain a sound credit portfolio “Banks</w:t>
      </w:r>
      <w:r w:rsidR="00CA68A9" w:rsidRPr="008B0B82">
        <w:rPr>
          <w:rFonts w:ascii="Times New Roman" w:hAnsi="Times New Roman" w:cs="Times New Roman"/>
          <w:bCs/>
          <w:sz w:val="24"/>
          <w:szCs w:val="24"/>
        </w:rPr>
        <w:t xml:space="preserve"> should have a clearly-established process in place for approving new credits as well as the amendment, renewal and re-financing of existing credits</w:t>
      </w:r>
      <w:r w:rsidRPr="008B0B82">
        <w:rPr>
          <w:rFonts w:ascii="Times New Roman" w:hAnsi="Times New Roman" w:cs="Times New Roman"/>
          <w:bCs/>
          <w:sz w:val="24"/>
          <w:szCs w:val="24"/>
        </w:rPr>
        <w:t xml:space="preserve">” </w:t>
      </w:r>
      <w:r w:rsidR="00ED41F7">
        <w:rPr>
          <w:rFonts w:ascii="Times New Roman" w:hAnsi="Times New Roman" w:cs="Times New Roman"/>
          <w:bCs/>
          <w:sz w:val="24"/>
          <w:szCs w:val="24"/>
        </w:rPr>
        <w:t>(Basel, 2000</w:t>
      </w:r>
      <w:r w:rsidRPr="008B0B82">
        <w:rPr>
          <w:rFonts w:ascii="Times New Roman" w:hAnsi="Times New Roman" w:cs="Times New Roman"/>
          <w:bCs/>
          <w:sz w:val="24"/>
          <w:szCs w:val="24"/>
        </w:rPr>
        <w:t>). This achieved through establishing formal transaction evaluation and approval process for the granting of credits.</w:t>
      </w:r>
    </w:p>
    <w:p w:rsidR="002A4DAC" w:rsidRPr="00DA258D" w:rsidRDefault="002A4DAC" w:rsidP="00E85F1A">
      <w:pPr>
        <w:autoSpaceDE w:val="0"/>
        <w:autoSpaceDN w:val="0"/>
        <w:adjustRightInd w:val="0"/>
        <w:spacing w:after="0" w:line="360" w:lineRule="auto"/>
        <w:rPr>
          <w:rFonts w:ascii="Times New Roman" w:hAnsi="Times New Roman" w:cs="Times New Roman"/>
          <w:b/>
          <w:bCs/>
          <w:sz w:val="24"/>
          <w:szCs w:val="24"/>
        </w:rPr>
      </w:pPr>
      <w:r w:rsidRPr="00DA258D">
        <w:rPr>
          <w:rFonts w:ascii="Times New Roman" w:hAnsi="Times New Roman" w:cs="Times New Roman"/>
          <w:b/>
          <w:bCs/>
          <w:sz w:val="24"/>
          <w:szCs w:val="24"/>
        </w:rPr>
        <w:lastRenderedPageBreak/>
        <w:t>2.4.3.2.1Credit Limits and Credit Concentration</w:t>
      </w:r>
    </w:p>
    <w:p w:rsidR="00C30EE8" w:rsidRDefault="00EE29A7" w:rsidP="00530B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ensure diversification </w:t>
      </w:r>
      <w:r w:rsidR="002A4DAC" w:rsidRPr="008B0B82">
        <w:rPr>
          <w:rFonts w:ascii="Times New Roman" w:hAnsi="Times New Roman" w:cs="Times New Roman"/>
          <w:sz w:val="24"/>
          <w:szCs w:val="24"/>
        </w:rPr>
        <w:t>in all areas of the bank‘s acti</w:t>
      </w:r>
      <w:r>
        <w:rPr>
          <w:rFonts w:ascii="Times New Roman" w:hAnsi="Times New Roman" w:cs="Times New Roman"/>
          <w:sz w:val="24"/>
          <w:szCs w:val="24"/>
        </w:rPr>
        <w:t xml:space="preserve">vities that involve credit risk, </w:t>
      </w:r>
      <w:r w:rsidRPr="008B0B82">
        <w:rPr>
          <w:rFonts w:ascii="Times New Roman" w:hAnsi="Times New Roman" w:cs="Times New Roman"/>
          <w:sz w:val="24"/>
          <w:szCs w:val="24"/>
        </w:rPr>
        <w:t>exposure limits are</w:t>
      </w:r>
      <w:r w:rsidR="00530B6B">
        <w:rPr>
          <w:rFonts w:ascii="Times New Roman" w:hAnsi="Times New Roman" w:cs="Times New Roman"/>
          <w:sz w:val="24"/>
          <w:szCs w:val="24"/>
        </w:rPr>
        <w:t xml:space="preserve"> necessary to adopt by the bank. </w:t>
      </w:r>
      <w:r w:rsidR="00E23D90">
        <w:rPr>
          <w:rFonts w:ascii="Times New Roman" w:hAnsi="Times New Roman" w:cs="Times New Roman"/>
          <w:sz w:val="24"/>
          <w:szCs w:val="24"/>
        </w:rPr>
        <w:t>T</w:t>
      </w:r>
      <w:r w:rsidR="00E85F1A" w:rsidRPr="008B0B82">
        <w:rPr>
          <w:rFonts w:ascii="Times New Roman" w:hAnsi="Times New Roman" w:cs="Times New Roman"/>
          <w:sz w:val="24"/>
          <w:szCs w:val="24"/>
        </w:rPr>
        <w:t>he establishment of exposure limits on single counterparties and gro</w:t>
      </w:r>
      <w:r w:rsidR="00E23D90">
        <w:rPr>
          <w:rFonts w:ascii="Times New Roman" w:hAnsi="Times New Roman" w:cs="Times New Roman"/>
          <w:sz w:val="24"/>
          <w:szCs w:val="24"/>
        </w:rPr>
        <w:t xml:space="preserve">ups of connected counterparties is considered </w:t>
      </w:r>
      <w:r w:rsidR="00530B6B">
        <w:rPr>
          <w:rFonts w:ascii="Times New Roman" w:hAnsi="Times New Roman" w:cs="Times New Roman"/>
          <w:sz w:val="24"/>
          <w:szCs w:val="24"/>
        </w:rPr>
        <w:t>a</w:t>
      </w:r>
      <w:r w:rsidR="00E23D90" w:rsidRPr="008B0B82">
        <w:rPr>
          <w:rFonts w:ascii="Times New Roman" w:hAnsi="Times New Roman" w:cs="Times New Roman"/>
          <w:sz w:val="24"/>
          <w:szCs w:val="24"/>
        </w:rPr>
        <w:t>n important elemen</w:t>
      </w:r>
      <w:r w:rsidR="00530B6B">
        <w:rPr>
          <w:rFonts w:ascii="Times New Roman" w:hAnsi="Times New Roman" w:cs="Times New Roman"/>
          <w:sz w:val="24"/>
          <w:szCs w:val="24"/>
        </w:rPr>
        <w:t>t of credit risk management process.</w:t>
      </w:r>
      <w:r w:rsidR="00270A0C">
        <w:rPr>
          <w:rFonts w:ascii="Times New Roman" w:hAnsi="Times New Roman" w:cs="Times New Roman"/>
          <w:sz w:val="24"/>
          <w:szCs w:val="24"/>
        </w:rPr>
        <w:t xml:space="preserve"> </w:t>
      </w:r>
      <w:r w:rsidR="00270A0C" w:rsidRPr="008B0B82">
        <w:rPr>
          <w:rFonts w:ascii="Times New Roman" w:hAnsi="Times New Roman" w:cs="Times New Roman"/>
          <w:sz w:val="24"/>
          <w:szCs w:val="24"/>
        </w:rPr>
        <w:t xml:space="preserve">The </w:t>
      </w:r>
      <w:r w:rsidR="00F1580F" w:rsidRPr="008B0B82">
        <w:rPr>
          <w:rFonts w:ascii="Times New Roman" w:hAnsi="Times New Roman" w:cs="Times New Roman"/>
          <w:sz w:val="24"/>
          <w:szCs w:val="24"/>
        </w:rPr>
        <w:t>size of the limits</w:t>
      </w:r>
      <w:r w:rsidR="00F1580F">
        <w:rPr>
          <w:rFonts w:asciiTheme="majorBidi" w:hAnsiTheme="majorBidi" w:cstheme="majorBidi"/>
          <w:sz w:val="24"/>
          <w:szCs w:val="24"/>
          <w:lang w:bidi="ar-JO"/>
        </w:rPr>
        <w:t xml:space="preserve"> is influenced and depends</w:t>
      </w:r>
      <w:r w:rsidR="00270A0C">
        <w:rPr>
          <w:rFonts w:asciiTheme="majorBidi" w:hAnsiTheme="majorBidi" w:cstheme="majorBidi"/>
          <w:sz w:val="24"/>
          <w:szCs w:val="24"/>
          <w:lang w:bidi="ar-JO"/>
        </w:rPr>
        <w:t xml:space="preserve"> on many factors such,</w:t>
      </w:r>
      <w:r w:rsidR="00E85F1A" w:rsidRPr="008B0B82">
        <w:rPr>
          <w:rFonts w:ascii="Times New Roman" w:hAnsi="Times New Roman" w:cs="Times New Roman"/>
          <w:sz w:val="24"/>
          <w:szCs w:val="24"/>
        </w:rPr>
        <w:t xml:space="preserve"> the credit strength of the obligor, real requirement of credit, economic conditions and the bank’s risk tolerance. Appropriate limits should be set for respective products and activities</w:t>
      </w:r>
      <w:r w:rsidR="00530B6B">
        <w:rPr>
          <w:rFonts w:ascii="Times New Roman" w:hAnsi="Times New Roman" w:cs="Times New Roman"/>
          <w:sz w:val="24"/>
          <w:szCs w:val="24"/>
        </w:rPr>
        <w:t>.</w:t>
      </w:r>
      <w:r w:rsidR="00E85F1A" w:rsidRPr="008B0B82">
        <w:rPr>
          <w:rFonts w:ascii="Times New Roman" w:hAnsi="Times New Roman" w:cs="Times New Roman"/>
          <w:sz w:val="24"/>
          <w:szCs w:val="24"/>
        </w:rPr>
        <w:t xml:space="preserve"> </w:t>
      </w:r>
    </w:p>
    <w:p w:rsidR="00974BD8" w:rsidRPr="00BC6799" w:rsidRDefault="00974BD8" w:rsidP="00BC6799">
      <w:pPr>
        <w:autoSpaceDE w:val="0"/>
        <w:autoSpaceDN w:val="0"/>
        <w:adjustRightInd w:val="0"/>
        <w:spacing w:after="0" w:line="360" w:lineRule="auto"/>
        <w:jc w:val="both"/>
        <w:rPr>
          <w:rFonts w:ascii="Times New Roman" w:hAnsi="Times New Roman" w:cs="Times New Roman"/>
          <w:sz w:val="24"/>
          <w:szCs w:val="24"/>
        </w:rPr>
      </w:pPr>
    </w:p>
    <w:p w:rsidR="002A4DAC" w:rsidRPr="00DA258D" w:rsidRDefault="002A4DAC" w:rsidP="00D66328">
      <w:pPr>
        <w:autoSpaceDE w:val="0"/>
        <w:autoSpaceDN w:val="0"/>
        <w:adjustRightInd w:val="0"/>
        <w:spacing w:after="0" w:line="360" w:lineRule="auto"/>
        <w:rPr>
          <w:rFonts w:ascii="Times New Roman" w:hAnsi="Times New Roman" w:cs="Times New Roman"/>
          <w:b/>
          <w:bCs/>
          <w:color w:val="000000" w:themeColor="text1"/>
          <w:sz w:val="24"/>
          <w:szCs w:val="24"/>
        </w:rPr>
      </w:pPr>
      <w:r w:rsidRPr="00DA258D">
        <w:rPr>
          <w:rFonts w:ascii="Times New Roman" w:hAnsi="Times New Roman" w:cs="Times New Roman"/>
          <w:b/>
          <w:bCs/>
          <w:color w:val="000000" w:themeColor="text1"/>
          <w:sz w:val="24"/>
          <w:szCs w:val="24"/>
        </w:rPr>
        <w:t>2.4.3.2.2 Credit Concentration</w:t>
      </w:r>
    </w:p>
    <w:p w:rsidR="00D66328" w:rsidRPr="008B0B82" w:rsidRDefault="00F1580F" w:rsidP="00D775D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8B0B82">
        <w:rPr>
          <w:rFonts w:ascii="Times New Roman" w:hAnsi="Times New Roman" w:cs="Times New Roman"/>
          <w:sz w:val="24"/>
          <w:szCs w:val="24"/>
        </w:rPr>
        <w:t>oncentrat</w:t>
      </w:r>
      <w:r>
        <w:rPr>
          <w:rFonts w:ascii="Times New Roman" w:hAnsi="Times New Roman" w:cs="Times New Roman"/>
          <w:sz w:val="24"/>
          <w:szCs w:val="24"/>
        </w:rPr>
        <w:t>ion within the bank’s credit portfolio remains and continues</w:t>
      </w:r>
      <w:r w:rsidR="00BF5D2F">
        <w:rPr>
          <w:rFonts w:ascii="Times New Roman" w:hAnsi="Times New Roman" w:cs="Times New Roman"/>
          <w:sz w:val="24"/>
          <w:szCs w:val="24"/>
        </w:rPr>
        <w:t xml:space="preserve"> to be major</w:t>
      </w:r>
      <w:r w:rsidR="00BF5D2F" w:rsidRPr="008B0B82">
        <w:rPr>
          <w:rFonts w:ascii="Times New Roman" w:hAnsi="Times New Roman" w:cs="Times New Roman"/>
          <w:sz w:val="24"/>
          <w:szCs w:val="24"/>
        </w:rPr>
        <w:t xml:space="preserve"> source of credit-related problems in </w:t>
      </w:r>
      <w:r w:rsidR="00832453" w:rsidRPr="008B0B82">
        <w:rPr>
          <w:rFonts w:ascii="Times New Roman" w:hAnsi="Times New Roman" w:cs="Times New Roman"/>
          <w:sz w:val="24"/>
          <w:szCs w:val="24"/>
        </w:rPr>
        <w:t>banks</w:t>
      </w:r>
      <w:r w:rsidR="00832453">
        <w:rPr>
          <w:rFonts w:ascii="Times New Roman" w:hAnsi="Times New Roman" w:cs="Times New Roman"/>
          <w:sz w:val="24"/>
          <w:szCs w:val="24"/>
        </w:rPr>
        <w:t>.</w:t>
      </w:r>
      <w:r w:rsidR="00832453" w:rsidRPr="00CD0EF0">
        <w:rPr>
          <w:rFonts w:ascii="Times New Roman" w:hAnsi="Times New Roman" w:cs="Times New Roman"/>
          <w:bCs/>
          <w:sz w:val="24"/>
          <w:szCs w:val="24"/>
        </w:rPr>
        <w:t xml:space="preserve"> Concentration</w:t>
      </w:r>
      <w:r w:rsidR="00AD53AE" w:rsidRPr="00CD0EF0">
        <w:rPr>
          <w:rFonts w:ascii="Times New Roman" w:hAnsi="Times New Roman" w:cs="Times New Roman"/>
          <w:bCs/>
          <w:sz w:val="24"/>
          <w:szCs w:val="24"/>
        </w:rPr>
        <w:t xml:space="preserve"> risk</w:t>
      </w:r>
      <w:r w:rsidR="00AD53AE" w:rsidRPr="008B0B82">
        <w:rPr>
          <w:rFonts w:ascii="Times New Roman" w:hAnsi="Times New Roman" w:cs="Times New Roman"/>
          <w:sz w:val="24"/>
          <w:szCs w:val="24"/>
        </w:rPr>
        <w:t xml:space="preserve"> arises whenever </w:t>
      </w:r>
      <w:r w:rsidR="0072285F">
        <w:rPr>
          <w:rFonts w:ascii="Times New Roman" w:hAnsi="Times New Roman" w:cs="Times New Roman"/>
          <w:sz w:val="24"/>
          <w:szCs w:val="24"/>
        </w:rPr>
        <w:t xml:space="preserve">considerable </w:t>
      </w:r>
      <w:r w:rsidRPr="008B0B82">
        <w:rPr>
          <w:rFonts w:ascii="Times New Roman" w:hAnsi="Times New Roman" w:cs="Times New Roman"/>
          <w:sz w:val="24"/>
          <w:szCs w:val="24"/>
        </w:rPr>
        <w:t>nu</w:t>
      </w:r>
      <w:r>
        <w:rPr>
          <w:rFonts w:ascii="Times New Roman" w:hAnsi="Times New Roman" w:cs="Times New Roman"/>
          <w:sz w:val="24"/>
          <w:szCs w:val="24"/>
        </w:rPr>
        <w:t>mber of credits has</w:t>
      </w:r>
      <w:r w:rsidR="0072285F">
        <w:rPr>
          <w:rFonts w:ascii="Times New Roman" w:hAnsi="Times New Roman" w:cs="Times New Roman"/>
          <w:sz w:val="24"/>
          <w:szCs w:val="24"/>
        </w:rPr>
        <w:t xml:space="preserve"> the identical</w:t>
      </w:r>
      <w:r w:rsidR="00AD53AE" w:rsidRPr="008B0B82">
        <w:rPr>
          <w:rFonts w:ascii="Times New Roman" w:hAnsi="Times New Roman" w:cs="Times New Roman"/>
          <w:sz w:val="24"/>
          <w:szCs w:val="24"/>
        </w:rPr>
        <w:t xml:space="preserve"> risk </w:t>
      </w:r>
      <w:r w:rsidR="00D775D4">
        <w:rPr>
          <w:rFonts w:ascii="Times New Roman" w:hAnsi="Times New Roman" w:cs="Times New Roman"/>
          <w:sz w:val="24"/>
          <w:szCs w:val="24"/>
        </w:rPr>
        <w:t xml:space="preserve">characteristics, such as granting credits to </w:t>
      </w:r>
      <w:r w:rsidR="00D66328" w:rsidRPr="008B0B82">
        <w:rPr>
          <w:rFonts w:ascii="Times New Roman" w:hAnsi="Times New Roman" w:cs="Times New Roman"/>
          <w:sz w:val="24"/>
          <w:szCs w:val="24"/>
        </w:rPr>
        <w:t xml:space="preserve"> </w:t>
      </w:r>
      <w:r w:rsidR="00D775D4">
        <w:rPr>
          <w:rFonts w:asciiTheme="majorBidi" w:hAnsiTheme="majorBidi" w:cstheme="majorBidi"/>
          <w:color w:val="000000" w:themeColor="text1"/>
          <w:sz w:val="24"/>
          <w:szCs w:val="24"/>
        </w:rPr>
        <w:t>a single borrower or group of borrowers have the risk characteristics</w:t>
      </w:r>
      <w:r w:rsidR="00D775D4">
        <w:rPr>
          <w:rFonts w:ascii="Times New Roman" w:hAnsi="Times New Roman" w:cs="Times New Roman"/>
          <w:sz w:val="24"/>
          <w:szCs w:val="24"/>
        </w:rPr>
        <w:t xml:space="preserve"> and to</w:t>
      </w:r>
      <w:r w:rsidR="00D775D4" w:rsidRPr="00D775D4">
        <w:rPr>
          <w:rFonts w:asciiTheme="majorBidi" w:hAnsiTheme="majorBidi" w:cstheme="majorBidi"/>
          <w:color w:val="000000" w:themeColor="text1"/>
          <w:sz w:val="24"/>
          <w:szCs w:val="24"/>
        </w:rPr>
        <w:t xml:space="preserve"> </w:t>
      </w:r>
      <w:r w:rsidR="00D775D4">
        <w:rPr>
          <w:rFonts w:asciiTheme="majorBidi" w:hAnsiTheme="majorBidi" w:cstheme="majorBidi"/>
          <w:color w:val="000000" w:themeColor="text1"/>
          <w:sz w:val="24"/>
          <w:szCs w:val="24"/>
        </w:rPr>
        <w:t>enterprises in the same industry or related to the same economic sector.</w:t>
      </w:r>
      <w:r w:rsidR="00D775D4">
        <w:rPr>
          <w:rFonts w:ascii="Times New Roman" w:hAnsi="Times New Roman" w:cs="Times New Roman"/>
          <w:sz w:val="24"/>
          <w:szCs w:val="24"/>
        </w:rPr>
        <w:t xml:space="preserve"> In other words,</w:t>
      </w:r>
      <w:r w:rsidR="00D775D4" w:rsidRPr="008B0B82">
        <w:rPr>
          <w:rFonts w:ascii="Times New Roman" w:hAnsi="Times New Roman" w:cs="Times New Roman"/>
          <w:sz w:val="24"/>
          <w:szCs w:val="24"/>
        </w:rPr>
        <w:t xml:space="preserve"> </w:t>
      </w:r>
      <w:r w:rsidR="00D66328" w:rsidRPr="008B0B82">
        <w:rPr>
          <w:rFonts w:ascii="Times New Roman" w:hAnsi="Times New Roman" w:cs="Times New Roman"/>
          <w:sz w:val="24"/>
          <w:szCs w:val="24"/>
        </w:rPr>
        <w:t xml:space="preserve">concentration of credit risk could arise when </w:t>
      </w:r>
      <w:r w:rsidR="00D775D4">
        <w:rPr>
          <w:rFonts w:ascii="Times New Roman" w:hAnsi="Times New Roman" w:cs="Times New Roman"/>
          <w:sz w:val="24"/>
          <w:szCs w:val="24"/>
        </w:rPr>
        <w:t>the bank's credit portfolio is concentrated in particular product, industry, social and economic sector.</w:t>
      </w:r>
      <w:r w:rsidR="00D66328" w:rsidRPr="008B0B82">
        <w:rPr>
          <w:rFonts w:ascii="Times New Roman" w:hAnsi="Times New Roman" w:cs="Times New Roman"/>
          <w:sz w:val="24"/>
          <w:szCs w:val="24"/>
        </w:rPr>
        <w:t xml:space="preserve"> </w:t>
      </w:r>
    </w:p>
    <w:p w:rsidR="00AD53AE" w:rsidRPr="008B0B82" w:rsidRDefault="001F14D3" w:rsidP="00D775D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8B0B82">
        <w:rPr>
          <w:rFonts w:ascii="Times New Roman" w:hAnsi="Times New Roman" w:cs="Times New Roman"/>
          <w:sz w:val="24"/>
          <w:szCs w:val="24"/>
        </w:rPr>
        <w:t xml:space="preserve">he geographic location, lack of access to economically </w:t>
      </w:r>
      <w:r>
        <w:rPr>
          <w:rFonts w:ascii="Times New Roman" w:hAnsi="Times New Roman" w:cs="Times New Roman"/>
          <w:sz w:val="24"/>
          <w:szCs w:val="24"/>
        </w:rPr>
        <w:t xml:space="preserve">different </w:t>
      </w:r>
      <w:r w:rsidRPr="008B0B82">
        <w:rPr>
          <w:rFonts w:ascii="Times New Roman" w:hAnsi="Times New Roman" w:cs="Times New Roman"/>
          <w:sz w:val="24"/>
          <w:szCs w:val="24"/>
        </w:rPr>
        <w:t>borrowers</w:t>
      </w:r>
      <w:r>
        <w:rPr>
          <w:rFonts w:ascii="Times New Roman" w:hAnsi="Times New Roman" w:cs="Times New Roman"/>
          <w:sz w:val="24"/>
          <w:szCs w:val="24"/>
        </w:rPr>
        <w:t xml:space="preserve"> </w:t>
      </w:r>
      <w:r w:rsidR="00F1580F">
        <w:rPr>
          <w:rFonts w:ascii="Times New Roman" w:hAnsi="Times New Roman" w:cs="Times New Roman"/>
          <w:sz w:val="24"/>
          <w:szCs w:val="24"/>
        </w:rPr>
        <w:t>and the</w:t>
      </w:r>
      <w:r w:rsidRPr="008B0B82">
        <w:rPr>
          <w:rFonts w:ascii="Times New Roman" w:hAnsi="Times New Roman" w:cs="Times New Roman"/>
          <w:sz w:val="24"/>
          <w:szCs w:val="24"/>
        </w:rPr>
        <w:t xml:space="preserve"> commercial area of the bank</w:t>
      </w:r>
      <w:r w:rsidR="00D775D4">
        <w:rPr>
          <w:rFonts w:ascii="Times New Roman" w:hAnsi="Times New Roman" w:cs="Times New Roman"/>
          <w:sz w:val="24"/>
          <w:szCs w:val="24"/>
        </w:rPr>
        <w:t xml:space="preserve"> could</w:t>
      </w:r>
      <w:r>
        <w:rPr>
          <w:rFonts w:ascii="Times New Roman" w:hAnsi="Times New Roman" w:cs="Times New Roman"/>
          <w:sz w:val="24"/>
          <w:szCs w:val="24"/>
        </w:rPr>
        <w:t xml:space="preserve"> make </w:t>
      </w:r>
      <w:r w:rsidRPr="008B0B82">
        <w:rPr>
          <w:rFonts w:ascii="Times New Roman" w:hAnsi="Times New Roman" w:cs="Times New Roman"/>
          <w:sz w:val="24"/>
          <w:szCs w:val="24"/>
        </w:rPr>
        <w:t>credit concentrations</w:t>
      </w:r>
      <w:r>
        <w:rPr>
          <w:rFonts w:ascii="Times New Roman" w:hAnsi="Times New Roman" w:cs="Times New Roman"/>
          <w:sz w:val="24"/>
          <w:szCs w:val="24"/>
        </w:rPr>
        <w:t xml:space="preserve"> difficult to avoid.</w:t>
      </w:r>
      <w:r w:rsidR="007F7362" w:rsidRPr="008B0B82">
        <w:rPr>
          <w:rFonts w:ascii="Times New Roman" w:hAnsi="Times New Roman" w:cs="Times New Roman"/>
          <w:sz w:val="24"/>
          <w:szCs w:val="24"/>
        </w:rPr>
        <w:t xml:space="preserve"> But the bank should est</w:t>
      </w:r>
      <w:r>
        <w:rPr>
          <w:rFonts w:ascii="Times New Roman" w:hAnsi="Times New Roman" w:cs="Times New Roman"/>
          <w:sz w:val="24"/>
          <w:szCs w:val="24"/>
        </w:rPr>
        <w:t>ablish appropriate limits to minimize and reduce</w:t>
      </w:r>
      <w:r w:rsidR="007F7362" w:rsidRPr="008B0B82">
        <w:rPr>
          <w:rFonts w:ascii="Times New Roman" w:hAnsi="Times New Roman" w:cs="Times New Roman"/>
          <w:sz w:val="24"/>
          <w:szCs w:val="24"/>
        </w:rPr>
        <w:t xml:space="preserve"> concentration risk at an acceptable level through continuous efforts of identifying and measuring the concentration risk in its credit portfolio.</w:t>
      </w:r>
      <w:r w:rsidR="00197C27" w:rsidRPr="008B0B82">
        <w:rPr>
          <w:rFonts w:ascii="Times New Roman" w:hAnsi="Times New Roman" w:cs="Times New Roman"/>
          <w:sz w:val="24"/>
          <w:szCs w:val="24"/>
        </w:rPr>
        <w:t xml:space="preserve"> In general t</w:t>
      </w:r>
      <w:r w:rsidR="00AD53AE" w:rsidRPr="008B0B82">
        <w:rPr>
          <w:rFonts w:ascii="Times New Roman" w:hAnsi="Times New Roman" w:cs="Times New Roman"/>
          <w:sz w:val="24"/>
          <w:szCs w:val="24"/>
        </w:rPr>
        <w:t>he common Ways or methods used to check on and reduce the credit concentration risks include the following:</w:t>
      </w:r>
    </w:p>
    <w:p w:rsidR="00AD53AE" w:rsidRPr="008B0B82" w:rsidRDefault="00AD53AE" w:rsidP="00F873C9">
      <w:pPr>
        <w:pStyle w:val="ListParagraph"/>
        <w:numPr>
          <w:ilvl w:val="0"/>
          <w:numId w:val="15"/>
        </w:numPr>
        <w:spacing w:line="360" w:lineRule="auto"/>
        <w:jc w:val="both"/>
        <w:rPr>
          <w:rFonts w:ascii="Times New Roman" w:hAnsi="Times New Roman" w:cs="Times New Roman"/>
          <w:sz w:val="24"/>
          <w:szCs w:val="24"/>
        </w:rPr>
      </w:pPr>
      <w:r w:rsidRPr="008B0B82">
        <w:rPr>
          <w:rFonts w:ascii="Times New Roman" w:hAnsi="Times New Roman" w:cs="Times New Roman"/>
          <w:sz w:val="24"/>
          <w:szCs w:val="24"/>
        </w:rPr>
        <w:t>Adopting a pricing policy for additional risks.</w:t>
      </w:r>
    </w:p>
    <w:p w:rsidR="00AD53AE" w:rsidRPr="008B0B82" w:rsidRDefault="00AD53AE" w:rsidP="00F873C9">
      <w:pPr>
        <w:pStyle w:val="ListParagraph"/>
        <w:numPr>
          <w:ilvl w:val="0"/>
          <w:numId w:val="15"/>
        </w:numPr>
        <w:spacing w:line="360" w:lineRule="auto"/>
        <w:jc w:val="both"/>
        <w:rPr>
          <w:rFonts w:ascii="Times New Roman" w:hAnsi="Times New Roman" w:cs="Times New Roman"/>
          <w:sz w:val="24"/>
          <w:szCs w:val="24"/>
        </w:rPr>
      </w:pPr>
      <w:r w:rsidRPr="008B0B82">
        <w:rPr>
          <w:rFonts w:ascii="Times New Roman" w:hAnsi="Times New Roman" w:cs="Times New Roman"/>
          <w:sz w:val="24"/>
          <w:szCs w:val="24"/>
        </w:rPr>
        <w:t>Increasing the capital kept to compensate for high levels of risks.</w:t>
      </w:r>
    </w:p>
    <w:p w:rsidR="00AD53AE" w:rsidRPr="008B0B82" w:rsidRDefault="00AD53AE" w:rsidP="00F873C9">
      <w:pPr>
        <w:pStyle w:val="ListParagraph"/>
        <w:numPr>
          <w:ilvl w:val="0"/>
          <w:numId w:val="15"/>
        </w:numPr>
        <w:spacing w:line="360" w:lineRule="auto"/>
        <w:jc w:val="both"/>
        <w:rPr>
          <w:rFonts w:ascii="Times New Roman" w:hAnsi="Times New Roman" w:cs="Times New Roman"/>
          <w:sz w:val="24"/>
          <w:szCs w:val="24"/>
        </w:rPr>
      </w:pPr>
      <w:r w:rsidRPr="008B0B82">
        <w:rPr>
          <w:rFonts w:ascii="Times New Roman" w:hAnsi="Times New Roman" w:cs="Times New Roman"/>
          <w:sz w:val="24"/>
          <w:szCs w:val="24"/>
        </w:rPr>
        <w:t xml:space="preserve">Participation in loans </w:t>
      </w:r>
    </w:p>
    <w:p w:rsidR="00AD53AE" w:rsidRPr="008B0B82" w:rsidRDefault="00AD53AE" w:rsidP="00F873C9">
      <w:pPr>
        <w:pStyle w:val="ListParagraph"/>
        <w:numPr>
          <w:ilvl w:val="0"/>
          <w:numId w:val="15"/>
        </w:numPr>
        <w:spacing w:line="360" w:lineRule="auto"/>
        <w:jc w:val="both"/>
        <w:rPr>
          <w:rFonts w:ascii="Times New Roman" w:hAnsi="Times New Roman" w:cs="Times New Roman"/>
          <w:sz w:val="24"/>
          <w:szCs w:val="24"/>
        </w:rPr>
      </w:pPr>
      <w:r w:rsidRPr="008B0B82">
        <w:rPr>
          <w:rFonts w:ascii="Times New Roman" w:hAnsi="Times New Roman" w:cs="Times New Roman"/>
          <w:sz w:val="24"/>
          <w:szCs w:val="24"/>
        </w:rPr>
        <w:t>Securitizing or bonding the loans</w:t>
      </w:r>
    </w:p>
    <w:p w:rsidR="00F77469" w:rsidRPr="00B50646" w:rsidRDefault="00AD53AE" w:rsidP="00F873C9">
      <w:pPr>
        <w:pStyle w:val="ListParagraph"/>
        <w:numPr>
          <w:ilvl w:val="0"/>
          <w:numId w:val="15"/>
        </w:numPr>
        <w:spacing w:line="360" w:lineRule="auto"/>
        <w:jc w:val="both"/>
        <w:rPr>
          <w:rFonts w:ascii="Times New Roman" w:hAnsi="Times New Roman" w:cs="Times New Roman"/>
          <w:sz w:val="24"/>
          <w:szCs w:val="24"/>
        </w:rPr>
      </w:pPr>
      <w:r w:rsidRPr="008B0B82">
        <w:rPr>
          <w:rFonts w:ascii="Times New Roman" w:hAnsi="Times New Roman" w:cs="Times New Roman"/>
          <w:sz w:val="24"/>
          <w:szCs w:val="24"/>
        </w:rPr>
        <w:t xml:space="preserve"> Using credit derivatives</w:t>
      </w:r>
    </w:p>
    <w:p w:rsidR="00E91479" w:rsidRPr="0023054A" w:rsidRDefault="00CC5F5C" w:rsidP="00974BD8">
      <w:pPr>
        <w:autoSpaceDE w:val="0"/>
        <w:autoSpaceDN w:val="0"/>
        <w:adjustRightInd w:val="0"/>
        <w:spacing w:after="0" w:line="360" w:lineRule="auto"/>
        <w:rPr>
          <w:rFonts w:ascii="Times New Roman" w:hAnsi="Times New Roman" w:cs="Times New Roman"/>
          <w:b/>
          <w:sz w:val="24"/>
          <w:szCs w:val="24"/>
        </w:rPr>
      </w:pPr>
      <w:r w:rsidRPr="0023054A">
        <w:rPr>
          <w:rFonts w:ascii="Times New Roman" w:hAnsi="Times New Roman" w:cs="Times New Roman"/>
          <w:b/>
          <w:sz w:val="24"/>
          <w:szCs w:val="24"/>
        </w:rPr>
        <w:lastRenderedPageBreak/>
        <w:t>2.4.3.3 Maintaining an Appropriate Credit Administration</w:t>
      </w:r>
      <w:r w:rsidR="00B14096" w:rsidRPr="0023054A">
        <w:rPr>
          <w:rFonts w:ascii="Times New Roman" w:hAnsi="Times New Roman" w:cs="Times New Roman"/>
          <w:b/>
          <w:sz w:val="24"/>
          <w:szCs w:val="24"/>
        </w:rPr>
        <w:t>, Measurement</w:t>
      </w:r>
      <w:r w:rsidRPr="0023054A">
        <w:rPr>
          <w:rFonts w:ascii="Times New Roman" w:hAnsi="Times New Roman" w:cs="Times New Roman"/>
          <w:b/>
          <w:sz w:val="24"/>
          <w:szCs w:val="24"/>
        </w:rPr>
        <w:t xml:space="preserve"> and Monitoring Process</w:t>
      </w:r>
      <w:r w:rsidR="005B6CF6" w:rsidRPr="0023054A">
        <w:rPr>
          <w:rFonts w:ascii="Times New Roman" w:hAnsi="Times New Roman" w:cs="Times New Roman"/>
          <w:b/>
          <w:sz w:val="24"/>
          <w:szCs w:val="24"/>
        </w:rPr>
        <w:t xml:space="preserve">.  </w:t>
      </w:r>
    </w:p>
    <w:p w:rsidR="00B81761" w:rsidRPr="00513154" w:rsidRDefault="00ED41F7" w:rsidP="001178DC">
      <w:pPr>
        <w:bidi/>
        <w:spacing w:line="360" w:lineRule="auto"/>
        <w:jc w:val="both"/>
        <w:rPr>
          <w:rFonts w:ascii="Times New Roman" w:hAnsi="Times New Roman" w:cs="Times New Roman"/>
          <w:sz w:val="24"/>
          <w:szCs w:val="24"/>
          <w:rtl/>
          <w:lang w:bidi="ar-JO"/>
        </w:rPr>
      </w:pPr>
      <w:r>
        <w:rPr>
          <w:rFonts w:ascii="Times New Roman" w:hAnsi="Times New Roman" w:cs="Times New Roman"/>
          <w:color w:val="000000" w:themeColor="text1"/>
          <w:sz w:val="24"/>
          <w:szCs w:val="24"/>
        </w:rPr>
        <w:t xml:space="preserve"> </w:t>
      </w:r>
      <w:r w:rsidR="007E5F31">
        <w:rPr>
          <w:rFonts w:ascii="Times New Roman" w:hAnsi="Times New Roman" w:cs="Times New Roman"/>
          <w:color w:val="000000" w:themeColor="text1"/>
          <w:sz w:val="24"/>
          <w:szCs w:val="24"/>
        </w:rPr>
        <w:t>E</w:t>
      </w:r>
      <w:r w:rsidR="007E5F31" w:rsidRPr="00DA258D">
        <w:rPr>
          <w:rFonts w:ascii="Times New Roman" w:hAnsi="Times New Roman" w:cs="Times New Roman"/>
          <w:color w:val="000000" w:themeColor="text1"/>
          <w:sz w:val="24"/>
          <w:szCs w:val="24"/>
        </w:rPr>
        <w:t>ns</w:t>
      </w:r>
      <w:r w:rsidR="007E5F31">
        <w:rPr>
          <w:rFonts w:ascii="Times New Roman" w:hAnsi="Times New Roman" w:cs="Times New Roman"/>
          <w:color w:val="000000" w:themeColor="text1"/>
          <w:sz w:val="24"/>
          <w:szCs w:val="24"/>
        </w:rPr>
        <w:t xml:space="preserve">uring </w:t>
      </w:r>
      <w:r w:rsidR="007E5F31" w:rsidRPr="00C9793D">
        <w:rPr>
          <w:rFonts w:ascii="Times New Roman" w:hAnsi="Times New Roman" w:cs="Times New Roman"/>
          <w:color w:val="000000" w:themeColor="text1"/>
          <w:sz w:val="24"/>
          <w:szCs w:val="24"/>
        </w:rPr>
        <w:t>appropriate</w:t>
      </w:r>
      <w:r w:rsidR="007E5F31">
        <w:rPr>
          <w:rFonts w:ascii="Times New Roman" w:hAnsi="Times New Roman" w:cs="Times New Roman"/>
          <w:color w:val="000000" w:themeColor="text1"/>
          <w:sz w:val="24"/>
          <w:szCs w:val="24"/>
        </w:rPr>
        <w:t xml:space="preserve"> </w:t>
      </w:r>
      <w:r w:rsidR="007E5F31" w:rsidRPr="00DA258D">
        <w:rPr>
          <w:rFonts w:ascii="Times New Roman" w:hAnsi="Times New Roman" w:cs="Times New Roman"/>
          <w:color w:val="000000" w:themeColor="text1"/>
          <w:sz w:val="24"/>
          <w:szCs w:val="24"/>
        </w:rPr>
        <w:t>documentation and approvals</w:t>
      </w:r>
      <w:r w:rsidR="00CD7F23">
        <w:rPr>
          <w:rFonts w:ascii="Times New Roman" w:hAnsi="Times New Roman" w:cs="Times New Roman"/>
          <w:color w:val="000000" w:themeColor="text1"/>
          <w:sz w:val="24"/>
          <w:szCs w:val="24"/>
        </w:rPr>
        <w:t xml:space="preserve"> of credit</w:t>
      </w:r>
      <w:r w:rsidR="007E5F31" w:rsidRPr="00DA258D">
        <w:rPr>
          <w:rFonts w:ascii="Times New Roman" w:hAnsi="Times New Roman" w:cs="Times New Roman"/>
          <w:color w:val="000000" w:themeColor="text1"/>
          <w:sz w:val="24"/>
          <w:szCs w:val="24"/>
        </w:rPr>
        <w:t xml:space="preserve"> are in place before the disbursement of financ</w:t>
      </w:r>
      <w:r w:rsidR="007E5F31">
        <w:rPr>
          <w:rFonts w:ascii="Times New Roman" w:hAnsi="Times New Roman" w:cs="Times New Roman"/>
          <w:color w:val="000000" w:themeColor="text1"/>
          <w:sz w:val="24"/>
          <w:szCs w:val="24"/>
        </w:rPr>
        <w:t xml:space="preserve">ial facility </w:t>
      </w:r>
      <w:r w:rsidR="007E5F31" w:rsidRPr="00DA258D">
        <w:rPr>
          <w:rFonts w:ascii="Times New Roman" w:hAnsi="Times New Roman" w:cs="Times New Roman"/>
          <w:color w:val="000000" w:themeColor="text1"/>
          <w:sz w:val="24"/>
          <w:szCs w:val="24"/>
        </w:rPr>
        <w:t xml:space="preserve">is a </w:t>
      </w:r>
      <w:r w:rsidR="005E543E">
        <w:rPr>
          <w:rFonts w:ascii="Times New Roman" w:hAnsi="Times New Roman" w:cs="Times New Roman"/>
          <w:color w:val="000000" w:themeColor="text1"/>
          <w:sz w:val="24"/>
          <w:szCs w:val="24"/>
        </w:rPr>
        <w:t>significant element in maintaining</w:t>
      </w:r>
      <w:r w:rsidR="007E5F31" w:rsidRPr="00DA258D">
        <w:rPr>
          <w:rFonts w:ascii="Times New Roman" w:hAnsi="Times New Roman" w:cs="Times New Roman"/>
          <w:color w:val="000000" w:themeColor="text1"/>
          <w:sz w:val="24"/>
          <w:szCs w:val="24"/>
        </w:rPr>
        <w:t xml:space="preserve"> </w:t>
      </w:r>
      <w:r w:rsidR="005E543E">
        <w:rPr>
          <w:rFonts w:ascii="Times New Roman" w:hAnsi="Times New Roman" w:cs="Times New Roman"/>
          <w:color w:val="000000" w:themeColor="text1"/>
          <w:sz w:val="24"/>
          <w:szCs w:val="24"/>
        </w:rPr>
        <w:t xml:space="preserve">validity </w:t>
      </w:r>
      <w:r w:rsidR="007E5F31" w:rsidRPr="00DA258D">
        <w:rPr>
          <w:rFonts w:ascii="Times New Roman" w:hAnsi="Times New Roman" w:cs="Times New Roman"/>
          <w:color w:val="000000" w:themeColor="text1"/>
          <w:sz w:val="24"/>
          <w:szCs w:val="24"/>
        </w:rPr>
        <w:t>and soundness of a bank</w:t>
      </w:r>
      <w:r w:rsidR="00CD7F2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(Basel, 2000</w:t>
      </w:r>
      <w:r w:rsidR="00C470BB" w:rsidRPr="00DA258D">
        <w:rPr>
          <w:rFonts w:ascii="Times New Roman" w:hAnsi="Times New Roman" w:cs="Times New Roman"/>
          <w:color w:val="000000" w:themeColor="text1"/>
          <w:sz w:val="24"/>
          <w:szCs w:val="24"/>
        </w:rPr>
        <w:t xml:space="preserve">). </w:t>
      </w:r>
      <w:r w:rsidR="00C470BB" w:rsidRPr="00DA258D">
        <w:rPr>
          <w:rFonts w:ascii="Times New Roman" w:eastAsia="ArialMT" w:hAnsi="Times New Roman" w:cs="Times New Roman"/>
          <w:sz w:val="24"/>
          <w:szCs w:val="24"/>
        </w:rPr>
        <w:t xml:space="preserve">Credit </w:t>
      </w:r>
      <w:r w:rsidR="007E5F31">
        <w:rPr>
          <w:rFonts w:ascii="Times New Roman" w:eastAsia="ArialMT" w:hAnsi="Times New Roman" w:cs="Times New Roman"/>
          <w:sz w:val="24"/>
          <w:szCs w:val="24"/>
        </w:rPr>
        <w:t>administration function is essentially</w:t>
      </w:r>
      <w:r w:rsidR="00131423">
        <w:rPr>
          <w:rFonts w:ascii="Times New Roman" w:eastAsia="ArialMT" w:hAnsi="Times New Roman" w:cs="Times New Roman"/>
          <w:sz w:val="24"/>
          <w:szCs w:val="24"/>
        </w:rPr>
        <w:t xml:space="preserve"> to</w:t>
      </w:r>
      <w:r w:rsidR="007E5F31">
        <w:rPr>
          <w:rFonts w:ascii="Times New Roman" w:eastAsia="ArialMT" w:hAnsi="Times New Roman" w:cs="Times New Roman"/>
          <w:sz w:val="24"/>
          <w:szCs w:val="24"/>
        </w:rPr>
        <w:t xml:space="preserve"> support and control granting</w:t>
      </w:r>
      <w:r w:rsidR="00C470BB" w:rsidRPr="00DA258D">
        <w:rPr>
          <w:rFonts w:ascii="Times New Roman" w:eastAsia="ArialMT" w:hAnsi="Times New Roman" w:cs="Times New Roman"/>
          <w:sz w:val="24"/>
          <w:szCs w:val="24"/>
        </w:rPr>
        <w:t xml:space="preserve"> and </w:t>
      </w:r>
      <w:r w:rsidR="007E5F31">
        <w:rPr>
          <w:rFonts w:ascii="Times New Roman" w:eastAsia="ArialMT" w:hAnsi="Times New Roman" w:cs="Times New Roman"/>
          <w:sz w:val="24"/>
          <w:szCs w:val="24"/>
        </w:rPr>
        <w:t>servicing</w:t>
      </w:r>
      <w:r w:rsidR="00C470BB" w:rsidRPr="00DA258D">
        <w:rPr>
          <w:rFonts w:ascii="Times New Roman" w:eastAsia="ArialMT" w:hAnsi="Times New Roman" w:cs="Times New Roman"/>
          <w:sz w:val="24"/>
          <w:szCs w:val="24"/>
        </w:rPr>
        <w:t xml:space="preserve"> credit</w:t>
      </w:r>
      <w:r w:rsidR="00AD7077">
        <w:rPr>
          <w:rFonts w:ascii="Times New Roman" w:eastAsia="ArialMT" w:hAnsi="Times New Roman" w:cs="Times New Roman"/>
          <w:sz w:val="24"/>
          <w:szCs w:val="24"/>
        </w:rPr>
        <w:t xml:space="preserve"> once it is granted. This function is</w:t>
      </w:r>
      <w:r w:rsidR="00C470BB" w:rsidRPr="00DA258D">
        <w:rPr>
          <w:rFonts w:ascii="Times New Roman" w:eastAsia="ArialMT" w:hAnsi="Times New Roman" w:cs="Times New Roman"/>
          <w:sz w:val="24"/>
          <w:szCs w:val="24"/>
        </w:rPr>
        <w:t xml:space="preserve"> performed by t</w:t>
      </w:r>
      <w:r w:rsidR="007E5F31">
        <w:rPr>
          <w:rFonts w:ascii="Times New Roman" w:eastAsia="ArialMT" w:hAnsi="Times New Roman" w:cs="Times New Roman"/>
          <w:sz w:val="24"/>
          <w:szCs w:val="24"/>
        </w:rPr>
        <w:t>he business units and often</w:t>
      </w:r>
      <w:r w:rsidR="00C470BB" w:rsidRPr="00DA258D">
        <w:rPr>
          <w:rFonts w:ascii="Times New Roman" w:eastAsia="ArialMT" w:hAnsi="Times New Roman" w:cs="Times New Roman"/>
          <w:sz w:val="24"/>
          <w:szCs w:val="24"/>
        </w:rPr>
        <w:t xml:space="preserve"> with the help of credit administration support team</w:t>
      </w:r>
      <w:r w:rsidR="00AD7077">
        <w:rPr>
          <w:rFonts w:ascii="Times New Roman" w:eastAsia="ArialMT" w:hAnsi="Times New Roman" w:cs="Times New Roman"/>
          <w:sz w:val="24"/>
          <w:szCs w:val="24"/>
        </w:rPr>
        <w:t>,</w:t>
      </w:r>
      <w:r w:rsidR="00C470BB" w:rsidRPr="00DA258D">
        <w:rPr>
          <w:rFonts w:ascii="Times New Roman" w:eastAsia="ArialMT" w:hAnsi="Times New Roman" w:cs="Times New Roman"/>
          <w:sz w:val="24"/>
          <w:szCs w:val="24"/>
        </w:rPr>
        <w:t xml:space="preserve"> depending on the </w:t>
      </w:r>
      <w:r w:rsidR="00E76417" w:rsidRPr="00DA258D">
        <w:rPr>
          <w:rFonts w:ascii="Times New Roman" w:eastAsia="ArialMT" w:hAnsi="Times New Roman" w:cs="Times New Roman"/>
          <w:sz w:val="24"/>
          <w:szCs w:val="24"/>
        </w:rPr>
        <w:t xml:space="preserve">size </w:t>
      </w:r>
      <w:r w:rsidR="00E76417" w:rsidRPr="00DA258D">
        <w:rPr>
          <w:rFonts w:ascii="Times New Roman" w:hAnsi="Times New Roman" w:cs="Times New Roman"/>
          <w:sz w:val="24"/>
          <w:szCs w:val="24"/>
        </w:rPr>
        <w:t xml:space="preserve">and </w:t>
      </w:r>
      <w:r w:rsidR="007E5F31">
        <w:rPr>
          <w:rFonts w:ascii="Times New Roman" w:hAnsi="Times New Roman" w:cs="Times New Roman"/>
          <w:sz w:val="24"/>
          <w:szCs w:val="24"/>
        </w:rPr>
        <w:t>complexity of the bank activities.</w:t>
      </w:r>
      <w:r w:rsidR="00E76417" w:rsidRPr="00DA258D">
        <w:rPr>
          <w:rFonts w:ascii="Times New Roman" w:hAnsi="Times New Roman" w:cs="Times New Roman"/>
          <w:sz w:val="24"/>
          <w:szCs w:val="24"/>
        </w:rPr>
        <w:t xml:space="preserve"> In large banks the responsibil</w:t>
      </w:r>
      <w:r w:rsidR="00131423">
        <w:rPr>
          <w:rFonts w:ascii="Times New Roman" w:hAnsi="Times New Roman" w:cs="Times New Roman"/>
          <w:sz w:val="24"/>
          <w:szCs w:val="24"/>
        </w:rPr>
        <w:t>ity of this function is allotted to various</w:t>
      </w:r>
      <w:r w:rsidR="00E76417" w:rsidRPr="00DA258D">
        <w:rPr>
          <w:rFonts w:ascii="Times New Roman" w:hAnsi="Times New Roman" w:cs="Times New Roman"/>
          <w:sz w:val="24"/>
          <w:szCs w:val="24"/>
        </w:rPr>
        <w:t xml:space="preserve"> departments</w:t>
      </w:r>
      <w:r w:rsidR="005D5F0E" w:rsidRPr="00DA258D">
        <w:rPr>
          <w:rFonts w:ascii="Times New Roman" w:hAnsi="Times New Roman" w:cs="Times New Roman"/>
          <w:sz w:val="24"/>
          <w:szCs w:val="24"/>
        </w:rPr>
        <w:t>,</w:t>
      </w:r>
      <w:r w:rsidR="00E76417" w:rsidRPr="00DA258D">
        <w:rPr>
          <w:rFonts w:ascii="Times New Roman" w:hAnsi="Times New Roman" w:cs="Times New Roman"/>
          <w:sz w:val="24"/>
          <w:szCs w:val="24"/>
        </w:rPr>
        <w:t xml:space="preserve"> in contrast to small banks where fe</w:t>
      </w:r>
      <w:r w:rsidR="007E5F31">
        <w:rPr>
          <w:rFonts w:ascii="Times New Roman" w:hAnsi="Times New Roman" w:cs="Times New Roman"/>
          <w:sz w:val="24"/>
          <w:szCs w:val="24"/>
        </w:rPr>
        <w:t xml:space="preserve">w </w:t>
      </w:r>
      <w:r w:rsidR="00131423">
        <w:rPr>
          <w:rFonts w:ascii="Times New Roman" w:hAnsi="Times New Roman" w:cs="Times New Roman"/>
          <w:sz w:val="24"/>
          <w:szCs w:val="24"/>
        </w:rPr>
        <w:t>employees</w:t>
      </w:r>
      <w:r w:rsidR="007E5F31" w:rsidRPr="00DA258D">
        <w:rPr>
          <w:rFonts w:ascii="Times New Roman" w:hAnsi="Times New Roman" w:cs="Times New Roman"/>
          <w:sz w:val="24"/>
          <w:szCs w:val="24"/>
        </w:rPr>
        <w:t xml:space="preserve"> might handle many areas of credit administration function.</w:t>
      </w:r>
      <w:r w:rsidR="00052270">
        <w:rPr>
          <w:rFonts w:asciiTheme="majorBidi" w:hAnsiTheme="majorBidi" w:cstheme="majorBidi"/>
          <w:sz w:val="24"/>
          <w:szCs w:val="24"/>
          <w:lang w:bidi="ar-JO"/>
        </w:rPr>
        <w:t xml:space="preserve"> An ideal</w:t>
      </w:r>
      <w:r w:rsidR="009E6005" w:rsidRPr="00DA258D">
        <w:rPr>
          <w:rFonts w:ascii="Times New Roman" w:eastAsia="ArialMT" w:hAnsi="Times New Roman" w:cs="Times New Roman"/>
          <w:sz w:val="24"/>
          <w:szCs w:val="24"/>
        </w:rPr>
        <w:t xml:space="preserve"> credit administration unit usually includes </w:t>
      </w:r>
      <w:r w:rsidR="009E6005" w:rsidRPr="00DA258D">
        <w:rPr>
          <w:rFonts w:ascii="Times New Roman" w:hAnsi="Times New Roman" w:cs="Times New Roman"/>
          <w:sz w:val="24"/>
          <w:szCs w:val="24"/>
        </w:rPr>
        <w:t>the functions of credit documentation, disbursement and monitoring; loan repayment; and maintenance of credit files, collateral and security documents</w:t>
      </w:r>
    </w:p>
    <w:p w:rsidR="00C953E6" w:rsidRPr="00DA258D" w:rsidRDefault="00C953E6" w:rsidP="00594A7B">
      <w:pPr>
        <w:spacing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Credit monitoring is one of the most</w:t>
      </w:r>
      <w:r w:rsidR="005C4C40">
        <w:rPr>
          <w:rFonts w:ascii="Times New Roman" w:hAnsi="Times New Roman" w:cs="Times New Roman"/>
          <w:sz w:val="24"/>
          <w:szCs w:val="24"/>
        </w:rPr>
        <w:t xml:space="preserve"> important functions</w:t>
      </w:r>
      <w:r w:rsidRPr="00DA258D">
        <w:rPr>
          <w:rFonts w:ascii="Times New Roman" w:hAnsi="Times New Roman" w:cs="Times New Roman"/>
          <w:sz w:val="24"/>
          <w:szCs w:val="24"/>
        </w:rPr>
        <w:t xml:space="preserve"> which banks take to face credit risks and check on them. Setting up a monitoring system on credit operations, a system characterized by efficiency and effectiveness and applied by the bank, helps to reduce credit risks and provide protection for it from vulnerability to any of these potential risks</w:t>
      </w:r>
    </w:p>
    <w:p w:rsidR="004F3F7A" w:rsidRPr="00DA258D" w:rsidRDefault="004F3F7A" w:rsidP="00594A7B">
      <w:pPr>
        <w:spacing w:line="360" w:lineRule="auto"/>
        <w:contextualSpacing/>
        <w:jc w:val="both"/>
        <w:rPr>
          <w:rFonts w:ascii="Times New Roman" w:hAnsi="Times New Roman" w:cs="Times New Roman"/>
          <w:color w:val="000000" w:themeColor="text1"/>
          <w:sz w:val="24"/>
          <w:szCs w:val="24"/>
        </w:rPr>
      </w:pPr>
      <w:r w:rsidRPr="00DA258D">
        <w:rPr>
          <w:rFonts w:ascii="Times New Roman" w:hAnsi="Times New Roman" w:cs="Times New Roman"/>
          <w:color w:val="000000" w:themeColor="text1"/>
          <w:sz w:val="24"/>
          <w:szCs w:val="24"/>
        </w:rPr>
        <w:t>Credit monitoring is defined as a tool or mechanism to review or audit credit and it includes credit auditing and checking to determine the extent of the match between existing and awarded credit and the policies and procedures approved to guarantee achievement of a number of obje</w:t>
      </w:r>
      <w:r w:rsidR="00ED41F7">
        <w:rPr>
          <w:rFonts w:ascii="Times New Roman" w:hAnsi="Times New Roman" w:cs="Times New Roman"/>
          <w:color w:val="000000" w:themeColor="text1"/>
          <w:sz w:val="24"/>
          <w:szCs w:val="24"/>
        </w:rPr>
        <w:t>ctives</w:t>
      </w:r>
      <w:r w:rsidR="00BF5D2F">
        <w:rPr>
          <w:rFonts w:ascii="Times New Roman" w:hAnsi="Times New Roman" w:cs="Times New Roman"/>
          <w:color w:val="000000" w:themeColor="text1"/>
          <w:sz w:val="24"/>
          <w:szCs w:val="24"/>
        </w:rPr>
        <w:t xml:space="preserve"> such as</w:t>
      </w:r>
      <w:r w:rsidR="00ED41F7">
        <w:rPr>
          <w:rFonts w:ascii="Times New Roman" w:hAnsi="Times New Roman" w:cs="Times New Roman"/>
          <w:color w:val="000000" w:themeColor="text1"/>
          <w:sz w:val="24"/>
          <w:szCs w:val="24"/>
        </w:rPr>
        <w:t xml:space="preserve"> (Joseph, 2006</w:t>
      </w:r>
      <w:r w:rsidRPr="00DA258D">
        <w:rPr>
          <w:rFonts w:ascii="Times New Roman" w:hAnsi="Times New Roman" w:cs="Times New Roman"/>
          <w:color w:val="000000" w:themeColor="text1"/>
          <w:sz w:val="24"/>
          <w:szCs w:val="24"/>
        </w:rPr>
        <w:t>):</w:t>
      </w:r>
    </w:p>
    <w:p w:rsidR="00AD7077" w:rsidRDefault="004F3F7A" w:rsidP="00F873C9">
      <w:pPr>
        <w:pStyle w:val="ListParagraph"/>
        <w:numPr>
          <w:ilvl w:val="0"/>
          <w:numId w:val="37"/>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Continuous improvement of the quality and str</w:t>
      </w:r>
      <w:r w:rsidR="00AD7077" w:rsidRPr="00AD7077">
        <w:rPr>
          <w:rFonts w:ascii="Times New Roman" w:hAnsi="Times New Roman" w:cs="Times New Roman"/>
          <w:sz w:val="24"/>
          <w:szCs w:val="24"/>
        </w:rPr>
        <w:t>ucture of the credit portfolios;</w:t>
      </w:r>
    </w:p>
    <w:p w:rsidR="00AD7077" w:rsidRDefault="004F3F7A" w:rsidP="00F873C9">
      <w:pPr>
        <w:pStyle w:val="ListParagraph"/>
        <w:numPr>
          <w:ilvl w:val="0"/>
          <w:numId w:val="37"/>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Review and implementation of granting processes and verifying extent of their consistency with what has be</w:t>
      </w:r>
      <w:r w:rsidR="00AD7077" w:rsidRPr="00AD7077">
        <w:rPr>
          <w:rFonts w:ascii="Times New Roman" w:hAnsi="Times New Roman" w:cs="Times New Roman"/>
          <w:sz w:val="24"/>
          <w:szCs w:val="24"/>
        </w:rPr>
        <w:t>en approved;</w:t>
      </w:r>
    </w:p>
    <w:p w:rsidR="00AD7077" w:rsidRDefault="004F3F7A" w:rsidP="00F873C9">
      <w:pPr>
        <w:pStyle w:val="ListParagraph"/>
        <w:numPr>
          <w:ilvl w:val="0"/>
          <w:numId w:val="37"/>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Getting feedback that guarantees verification of the extent of respect of legislations, laws and regulations e</w:t>
      </w:r>
      <w:r w:rsidR="00AD7077" w:rsidRPr="00AD7077">
        <w:rPr>
          <w:rFonts w:ascii="Times New Roman" w:hAnsi="Times New Roman" w:cs="Times New Roman"/>
          <w:sz w:val="24"/>
          <w:szCs w:val="24"/>
        </w:rPr>
        <w:t>ffective in the field of credit;</w:t>
      </w:r>
    </w:p>
    <w:p w:rsidR="00AD7077" w:rsidRDefault="004F3F7A" w:rsidP="00F873C9">
      <w:pPr>
        <w:pStyle w:val="ListParagraph"/>
        <w:numPr>
          <w:ilvl w:val="0"/>
          <w:numId w:val="37"/>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Estimating levels of credit portfolio risks.</w:t>
      </w:r>
    </w:p>
    <w:p w:rsidR="00AD7077" w:rsidRDefault="004F3F7A" w:rsidP="00F873C9">
      <w:pPr>
        <w:pStyle w:val="ListParagraph"/>
        <w:numPr>
          <w:ilvl w:val="0"/>
          <w:numId w:val="37"/>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Receiving early warning signals concerning weak accounts, maintaining them and</w:t>
      </w:r>
      <w:r w:rsidR="00AD7077" w:rsidRPr="00AD7077">
        <w:rPr>
          <w:rFonts w:ascii="Times New Roman" w:hAnsi="Times New Roman" w:cs="Times New Roman"/>
          <w:sz w:val="24"/>
          <w:szCs w:val="24"/>
        </w:rPr>
        <w:t xml:space="preserve"> suggesting necessary solutions;</w:t>
      </w:r>
    </w:p>
    <w:p w:rsidR="004F3F7A" w:rsidRPr="00AD7077" w:rsidRDefault="004F3F7A" w:rsidP="00F873C9">
      <w:pPr>
        <w:pStyle w:val="ListParagraph"/>
        <w:numPr>
          <w:ilvl w:val="0"/>
          <w:numId w:val="37"/>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lastRenderedPageBreak/>
        <w:t>Giving appropriate recommendations which guarantee corrective procedures, thus improving the quality and management of credit.</w:t>
      </w:r>
    </w:p>
    <w:p w:rsidR="00307503" w:rsidRPr="00DA258D" w:rsidRDefault="00307503" w:rsidP="00642F38">
      <w:pPr>
        <w:spacing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 xml:space="preserve">An effective credit monitoring </w:t>
      </w:r>
      <w:r w:rsidR="003233A8">
        <w:rPr>
          <w:rFonts w:ascii="Times New Roman" w:hAnsi="Times New Roman" w:cs="Times New Roman"/>
          <w:sz w:val="24"/>
          <w:szCs w:val="24"/>
        </w:rPr>
        <w:t>system will include measures to (Basel, 2000):</w:t>
      </w:r>
    </w:p>
    <w:p w:rsidR="00AD7077" w:rsidRDefault="00307503" w:rsidP="00F873C9">
      <w:pPr>
        <w:pStyle w:val="ListParagraph"/>
        <w:numPr>
          <w:ilvl w:val="0"/>
          <w:numId w:val="38"/>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Making sure the bank has understood the present finan</w:t>
      </w:r>
      <w:r w:rsidR="003D45A9">
        <w:rPr>
          <w:rFonts w:ascii="Times New Roman" w:hAnsi="Times New Roman" w:cs="Times New Roman"/>
          <w:sz w:val="24"/>
          <w:szCs w:val="24"/>
        </w:rPr>
        <w:t>cial conditions of the borrower;</w:t>
      </w:r>
    </w:p>
    <w:p w:rsidR="00AD7077" w:rsidRDefault="00307503" w:rsidP="00F873C9">
      <w:pPr>
        <w:pStyle w:val="ListParagraph"/>
        <w:numPr>
          <w:ilvl w:val="0"/>
          <w:numId w:val="38"/>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 xml:space="preserve"> Consistency of control with the financial</w:t>
      </w:r>
      <w:r w:rsidR="00AD7077">
        <w:rPr>
          <w:rFonts w:ascii="Times New Roman" w:hAnsi="Times New Roman" w:cs="Times New Roman"/>
          <w:sz w:val="24"/>
          <w:szCs w:val="24"/>
        </w:rPr>
        <w:t xml:space="preserve"> aspects and operations pledges;</w:t>
      </w:r>
    </w:p>
    <w:p w:rsidR="00AD7077" w:rsidRDefault="00307503" w:rsidP="00F873C9">
      <w:pPr>
        <w:pStyle w:val="ListParagraph"/>
        <w:numPr>
          <w:ilvl w:val="0"/>
          <w:numId w:val="38"/>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Evaluation of guarantees in terms of their link with the present circumstances of the borrower</w:t>
      </w:r>
      <w:r w:rsidR="003D45A9">
        <w:rPr>
          <w:rFonts w:ascii="Times New Roman" w:hAnsi="Times New Roman" w:cs="Times New Roman"/>
          <w:sz w:val="24"/>
          <w:szCs w:val="24"/>
        </w:rPr>
        <w:t xml:space="preserve"> and;</w:t>
      </w:r>
    </w:p>
    <w:p w:rsidR="00307503" w:rsidRPr="00AD7077" w:rsidRDefault="00307503" w:rsidP="00F873C9">
      <w:pPr>
        <w:pStyle w:val="ListParagraph"/>
        <w:numPr>
          <w:ilvl w:val="0"/>
          <w:numId w:val="38"/>
        </w:numPr>
        <w:spacing w:line="360" w:lineRule="auto"/>
        <w:jc w:val="both"/>
        <w:rPr>
          <w:rFonts w:ascii="Times New Roman" w:hAnsi="Times New Roman" w:cs="Times New Roman"/>
          <w:sz w:val="24"/>
          <w:szCs w:val="24"/>
        </w:rPr>
      </w:pPr>
      <w:r w:rsidRPr="00AD7077">
        <w:rPr>
          <w:rFonts w:ascii="Times New Roman" w:hAnsi="Times New Roman" w:cs="Times New Roman"/>
          <w:sz w:val="24"/>
          <w:szCs w:val="24"/>
        </w:rPr>
        <w:t xml:space="preserve"> Identifying the credit problems at the appropriate time and before something happens.</w:t>
      </w:r>
    </w:p>
    <w:p w:rsidR="0091681B" w:rsidRPr="0025659E" w:rsidRDefault="005C4C40" w:rsidP="00B50646">
      <w:pPr>
        <w:spacing w:line="360" w:lineRule="auto"/>
        <w:contextualSpacing/>
        <w:jc w:val="both"/>
        <w:rPr>
          <w:rFonts w:ascii="Times New Roman" w:hAnsi="Times New Roman" w:cs="Times New Roman"/>
          <w:sz w:val="24"/>
          <w:szCs w:val="24"/>
        </w:rPr>
      </w:pPr>
      <w:r w:rsidRPr="005C4C40">
        <w:rPr>
          <w:rFonts w:ascii="Times New Roman" w:hAnsi="Times New Roman" w:cs="Times New Roman"/>
          <w:sz w:val="24"/>
          <w:szCs w:val="24"/>
        </w:rPr>
        <w:t>According to Basel</w:t>
      </w:r>
      <w:r w:rsidR="00052270">
        <w:rPr>
          <w:rFonts w:ascii="Times New Roman" w:hAnsi="Times New Roman" w:cs="Times New Roman"/>
          <w:sz w:val="24"/>
          <w:szCs w:val="24"/>
        </w:rPr>
        <w:t xml:space="preserve"> (2000) twelfth principle, the m</w:t>
      </w:r>
      <w:r w:rsidRPr="005C4C40">
        <w:rPr>
          <w:rFonts w:ascii="Times New Roman" w:hAnsi="Times New Roman" w:cs="Times New Roman"/>
          <w:sz w:val="24"/>
          <w:szCs w:val="24"/>
        </w:rPr>
        <w:t>aintenance of appropriate credit management and monitori</w:t>
      </w:r>
      <w:r w:rsidR="003233A8">
        <w:rPr>
          <w:rFonts w:ascii="Times New Roman" w:hAnsi="Times New Roman" w:cs="Times New Roman"/>
          <w:sz w:val="24"/>
          <w:szCs w:val="24"/>
        </w:rPr>
        <w:t>ng procedures and standards,</w:t>
      </w:r>
      <w:r w:rsidRPr="005C4C40">
        <w:rPr>
          <w:rFonts w:ascii="Times New Roman" w:hAnsi="Times New Roman" w:cs="Times New Roman"/>
          <w:sz w:val="24"/>
          <w:szCs w:val="24"/>
        </w:rPr>
        <w:t xml:space="preserve"> bank</w:t>
      </w:r>
      <w:r w:rsidR="003233A8">
        <w:rPr>
          <w:rFonts w:ascii="Times New Roman" w:hAnsi="Times New Roman" w:cs="Times New Roman"/>
          <w:sz w:val="24"/>
          <w:szCs w:val="24"/>
        </w:rPr>
        <w:t>s</w:t>
      </w:r>
      <w:r w:rsidRPr="005C4C40">
        <w:rPr>
          <w:rFonts w:ascii="Times New Roman" w:hAnsi="Times New Roman" w:cs="Times New Roman"/>
          <w:sz w:val="24"/>
          <w:szCs w:val="24"/>
        </w:rPr>
        <w:t xml:space="preserve"> must have monitoring system over the structure a</w:t>
      </w:r>
      <w:r w:rsidR="003233A8">
        <w:rPr>
          <w:rFonts w:ascii="Times New Roman" w:hAnsi="Times New Roman" w:cs="Times New Roman"/>
          <w:sz w:val="24"/>
          <w:szCs w:val="24"/>
        </w:rPr>
        <w:t xml:space="preserve">nd type of the credit portfolio, </w:t>
      </w:r>
      <w:r w:rsidRPr="005C4C40">
        <w:rPr>
          <w:rFonts w:ascii="Times New Roman" w:hAnsi="Times New Roman" w:cs="Times New Roman"/>
          <w:sz w:val="24"/>
          <w:szCs w:val="24"/>
        </w:rPr>
        <w:t xml:space="preserve">taking into consideration the credit concentrations which occur as a result of the credit portfolio </w:t>
      </w:r>
      <w:r w:rsidR="003233A8">
        <w:rPr>
          <w:rFonts w:ascii="Times New Roman" w:hAnsi="Times New Roman" w:cs="Times New Roman"/>
          <w:sz w:val="24"/>
          <w:szCs w:val="24"/>
        </w:rPr>
        <w:t xml:space="preserve">that </w:t>
      </w:r>
      <w:r w:rsidRPr="005C4C40">
        <w:rPr>
          <w:rFonts w:ascii="Times New Roman" w:hAnsi="Times New Roman" w:cs="Times New Roman"/>
          <w:sz w:val="24"/>
          <w:szCs w:val="24"/>
        </w:rPr>
        <w:t>h</w:t>
      </w:r>
      <w:r w:rsidR="003233A8">
        <w:rPr>
          <w:rFonts w:ascii="Times New Roman" w:hAnsi="Times New Roman" w:cs="Times New Roman"/>
          <w:sz w:val="24"/>
          <w:szCs w:val="24"/>
        </w:rPr>
        <w:t>ave</w:t>
      </w:r>
      <w:r w:rsidRPr="005C4C40">
        <w:rPr>
          <w:rFonts w:ascii="Times New Roman" w:hAnsi="Times New Roman" w:cs="Times New Roman"/>
          <w:sz w:val="24"/>
          <w:szCs w:val="24"/>
        </w:rPr>
        <w:t xml:space="preserve"> a high level of direct and indirect credit.</w:t>
      </w:r>
      <w:r>
        <w:t xml:space="preserve"> </w:t>
      </w:r>
      <w:r w:rsidR="00E85E05" w:rsidRPr="00754B86">
        <w:rPr>
          <w:rFonts w:ascii="Times New Roman" w:hAnsi="Times New Roman" w:cs="Times New Roman"/>
          <w:sz w:val="24"/>
          <w:szCs w:val="24"/>
        </w:rPr>
        <w:t>In this respect, Credit monitoring or supervision should concentrate on some important aspects such type of credit facility, geographic area and type of guarantee.</w:t>
      </w:r>
      <w:r w:rsidR="0025659E">
        <w:rPr>
          <w:rFonts w:ascii="Times New Roman" w:hAnsi="Times New Roman" w:cs="Times New Roman"/>
          <w:sz w:val="24"/>
          <w:szCs w:val="24"/>
        </w:rPr>
        <w:t xml:space="preserve"> </w:t>
      </w:r>
      <w:r w:rsidR="009A7A26" w:rsidRPr="00DA258D">
        <w:rPr>
          <w:rFonts w:ascii="Times New Roman" w:hAnsi="Times New Roman" w:cs="Times New Roman"/>
          <w:sz w:val="24"/>
          <w:szCs w:val="24"/>
        </w:rPr>
        <w:t>An important element of a sound credit risk management, involve</w:t>
      </w:r>
      <w:r w:rsidR="0029222C">
        <w:rPr>
          <w:rFonts w:ascii="Times New Roman" w:hAnsi="Times New Roman" w:cs="Times New Roman"/>
          <w:sz w:val="24"/>
          <w:szCs w:val="24"/>
        </w:rPr>
        <w:t xml:space="preserve"> taking into account </w:t>
      </w:r>
      <w:r w:rsidR="0029222C">
        <w:rPr>
          <w:rFonts w:ascii="Times New Roman" w:hAnsi="Times New Roman" w:cs="Times New Roman"/>
          <w:bCs/>
          <w:sz w:val="24"/>
          <w:szCs w:val="24"/>
        </w:rPr>
        <w:t xml:space="preserve">the possibility of any changes in the economic situation when assessing credit portfolios, and also assessing credit risk exposure under </w:t>
      </w:r>
      <w:r w:rsidR="0029222C" w:rsidRPr="00DA258D">
        <w:rPr>
          <w:rFonts w:ascii="Times New Roman" w:hAnsi="Times New Roman" w:cs="Times New Roman"/>
          <w:bCs/>
          <w:sz w:val="24"/>
          <w:szCs w:val="24"/>
        </w:rPr>
        <w:t>stressful</w:t>
      </w:r>
      <w:r w:rsidR="0029222C">
        <w:rPr>
          <w:rFonts w:ascii="Times New Roman" w:hAnsi="Times New Roman" w:cs="Times New Roman"/>
          <w:bCs/>
          <w:sz w:val="24"/>
          <w:szCs w:val="24"/>
        </w:rPr>
        <w:t xml:space="preserve"> situations </w:t>
      </w:r>
      <w:r w:rsidR="00ED41F7">
        <w:rPr>
          <w:rFonts w:ascii="Times New Roman" w:hAnsi="Times New Roman" w:cs="Times New Roman"/>
          <w:bCs/>
          <w:sz w:val="24"/>
          <w:szCs w:val="24"/>
        </w:rPr>
        <w:t>(Bas</w:t>
      </w:r>
      <w:r w:rsidR="0029222C">
        <w:rPr>
          <w:rFonts w:ascii="Times New Roman" w:hAnsi="Times New Roman" w:cs="Times New Roman"/>
          <w:bCs/>
          <w:sz w:val="24"/>
          <w:szCs w:val="24"/>
        </w:rPr>
        <w:t xml:space="preserve"> </w:t>
      </w:r>
      <w:r w:rsidR="00ED41F7">
        <w:rPr>
          <w:rFonts w:ascii="Times New Roman" w:hAnsi="Times New Roman" w:cs="Times New Roman"/>
          <w:bCs/>
          <w:sz w:val="24"/>
          <w:szCs w:val="24"/>
        </w:rPr>
        <w:t>el, 2000</w:t>
      </w:r>
      <w:r w:rsidR="009A7A26" w:rsidRPr="00DA258D">
        <w:rPr>
          <w:rFonts w:ascii="Times New Roman" w:hAnsi="Times New Roman" w:cs="Times New Roman"/>
          <w:bCs/>
          <w:sz w:val="24"/>
          <w:szCs w:val="24"/>
        </w:rPr>
        <w:t>).</w:t>
      </w:r>
    </w:p>
    <w:p w:rsidR="0025659E" w:rsidRDefault="009A7A26" w:rsidP="00B50646">
      <w:pPr>
        <w:autoSpaceDE w:val="0"/>
        <w:autoSpaceDN w:val="0"/>
        <w:adjustRightInd w:val="0"/>
        <w:spacing w:after="0" w:line="360" w:lineRule="auto"/>
        <w:contextualSpacing/>
        <w:jc w:val="both"/>
        <w:rPr>
          <w:rFonts w:ascii="Times New Roman" w:hAnsi="Times New Roman" w:cs="Times New Roman"/>
          <w:sz w:val="24"/>
          <w:szCs w:val="24"/>
        </w:rPr>
      </w:pPr>
      <w:r w:rsidRPr="00CD0EF0">
        <w:rPr>
          <w:rFonts w:ascii="Times New Roman" w:hAnsi="Times New Roman" w:cs="Times New Roman"/>
          <w:bCs/>
          <w:sz w:val="24"/>
          <w:szCs w:val="24"/>
        </w:rPr>
        <w:t>Stress</w:t>
      </w:r>
      <w:r w:rsidR="00171F2B" w:rsidRPr="00CD0EF0">
        <w:rPr>
          <w:rFonts w:ascii="Times New Roman" w:hAnsi="Times New Roman" w:cs="Times New Roman"/>
          <w:bCs/>
          <w:sz w:val="24"/>
          <w:szCs w:val="24"/>
        </w:rPr>
        <w:t xml:space="preserve"> </w:t>
      </w:r>
      <w:r w:rsidR="00A52DD8" w:rsidRPr="00CD0EF0">
        <w:rPr>
          <w:rFonts w:ascii="Times New Roman" w:hAnsi="Times New Roman" w:cs="Times New Roman"/>
          <w:bCs/>
          <w:sz w:val="24"/>
          <w:szCs w:val="24"/>
        </w:rPr>
        <w:t xml:space="preserve">testing </w:t>
      </w:r>
      <w:r w:rsidR="003D45A9">
        <w:rPr>
          <w:rFonts w:ascii="Times New Roman" w:hAnsi="Times New Roman" w:cs="Times New Roman"/>
          <w:bCs/>
          <w:sz w:val="24"/>
          <w:szCs w:val="24"/>
        </w:rPr>
        <w:t>used as</w:t>
      </w:r>
      <w:r w:rsidR="00FE6DFE" w:rsidRPr="00DA258D">
        <w:rPr>
          <w:rFonts w:ascii="Times New Roman" w:hAnsi="Times New Roman" w:cs="Times New Roman"/>
          <w:bCs/>
          <w:sz w:val="24"/>
          <w:szCs w:val="24"/>
        </w:rPr>
        <w:t xml:space="preserve"> a tool</w:t>
      </w:r>
      <w:r w:rsidR="003D45A9">
        <w:rPr>
          <w:rFonts w:ascii="Times New Roman" w:hAnsi="Times New Roman" w:cs="Times New Roman"/>
          <w:bCs/>
          <w:sz w:val="24"/>
          <w:szCs w:val="24"/>
        </w:rPr>
        <w:t xml:space="preserve"> </w:t>
      </w:r>
      <w:r w:rsidR="00FE6DFE" w:rsidRPr="00DA258D">
        <w:rPr>
          <w:rFonts w:ascii="Times New Roman" w:hAnsi="Times New Roman" w:cs="Times New Roman"/>
          <w:bCs/>
          <w:sz w:val="24"/>
          <w:szCs w:val="24"/>
        </w:rPr>
        <w:t>to assess the impact of market disruption on the bank’s credit portfolio</w:t>
      </w:r>
      <w:r w:rsidR="00FE6DFE" w:rsidRPr="00DA258D">
        <w:rPr>
          <w:rFonts w:ascii="Times New Roman" w:hAnsi="Times New Roman" w:cs="Times New Roman"/>
          <w:sz w:val="24"/>
          <w:szCs w:val="24"/>
        </w:rPr>
        <w:t xml:space="preserve"> and assessing the bank’s ability to bear such changes. </w:t>
      </w:r>
      <w:r w:rsidR="0025659E">
        <w:rPr>
          <w:rFonts w:ascii="Times New Roman" w:hAnsi="Times New Roman" w:cs="Times New Roman"/>
          <w:sz w:val="24"/>
          <w:szCs w:val="24"/>
        </w:rPr>
        <w:t xml:space="preserve">Three fields that banks can inspect: liquidity position, economic or industry recession and market-risk events. </w:t>
      </w:r>
    </w:p>
    <w:p w:rsidR="00F6657A" w:rsidRDefault="00F6657A" w:rsidP="00B50646">
      <w:pPr>
        <w:spacing w:line="360" w:lineRule="auto"/>
        <w:contextualSpacing/>
        <w:jc w:val="both"/>
      </w:pPr>
      <w:r>
        <w:rPr>
          <w:rFonts w:ascii="Times New Roman" w:hAnsi="Times New Roman" w:cs="Times New Roman"/>
          <w:sz w:val="24"/>
          <w:szCs w:val="24"/>
        </w:rPr>
        <w:t xml:space="preserve">The bank’s stress testing policy should be documented after being approved by the board of directors and senior management. Tests results should be periodically reviewed by top management and proper action should be taken when tests results exceed agreed tolerances. </w:t>
      </w:r>
    </w:p>
    <w:p w:rsidR="003027CD" w:rsidRPr="00DA258D" w:rsidRDefault="000A1880" w:rsidP="00EA3AF9">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In general</w:t>
      </w:r>
      <w:r w:rsidR="00FE0136" w:rsidRPr="00DA258D">
        <w:rPr>
          <w:rFonts w:ascii="Times New Roman" w:hAnsi="Times New Roman" w:cs="Times New Roman"/>
          <w:sz w:val="24"/>
          <w:szCs w:val="24"/>
        </w:rPr>
        <w:t>, in the preparation</w:t>
      </w:r>
      <w:r w:rsidR="00721BF0">
        <w:rPr>
          <w:rFonts w:ascii="Times New Roman" w:hAnsi="Times New Roman" w:cs="Times New Roman"/>
          <w:sz w:val="24"/>
          <w:szCs w:val="24"/>
        </w:rPr>
        <w:t xml:space="preserve"> </w:t>
      </w:r>
      <w:r w:rsidR="00FE0136" w:rsidRPr="00DA258D">
        <w:rPr>
          <w:rFonts w:ascii="Times New Roman" w:hAnsi="Times New Roman" w:cs="Times New Roman"/>
          <w:sz w:val="24"/>
          <w:szCs w:val="24"/>
        </w:rPr>
        <w:t xml:space="preserve">of </w:t>
      </w:r>
      <w:r w:rsidRPr="00DA258D">
        <w:rPr>
          <w:rFonts w:ascii="Times New Roman" w:hAnsi="Times New Roman" w:cs="Times New Roman"/>
          <w:sz w:val="24"/>
          <w:szCs w:val="24"/>
        </w:rPr>
        <w:t>stress testing</w:t>
      </w:r>
      <w:r w:rsidR="00FE0136" w:rsidRPr="00DA258D">
        <w:rPr>
          <w:rFonts w:ascii="Times New Roman" w:hAnsi="Times New Roman" w:cs="Times New Roman"/>
          <w:sz w:val="24"/>
          <w:szCs w:val="24"/>
        </w:rPr>
        <w:t>, the bank should take into consideration a number of aspects (</w:t>
      </w:r>
      <w:r w:rsidR="00621F98" w:rsidRPr="00DA258D">
        <w:rPr>
          <w:rFonts w:ascii="Times New Roman" w:hAnsi="Times New Roman" w:cs="Times New Roman"/>
          <w:sz w:val="24"/>
          <w:szCs w:val="24"/>
        </w:rPr>
        <w:t>Monetary Aut</w:t>
      </w:r>
      <w:r w:rsidR="00ED41F7">
        <w:rPr>
          <w:rFonts w:ascii="Times New Roman" w:hAnsi="Times New Roman" w:cs="Times New Roman"/>
          <w:sz w:val="24"/>
          <w:szCs w:val="24"/>
        </w:rPr>
        <w:t>hority of Singapore, 2006</w:t>
      </w:r>
      <w:r w:rsidR="00621F98" w:rsidRPr="00DA258D">
        <w:rPr>
          <w:rFonts w:ascii="Times New Roman" w:hAnsi="Times New Roman" w:cs="Times New Roman"/>
          <w:sz w:val="24"/>
          <w:szCs w:val="24"/>
        </w:rPr>
        <w:t>):</w:t>
      </w:r>
    </w:p>
    <w:p w:rsidR="00B03BBA" w:rsidRDefault="00520EA7" w:rsidP="00F873C9">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B03BBA">
        <w:rPr>
          <w:rFonts w:ascii="Times New Roman" w:hAnsi="Times New Roman" w:cs="Times New Roman"/>
          <w:sz w:val="24"/>
          <w:szCs w:val="24"/>
        </w:rPr>
        <w:lastRenderedPageBreak/>
        <w:t>The availability of information and historical data for the bank credit portfolio in particular non-performing loans.</w:t>
      </w:r>
    </w:p>
    <w:p w:rsidR="00B03BBA" w:rsidRDefault="00520EA7" w:rsidP="00F873C9">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B03BBA">
        <w:rPr>
          <w:rFonts w:ascii="Times New Roman" w:hAnsi="Times New Roman" w:cs="Times New Roman"/>
          <w:sz w:val="24"/>
          <w:szCs w:val="24"/>
        </w:rPr>
        <w:t>To have robust management information system to support such stress testing, taking into consideration both market and operations risks.</w:t>
      </w:r>
    </w:p>
    <w:p w:rsidR="00B03BBA" w:rsidRDefault="00FE0136" w:rsidP="00F873C9">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B03BBA">
        <w:rPr>
          <w:rFonts w:ascii="Times New Roman" w:hAnsi="Times New Roman" w:cs="Times New Roman"/>
          <w:sz w:val="24"/>
          <w:szCs w:val="24"/>
        </w:rPr>
        <w:t>The availability of</w:t>
      </w:r>
      <w:r w:rsidR="001E23FF" w:rsidRPr="00B03BBA">
        <w:rPr>
          <w:rFonts w:ascii="Times New Roman" w:hAnsi="Times New Roman" w:cs="Times New Roman"/>
          <w:sz w:val="24"/>
          <w:szCs w:val="24"/>
        </w:rPr>
        <w:t xml:space="preserve"> reliable and realistic</w:t>
      </w:r>
      <w:r w:rsidRPr="00B03BBA">
        <w:rPr>
          <w:rFonts w:ascii="Times New Roman" w:hAnsi="Times New Roman" w:cs="Times New Roman"/>
          <w:sz w:val="24"/>
          <w:szCs w:val="24"/>
        </w:rPr>
        <w:t xml:space="preserve"> database relied upon in the preparation of the stress tests</w:t>
      </w:r>
      <w:r w:rsidR="001E23FF" w:rsidRPr="00B03BBA">
        <w:rPr>
          <w:rFonts w:ascii="Times New Roman" w:hAnsi="Times New Roman" w:cs="Times New Roman"/>
          <w:sz w:val="24"/>
          <w:szCs w:val="24"/>
        </w:rPr>
        <w:t>.</w:t>
      </w:r>
    </w:p>
    <w:p w:rsidR="003B4DA4" w:rsidRPr="00BC6799" w:rsidRDefault="001E23FF" w:rsidP="00F873C9">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B03BBA">
        <w:rPr>
          <w:rFonts w:ascii="Times New Roman" w:hAnsi="Times New Roman" w:cs="Times New Roman"/>
          <w:sz w:val="24"/>
          <w:szCs w:val="24"/>
        </w:rPr>
        <w:t>The survey of internal/external environment related to the credit portfolio in order to determine risks factors and sources to find solutions for such risks.</w:t>
      </w:r>
    </w:p>
    <w:p w:rsidR="00974BD8" w:rsidRDefault="00974BD8" w:rsidP="00BB6CF0">
      <w:pPr>
        <w:spacing w:line="360" w:lineRule="auto"/>
        <w:contextualSpacing/>
        <w:rPr>
          <w:rFonts w:ascii="Times New Roman" w:hAnsi="Times New Roman" w:cs="Times New Roman"/>
          <w:b/>
          <w:sz w:val="24"/>
          <w:szCs w:val="24"/>
        </w:rPr>
      </w:pPr>
    </w:p>
    <w:p w:rsidR="00BB6CF0" w:rsidRPr="0023054A" w:rsidRDefault="00BB6CF0" w:rsidP="00BB6CF0">
      <w:pPr>
        <w:spacing w:line="360" w:lineRule="auto"/>
        <w:contextualSpacing/>
        <w:rPr>
          <w:rFonts w:ascii="Times New Roman" w:hAnsi="Times New Roman" w:cs="Times New Roman"/>
          <w:sz w:val="24"/>
          <w:szCs w:val="24"/>
        </w:rPr>
      </w:pPr>
      <w:r w:rsidRPr="0023054A">
        <w:rPr>
          <w:rFonts w:ascii="Times New Roman" w:hAnsi="Times New Roman" w:cs="Times New Roman"/>
          <w:b/>
          <w:sz w:val="24"/>
          <w:szCs w:val="24"/>
        </w:rPr>
        <w:t>2.4.3.4</w:t>
      </w:r>
      <w:r w:rsidR="00317048">
        <w:rPr>
          <w:rFonts w:ascii="Times New Roman" w:hAnsi="Times New Roman" w:cs="Times New Roman"/>
          <w:b/>
          <w:bCs/>
          <w:sz w:val="24"/>
          <w:szCs w:val="24"/>
        </w:rPr>
        <w:t xml:space="preserve"> </w:t>
      </w:r>
      <w:r w:rsidR="00CD0EF0">
        <w:rPr>
          <w:rFonts w:ascii="Times New Roman" w:hAnsi="Times New Roman" w:cs="Times New Roman"/>
          <w:b/>
          <w:bCs/>
          <w:sz w:val="24"/>
          <w:szCs w:val="24"/>
        </w:rPr>
        <w:t xml:space="preserve">Ensuring Adequate Controls </w:t>
      </w:r>
      <w:r w:rsidR="00223FD2">
        <w:rPr>
          <w:rFonts w:ascii="Times New Roman" w:hAnsi="Times New Roman" w:cs="Times New Roman"/>
          <w:b/>
          <w:bCs/>
          <w:sz w:val="24"/>
          <w:szCs w:val="24"/>
        </w:rPr>
        <w:t>over</w:t>
      </w:r>
      <w:r w:rsidRPr="0023054A">
        <w:rPr>
          <w:rFonts w:ascii="Times New Roman" w:hAnsi="Times New Roman" w:cs="Times New Roman"/>
          <w:b/>
          <w:bCs/>
          <w:sz w:val="24"/>
          <w:szCs w:val="24"/>
        </w:rPr>
        <w:t xml:space="preserve"> Credit Risk</w:t>
      </w:r>
    </w:p>
    <w:p w:rsidR="00CE123D" w:rsidRPr="00B03BBA" w:rsidRDefault="00710400" w:rsidP="00052270">
      <w:pPr>
        <w:spacing w:line="360" w:lineRule="auto"/>
        <w:rPr>
          <w:rFonts w:ascii="Times New Roman" w:hAnsi="Times New Roman" w:cs="Times New Roman"/>
          <w:sz w:val="24"/>
          <w:szCs w:val="24"/>
        </w:rPr>
      </w:pPr>
      <w:r w:rsidRPr="00DA258D">
        <w:rPr>
          <w:rFonts w:ascii="Times New Roman" w:hAnsi="Times New Roman" w:cs="Times New Roman"/>
          <w:sz w:val="24"/>
          <w:szCs w:val="24"/>
        </w:rPr>
        <w:t xml:space="preserve">According to Basel (2000), </w:t>
      </w:r>
      <w:r w:rsidR="00790296">
        <w:rPr>
          <w:rFonts w:ascii="Times New Roman" w:hAnsi="Times New Roman" w:cs="Times New Roman"/>
          <w:bCs/>
          <w:sz w:val="24"/>
          <w:szCs w:val="24"/>
        </w:rPr>
        <w:t xml:space="preserve">Banks management must develop a system of independent and continues appraisal of the bank’s credit risk management processes. The results of such review should be informed to </w:t>
      </w:r>
      <w:r w:rsidR="00790296" w:rsidRPr="00DA258D">
        <w:rPr>
          <w:rFonts w:ascii="Times New Roman" w:hAnsi="Times New Roman" w:cs="Times New Roman"/>
          <w:bCs/>
          <w:sz w:val="24"/>
          <w:szCs w:val="24"/>
        </w:rPr>
        <w:t>board of directors and senior management</w:t>
      </w:r>
      <w:r w:rsidR="00790296">
        <w:rPr>
          <w:rFonts w:ascii="Times New Roman" w:hAnsi="Times New Roman" w:cs="Times New Roman"/>
          <w:bCs/>
          <w:sz w:val="24"/>
          <w:szCs w:val="24"/>
        </w:rPr>
        <w:t xml:space="preserve">. </w:t>
      </w:r>
      <w:r w:rsidR="00B03BBA">
        <w:rPr>
          <w:rFonts w:ascii="Times New Roman" w:hAnsi="Times New Roman" w:cs="Times New Roman"/>
          <w:bCs/>
          <w:sz w:val="24"/>
          <w:szCs w:val="24"/>
        </w:rPr>
        <w:t xml:space="preserve">For adequate and sufficient credit supervision, banks management must ensure that credit-granting task is managed well and </w:t>
      </w:r>
      <w:r w:rsidR="00B03BBA" w:rsidRPr="00C06F3F">
        <w:rPr>
          <w:rFonts w:ascii="Times New Roman" w:hAnsi="Times New Roman" w:cs="Times New Roman"/>
          <w:bCs/>
          <w:sz w:val="24"/>
          <w:szCs w:val="24"/>
        </w:rPr>
        <w:t xml:space="preserve">consistent with </w:t>
      </w:r>
      <w:r w:rsidR="00B03BBA" w:rsidRPr="00C06F3F">
        <w:rPr>
          <w:rFonts w:ascii="Times New Roman" w:hAnsi="Times New Roman" w:cs="Times New Roman"/>
          <w:sz w:val="24"/>
          <w:szCs w:val="24"/>
        </w:rPr>
        <w:t>discreet</w:t>
      </w:r>
      <w:r w:rsidR="00B03BBA">
        <w:rPr>
          <w:rFonts w:ascii="Times New Roman" w:hAnsi="Times New Roman" w:cs="Times New Roman"/>
          <w:sz w:val="24"/>
          <w:szCs w:val="24"/>
        </w:rPr>
        <w:t xml:space="preserve"> standards and internal limits. To ensure that </w:t>
      </w:r>
      <w:r w:rsidR="00B03BBA" w:rsidRPr="00DA258D">
        <w:rPr>
          <w:rFonts w:ascii="Times New Roman" w:hAnsi="Times New Roman" w:cs="Times New Roman"/>
          <w:bCs/>
          <w:sz w:val="24"/>
          <w:szCs w:val="24"/>
        </w:rPr>
        <w:t xml:space="preserve">policies, procedures and limits are reported in a timely </w:t>
      </w:r>
      <w:r w:rsidR="00B03BBA">
        <w:rPr>
          <w:rFonts w:ascii="Times New Roman" w:hAnsi="Times New Roman" w:cs="Times New Roman"/>
          <w:bCs/>
          <w:sz w:val="24"/>
          <w:szCs w:val="24"/>
        </w:rPr>
        <w:t xml:space="preserve">way </w:t>
      </w:r>
      <w:r w:rsidR="00B03BBA" w:rsidRPr="00DA258D">
        <w:rPr>
          <w:rFonts w:ascii="Times New Roman" w:hAnsi="Times New Roman" w:cs="Times New Roman"/>
          <w:bCs/>
          <w:sz w:val="24"/>
          <w:szCs w:val="24"/>
        </w:rPr>
        <w:t xml:space="preserve">to the </w:t>
      </w:r>
      <w:r w:rsidR="00B03BBA">
        <w:rPr>
          <w:rFonts w:ascii="Times New Roman" w:hAnsi="Times New Roman" w:cs="Times New Roman"/>
          <w:bCs/>
          <w:sz w:val="24"/>
          <w:szCs w:val="24"/>
        </w:rPr>
        <w:t xml:space="preserve">suitable </w:t>
      </w:r>
      <w:r w:rsidR="00B03BBA" w:rsidRPr="00DA258D">
        <w:rPr>
          <w:rFonts w:ascii="Times New Roman" w:hAnsi="Times New Roman" w:cs="Times New Roman"/>
          <w:bCs/>
          <w:sz w:val="24"/>
          <w:szCs w:val="24"/>
        </w:rPr>
        <w:t>level of managemen</w:t>
      </w:r>
      <w:r w:rsidR="00B03BBA">
        <w:rPr>
          <w:rFonts w:ascii="Times New Roman" w:hAnsi="Times New Roman" w:cs="Times New Roman"/>
          <w:bCs/>
          <w:sz w:val="24"/>
          <w:szCs w:val="24"/>
        </w:rPr>
        <w:t>t for action,</w:t>
      </w:r>
      <w:r w:rsidR="00B03BBA">
        <w:rPr>
          <w:rFonts w:ascii="Times New Roman" w:hAnsi="Times New Roman" w:cs="Times New Roman"/>
          <w:sz w:val="24"/>
          <w:szCs w:val="24"/>
        </w:rPr>
        <w:t xml:space="preserve"> banks should develop, execute internal controls and other practices</w:t>
      </w:r>
      <w:r w:rsidR="00B03BBA">
        <w:rPr>
          <w:rFonts w:ascii="Times New Roman" w:hAnsi="Times New Roman" w:cs="Times New Roman"/>
          <w:bCs/>
          <w:sz w:val="24"/>
          <w:szCs w:val="24"/>
        </w:rPr>
        <w:t xml:space="preserve"> </w:t>
      </w:r>
      <w:r w:rsidR="00ED41F7">
        <w:rPr>
          <w:rFonts w:ascii="Times New Roman" w:hAnsi="Times New Roman" w:cs="Times New Roman"/>
          <w:bCs/>
          <w:sz w:val="24"/>
          <w:szCs w:val="24"/>
        </w:rPr>
        <w:t>(Basel, 2000</w:t>
      </w:r>
      <w:r w:rsidR="00CE123D" w:rsidRPr="00DA258D">
        <w:rPr>
          <w:rFonts w:ascii="Times New Roman" w:hAnsi="Times New Roman" w:cs="Times New Roman"/>
          <w:bCs/>
          <w:sz w:val="24"/>
          <w:szCs w:val="24"/>
        </w:rPr>
        <w:t>). This includes the following aspects</w:t>
      </w:r>
      <w:r w:rsidR="00701101" w:rsidRPr="00DA258D">
        <w:rPr>
          <w:rFonts w:ascii="Times New Roman" w:hAnsi="Times New Roman" w:cs="Times New Roman"/>
          <w:bCs/>
          <w:sz w:val="24"/>
          <w:szCs w:val="24"/>
        </w:rPr>
        <w:t>:</w:t>
      </w:r>
    </w:p>
    <w:p w:rsidR="00B03BBA" w:rsidRDefault="00EB7D5E" w:rsidP="00F873C9">
      <w:pPr>
        <w:pStyle w:val="ListParagraph"/>
        <w:numPr>
          <w:ilvl w:val="0"/>
          <w:numId w:val="40"/>
        </w:numPr>
        <w:spacing w:line="360" w:lineRule="auto"/>
        <w:jc w:val="both"/>
        <w:rPr>
          <w:rFonts w:ascii="Times New Roman" w:hAnsi="Times New Roman" w:cs="Times New Roman"/>
          <w:sz w:val="24"/>
          <w:szCs w:val="24"/>
        </w:rPr>
      </w:pPr>
      <w:r w:rsidRPr="00B03BBA">
        <w:rPr>
          <w:rFonts w:ascii="Times New Roman" w:hAnsi="Times New Roman" w:cs="Times New Roman"/>
          <w:sz w:val="24"/>
          <w:szCs w:val="24"/>
        </w:rPr>
        <w:t>The</w:t>
      </w:r>
      <w:r w:rsidR="00701101" w:rsidRPr="00B03BBA">
        <w:rPr>
          <w:rFonts w:ascii="Times New Roman" w:hAnsi="Times New Roman" w:cs="Times New Roman"/>
          <w:sz w:val="24"/>
          <w:szCs w:val="24"/>
        </w:rPr>
        <w:t xml:space="preserve"> type of credit</w:t>
      </w:r>
      <w:r w:rsidR="00961224" w:rsidRPr="00B03BBA">
        <w:rPr>
          <w:rFonts w:ascii="Times New Roman" w:hAnsi="Times New Roman" w:cs="Times New Roman"/>
          <w:sz w:val="24"/>
          <w:szCs w:val="24"/>
        </w:rPr>
        <w:t xml:space="preserve"> (credit quality)</w:t>
      </w:r>
      <w:r w:rsidR="00701101" w:rsidRPr="00B03BBA">
        <w:rPr>
          <w:rFonts w:ascii="Times New Roman" w:hAnsi="Times New Roman" w:cs="Times New Roman"/>
          <w:sz w:val="24"/>
          <w:szCs w:val="24"/>
        </w:rPr>
        <w:t xml:space="preserve"> must be determine</w:t>
      </w:r>
      <w:r>
        <w:rPr>
          <w:rFonts w:ascii="Times New Roman" w:hAnsi="Times New Roman" w:cs="Times New Roman"/>
          <w:sz w:val="24"/>
          <w:szCs w:val="24"/>
        </w:rPr>
        <w:t>d at an early stage to allow</w:t>
      </w:r>
      <w:r w:rsidR="00701101" w:rsidRPr="00B03BBA">
        <w:rPr>
          <w:rFonts w:ascii="Times New Roman" w:hAnsi="Times New Roman" w:cs="Times New Roman"/>
          <w:sz w:val="24"/>
          <w:szCs w:val="24"/>
        </w:rPr>
        <w:t xml:space="preserve"> more options to develop credit and macro portfolio.</w:t>
      </w:r>
    </w:p>
    <w:p w:rsidR="00B03BBA" w:rsidRDefault="00701101" w:rsidP="00F873C9">
      <w:pPr>
        <w:pStyle w:val="ListParagraph"/>
        <w:numPr>
          <w:ilvl w:val="0"/>
          <w:numId w:val="40"/>
        </w:numPr>
        <w:spacing w:line="360" w:lineRule="auto"/>
        <w:jc w:val="both"/>
        <w:rPr>
          <w:rFonts w:ascii="Times New Roman" w:hAnsi="Times New Roman" w:cs="Times New Roman"/>
          <w:sz w:val="24"/>
          <w:szCs w:val="24"/>
        </w:rPr>
      </w:pPr>
      <w:r w:rsidRPr="00B03BBA">
        <w:rPr>
          <w:rFonts w:ascii="Times New Roman" w:hAnsi="Times New Roman" w:cs="Times New Roman"/>
          <w:sz w:val="24"/>
          <w:szCs w:val="24"/>
        </w:rPr>
        <w:t>The bank must have preventive and regulatory procedures associated with specific events.</w:t>
      </w:r>
    </w:p>
    <w:p w:rsidR="00701101" w:rsidRPr="00B03BBA" w:rsidRDefault="00701101" w:rsidP="00F873C9">
      <w:pPr>
        <w:pStyle w:val="ListParagraph"/>
        <w:numPr>
          <w:ilvl w:val="0"/>
          <w:numId w:val="40"/>
        </w:numPr>
        <w:spacing w:line="360" w:lineRule="auto"/>
        <w:jc w:val="both"/>
        <w:rPr>
          <w:rFonts w:ascii="Times New Roman" w:hAnsi="Times New Roman" w:cs="Times New Roman"/>
          <w:sz w:val="24"/>
          <w:szCs w:val="24"/>
        </w:rPr>
      </w:pPr>
      <w:r w:rsidRPr="00B03BBA">
        <w:rPr>
          <w:rFonts w:ascii="Times New Roman" w:hAnsi="Times New Roman" w:cs="Times New Roman"/>
          <w:sz w:val="24"/>
          <w:szCs w:val="24"/>
        </w:rPr>
        <w:t>The credit policy must be clear when it comes to the determination of the mechanism the bank has to adopt in tackling the credit management problems.</w:t>
      </w:r>
    </w:p>
    <w:p w:rsidR="00B03BBA" w:rsidRDefault="00D33D60" w:rsidP="00BC6799">
      <w:pPr>
        <w:autoSpaceDE w:val="0"/>
        <w:autoSpaceDN w:val="0"/>
        <w:adjustRightInd w:val="0"/>
        <w:spacing w:after="0" w:line="360" w:lineRule="auto"/>
        <w:contextualSpacing/>
        <w:jc w:val="both"/>
        <w:rPr>
          <w:rFonts w:ascii="Times New Roman" w:hAnsi="Times New Roman" w:cs="Times New Roman"/>
          <w:sz w:val="24"/>
          <w:szCs w:val="24"/>
        </w:rPr>
      </w:pPr>
      <w:r w:rsidRPr="00066A0F">
        <w:rPr>
          <w:rFonts w:ascii="Times New Roman" w:hAnsi="Times New Roman" w:cs="Times New Roman"/>
          <w:sz w:val="24"/>
          <w:szCs w:val="24"/>
        </w:rPr>
        <w:t>Credit risk management practices may be different among banks</w:t>
      </w:r>
      <w:r w:rsidR="00EB7D5E">
        <w:rPr>
          <w:rFonts w:ascii="Times New Roman" w:hAnsi="Times New Roman" w:cs="Times New Roman"/>
          <w:sz w:val="24"/>
          <w:szCs w:val="24"/>
        </w:rPr>
        <w:t>,</w:t>
      </w:r>
      <w:r w:rsidRPr="00066A0F">
        <w:rPr>
          <w:rFonts w:ascii="Times New Roman" w:hAnsi="Times New Roman" w:cs="Times New Roman"/>
          <w:sz w:val="24"/>
          <w:szCs w:val="24"/>
        </w:rPr>
        <w:t xml:space="preserve"> depend on the nature and degree of complication of bank’s credit activities</w:t>
      </w:r>
      <w:r>
        <w:rPr>
          <w:rFonts w:ascii="Times New Roman" w:hAnsi="Times New Roman" w:cs="Times New Roman"/>
          <w:sz w:val="24"/>
          <w:szCs w:val="24"/>
        </w:rPr>
        <w:t xml:space="preserve">, </w:t>
      </w:r>
      <w:r w:rsidRPr="00DA258D">
        <w:rPr>
          <w:rFonts w:ascii="Times New Roman" w:hAnsi="Times New Roman" w:cs="Times New Roman"/>
          <w:sz w:val="24"/>
          <w:szCs w:val="24"/>
        </w:rPr>
        <w:t>it still reflect a comprehensive credit risk management program</w:t>
      </w:r>
      <w:r>
        <w:rPr>
          <w:rFonts w:ascii="Times New Roman" w:hAnsi="Times New Roman" w:cs="Times New Roman"/>
          <w:sz w:val="24"/>
          <w:szCs w:val="24"/>
        </w:rPr>
        <w:t>.</w:t>
      </w:r>
    </w:p>
    <w:p w:rsidR="00974BD8" w:rsidRPr="00BC6799" w:rsidRDefault="00974BD8" w:rsidP="00BC6799">
      <w:pPr>
        <w:autoSpaceDE w:val="0"/>
        <w:autoSpaceDN w:val="0"/>
        <w:adjustRightInd w:val="0"/>
        <w:spacing w:after="0" w:line="360" w:lineRule="auto"/>
        <w:contextualSpacing/>
        <w:jc w:val="both"/>
        <w:rPr>
          <w:rFonts w:ascii="Times New Roman" w:hAnsi="Times New Roman" w:cs="Times New Roman"/>
          <w:sz w:val="24"/>
          <w:szCs w:val="24"/>
        </w:rPr>
      </w:pPr>
    </w:p>
    <w:p w:rsidR="004D08FC" w:rsidRPr="0023054A" w:rsidRDefault="008266AE" w:rsidP="008266AE">
      <w:pPr>
        <w:spacing w:line="360" w:lineRule="auto"/>
        <w:contextualSpacing/>
        <w:rPr>
          <w:rFonts w:ascii="Times New Roman" w:hAnsi="Times New Roman" w:cs="Times New Roman"/>
          <w:color w:val="FF0000"/>
          <w:sz w:val="24"/>
          <w:szCs w:val="24"/>
        </w:rPr>
      </w:pPr>
      <w:r w:rsidRPr="0023054A">
        <w:rPr>
          <w:rFonts w:ascii="Times New Roman" w:hAnsi="Times New Roman" w:cs="Times New Roman"/>
          <w:b/>
          <w:color w:val="000000" w:themeColor="text1"/>
          <w:sz w:val="24"/>
          <w:szCs w:val="24"/>
        </w:rPr>
        <w:lastRenderedPageBreak/>
        <w:t xml:space="preserve">2.4.4 </w:t>
      </w:r>
      <w:r w:rsidR="00766BA8" w:rsidRPr="0023054A">
        <w:rPr>
          <w:rFonts w:ascii="Times New Roman" w:hAnsi="Times New Roman" w:cs="Times New Roman"/>
          <w:b/>
          <w:sz w:val="24"/>
          <w:szCs w:val="24"/>
        </w:rPr>
        <w:t>Credit Risk Measurement</w:t>
      </w:r>
    </w:p>
    <w:p w:rsidR="0054259A" w:rsidRPr="00DA258D" w:rsidRDefault="007F22C4" w:rsidP="00052270">
      <w:pPr>
        <w:spacing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The measurement of cre</w:t>
      </w:r>
      <w:r w:rsidR="0008712E" w:rsidRPr="00DA258D">
        <w:rPr>
          <w:rFonts w:ascii="Times New Roman" w:hAnsi="Times New Roman" w:cs="Times New Roman"/>
          <w:sz w:val="24"/>
          <w:szCs w:val="24"/>
        </w:rPr>
        <w:t>dit risk is a</w:t>
      </w:r>
      <w:r w:rsidR="00AD53AE" w:rsidRPr="00DA258D">
        <w:rPr>
          <w:rFonts w:ascii="Times New Roman" w:hAnsi="Times New Roman" w:cs="Times New Roman"/>
          <w:sz w:val="24"/>
          <w:szCs w:val="24"/>
        </w:rPr>
        <w:t xml:space="preserve"> crucial element </w:t>
      </w:r>
      <w:r w:rsidRPr="00DA258D">
        <w:rPr>
          <w:rFonts w:ascii="Times New Roman" w:hAnsi="Times New Roman" w:cs="Times New Roman"/>
          <w:sz w:val="24"/>
          <w:szCs w:val="24"/>
        </w:rPr>
        <w:t xml:space="preserve">in credit risk management. </w:t>
      </w:r>
      <w:r w:rsidR="005D5EC2" w:rsidRPr="00DA258D">
        <w:rPr>
          <w:rFonts w:ascii="Times New Roman" w:hAnsi="Times New Roman" w:cs="Times New Roman"/>
          <w:sz w:val="24"/>
          <w:szCs w:val="24"/>
        </w:rPr>
        <w:t>In recent years, a revolution has been brewing in risks as it</w:t>
      </w:r>
      <w:r w:rsidR="00E9047C">
        <w:rPr>
          <w:rFonts w:ascii="Times New Roman" w:hAnsi="Times New Roman" w:cs="Times New Roman"/>
          <w:sz w:val="24"/>
          <w:szCs w:val="24"/>
        </w:rPr>
        <w:t xml:space="preserve"> is both measured and managed. </w:t>
      </w:r>
      <w:r w:rsidR="005D5EC2" w:rsidRPr="00DA258D">
        <w:rPr>
          <w:rFonts w:ascii="Times New Roman" w:hAnsi="Times New Roman" w:cs="Times New Roman"/>
          <w:sz w:val="24"/>
          <w:szCs w:val="24"/>
        </w:rPr>
        <w:t>With the dram</w:t>
      </w:r>
      <w:r w:rsidR="00052270">
        <w:rPr>
          <w:rFonts w:ascii="Times New Roman" w:hAnsi="Times New Roman" w:cs="Times New Roman"/>
          <w:sz w:val="24"/>
          <w:szCs w:val="24"/>
        </w:rPr>
        <w:t xml:space="preserve">atic development of technology </w:t>
      </w:r>
      <w:r w:rsidR="00B657BC" w:rsidRPr="00DA258D">
        <w:rPr>
          <w:rFonts w:ascii="Times New Roman" w:hAnsi="Times New Roman" w:cs="Times New Roman"/>
          <w:sz w:val="24"/>
          <w:szCs w:val="24"/>
        </w:rPr>
        <w:t>during the last 20 years, new technologies and ideas have emerged among a new generation of financial engineering professionals who are applying their model-building skills and analysis to this area</w:t>
      </w:r>
      <w:r w:rsidR="00052270">
        <w:rPr>
          <w:rFonts w:ascii="Times New Roman" w:hAnsi="Times New Roman" w:cs="Times New Roman"/>
          <w:sz w:val="24"/>
          <w:szCs w:val="24"/>
        </w:rPr>
        <w:t xml:space="preserve">, </w:t>
      </w:r>
      <w:r w:rsidR="00052270" w:rsidRPr="00DA258D">
        <w:rPr>
          <w:rFonts w:ascii="Times New Roman" w:hAnsi="Times New Roman" w:cs="Times New Roman"/>
          <w:sz w:val="24"/>
          <w:szCs w:val="24"/>
        </w:rPr>
        <w:t xml:space="preserve">credit risk measurement evolves greatly </w:t>
      </w:r>
      <w:r w:rsidR="00446161">
        <w:rPr>
          <w:rFonts w:ascii="Times New Roman" w:hAnsi="Times New Roman" w:cs="Times New Roman"/>
          <w:sz w:val="24"/>
          <w:szCs w:val="24"/>
        </w:rPr>
        <w:t>(Saunders and Allen, 2002</w:t>
      </w:r>
      <w:r w:rsidR="00B657BC" w:rsidRPr="00DA258D">
        <w:rPr>
          <w:rFonts w:ascii="Times New Roman" w:hAnsi="Times New Roman" w:cs="Times New Roman"/>
          <w:sz w:val="24"/>
          <w:szCs w:val="24"/>
        </w:rPr>
        <w:t xml:space="preserve">).The </w:t>
      </w:r>
      <w:r w:rsidR="002D59EC" w:rsidRPr="00DA258D">
        <w:rPr>
          <w:rFonts w:ascii="Times New Roman" w:hAnsi="Times New Roman" w:cs="Times New Roman"/>
          <w:sz w:val="24"/>
          <w:szCs w:val="24"/>
        </w:rPr>
        <w:t>question arises</w:t>
      </w:r>
      <w:r w:rsidR="00B657BC" w:rsidRPr="00DA258D">
        <w:rPr>
          <w:rFonts w:ascii="Times New Roman" w:hAnsi="Times New Roman" w:cs="Times New Roman"/>
          <w:sz w:val="24"/>
          <w:szCs w:val="24"/>
        </w:rPr>
        <w:t xml:space="preserve"> here, why credit risk measurement become</w:t>
      </w:r>
      <w:r w:rsidR="00BA22A7">
        <w:rPr>
          <w:rFonts w:ascii="Times New Roman" w:hAnsi="Times New Roman" w:cs="Times New Roman"/>
          <w:sz w:val="24"/>
          <w:szCs w:val="24"/>
        </w:rPr>
        <w:t>s</w:t>
      </w:r>
      <w:r w:rsidR="00B657BC" w:rsidRPr="00DA258D">
        <w:rPr>
          <w:rFonts w:ascii="Times New Roman" w:hAnsi="Times New Roman" w:cs="Times New Roman"/>
          <w:sz w:val="24"/>
          <w:szCs w:val="24"/>
        </w:rPr>
        <w:t xml:space="preserve"> </w:t>
      </w:r>
      <w:r w:rsidR="002D59EC" w:rsidRPr="00DA258D">
        <w:rPr>
          <w:rFonts w:ascii="Times New Roman" w:hAnsi="Times New Roman" w:cs="Times New Roman"/>
          <w:sz w:val="24"/>
          <w:szCs w:val="24"/>
        </w:rPr>
        <w:t>so crucial in the area of credit risk management? There are many reasons for this sudden interest</w:t>
      </w:r>
      <w:r w:rsidR="009B2BA9" w:rsidRPr="00DA258D">
        <w:rPr>
          <w:rFonts w:ascii="Times New Roman" w:hAnsi="Times New Roman" w:cs="Times New Roman"/>
          <w:sz w:val="24"/>
          <w:szCs w:val="24"/>
        </w:rPr>
        <w:t xml:space="preserve"> (S</w:t>
      </w:r>
      <w:r w:rsidR="00446161">
        <w:rPr>
          <w:rFonts w:ascii="Times New Roman" w:hAnsi="Times New Roman" w:cs="Times New Roman"/>
          <w:sz w:val="24"/>
          <w:szCs w:val="24"/>
        </w:rPr>
        <w:t>aunders and Allen, 2002</w:t>
      </w:r>
      <w:r w:rsidR="009B2BA9" w:rsidRPr="00DA258D">
        <w:rPr>
          <w:rFonts w:ascii="Times New Roman" w:hAnsi="Times New Roman" w:cs="Times New Roman"/>
          <w:sz w:val="24"/>
          <w:szCs w:val="24"/>
        </w:rPr>
        <w:t>):</w:t>
      </w:r>
    </w:p>
    <w:p w:rsidR="00911ED8" w:rsidRDefault="00911ED8" w:rsidP="00F873C9">
      <w:pPr>
        <w:pStyle w:val="ListParagraph"/>
        <w:numPr>
          <w:ilvl w:val="0"/>
          <w:numId w:val="41"/>
        </w:numPr>
        <w:spacing w:line="360" w:lineRule="auto"/>
        <w:jc w:val="both"/>
        <w:rPr>
          <w:rFonts w:ascii="Times New Roman" w:hAnsi="Times New Roman" w:cs="Times New Roman"/>
          <w:sz w:val="24"/>
          <w:szCs w:val="24"/>
        </w:rPr>
      </w:pPr>
      <w:r w:rsidRPr="00044AFE">
        <w:rPr>
          <w:rFonts w:ascii="Times New Roman" w:hAnsi="Times New Roman" w:cs="Times New Roman"/>
          <w:sz w:val="24"/>
          <w:szCs w:val="24"/>
        </w:rPr>
        <w:t>Structural and permanent increase in bankruptcies, accurate credit risk analysis becomes more significant and crucial than before.</w:t>
      </w:r>
    </w:p>
    <w:p w:rsidR="00911ED8" w:rsidRDefault="00911ED8" w:rsidP="00F873C9">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The expansion of capital markets (small and med-size firms have been included), increase risk levels, since small and weak credit ratings borrowers looking for financing left behind.</w:t>
      </w:r>
    </w:p>
    <w:p w:rsidR="00911ED8" w:rsidRDefault="00911ED8" w:rsidP="00F873C9">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The large completion in finance markets for low-credit borrowers that have been left behind, reduce the interest margin or spread which become very thin.</w:t>
      </w:r>
    </w:p>
    <w:p w:rsidR="00911ED8" w:rsidRPr="00C43670" w:rsidRDefault="00911ED8" w:rsidP="00F873C9">
      <w:pPr>
        <w:pStyle w:val="ListParagraph"/>
        <w:numPr>
          <w:ilvl w:val="0"/>
          <w:numId w:val="41"/>
        </w:numPr>
        <w:spacing w:line="360" w:lineRule="auto"/>
        <w:jc w:val="both"/>
        <w:rPr>
          <w:rFonts w:ascii="Times New Roman" w:hAnsi="Times New Roman" w:cs="Times New Roman"/>
          <w:sz w:val="24"/>
          <w:szCs w:val="24"/>
        </w:rPr>
      </w:pPr>
      <w:r w:rsidRPr="00C43670">
        <w:rPr>
          <w:rFonts w:ascii="Times New Roman" w:hAnsi="Times New Roman" w:cs="Times New Roman"/>
          <w:sz w:val="24"/>
          <w:szCs w:val="24"/>
        </w:rPr>
        <w:t>Declining and volatile values of collateral. The weaker and the more uncertain collateral values are, the riskier lending is likely to be.</w:t>
      </w:r>
    </w:p>
    <w:p w:rsidR="00911ED8" w:rsidRDefault="00911ED8" w:rsidP="00F873C9">
      <w:pPr>
        <w:pStyle w:val="ListParagraph"/>
        <w:numPr>
          <w:ilvl w:val="0"/>
          <w:numId w:val="41"/>
        </w:numPr>
        <w:spacing w:line="360" w:lineRule="auto"/>
        <w:jc w:val="both"/>
        <w:rPr>
          <w:rFonts w:ascii="Times New Roman" w:hAnsi="Times New Roman" w:cs="Times New Roman"/>
          <w:sz w:val="24"/>
          <w:szCs w:val="24"/>
        </w:rPr>
      </w:pPr>
      <w:r w:rsidRPr="00C43670">
        <w:rPr>
          <w:rFonts w:ascii="Times New Roman" w:hAnsi="Times New Roman" w:cs="Times New Roman"/>
          <w:sz w:val="24"/>
          <w:szCs w:val="24"/>
        </w:rPr>
        <w:t>The growth of off-balance-sheet derivatives</w:t>
      </w:r>
      <w:r>
        <w:rPr>
          <w:rFonts w:ascii="Times New Roman" w:hAnsi="Times New Roman" w:cs="Times New Roman"/>
          <w:sz w:val="24"/>
          <w:szCs w:val="24"/>
        </w:rPr>
        <w:t xml:space="preserve"> increase</w:t>
      </w:r>
      <w:r w:rsidRPr="00C43670">
        <w:rPr>
          <w:rFonts w:ascii="Times New Roman" w:hAnsi="Times New Roman" w:cs="Times New Roman"/>
          <w:sz w:val="24"/>
          <w:szCs w:val="24"/>
        </w:rPr>
        <w:t xml:space="preserve"> the need for more credit analysis and credit risk measurement becomes critical.</w:t>
      </w:r>
    </w:p>
    <w:p w:rsidR="00911ED8" w:rsidRPr="00911ED8" w:rsidRDefault="00911ED8" w:rsidP="00F873C9">
      <w:pPr>
        <w:pStyle w:val="ListParagraph"/>
        <w:numPr>
          <w:ilvl w:val="0"/>
          <w:numId w:val="41"/>
        </w:numPr>
        <w:spacing w:line="360" w:lineRule="auto"/>
        <w:jc w:val="both"/>
        <w:rPr>
          <w:rFonts w:ascii="Times New Roman" w:hAnsi="Times New Roman" w:cs="Times New Roman"/>
          <w:sz w:val="24"/>
          <w:szCs w:val="24"/>
        </w:rPr>
      </w:pPr>
      <w:r w:rsidRPr="00C43670">
        <w:rPr>
          <w:rFonts w:ascii="Times New Roman" w:hAnsi="Times New Roman" w:cs="Times New Roman"/>
          <w:sz w:val="24"/>
          <w:szCs w:val="24"/>
        </w:rPr>
        <w:t>The technology revolution raises the opportunity to test high-powered modeling techniques.</w:t>
      </w:r>
    </w:p>
    <w:p w:rsidR="000F04E9" w:rsidRPr="005B31A9" w:rsidRDefault="006300DC" w:rsidP="00B50646">
      <w:pPr>
        <w:spacing w:line="360" w:lineRule="auto"/>
        <w:contextualSpacing/>
        <w:jc w:val="both"/>
      </w:pPr>
      <w:r w:rsidRPr="00DA258D">
        <w:rPr>
          <w:rFonts w:ascii="Times New Roman" w:hAnsi="Times New Roman" w:cs="Times New Roman"/>
          <w:sz w:val="24"/>
          <w:szCs w:val="24"/>
        </w:rPr>
        <w:t xml:space="preserve">Generally speaking, measuring risk is about </w:t>
      </w:r>
      <w:r w:rsidR="0043465E">
        <w:rPr>
          <w:rFonts w:ascii="Times New Roman" w:hAnsi="Times New Roman" w:cs="Times New Roman"/>
          <w:sz w:val="24"/>
          <w:szCs w:val="24"/>
        </w:rPr>
        <w:t>a</w:t>
      </w:r>
      <w:r w:rsidR="005B31A9">
        <w:rPr>
          <w:rFonts w:ascii="Times New Roman" w:hAnsi="Times New Roman" w:cs="Times New Roman"/>
          <w:sz w:val="24"/>
          <w:szCs w:val="24"/>
        </w:rPr>
        <w:t xml:space="preserve">n attempt to acquire several measures of the </w:t>
      </w:r>
      <w:r w:rsidR="005B31A9" w:rsidRPr="00DA258D">
        <w:rPr>
          <w:rFonts w:ascii="Times New Roman" w:hAnsi="Times New Roman" w:cs="Times New Roman"/>
          <w:sz w:val="24"/>
          <w:szCs w:val="24"/>
        </w:rPr>
        <w:t>dispersion</w:t>
      </w:r>
      <w:r w:rsidR="005B31A9">
        <w:rPr>
          <w:rFonts w:ascii="Times New Roman" w:hAnsi="Times New Roman" w:cs="Times New Roman"/>
          <w:sz w:val="24"/>
          <w:szCs w:val="24"/>
        </w:rPr>
        <w:t xml:space="preserve"> of potential future outcomes, and the concentration of risk measurement is often on negative or downside outcomes </w:t>
      </w:r>
      <w:r w:rsidR="005B31A9" w:rsidRPr="00DA258D">
        <w:rPr>
          <w:rFonts w:ascii="Times New Roman" w:hAnsi="Times New Roman" w:cs="Times New Roman"/>
          <w:sz w:val="24"/>
          <w:szCs w:val="24"/>
        </w:rPr>
        <w:t>rather than</w:t>
      </w:r>
      <w:r w:rsidR="005B31A9">
        <w:rPr>
          <w:rFonts w:ascii="Times New Roman" w:hAnsi="Times New Roman" w:cs="Times New Roman"/>
          <w:sz w:val="24"/>
          <w:szCs w:val="24"/>
        </w:rPr>
        <w:t xml:space="preserve"> the positive side of </w:t>
      </w:r>
      <w:r w:rsidR="0043465E">
        <w:rPr>
          <w:rFonts w:ascii="Times New Roman" w:hAnsi="Times New Roman" w:cs="Times New Roman"/>
          <w:sz w:val="24"/>
          <w:szCs w:val="24"/>
        </w:rPr>
        <w:t>outcomes (</w:t>
      </w:r>
      <w:r w:rsidR="00446161">
        <w:rPr>
          <w:rFonts w:ascii="Times New Roman" w:hAnsi="Times New Roman" w:cs="Times New Roman"/>
          <w:sz w:val="24"/>
          <w:szCs w:val="24"/>
        </w:rPr>
        <w:t>Lowe, 2002</w:t>
      </w:r>
      <w:r w:rsidRPr="00DA258D">
        <w:rPr>
          <w:rFonts w:ascii="Times New Roman" w:hAnsi="Times New Roman" w:cs="Times New Roman"/>
          <w:sz w:val="24"/>
          <w:szCs w:val="24"/>
        </w:rPr>
        <w:t>).</w:t>
      </w:r>
    </w:p>
    <w:p w:rsidR="003711CB" w:rsidRDefault="000F04E9" w:rsidP="00BC6799">
      <w:pPr>
        <w:autoSpaceDE w:val="0"/>
        <w:autoSpaceDN w:val="0"/>
        <w:adjustRightInd w:val="0"/>
        <w:spacing w:after="0"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Based on that</w:t>
      </w:r>
      <w:r w:rsidR="003D4C74" w:rsidRPr="00DA258D">
        <w:rPr>
          <w:rFonts w:ascii="Times New Roman" w:hAnsi="Times New Roman" w:cs="Times New Roman"/>
          <w:sz w:val="24"/>
          <w:szCs w:val="24"/>
        </w:rPr>
        <w:t>,</w:t>
      </w:r>
      <w:r w:rsidRPr="00DA258D">
        <w:rPr>
          <w:rFonts w:ascii="Times New Roman" w:hAnsi="Times New Roman" w:cs="Times New Roman"/>
          <w:sz w:val="24"/>
          <w:szCs w:val="24"/>
        </w:rPr>
        <w:t xml:space="preserve"> risk measurements tend to focus on the likelihood of losses, rather than describing the entire distribution of possible future</w:t>
      </w:r>
      <w:r w:rsidR="00721BF0">
        <w:rPr>
          <w:rFonts w:ascii="Times New Roman" w:hAnsi="Times New Roman" w:cs="Times New Roman"/>
          <w:sz w:val="24"/>
          <w:szCs w:val="24"/>
        </w:rPr>
        <w:t xml:space="preserve"> </w:t>
      </w:r>
      <w:r w:rsidRPr="00DA258D">
        <w:rPr>
          <w:rFonts w:ascii="Times New Roman" w:hAnsi="Times New Roman" w:cs="Times New Roman"/>
          <w:sz w:val="24"/>
          <w:szCs w:val="24"/>
        </w:rPr>
        <w:t>out</w:t>
      </w:r>
      <w:r w:rsidR="00721BF0">
        <w:rPr>
          <w:rFonts w:ascii="Times New Roman" w:hAnsi="Times New Roman" w:cs="Times New Roman"/>
          <w:sz w:val="24"/>
          <w:szCs w:val="24"/>
        </w:rPr>
        <w:t xml:space="preserve"> </w:t>
      </w:r>
      <w:r w:rsidRPr="00DA258D">
        <w:rPr>
          <w:rFonts w:ascii="Times New Roman" w:hAnsi="Times New Roman" w:cs="Times New Roman"/>
          <w:sz w:val="24"/>
          <w:szCs w:val="24"/>
        </w:rPr>
        <w:t>comes.</w:t>
      </w:r>
      <w:r w:rsidR="003D4C74" w:rsidRPr="00DA258D">
        <w:rPr>
          <w:rFonts w:ascii="Times New Roman" w:hAnsi="Times New Roman" w:cs="Times New Roman"/>
          <w:sz w:val="24"/>
          <w:szCs w:val="24"/>
        </w:rPr>
        <w:t xml:space="preserve"> In the following part, tow</w:t>
      </w:r>
      <w:r w:rsidR="00721BF0">
        <w:rPr>
          <w:rFonts w:ascii="Times New Roman" w:hAnsi="Times New Roman" w:cs="Times New Roman"/>
          <w:sz w:val="24"/>
          <w:szCs w:val="24"/>
        </w:rPr>
        <w:t xml:space="preserve"> </w:t>
      </w:r>
      <w:r w:rsidRPr="00DA258D">
        <w:rPr>
          <w:rFonts w:ascii="Times New Roman" w:hAnsi="Times New Roman" w:cs="Times New Roman"/>
          <w:sz w:val="24"/>
          <w:szCs w:val="24"/>
        </w:rPr>
        <w:lastRenderedPageBreak/>
        <w:t xml:space="preserve">categories of methods for bank </w:t>
      </w:r>
      <w:r w:rsidR="00D40B8C" w:rsidRPr="00DA258D">
        <w:rPr>
          <w:rFonts w:ascii="Times New Roman" w:hAnsi="Times New Roman" w:cs="Times New Roman"/>
          <w:sz w:val="24"/>
          <w:szCs w:val="24"/>
        </w:rPr>
        <w:t>risk measurement, credit rating and</w:t>
      </w:r>
      <w:r w:rsidRPr="00DA258D">
        <w:rPr>
          <w:rFonts w:ascii="Times New Roman" w:hAnsi="Times New Roman" w:cs="Times New Roman"/>
          <w:sz w:val="24"/>
          <w:szCs w:val="24"/>
        </w:rPr>
        <w:t xml:space="preserve"> credit scoring will be explained.</w:t>
      </w:r>
    </w:p>
    <w:p w:rsidR="00974BD8" w:rsidRDefault="00974BD8" w:rsidP="00BC6799">
      <w:pPr>
        <w:autoSpaceDE w:val="0"/>
        <w:autoSpaceDN w:val="0"/>
        <w:adjustRightInd w:val="0"/>
        <w:spacing w:after="0" w:line="360" w:lineRule="auto"/>
        <w:contextualSpacing/>
        <w:jc w:val="both"/>
        <w:rPr>
          <w:rFonts w:ascii="Times New Roman" w:hAnsi="Times New Roman" w:cs="Times New Roman"/>
          <w:sz w:val="24"/>
          <w:szCs w:val="24"/>
        </w:rPr>
      </w:pPr>
    </w:p>
    <w:p w:rsidR="00352801" w:rsidRPr="00352801" w:rsidRDefault="00352801" w:rsidP="00F739F9">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2.4.3.1 </w:t>
      </w:r>
      <w:r w:rsidR="00CD0EF0" w:rsidRPr="00352801">
        <w:rPr>
          <w:rFonts w:ascii="Times New Roman" w:hAnsi="Times New Roman" w:cs="Times New Roman"/>
          <w:b/>
          <w:sz w:val="24"/>
          <w:szCs w:val="24"/>
        </w:rPr>
        <w:t>Credit R</w:t>
      </w:r>
      <w:r w:rsidR="00E84532" w:rsidRPr="00352801">
        <w:rPr>
          <w:rFonts w:ascii="Times New Roman" w:hAnsi="Times New Roman" w:cs="Times New Roman"/>
          <w:b/>
          <w:sz w:val="24"/>
          <w:szCs w:val="24"/>
        </w:rPr>
        <w:t>isk Ratin</w:t>
      </w:r>
      <w:r w:rsidR="00F632C7" w:rsidRPr="00352801">
        <w:rPr>
          <w:rFonts w:ascii="Times New Roman" w:hAnsi="Times New Roman" w:cs="Times New Roman"/>
          <w:b/>
          <w:sz w:val="24"/>
          <w:szCs w:val="24"/>
        </w:rPr>
        <w:t>g</w:t>
      </w:r>
    </w:p>
    <w:p w:rsidR="003D5DED" w:rsidRPr="00352801" w:rsidRDefault="00911ED8" w:rsidP="003D5DE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Since credit risk remains </w:t>
      </w:r>
      <w:r w:rsidR="00FB3B31" w:rsidRPr="00352801">
        <w:rPr>
          <w:rFonts w:ascii="Times New Roman" w:hAnsi="Times New Roman" w:cs="Times New Roman"/>
          <w:sz w:val="24"/>
          <w:szCs w:val="24"/>
        </w:rPr>
        <w:t xml:space="preserve">the </w:t>
      </w:r>
      <w:r w:rsidR="008266AE" w:rsidRPr="00352801">
        <w:rPr>
          <w:rFonts w:ascii="Times New Roman" w:hAnsi="Times New Roman" w:cs="Times New Roman"/>
          <w:sz w:val="24"/>
          <w:szCs w:val="24"/>
        </w:rPr>
        <w:t xml:space="preserve">main source </w:t>
      </w:r>
      <w:r w:rsidRPr="00352801">
        <w:rPr>
          <w:rFonts w:ascii="Times New Roman" w:hAnsi="Times New Roman" w:cs="Times New Roman"/>
          <w:sz w:val="24"/>
          <w:szCs w:val="24"/>
        </w:rPr>
        <w:t>of financial</w:t>
      </w:r>
      <w:r w:rsidR="008266AE" w:rsidRPr="00352801">
        <w:rPr>
          <w:rFonts w:ascii="Times New Roman" w:hAnsi="Times New Roman" w:cs="Times New Roman"/>
          <w:sz w:val="24"/>
          <w:szCs w:val="24"/>
        </w:rPr>
        <w:t xml:space="preserve"> risk in the banking industry</w:t>
      </w:r>
      <w:r w:rsidR="00FB3B31" w:rsidRPr="00352801">
        <w:rPr>
          <w:rFonts w:ascii="Times New Roman" w:hAnsi="Times New Roman" w:cs="Times New Roman"/>
          <w:sz w:val="24"/>
          <w:szCs w:val="24"/>
        </w:rPr>
        <w:t xml:space="preserve"> and exists in almost all </w:t>
      </w:r>
      <w:r>
        <w:rPr>
          <w:rFonts w:ascii="Times New Roman" w:hAnsi="Times New Roman" w:cs="Times New Roman"/>
          <w:sz w:val="24"/>
          <w:szCs w:val="24"/>
        </w:rPr>
        <w:t xml:space="preserve">income- generating activities, </w:t>
      </w:r>
      <w:r w:rsidRPr="00352801">
        <w:rPr>
          <w:rFonts w:ascii="Times New Roman" w:hAnsi="Times New Roman" w:cs="Times New Roman"/>
          <w:sz w:val="24"/>
          <w:szCs w:val="24"/>
        </w:rPr>
        <w:t>bank</w:t>
      </w:r>
      <w:r>
        <w:rPr>
          <w:rFonts w:ascii="Times New Roman" w:hAnsi="Times New Roman" w:cs="Times New Roman"/>
          <w:sz w:val="24"/>
          <w:szCs w:val="24"/>
        </w:rPr>
        <w:t>s</w:t>
      </w:r>
      <w:r w:rsidR="00FB3B31" w:rsidRPr="00352801">
        <w:rPr>
          <w:rFonts w:ascii="Times New Roman" w:hAnsi="Times New Roman" w:cs="Times New Roman"/>
          <w:sz w:val="24"/>
          <w:szCs w:val="24"/>
        </w:rPr>
        <w:t xml:space="preserve"> should have a policy to develop, review and implement </w:t>
      </w:r>
      <w:r w:rsidR="0015149D" w:rsidRPr="00352801">
        <w:rPr>
          <w:rFonts w:ascii="Times New Roman" w:hAnsi="Times New Roman" w:cs="Times New Roman"/>
          <w:sz w:val="24"/>
          <w:szCs w:val="24"/>
        </w:rPr>
        <w:t>a</w:t>
      </w:r>
      <w:r w:rsidR="00FB3B31" w:rsidRPr="00352801">
        <w:rPr>
          <w:rFonts w:ascii="Times New Roman" w:hAnsi="Times New Roman" w:cs="Times New Roman"/>
          <w:sz w:val="24"/>
          <w:szCs w:val="24"/>
        </w:rPr>
        <w:t xml:space="preserve"> credit risk rating system where appropriate. Such a system should be able</w:t>
      </w:r>
      <w:r w:rsidR="00944C10">
        <w:rPr>
          <w:rFonts w:ascii="Times New Roman" w:hAnsi="Times New Roman" w:cs="Times New Roman"/>
          <w:sz w:val="24"/>
          <w:szCs w:val="24"/>
        </w:rPr>
        <w:t xml:space="preserve"> for the assessing and prediction the borrower</w:t>
      </w:r>
      <w:r w:rsidR="00FB3B31" w:rsidRPr="00352801">
        <w:rPr>
          <w:rFonts w:ascii="Times New Roman" w:hAnsi="Times New Roman" w:cs="Times New Roman"/>
          <w:sz w:val="24"/>
          <w:szCs w:val="24"/>
        </w:rPr>
        <w:t xml:space="preserve"> creditworthiness </w:t>
      </w:r>
      <w:r w:rsidR="00944C10">
        <w:rPr>
          <w:rFonts w:ascii="Times New Roman" w:hAnsi="Times New Roman" w:cs="Times New Roman"/>
          <w:sz w:val="24"/>
          <w:szCs w:val="24"/>
        </w:rPr>
        <w:t>that reflects the obligor probability of default.</w:t>
      </w:r>
      <w:r w:rsidR="00E94EFE" w:rsidRPr="00352801">
        <w:rPr>
          <w:rFonts w:ascii="Times New Roman" w:hAnsi="Times New Roman" w:cs="Times New Roman"/>
          <w:sz w:val="24"/>
          <w:szCs w:val="24"/>
        </w:rPr>
        <w:t xml:space="preserve"> </w:t>
      </w:r>
      <w:r w:rsidR="003D5DED" w:rsidRPr="00352801">
        <w:rPr>
          <w:rFonts w:ascii="Times New Roman" w:hAnsi="Times New Roman" w:cs="Times New Roman"/>
          <w:sz w:val="24"/>
          <w:szCs w:val="24"/>
        </w:rPr>
        <w:t>According t</w:t>
      </w:r>
      <w:r w:rsidR="003D5DED">
        <w:rPr>
          <w:rFonts w:ascii="Times New Roman" w:hAnsi="Times New Roman" w:cs="Times New Roman"/>
          <w:sz w:val="24"/>
          <w:szCs w:val="24"/>
        </w:rPr>
        <w:t>o Moody’s (R</w:t>
      </w:r>
      <w:r w:rsidR="003D5DED" w:rsidRPr="00352801">
        <w:rPr>
          <w:rFonts w:ascii="Times New Roman" w:hAnsi="Times New Roman" w:cs="Times New Roman"/>
          <w:sz w:val="24"/>
          <w:szCs w:val="24"/>
        </w:rPr>
        <w:t>ating</w:t>
      </w:r>
      <w:r w:rsidR="003D5DED">
        <w:rPr>
          <w:rFonts w:ascii="Times New Roman" w:hAnsi="Times New Roman" w:cs="Times New Roman"/>
          <w:sz w:val="24"/>
          <w:szCs w:val="24"/>
        </w:rPr>
        <w:t xml:space="preserve"> Agency), </w:t>
      </w:r>
      <w:r w:rsidR="003D5DED" w:rsidRPr="00352801">
        <w:rPr>
          <w:rFonts w:ascii="Times New Roman" w:hAnsi="Times New Roman" w:cs="Times New Roman"/>
          <w:sz w:val="24"/>
          <w:szCs w:val="24"/>
        </w:rPr>
        <w:t>credit rating is</w:t>
      </w:r>
      <w:r w:rsidR="003D5DED">
        <w:rPr>
          <w:rFonts w:ascii="Times New Roman" w:hAnsi="Times New Roman" w:cs="Times New Roman"/>
          <w:sz w:val="24"/>
          <w:szCs w:val="24"/>
        </w:rPr>
        <w:t xml:space="preserve"> a view of the credit quality of the individual commitment or the issuer credit worthiness.</w:t>
      </w:r>
    </w:p>
    <w:p w:rsidR="00644337" w:rsidRPr="00F739F9" w:rsidRDefault="00D25C11" w:rsidP="009C6E3A">
      <w:pPr>
        <w:spacing w:line="360" w:lineRule="auto"/>
        <w:contextualSpacing/>
        <w:jc w:val="both"/>
        <w:rPr>
          <w:rFonts w:ascii="Times New Roman" w:hAnsi="Times New Roman" w:cs="Times New Roman"/>
          <w:sz w:val="24"/>
          <w:szCs w:val="24"/>
        </w:rPr>
      </w:pPr>
      <w:r w:rsidRPr="00352801">
        <w:rPr>
          <w:rFonts w:ascii="Times New Roman" w:hAnsi="Times New Roman" w:cs="Times New Roman"/>
          <w:sz w:val="24"/>
          <w:szCs w:val="24"/>
        </w:rPr>
        <w:t xml:space="preserve">But </w:t>
      </w:r>
      <w:r w:rsidR="003D5DED">
        <w:rPr>
          <w:rFonts w:ascii="Times New Roman" w:hAnsi="Times New Roman" w:cs="Times New Roman"/>
          <w:sz w:val="24"/>
          <w:szCs w:val="24"/>
        </w:rPr>
        <w:t>i</w:t>
      </w:r>
      <w:r w:rsidR="009B0B3D" w:rsidRPr="00352801">
        <w:rPr>
          <w:rFonts w:ascii="Times New Roman" w:hAnsi="Times New Roman" w:cs="Times New Roman"/>
          <w:sz w:val="24"/>
          <w:szCs w:val="24"/>
        </w:rPr>
        <w:t xml:space="preserve">n order </w:t>
      </w:r>
      <w:r w:rsidRPr="00352801">
        <w:rPr>
          <w:rFonts w:ascii="Times New Roman" w:hAnsi="Times New Roman" w:cs="Times New Roman"/>
          <w:sz w:val="24"/>
          <w:szCs w:val="24"/>
        </w:rPr>
        <w:t xml:space="preserve">to determine the </w:t>
      </w:r>
      <w:r w:rsidR="00DD314E" w:rsidRPr="00352801">
        <w:rPr>
          <w:rFonts w:ascii="Times New Roman" w:hAnsi="Times New Roman" w:cs="Times New Roman"/>
          <w:sz w:val="24"/>
          <w:szCs w:val="24"/>
        </w:rPr>
        <w:t>obligor ratings,</w:t>
      </w:r>
      <w:r w:rsidRPr="00352801">
        <w:rPr>
          <w:rFonts w:ascii="Times New Roman" w:hAnsi="Times New Roman" w:cs="Times New Roman"/>
          <w:sz w:val="24"/>
          <w:szCs w:val="24"/>
        </w:rPr>
        <w:t xml:space="preserve"> banks are required to consider</w:t>
      </w:r>
      <w:r w:rsidR="00721BF0" w:rsidRPr="00352801">
        <w:rPr>
          <w:rFonts w:ascii="Times New Roman" w:hAnsi="Times New Roman" w:cs="Times New Roman"/>
          <w:sz w:val="24"/>
          <w:szCs w:val="24"/>
        </w:rPr>
        <w:t xml:space="preserve"> </w:t>
      </w:r>
      <w:r w:rsidRPr="00352801">
        <w:rPr>
          <w:rFonts w:ascii="Times New Roman" w:hAnsi="Times New Roman" w:cs="Times New Roman"/>
          <w:sz w:val="24"/>
          <w:szCs w:val="24"/>
        </w:rPr>
        <w:t>some aspects</w:t>
      </w:r>
      <w:r w:rsidR="00DD314E" w:rsidRPr="00352801">
        <w:rPr>
          <w:rFonts w:ascii="Times New Roman" w:hAnsi="Times New Roman" w:cs="Times New Roman"/>
          <w:sz w:val="24"/>
          <w:szCs w:val="24"/>
        </w:rPr>
        <w:t xml:space="preserve"> related and surrounding</w:t>
      </w:r>
      <w:r w:rsidRPr="00352801">
        <w:rPr>
          <w:rFonts w:ascii="Times New Roman" w:hAnsi="Times New Roman" w:cs="Times New Roman"/>
          <w:sz w:val="24"/>
          <w:szCs w:val="24"/>
        </w:rPr>
        <w:t xml:space="preserve"> of the borrower such as</w:t>
      </w:r>
      <w:r w:rsidR="00446161" w:rsidRPr="00352801">
        <w:rPr>
          <w:rFonts w:ascii="Times New Roman" w:hAnsi="Times New Roman" w:cs="Times New Roman"/>
          <w:sz w:val="24"/>
          <w:szCs w:val="24"/>
        </w:rPr>
        <w:t xml:space="preserve"> (Bank of Pakistan, 2008</w:t>
      </w:r>
      <w:r w:rsidR="00AB0D3C" w:rsidRPr="00352801">
        <w:rPr>
          <w:rFonts w:ascii="Times New Roman" w:hAnsi="Times New Roman" w:cs="Times New Roman"/>
          <w:sz w:val="24"/>
          <w:szCs w:val="24"/>
        </w:rPr>
        <w:t>):</w:t>
      </w:r>
    </w:p>
    <w:p w:rsidR="00324DBF" w:rsidRDefault="00324DBF" w:rsidP="00F873C9">
      <w:pPr>
        <w:pStyle w:val="ListParagraph"/>
        <w:numPr>
          <w:ilvl w:val="0"/>
          <w:numId w:val="1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Financial status of the borrower such economic and financial situation, payment ability, profitability leverage and cash flows.</w:t>
      </w:r>
    </w:p>
    <w:p w:rsidR="00324DBF" w:rsidRPr="00CD0EF0" w:rsidRDefault="00324DBF" w:rsidP="00F873C9">
      <w:pPr>
        <w:pStyle w:val="ListParagraph"/>
        <w:numPr>
          <w:ilvl w:val="0"/>
          <w:numId w:val="18"/>
        </w:numPr>
        <w:spacing w:line="360" w:lineRule="auto"/>
        <w:jc w:val="both"/>
        <w:rPr>
          <w:rFonts w:ascii="Times New Roman" w:hAnsi="Times New Roman" w:cs="Times New Roman"/>
          <w:bCs/>
          <w:sz w:val="24"/>
          <w:szCs w:val="24"/>
        </w:rPr>
      </w:pPr>
      <w:r w:rsidRPr="00CD0EF0">
        <w:rPr>
          <w:rFonts w:ascii="Times New Roman" w:hAnsi="Times New Roman" w:cs="Times New Roman"/>
          <w:bCs/>
          <w:sz w:val="24"/>
          <w:szCs w:val="24"/>
        </w:rPr>
        <w:t>Ownership structure</w:t>
      </w:r>
      <w:r>
        <w:rPr>
          <w:rFonts w:ascii="Times New Roman" w:hAnsi="Times New Roman" w:cs="Times New Roman"/>
          <w:bCs/>
          <w:sz w:val="24"/>
          <w:szCs w:val="24"/>
        </w:rPr>
        <w:t xml:space="preserve"> and </w:t>
      </w:r>
      <w:r w:rsidRPr="00CD0EF0">
        <w:rPr>
          <w:rFonts w:ascii="Times New Roman" w:hAnsi="Times New Roman" w:cs="Times New Roman"/>
          <w:bCs/>
          <w:sz w:val="24"/>
          <w:szCs w:val="24"/>
        </w:rPr>
        <w:t>quality of internal controls and assessment of the willingness to pay.</w:t>
      </w:r>
    </w:p>
    <w:p w:rsidR="00324DBF" w:rsidRDefault="00324DBF" w:rsidP="00F873C9">
      <w:pPr>
        <w:pStyle w:val="ListParagraph"/>
        <w:numPr>
          <w:ilvl w:val="0"/>
          <w:numId w:val="19"/>
        </w:numPr>
        <w:spacing w:line="360" w:lineRule="auto"/>
        <w:jc w:val="both"/>
        <w:rPr>
          <w:rFonts w:ascii="Times New Roman" w:hAnsi="Times New Roman" w:cs="Times New Roman"/>
          <w:bCs/>
          <w:sz w:val="24"/>
          <w:szCs w:val="24"/>
        </w:rPr>
      </w:pPr>
      <w:r w:rsidRPr="00CD0EF0">
        <w:rPr>
          <w:rFonts w:ascii="Times New Roman" w:hAnsi="Times New Roman" w:cs="Times New Roman"/>
          <w:bCs/>
          <w:sz w:val="24"/>
          <w:szCs w:val="24"/>
        </w:rPr>
        <w:t>Nature and purpose of loan</w:t>
      </w:r>
      <w:r>
        <w:rPr>
          <w:rFonts w:ascii="Times New Roman" w:hAnsi="Times New Roman" w:cs="Times New Roman"/>
          <w:bCs/>
          <w:sz w:val="24"/>
          <w:szCs w:val="24"/>
        </w:rPr>
        <w:t>, structure of collateral and product type.</w:t>
      </w:r>
    </w:p>
    <w:p w:rsidR="00324DBF" w:rsidRDefault="00324DBF" w:rsidP="00F873C9">
      <w:pPr>
        <w:pStyle w:val="ListParagraph"/>
        <w:numPr>
          <w:ilvl w:val="0"/>
          <w:numId w:val="1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Nature of collateral such quality, liquidity, market value and </w:t>
      </w:r>
      <w:r w:rsidRPr="00CD0EF0">
        <w:rPr>
          <w:rFonts w:ascii="Times New Roman" w:hAnsi="Times New Roman" w:cs="Times New Roman"/>
          <w:bCs/>
          <w:sz w:val="24"/>
          <w:szCs w:val="24"/>
        </w:rPr>
        <w:t>legal status of rights, Legal enforceability</w:t>
      </w:r>
      <w:r>
        <w:rPr>
          <w:rFonts w:ascii="Times New Roman" w:hAnsi="Times New Roman" w:cs="Times New Roman"/>
          <w:bCs/>
          <w:sz w:val="24"/>
          <w:szCs w:val="24"/>
        </w:rPr>
        <w:t>.</w:t>
      </w:r>
    </w:p>
    <w:p w:rsidR="00324DBF" w:rsidRPr="00324DBF" w:rsidRDefault="00324DBF" w:rsidP="00F873C9">
      <w:pPr>
        <w:pStyle w:val="ListParagraph"/>
        <w:numPr>
          <w:ilvl w:val="0"/>
          <w:numId w:val="1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Other aspects such </w:t>
      </w:r>
      <w:r w:rsidRPr="00CD0EF0">
        <w:rPr>
          <w:rFonts w:ascii="Times New Roman" w:hAnsi="Times New Roman" w:cs="Times New Roman"/>
          <w:bCs/>
          <w:sz w:val="24"/>
          <w:szCs w:val="24"/>
        </w:rPr>
        <w:t>Country risk, comparison to external ratings and credit information from other sources.</w:t>
      </w:r>
    </w:p>
    <w:p w:rsidR="0043465E" w:rsidRPr="00CD0EF0" w:rsidRDefault="00ED7D49" w:rsidP="009C6E3A">
      <w:pPr>
        <w:spacing w:line="360" w:lineRule="auto"/>
        <w:contextualSpacing/>
        <w:jc w:val="both"/>
        <w:rPr>
          <w:rFonts w:ascii="Times New Roman" w:hAnsi="Times New Roman" w:cs="Times New Roman"/>
          <w:bCs/>
          <w:sz w:val="24"/>
          <w:szCs w:val="24"/>
        </w:rPr>
      </w:pPr>
      <w:r w:rsidRPr="00CD0EF0">
        <w:rPr>
          <w:rFonts w:ascii="Times New Roman" w:hAnsi="Times New Roman" w:cs="Times New Roman"/>
          <w:bCs/>
          <w:sz w:val="24"/>
          <w:szCs w:val="24"/>
        </w:rPr>
        <w:t>For banks, both the internal</w:t>
      </w:r>
      <w:r w:rsidR="000F6162" w:rsidRPr="00CD0EF0">
        <w:rPr>
          <w:rFonts w:ascii="Times New Roman" w:hAnsi="Times New Roman" w:cs="Times New Roman"/>
          <w:bCs/>
          <w:sz w:val="24"/>
          <w:szCs w:val="24"/>
        </w:rPr>
        <w:t xml:space="preserve"> credit rating</w:t>
      </w:r>
      <w:r w:rsidRPr="00CD0EF0">
        <w:rPr>
          <w:rFonts w:ascii="Times New Roman" w:hAnsi="Times New Roman" w:cs="Times New Roman"/>
          <w:bCs/>
          <w:sz w:val="24"/>
          <w:szCs w:val="24"/>
        </w:rPr>
        <w:t xml:space="preserve"> and the external one are involved in their credit risk assessment</w:t>
      </w:r>
      <w:r w:rsidR="000F6162" w:rsidRPr="00CD0EF0">
        <w:rPr>
          <w:rFonts w:ascii="Times New Roman" w:hAnsi="Times New Roman" w:cs="Times New Roman"/>
          <w:bCs/>
          <w:sz w:val="24"/>
          <w:szCs w:val="24"/>
        </w:rPr>
        <w:t>.</w:t>
      </w:r>
    </w:p>
    <w:p w:rsidR="00642F38" w:rsidRPr="00094953" w:rsidRDefault="00094953" w:rsidP="00094953">
      <w:pPr>
        <w:spacing w:line="360" w:lineRule="auto"/>
        <w:contextualSpacing/>
        <w:rPr>
          <w:rFonts w:ascii="Times New Roman" w:hAnsi="Times New Roman" w:cs="Times New Roman"/>
          <w:sz w:val="24"/>
          <w:szCs w:val="24"/>
        </w:rPr>
      </w:pPr>
      <w:r>
        <w:rPr>
          <w:rFonts w:ascii="Times New Roman" w:hAnsi="Times New Roman" w:cs="Times New Roman"/>
          <w:b/>
          <w:sz w:val="24"/>
          <w:szCs w:val="24"/>
        </w:rPr>
        <w:t xml:space="preserve">A) </w:t>
      </w:r>
      <w:r w:rsidR="00CD0EF0" w:rsidRPr="00094953">
        <w:rPr>
          <w:rFonts w:ascii="Times New Roman" w:hAnsi="Times New Roman" w:cs="Times New Roman"/>
          <w:b/>
          <w:sz w:val="24"/>
          <w:szCs w:val="24"/>
        </w:rPr>
        <w:t>Internal Credit R</w:t>
      </w:r>
      <w:r w:rsidR="00ED7D49" w:rsidRPr="00094953">
        <w:rPr>
          <w:rFonts w:ascii="Times New Roman" w:hAnsi="Times New Roman" w:cs="Times New Roman"/>
          <w:b/>
          <w:sz w:val="24"/>
          <w:szCs w:val="24"/>
        </w:rPr>
        <w:t>atings</w:t>
      </w:r>
    </w:p>
    <w:p w:rsidR="00AC18AB" w:rsidRPr="00DA258D" w:rsidRDefault="00BF37F7" w:rsidP="00A675A5">
      <w:pPr>
        <w:spacing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After the development and expans</w:t>
      </w:r>
      <w:r w:rsidR="00944C10">
        <w:rPr>
          <w:rFonts w:ascii="Times New Roman" w:hAnsi="Times New Roman" w:cs="Times New Roman"/>
          <w:sz w:val="24"/>
          <w:szCs w:val="24"/>
        </w:rPr>
        <w:t xml:space="preserve">ion of </w:t>
      </w:r>
      <w:r w:rsidR="001178DC">
        <w:rPr>
          <w:rFonts w:ascii="Times New Roman" w:hAnsi="Times New Roman" w:cs="Times New Roman"/>
          <w:sz w:val="24"/>
          <w:szCs w:val="24"/>
        </w:rPr>
        <w:t xml:space="preserve">banks </w:t>
      </w:r>
      <w:r w:rsidR="001178DC" w:rsidRPr="00DA258D">
        <w:rPr>
          <w:rFonts w:ascii="Times New Roman" w:hAnsi="Times New Roman" w:cs="Times New Roman"/>
          <w:sz w:val="24"/>
          <w:szCs w:val="24"/>
        </w:rPr>
        <w:t>activities</w:t>
      </w:r>
      <w:r w:rsidR="00163946" w:rsidRPr="00DA258D">
        <w:rPr>
          <w:rFonts w:ascii="Times New Roman" w:hAnsi="Times New Roman" w:cs="Times New Roman"/>
          <w:sz w:val="24"/>
          <w:szCs w:val="24"/>
        </w:rPr>
        <w:t>, the number of their counterparties has significantly increase, and</w:t>
      </w:r>
      <w:r w:rsidRPr="00DA258D">
        <w:rPr>
          <w:rFonts w:ascii="Times New Roman" w:hAnsi="Times New Roman" w:cs="Times New Roman"/>
          <w:sz w:val="24"/>
          <w:szCs w:val="24"/>
        </w:rPr>
        <w:t xml:space="preserve"> their credit-related businesses have become more diverse and complex</w:t>
      </w:r>
      <w:r w:rsidR="00163946" w:rsidRPr="00DA258D">
        <w:rPr>
          <w:rFonts w:ascii="Times New Roman" w:hAnsi="Times New Roman" w:cs="Times New Roman"/>
          <w:sz w:val="24"/>
          <w:szCs w:val="24"/>
        </w:rPr>
        <w:t>, internal credit ratings has become an increasingly important element of credit risk management</w:t>
      </w:r>
      <w:r w:rsidR="00D52BC3" w:rsidRPr="00DA258D">
        <w:rPr>
          <w:rFonts w:ascii="Times New Roman" w:hAnsi="Times New Roman" w:cs="Times New Roman"/>
          <w:sz w:val="24"/>
          <w:szCs w:val="24"/>
        </w:rPr>
        <w:t xml:space="preserve"> and reflect</w:t>
      </w:r>
      <w:r w:rsidR="00336ED3" w:rsidRPr="00DA258D">
        <w:rPr>
          <w:rFonts w:ascii="Times New Roman" w:hAnsi="Times New Roman" w:cs="Times New Roman"/>
          <w:sz w:val="24"/>
          <w:szCs w:val="24"/>
        </w:rPr>
        <w:t xml:space="preserve"> the risk properties of the bank loan portfolio</w:t>
      </w:r>
      <w:r w:rsidR="00163946" w:rsidRPr="00DA258D">
        <w:rPr>
          <w:rFonts w:ascii="Times New Roman" w:hAnsi="Times New Roman" w:cs="Times New Roman"/>
          <w:sz w:val="24"/>
          <w:szCs w:val="24"/>
        </w:rPr>
        <w:t xml:space="preserve"> (Treacy and </w:t>
      </w:r>
      <w:r w:rsidR="00163946" w:rsidRPr="00DA258D">
        <w:rPr>
          <w:rFonts w:ascii="Times New Roman" w:hAnsi="Times New Roman" w:cs="Times New Roman"/>
          <w:sz w:val="24"/>
          <w:szCs w:val="24"/>
        </w:rPr>
        <w:lastRenderedPageBreak/>
        <w:t xml:space="preserve">Carey, </w:t>
      </w:r>
      <w:r w:rsidR="00446161">
        <w:rPr>
          <w:rFonts w:ascii="Times New Roman" w:hAnsi="Times New Roman" w:cs="Times New Roman"/>
          <w:sz w:val="24"/>
          <w:szCs w:val="24"/>
        </w:rPr>
        <w:t>2000</w:t>
      </w:r>
      <w:r w:rsidR="00BD4FCE" w:rsidRPr="00DA258D">
        <w:rPr>
          <w:rFonts w:ascii="Times New Roman" w:hAnsi="Times New Roman" w:cs="Times New Roman"/>
          <w:sz w:val="24"/>
          <w:szCs w:val="24"/>
        </w:rPr>
        <w:t>).</w:t>
      </w:r>
      <w:r w:rsidR="00AC18AB" w:rsidRPr="00DA258D">
        <w:rPr>
          <w:rFonts w:ascii="Times New Roman" w:hAnsi="Times New Roman" w:cs="Times New Roman"/>
          <w:sz w:val="24"/>
          <w:szCs w:val="24"/>
        </w:rPr>
        <w:t xml:space="preserve"> The internal ratings system becomes an important issue for banks, particularly after the latest recommendation by Basel II (2006</w:t>
      </w:r>
      <w:r w:rsidR="00A675A5">
        <w:rPr>
          <w:rFonts w:ascii="Times New Roman" w:hAnsi="Times New Roman" w:cs="Times New Roman"/>
          <w:sz w:val="24"/>
          <w:szCs w:val="24"/>
        </w:rPr>
        <w:t>).</w:t>
      </w:r>
    </w:p>
    <w:p w:rsidR="00932EE0" w:rsidRPr="00AB0DA7" w:rsidRDefault="00AB0DA7" w:rsidP="002052A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For an effective credit management and monitoring procedures, banks have to establish and employ an internal risk rating. This system should be </w:t>
      </w:r>
      <w:r w:rsidRPr="00170BAB">
        <w:rPr>
          <w:rFonts w:ascii="Times New Roman" w:hAnsi="Times New Roman" w:cs="Times New Roman"/>
          <w:bCs/>
          <w:sz w:val="24"/>
          <w:szCs w:val="24"/>
        </w:rPr>
        <w:t>harmonious</w:t>
      </w:r>
      <w:r>
        <w:rPr>
          <w:rFonts w:ascii="Times New Roman" w:hAnsi="Times New Roman" w:cs="Times New Roman"/>
          <w:bCs/>
          <w:sz w:val="24"/>
          <w:szCs w:val="24"/>
        </w:rPr>
        <w:t xml:space="preserve"> with the nature, size and complication of bank’s </w:t>
      </w:r>
      <w:r w:rsidR="00353360">
        <w:rPr>
          <w:rFonts w:ascii="Times New Roman" w:hAnsi="Times New Roman" w:cs="Times New Roman"/>
          <w:bCs/>
          <w:sz w:val="24"/>
          <w:szCs w:val="24"/>
        </w:rPr>
        <w:t>operations.</w:t>
      </w:r>
      <w:r w:rsidR="00353360" w:rsidRPr="00DA258D">
        <w:rPr>
          <w:rFonts w:ascii="Times New Roman" w:hAnsi="Times New Roman" w:cs="Times New Roman"/>
          <w:sz w:val="24"/>
          <w:szCs w:val="24"/>
        </w:rPr>
        <w:t xml:space="preserve"> These</w:t>
      </w:r>
      <w:r w:rsidR="00932EE0" w:rsidRPr="00DA258D">
        <w:rPr>
          <w:rFonts w:ascii="Times New Roman" w:hAnsi="Times New Roman" w:cs="Times New Roman"/>
          <w:sz w:val="24"/>
          <w:szCs w:val="24"/>
        </w:rPr>
        <w:t xml:space="preserve"> procedures and standards include the following </w:t>
      </w:r>
      <w:r w:rsidR="00223FD2" w:rsidRPr="00DA258D">
        <w:rPr>
          <w:rFonts w:ascii="Times New Roman" w:hAnsi="Times New Roman" w:cs="Times New Roman"/>
          <w:sz w:val="24"/>
          <w:szCs w:val="24"/>
        </w:rPr>
        <w:t>aspects</w:t>
      </w:r>
      <w:r w:rsidR="00223FD2" w:rsidRPr="00DA258D">
        <w:rPr>
          <w:rFonts w:ascii="Times New Roman" w:hAnsi="Times New Roman" w:cs="Times New Roman"/>
          <w:bCs/>
          <w:sz w:val="24"/>
          <w:szCs w:val="24"/>
        </w:rPr>
        <w:t xml:space="preserve"> (</w:t>
      </w:r>
      <w:r w:rsidR="00D52BC3" w:rsidRPr="00DA258D">
        <w:rPr>
          <w:rFonts w:ascii="Times New Roman" w:hAnsi="Times New Roman" w:cs="Times New Roman"/>
          <w:bCs/>
          <w:sz w:val="24"/>
          <w:szCs w:val="24"/>
        </w:rPr>
        <w:t>Basel, 2000</w:t>
      </w:r>
      <w:r w:rsidR="00280449" w:rsidRPr="00DA258D">
        <w:rPr>
          <w:rFonts w:ascii="Times New Roman" w:hAnsi="Times New Roman" w:cs="Times New Roman"/>
          <w:bCs/>
          <w:sz w:val="24"/>
          <w:szCs w:val="24"/>
        </w:rPr>
        <w:t>):</w:t>
      </w:r>
    </w:p>
    <w:p w:rsidR="00F739F9" w:rsidRPr="009C6E3A" w:rsidRDefault="00932EE0" w:rsidP="00F873C9">
      <w:pPr>
        <w:pStyle w:val="ListParagraph"/>
        <w:numPr>
          <w:ilvl w:val="0"/>
          <w:numId w:val="15"/>
        </w:numPr>
        <w:spacing w:line="360" w:lineRule="auto"/>
        <w:jc w:val="both"/>
        <w:rPr>
          <w:rFonts w:ascii="Times New Roman" w:hAnsi="Times New Roman" w:cs="Times New Roman"/>
          <w:sz w:val="24"/>
          <w:szCs w:val="24"/>
        </w:rPr>
      </w:pPr>
      <w:r w:rsidRPr="00DA258D">
        <w:rPr>
          <w:rFonts w:ascii="Times New Roman" w:hAnsi="Times New Roman" w:cs="Times New Roman"/>
          <w:sz w:val="24"/>
          <w:szCs w:val="24"/>
        </w:rPr>
        <w:t>Internal rating s</w:t>
      </w:r>
      <w:r w:rsidR="008B0D52">
        <w:rPr>
          <w:rFonts w:ascii="Times New Roman" w:hAnsi="Times New Roman" w:cs="Times New Roman"/>
          <w:sz w:val="24"/>
          <w:szCs w:val="24"/>
        </w:rPr>
        <w:t>ystems of risks should</w:t>
      </w:r>
      <w:r w:rsidRPr="00DA258D">
        <w:rPr>
          <w:rFonts w:ascii="Times New Roman" w:hAnsi="Times New Roman" w:cs="Times New Roman"/>
          <w:sz w:val="24"/>
          <w:szCs w:val="24"/>
        </w:rPr>
        <w:t xml:space="preserve"> achieve a number of objectives:</w:t>
      </w:r>
    </w:p>
    <w:p w:rsidR="00353360" w:rsidRPr="00353360" w:rsidRDefault="00353360" w:rsidP="00F873C9">
      <w:pPr>
        <w:pStyle w:val="ListParagraph"/>
        <w:numPr>
          <w:ilvl w:val="0"/>
          <w:numId w:val="42"/>
        </w:numPr>
        <w:spacing w:line="360" w:lineRule="auto"/>
        <w:rPr>
          <w:rFonts w:ascii="Times New Roman" w:hAnsi="Times New Roman" w:cs="Times New Roman"/>
          <w:sz w:val="24"/>
          <w:szCs w:val="24"/>
        </w:rPr>
      </w:pPr>
      <w:r w:rsidRPr="00353360">
        <w:rPr>
          <w:rFonts w:ascii="Times New Roman" w:hAnsi="Times New Roman" w:cs="Times New Roman"/>
          <w:sz w:val="24"/>
          <w:szCs w:val="24"/>
        </w:rPr>
        <w:t>Differentiate between degrees of risks for different types of credit</w:t>
      </w:r>
    </w:p>
    <w:p w:rsidR="00353360" w:rsidRPr="00353360" w:rsidRDefault="00353360" w:rsidP="00F873C9">
      <w:pPr>
        <w:pStyle w:val="ListParagraph"/>
        <w:numPr>
          <w:ilvl w:val="0"/>
          <w:numId w:val="42"/>
        </w:numPr>
        <w:spacing w:line="360" w:lineRule="auto"/>
        <w:rPr>
          <w:rFonts w:ascii="Times New Roman" w:hAnsi="Times New Roman" w:cs="Times New Roman"/>
          <w:sz w:val="24"/>
          <w:szCs w:val="24"/>
        </w:rPr>
      </w:pPr>
      <w:r w:rsidRPr="00353360">
        <w:rPr>
          <w:rFonts w:ascii="Times New Roman" w:hAnsi="Times New Roman" w:cs="Times New Roman"/>
          <w:sz w:val="24"/>
          <w:szCs w:val="24"/>
        </w:rPr>
        <w:t>Determining all traits and characteristics of the credit portfolio.</w:t>
      </w:r>
    </w:p>
    <w:p w:rsidR="00353360" w:rsidRPr="00A2124D" w:rsidRDefault="00353360" w:rsidP="00F873C9">
      <w:pPr>
        <w:pStyle w:val="ListParagraph"/>
        <w:numPr>
          <w:ilvl w:val="0"/>
          <w:numId w:val="42"/>
        </w:numPr>
        <w:spacing w:line="360" w:lineRule="auto"/>
        <w:rPr>
          <w:rFonts w:ascii="Times New Roman" w:hAnsi="Times New Roman" w:cs="Times New Roman"/>
          <w:sz w:val="24"/>
          <w:szCs w:val="24"/>
        </w:rPr>
      </w:pPr>
      <w:r w:rsidRPr="00A2124D">
        <w:rPr>
          <w:rFonts w:ascii="Times New Roman" w:hAnsi="Times New Roman" w:cs="Times New Roman"/>
          <w:sz w:val="24"/>
          <w:szCs w:val="24"/>
        </w:rPr>
        <w:t>Determining concentration of risk areas.</w:t>
      </w:r>
    </w:p>
    <w:p w:rsidR="00353360" w:rsidRPr="00A2124D" w:rsidRDefault="00353360" w:rsidP="00F873C9">
      <w:pPr>
        <w:pStyle w:val="ListParagraph"/>
        <w:numPr>
          <w:ilvl w:val="0"/>
          <w:numId w:val="42"/>
        </w:numPr>
        <w:spacing w:line="360" w:lineRule="auto"/>
        <w:jc w:val="both"/>
        <w:rPr>
          <w:rFonts w:ascii="Times New Roman" w:hAnsi="Times New Roman" w:cs="Times New Roman"/>
          <w:sz w:val="24"/>
          <w:szCs w:val="24"/>
        </w:rPr>
      </w:pPr>
      <w:r w:rsidRPr="00A2124D">
        <w:rPr>
          <w:rFonts w:ascii="Times New Roman" w:hAnsi="Times New Roman" w:cs="Times New Roman"/>
          <w:sz w:val="24"/>
          <w:szCs w:val="24"/>
        </w:rPr>
        <w:t>Identifying the credit problems.</w:t>
      </w:r>
    </w:p>
    <w:p w:rsidR="00353360" w:rsidRPr="00353360" w:rsidRDefault="00353360" w:rsidP="00F873C9">
      <w:pPr>
        <w:pStyle w:val="ListParagraph"/>
        <w:numPr>
          <w:ilvl w:val="0"/>
          <w:numId w:val="42"/>
        </w:numPr>
        <w:spacing w:line="360" w:lineRule="auto"/>
        <w:rPr>
          <w:rFonts w:ascii="Times New Roman" w:hAnsi="Times New Roman" w:cs="Times New Roman"/>
          <w:sz w:val="24"/>
          <w:szCs w:val="24"/>
        </w:rPr>
      </w:pPr>
      <w:r w:rsidRPr="00A2124D">
        <w:rPr>
          <w:rFonts w:ascii="Times New Roman" w:hAnsi="Times New Roman" w:cs="Times New Roman"/>
          <w:sz w:val="24"/>
          <w:szCs w:val="24"/>
        </w:rPr>
        <w:t>Proper credit pricing consistent with credit risk levels.</w:t>
      </w:r>
    </w:p>
    <w:p w:rsidR="008B0D52" w:rsidRPr="008B0D52" w:rsidRDefault="008B0D52" w:rsidP="008B0D52">
      <w:pPr>
        <w:spacing w:line="360" w:lineRule="auto"/>
        <w:contextualSpacing/>
        <w:jc w:val="both"/>
        <w:rPr>
          <w:rFonts w:ascii="Times New Roman" w:hAnsi="Times New Roman" w:cs="Times New Roman"/>
          <w:sz w:val="24"/>
          <w:szCs w:val="24"/>
        </w:rPr>
      </w:pPr>
      <w:r w:rsidRPr="008B0D52">
        <w:rPr>
          <w:rFonts w:ascii="Times New Roman" w:hAnsi="Times New Roman" w:cs="Times New Roman"/>
          <w:sz w:val="24"/>
          <w:szCs w:val="24"/>
        </w:rPr>
        <w:t>-Internal rating system must show a response to the potential risk indicators affecting credit.</w:t>
      </w:r>
    </w:p>
    <w:p w:rsidR="008B0D52" w:rsidRPr="008B0D52" w:rsidRDefault="008B0D52" w:rsidP="008B0D52">
      <w:pPr>
        <w:spacing w:line="360" w:lineRule="auto"/>
        <w:contextualSpacing/>
        <w:jc w:val="both"/>
        <w:rPr>
          <w:rFonts w:ascii="Times New Roman" w:hAnsi="Times New Roman" w:cs="Times New Roman"/>
          <w:sz w:val="24"/>
          <w:szCs w:val="24"/>
        </w:rPr>
      </w:pPr>
      <w:r w:rsidRPr="008B0D52">
        <w:rPr>
          <w:rFonts w:ascii="Times New Roman" w:hAnsi="Times New Roman" w:cs="Times New Roman"/>
          <w:sz w:val="24"/>
          <w:szCs w:val="24"/>
        </w:rPr>
        <w:t>-Frequent review and this must be at the beginning (upon approval of credit awarding); it must be regular and periodic (upon credit implementation) and whenever the borrower's circumstances change whether in a positive or negative direction.</w:t>
      </w:r>
    </w:p>
    <w:p w:rsidR="008B0D52" w:rsidRPr="008B0D52" w:rsidRDefault="008B0D52" w:rsidP="008B0D52">
      <w:pPr>
        <w:spacing w:line="360" w:lineRule="auto"/>
        <w:contextualSpacing/>
        <w:jc w:val="both"/>
        <w:rPr>
          <w:rFonts w:ascii="Times New Roman" w:hAnsi="Times New Roman" w:cs="Times New Roman"/>
          <w:sz w:val="24"/>
          <w:szCs w:val="24"/>
        </w:rPr>
      </w:pPr>
      <w:r w:rsidRPr="008B0D52">
        <w:rPr>
          <w:rFonts w:ascii="Times New Roman" w:hAnsi="Times New Roman" w:cs="Times New Roman"/>
          <w:sz w:val="24"/>
          <w:szCs w:val="24"/>
        </w:rPr>
        <w:t>-Link between responsibility of controlling and assuring work of ratings and credit control and review job.</w:t>
      </w:r>
    </w:p>
    <w:p w:rsidR="008B0D52" w:rsidRDefault="008B0D52" w:rsidP="008B0D52">
      <w:pPr>
        <w:spacing w:line="360" w:lineRule="auto"/>
        <w:jc w:val="both"/>
        <w:rPr>
          <w:rFonts w:ascii="Times New Roman" w:hAnsi="Times New Roman" w:cs="Times New Roman"/>
          <w:sz w:val="24"/>
          <w:szCs w:val="24"/>
        </w:rPr>
      </w:pPr>
      <w:r w:rsidRPr="008B0D52">
        <w:rPr>
          <w:rFonts w:ascii="Times New Roman" w:hAnsi="Times New Roman" w:cs="Times New Roman"/>
          <w:sz w:val="24"/>
          <w:szCs w:val="24"/>
        </w:rPr>
        <w:t>-The credit review task is tested periodically through independent credit groups.</w:t>
      </w:r>
    </w:p>
    <w:p w:rsidR="003B4DA4" w:rsidRDefault="00AC18AB" w:rsidP="00526DCB">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It should be mentioned that</w:t>
      </w:r>
      <w:r w:rsidR="00A675A5">
        <w:rPr>
          <w:rFonts w:ascii="Times New Roman" w:hAnsi="Times New Roman" w:cs="Times New Roman"/>
          <w:sz w:val="24"/>
          <w:szCs w:val="24"/>
        </w:rPr>
        <w:t xml:space="preserve"> the institution's employee</w:t>
      </w:r>
      <w:r w:rsidR="00526DCB">
        <w:rPr>
          <w:rFonts w:ascii="Times New Roman" w:hAnsi="Times New Roman" w:cs="Times New Roman"/>
          <w:sz w:val="24"/>
          <w:szCs w:val="24"/>
        </w:rPr>
        <w:t>'s</w:t>
      </w:r>
      <w:r w:rsidR="00A675A5">
        <w:rPr>
          <w:rFonts w:ascii="Times New Roman" w:hAnsi="Times New Roman" w:cs="Times New Roman"/>
          <w:sz w:val="24"/>
          <w:szCs w:val="24"/>
        </w:rPr>
        <w:t xml:space="preserve"> judgment and there experience play crucial role than relying largely on </w:t>
      </w:r>
      <w:r w:rsidR="00526DCB">
        <w:rPr>
          <w:rFonts w:ascii="Times New Roman" w:hAnsi="Times New Roman" w:cs="Times New Roman"/>
          <w:sz w:val="24"/>
          <w:szCs w:val="24"/>
        </w:rPr>
        <w:t xml:space="preserve">any </w:t>
      </w:r>
      <w:r w:rsidR="00526DCB" w:rsidRPr="00DA258D">
        <w:rPr>
          <w:rFonts w:ascii="Times New Roman" w:hAnsi="Times New Roman" w:cs="Times New Roman"/>
          <w:sz w:val="24"/>
          <w:szCs w:val="24"/>
        </w:rPr>
        <w:t>mathematical methodology used</w:t>
      </w:r>
      <w:r w:rsidR="00526DCB">
        <w:rPr>
          <w:rFonts w:ascii="Times New Roman" w:hAnsi="Times New Roman" w:cs="Times New Roman"/>
          <w:sz w:val="24"/>
          <w:szCs w:val="24"/>
        </w:rPr>
        <w:t xml:space="preserve"> as internal rating systems.</w:t>
      </w:r>
      <w:r w:rsidR="00A675A5">
        <w:rPr>
          <w:rFonts w:ascii="Times New Roman" w:hAnsi="Times New Roman" w:cs="Times New Roman"/>
          <w:sz w:val="24"/>
          <w:szCs w:val="24"/>
        </w:rPr>
        <w:t xml:space="preserve"> </w:t>
      </w:r>
      <w:r w:rsidRPr="00DA258D">
        <w:rPr>
          <w:rFonts w:ascii="Times New Roman" w:hAnsi="Times New Roman" w:cs="Times New Roman"/>
          <w:sz w:val="24"/>
          <w:szCs w:val="24"/>
        </w:rPr>
        <w:t xml:space="preserve"> </w:t>
      </w:r>
    </w:p>
    <w:p w:rsidR="00AC18AB" w:rsidRPr="002446D6" w:rsidRDefault="002446D6" w:rsidP="002446D6">
      <w:pPr>
        <w:tabs>
          <w:tab w:val="left" w:pos="3293"/>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B)</w:t>
      </w:r>
      <w:r w:rsidRPr="002446D6">
        <w:rPr>
          <w:rFonts w:ascii="Times New Roman" w:hAnsi="Times New Roman" w:cs="Times New Roman"/>
          <w:b/>
          <w:sz w:val="24"/>
          <w:szCs w:val="24"/>
        </w:rPr>
        <w:t xml:space="preserve"> External</w:t>
      </w:r>
      <w:r w:rsidR="00CD0EF0" w:rsidRPr="002446D6">
        <w:rPr>
          <w:rFonts w:ascii="Times New Roman" w:hAnsi="Times New Roman" w:cs="Times New Roman"/>
          <w:b/>
          <w:sz w:val="24"/>
          <w:szCs w:val="24"/>
        </w:rPr>
        <w:t xml:space="preserve"> Credit R</w:t>
      </w:r>
      <w:r w:rsidR="00AC18AB" w:rsidRPr="002446D6">
        <w:rPr>
          <w:rFonts w:ascii="Times New Roman" w:hAnsi="Times New Roman" w:cs="Times New Roman"/>
          <w:b/>
          <w:sz w:val="24"/>
          <w:szCs w:val="24"/>
        </w:rPr>
        <w:t>atings</w:t>
      </w:r>
    </w:p>
    <w:p w:rsidR="000E037B" w:rsidRPr="00DA258D" w:rsidRDefault="00A71EA4" w:rsidP="00484568">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 xml:space="preserve">A credit rating agency serves as an information intermediary that provides </w:t>
      </w:r>
      <w:r w:rsidR="005C71BD">
        <w:rPr>
          <w:rFonts w:ascii="Times New Roman" w:hAnsi="Times New Roman" w:cs="Times New Roman"/>
          <w:sz w:val="24"/>
          <w:szCs w:val="24"/>
        </w:rPr>
        <w:t xml:space="preserve">simple </w:t>
      </w:r>
      <w:r w:rsidRPr="00DA258D">
        <w:rPr>
          <w:rFonts w:ascii="Times New Roman" w:hAnsi="Times New Roman" w:cs="Times New Roman"/>
          <w:sz w:val="24"/>
          <w:szCs w:val="24"/>
        </w:rPr>
        <w:t xml:space="preserve">and </w:t>
      </w:r>
      <w:r w:rsidR="005C71BD">
        <w:rPr>
          <w:rFonts w:ascii="Times New Roman" w:hAnsi="Times New Roman" w:cs="Times New Roman"/>
          <w:sz w:val="24"/>
          <w:szCs w:val="24"/>
        </w:rPr>
        <w:t xml:space="preserve">dependable </w:t>
      </w:r>
      <w:r w:rsidRPr="00DA258D">
        <w:rPr>
          <w:rFonts w:ascii="Times New Roman" w:hAnsi="Times New Roman" w:cs="Times New Roman"/>
          <w:sz w:val="24"/>
          <w:szCs w:val="24"/>
        </w:rPr>
        <w:t>estimat</w:t>
      </w:r>
      <w:r w:rsidR="000E2EEF" w:rsidRPr="00DA258D">
        <w:rPr>
          <w:rFonts w:ascii="Times New Roman" w:hAnsi="Times New Roman" w:cs="Times New Roman"/>
          <w:sz w:val="24"/>
          <w:szCs w:val="24"/>
        </w:rPr>
        <w:t>es of the credit risk. Such information is highly valuable for</w:t>
      </w:r>
      <w:r w:rsidR="005C71BD">
        <w:rPr>
          <w:rFonts w:ascii="Times New Roman" w:hAnsi="Times New Roman" w:cs="Times New Roman"/>
          <w:sz w:val="24"/>
          <w:szCs w:val="24"/>
        </w:rPr>
        <w:t xml:space="preserve"> various parties such as investors that save</w:t>
      </w:r>
      <w:r w:rsidR="000E2EEF" w:rsidRPr="00DA258D">
        <w:rPr>
          <w:rFonts w:ascii="Times New Roman" w:hAnsi="Times New Roman" w:cs="Times New Roman"/>
          <w:sz w:val="24"/>
          <w:szCs w:val="24"/>
        </w:rPr>
        <w:t xml:space="preserve"> time and can invest according to their risk appetite.</w:t>
      </w:r>
      <w:r w:rsidR="000E037B" w:rsidRPr="00DA258D">
        <w:rPr>
          <w:rFonts w:ascii="Times New Roman" w:hAnsi="Times New Roman" w:cs="Times New Roman"/>
          <w:sz w:val="24"/>
          <w:szCs w:val="24"/>
        </w:rPr>
        <w:t xml:space="preserve"> Most of these rating agencies provide a measure of the long-term view of ‘strengths and </w:t>
      </w:r>
      <w:r w:rsidR="000E037B" w:rsidRPr="00DA258D">
        <w:rPr>
          <w:rFonts w:ascii="Times New Roman" w:hAnsi="Times New Roman" w:cs="Times New Roman"/>
          <w:sz w:val="24"/>
          <w:szCs w:val="24"/>
        </w:rPr>
        <w:lastRenderedPageBreak/>
        <w:t>weaknesses, opportunities and threats’ (SWOT) of firms (</w:t>
      </w:r>
      <w:r w:rsidR="000E037B" w:rsidRPr="00DA258D">
        <w:rPr>
          <w:rFonts w:ascii="Times New Roman" w:hAnsi="Times New Roman" w:cs="Times New Roman"/>
          <w:color w:val="000000" w:themeColor="text1"/>
          <w:sz w:val="24"/>
          <w:szCs w:val="24"/>
        </w:rPr>
        <w:t>see table</w:t>
      </w:r>
      <w:r w:rsidR="005C71BD">
        <w:rPr>
          <w:rFonts w:ascii="Times New Roman" w:hAnsi="Times New Roman" w:cs="Times New Roman"/>
          <w:color w:val="000000" w:themeColor="text1"/>
          <w:sz w:val="24"/>
          <w:szCs w:val="24"/>
        </w:rPr>
        <w:t xml:space="preserve"> 2.5</w:t>
      </w:r>
      <w:r w:rsidR="000E037B" w:rsidRPr="00DA258D">
        <w:rPr>
          <w:rFonts w:ascii="Times New Roman" w:hAnsi="Times New Roman" w:cs="Times New Roman"/>
          <w:color w:val="000000" w:themeColor="text1"/>
          <w:sz w:val="24"/>
          <w:szCs w:val="24"/>
        </w:rPr>
        <w:t>).</w:t>
      </w:r>
      <w:r w:rsidR="000E037B" w:rsidRPr="00DA258D">
        <w:rPr>
          <w:rFonts w:ascii="Times New Roman" w:hAnsi="Times New Roman" w:cs="Times New Roman"/>
          <w:sz w:val="24"/>
          <w:szCs w:val="24"/>
        </w:rPr>
        <w:t>This long-term perspective implies a lower sensitivity of their ratings to short-term fluctuations in credit quality changes (Altman and Rijken, 2004).</w:t>
      </w:r>
    </w:p>
    <w:p w:rsidR="00484568" w:rsidRDefault="00645C27" w:rsidP="00484568">
      <w:pPr>
        <w:spacing w:line="360" w:lineRule="auto"/>
        <w:contextualSpacing/>
        <w:jc w:val="both"/>
        <w:rPr>
          <w:rFonts w:asciiTheme="majorBidi" w:hAnsiTheme="majorBidi" w:cstheme="majorBidi"/>
          <w:color w:val="000000" w:themeColor="text1"/>
          <w:sz w:val="24"/>
          <w:szCs w:val="24"/>
        </w:rPr>
      </w:pPr>
      <w:r w:rsidRPr="00DA258D">
        <w:rPr>
          <w:rFonts w:ascii="Times New Roman" w:hAnsi="Times New Roman" w:cs="Times New Roman"/>
          <w:sz w:val="24"/>
          <w:szCs w:val="24"/>
        </w:rPr>
        <w:t xml:space="preserve">The external credit assessment institutions (ECAI) such as Standard &amp; Poor, Fitch and </w:t>
      </w:r>
      <w:r w:rsidR="00223FD2" w:rsidRPr="00DA258D">
        <w:rPr>
          <w:rFonts w:ascii="Times New Roman" w:hAnsi="Times New Roman" w:cs="Times New Roman"/>
          <w:sz w:val="24"/>
          <w:szCs w:val="24"/>
        </w:rPr>
        <w:t>Moody</w:t>
      </w:r>
      <w:r w:rsidR="00223FD2">
        <w:rPr>
          <w:rFonts w:ascii="Times New Roman" w:hAnsi="Times New Roman" w:cs="Times New Roman"/>
          <w:sz w:val="24"/>
          <w:szCs w:val="24"/>
        </w:rPr>
        <w:t>’s</w:t>
      </w:r>
      <w:r w:rsidRPr="00DA258D">
        <w:rPr>
          <w:rFonts w:ascii="Times New Roman" w:hAnsi="Times New Roman" w:cs="Times New Roman"/>
          <w:sz w:val="24"/>
          <w:szCs w:val="24"/>
        </w:rPr>
        <w:t xml:space="preserve"> play a key role in pricing credit, since </w:t>
      </w:r>
      <w:r w:rsidR="0009049B" w:rsidRPr="00DA258D">
        <w:rPr>
          <w:rFonts w:ascii="Times New Roman" w:hAnsi="Times New Roman" w:cs="Times New Roman"/>
          <w:sz w:val="24"/>
          <w:szCs w:val="24"/>
        </w:rPr>
        <w:t xml:space="preserve">in </w:t>
      </w:r>
      <w:r w:rsidRPr="00DA258D">
        <w:rPr>
          <w:rFonts w:ascii="Times New Roman" w:hAnsi="Times New Roman" w:cs="Times New Roman"/>
          <w:sz w:val="24"/>
          <w:szCs w:val="24"/>
        </w:rPr>
        <w:t xml:space="preserve">the standardized approach to credit risk of Basel II </w:t>
      </w:r>
      <w:r w:rsidR="00BB5BF8">
        <w:rPr>
          <w:rFonts w:ascii="Times New Roman" w:hAnsi="Times New Roman" w:cs="Times New Roman"/>
          <w:sz w:val="24"/>
          <w:szCs w:val="24"/>
        </w:rPr>
        <w:t>A</w:t>
      </w:r>
      <w:r w:rsidRPr="00DA258D">
        <w:rPr>
          <w:rFonts w:ascii="Times New Roman" w:hAnsi="Times New Roman" w:cs="Times New Roman"/>
          <w:sz w:val="24"/>
          <w:szCs w:val="24"/>
        </w:rPr>
        <w:t>ccord (2006),</w:t>
      </w:r>
      <w:r w:rsidR="00526DCB">
        <w:rPr>
          <w:rFonts w:ascii="Times New Roman" w:hAnsi="Times New Roman" w:cs="Times New Roman"/>
          <w:sz w:val="24"/>
          <w:szCs w:val="24"/>
        </w:rPr>
        <w:t xml:space="preserve"> suggests that</w:t>
      </w:r>
      <w:r w:rsidRPr="00DA258D">
        <w:rPr>
          <w:rFonts w:ascii="Times New Roman" w:hAnsi="Times New Roman" w:cs="Times New Roman"/>
          <w:sz w:val="24"/>
          <w:szCs w:val="24"/>
        </w:rPr>
        <w:t xml:space="preserve"> banks are allowed </w:t>
      </w:r>
      <w:r w:rsidR="00007678" w:rsidRPr="00DA258D">
        <w:rPr>
          <w:rFonts w:ascii="Times New Roman" w:hAnsi="Times New Roman" w:cs="Times New Roman"/>
          <w:sz w:val="24"/>
          <w:szCs w:val="24"/>
        </w:rPr>
        <w:t>to score or p</w:t>
      </w:r>
      <w:r w:rsidR="00526DCB">
        <w:rPr>
          <w:rFonts w:ascii="Times New Roman" w:hAnsi="Times New Roman" w:cs="Times New Roman"/>
          <w:sz w:val="24"/>
          <w:szCs w:val="24"/>
        </w:rPr>
        <w:t>lace assets into weighting groups</w:t>
      </w:r>
      <w:r w:rsidR="00007678" w:rsidRPr="00DA258D">
        <w:rPr>
          <w:rFonts w:ascii="Times New Roman" w:hAnsi="Times New Roman" w:cs="Times New Roman"/>
          <w:sz w:val="24"/>
          <w:szCs w:val="24"/>
        </w:rPr>
        <w:t xml:space="preserve"> according to ratings from </w:t>
      </w:r>
      <w:r w:rsidR="00526DCB">
        <w:rPr>
          <w:rFonts w:ascii="Times New Roman" w:hAnsi="Times New Roman" w:cs="Times New Roman"/>
          <w:sz w:val="24"/>
          <w:szCs w:val="24"/>
        </w:rPr>
        <w:t xml:space="preserve">qualified </w:t>
      </w:r>
      <w:r w:rsidR="00007678" w:rsidRPr="00DA258D">
        <w:rPr>
          <w:rFonts w:ascii="Times New Roman" w:hAnsi="Times New Roman" w:cs="Times New Roman"/>
          <w:sz w:val="24"/>
          <w:szCs w:val="24"/>
        </w:rPr>
        <w:t>external credi</w:t>
      </w:r>
      <w:r w:rsidR="00446161">
        <w:rPr>
          <w:rFonts w:ascii="Times New Roman" w:hAnsi="Times New Roman" w:cs="Times New Roman"/>
          <w:sz w:val="24"/>
          <w:szCs w:val="24"/>
        </w:rPr>
        <w:t>t rating agencies (see table 2.5</w:t>
      </w:r>
      <w:r w:rsidR="003B6E18" w:rsidRPr="00DA258D">
        <w:rPr>
          <w:rFonts w:ascii="Times New Roman" w:hAnsi="Times New Roman" w:cs="Times New Roman"/>
          <w:sz w:val="24"/>
          <w:szCs w:val="24"/>
        </w:rPr>
        <w:t>) and they can act as a benchmarking partner to measure and evaluate the quality of the internal rating systems used by banks (</w:t>
      </w:r>
      <w:r w:rsidR="00446161">
        <w:rPr>
          <w:rFonts w:ascii="Times New Roman" w:hAnsi="Times New Roman" w:cs="Times New Roman"/>
          <w:sz w:val="24"/>
          <w:szCs w:val="24"/>
        </w:rPr>
        <w:t>Gestel and Beasens, 2007</w:t>
      </w:r>
      <w:r w:rsidR="003B6E18" w:rsidRPr="00DA258D">
        <w:rPr>
          <w:rFonts w:ascii="Times New Roman" w:hAnsi="Times New Roman" w:cs="Times New Roman"/>
          <w:sz w:val="24"/>
          <w:szCs w:val="24"/>
        </w:rPr>
        <w:t xml:space="preserve">). Furthermore, </w:t>
      </w:r>
      <w:r w:rsidR="00484568">
        <w:rPr>
          <w:rFonts w:asciiTheme="majorBidi" w:hAnsiTheme="majorBidi" w:cstheme="majorBidi"/>
          <w:color w:val="000000" w:themeColor="text1"/>
          <w:sz w:val="24"/>
          <w:szCs w:val="24"/>
        </w:rPr>
        <w:t xml:space="preserve">Banks could rely on external credit ratings when they don’t have enough information or data about debtors or don’t have qualified and experienced personal. </w:t>
      </w:r>
    </w:p>
    <w:p w:rsidR="002052AE" w:rsidRPr="00484568" w:rsidRDefault="00007678" w:rsidP="00484568">
      <w:pPr>
        <w:autoSpaceDE w:val="0"/>
        <w:autoSpaceDN w:val="0"/>
        <w:adjustRightInd w:val="0"/>
        <w:spacing w:after="0"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It should be mentioned that both Bank of International Settlements (BIS) and the International Monetary Fund</w:t>
      </w:r>
      <w:r w:rsidR="003957CF">
        <w:rPr>
          <w:rFonts w:ascii="Times New Roman" w:hAnsi="Times New Roman" w:cs="Times New Roman"/>
          <w:sz w:val="24"/>
          <w:szCs w:val="24"/>
        </w:rPr>
        <w:t xml:space="preserve"> (IMF)</w:t>
      </w:r>
      <w:r w:rsidRPr="00DA258D">
        <w:rPr>
          <w:rFonts w:ascii="Times New Roman" w:hAnsi="Times New Roman" w:cs="Times New Roman"/>
          <w:sz w:val="24"/>
          <w:szCs w:val="24"/>
        </w:rPr>
        <w:t xml:space="preserve"> have rece</w:t>
      </w:r>
      <w:r w:rsidR="00BB5BF8">
        <w:rPr>
          <w:rFonts w:ascii="Times New Roman" w:hAnsi="Times New Roman" w:cs="Times New Roman"/>
          <w:sz w:val="24"/>
          <w:szCs w:val="24"/>
        </w:rPr>
        <w:t>ntly show the danger of</w:t>
      </w:r>
      <w:r w:rsidRPr="00DA258D">
        <w:rPr>
          <w:rFonts w:ascii="Times New Roman" w:hAnsi="Times New Roman" w:cs="Times New Roman"/>
          <w:sz w:val="24"/>
          <w:szCs w:val="24"/>
        </w:rPr>
        <w:t xml:space="preserve"> overdependence on external credit agencies, related to the failure of these rating agencies to provide accurate, timel</w:t>
      </w:r>
      <w:r w:rsidR="00BB5BF8">
        <w:rPr>
          <w:rFonts w:ascii="Times New Roman" w:hAnsi="Times New Roman" w:cs="Times New Roman"/>
          <w:sz w:val="24"/>
          <w:szCs w:val="24"/>
        </w:rPr>
        <w:t>y ratings.</w:t>
      </w:r>
      <w:r w:rsidR="00BB5BF8" w:rsidRPr="00DA258D">
        <w:rPr>
          <w:rFonts w:ascii="Times New Roman" w:hAnsi="Times New Roman" w:cs="Times New Roman"/>
          <w:sz w:val="24"/>
          <w:szCs w:val="24"/>
        </w:rPr>
        <w:t xml:space="preserve"> This</w:t>
      </w:r>
      <w:r w:rsidRPr="00DA258D">
        <w:rPr>
          <w:rFonts w:ascii="Times New Roman" w:hAnsi="Times New Roman" w:cs="Times New Roman"/>
          <w:sz w:val="24"/>
          <w:szCs w:val="24"/>
        </w:rPr>
        <w:t xml:space="preserve"> overdependence was </w:t>
      </w:r>
      <w:r w:rsidR="00BB5BF8">
        <w:rPr>
          <w:rFonts w:ascii="Times New Roman" w:hAnsi="Times New Roman" w:cs="Times New Roman"/>
          <w:sz w:val="24"/>
          <w:szCs w:val="24"/>
        </w:rPr>
        <w:t xml:space="preserve">one of the </w:t>
      </w:r>
      <w:r w:rsidRPr="00DA258D">
        <w:rPr>
          <w:rFonts w:ascii="Times New Roman" w:hAnsi="Times New Roman" w:cs="Times New Roman"/>
          <w:sz w:val="24"/>
          <w:szCs w:val="24"/>
        </w:rPr>
        <w:t xml:space="preserve">primary </w:t>
      </w:r>
      <w:r w:rsidR="00BB5BF8" w:rsidRPr="00DA258D">
        <w:rPr>
          <w:rFonts w:ascii="Times New Roman" w:hAnsi="Times New Roman" w:cs="Times New Roman"/>
          <w:sz w:val="24"/>
          <w:szCs w:val="24"/>
        </w:rPr>
        <w:t>causes</w:t>
      </w:r>
      <w:r w:rsidRPr="00DA258D">
        <w:rPr>
          <w:rFonts w:ascii="Times New Roman" w:hAnsi="Times New Roman" w:cs="Times New Roman"/>
          <w:sz w:val="24"/>
          <w:szCs w:val="24"/>
        </w:rPr>
        <w:t xml:space="preserve"> of the latest international financial cris</w:t>
      </w:r>
      <w:r w:rsidR="00446161">
        <w:rPr>
          <w:rFonts w:ascii="Times New Roman" w:hAnsi="Times New Roman" w:cs="Times New Roman"/>
          <w:sz w:val="24"/>
          <w:szCs w:val="24"/>
        </w:rPr>
        <w:t>is (Woo, 2011</w:t>
      </w:r>
      <w:r w:rsidR="00484568">
        <w:rPr>
          <w:rFonts w:ascii="Times New Roman" w:hAnsi="Times New Roman" w:cs="Times New Roman"/>
          <w:sz w:val="24"/>
          <w:szCs w:val="24"/>
        </w:rPr>
        <w:t>).</w:t>
      </w:r>
    </w:p>
    <w:p w:rsidR="002052AE" w:rsidRDefault="002052AE" w:rsidP="00094953">
      <w:pPr>
        <w:autoSpaceDE w:val="0"/>
        <w:autoSpaceDN w:val="0"/>
        <w:adjustRightInd w:val="0"/>
        <w:spacing w:after="0" w:line="360" w:lineRule="auto"/>
        <w:jc w:val="center"/>
        <w:rPr>
          <w:rFonts w:ascii="Times New Roman" w:hAnsi="Times New Roman" w:cs="Times New Roman"/>
          <w:b/>
        </w:rPr>
      </w:pPr>
    </w:p>
    <w:p w:rsidR="0009049B" w:rsidRPr="00094953" w:rsidRDefault="00B44594" w:rsidP="00094953">
      <w:pPr>
        <w:autoSpaceDE w:val="0"/>
        <w:autoSpaceDN w:val="0"/>
        <w:adjustRightInd w:val="0"/>
        <w:spacing w:after="0" w:line="360" w:lineRule="auto"/>
        <w:jc w:val="center"/>
        <w:rPr>
          <w:rFonts w:ascii="Times New Roman" w:hAnsi="Times New Roman" w:cs="Times New Roman"/>
          <w:sz w:val="24"/>
          <w:szCs w:val="24"/>
        </w:rPr>
      </w:pPr>
      <w:r w:rsidRPr="009F067C">
        <w:rPr>
          <w:rFonts w:ascii="Times New Roman" w:hAnsi="Times New Roman" w:cs="Times New Roman"/>
          <w:b/>
        </w:rPr>
        <w:t>Table 2.5</w:t>
      </w:r>
      <w:r w:rsidR="0009049B" w:rsidRPr="009F067C">
        <w:rPr>
          <w:rFonts w:ascii="Times New Roman" w:hAnsi="Times New Roman" w:cs="Times New Roman"/>
          <w:b/>
        </w:rPr>
        <w:t>: Comparison of long-term rating scales between credit rating agencies</w:t>
      </w:r>
    </w:p>
    <w:p w:rsidR="0009049B" w:rsidRPr="00DA258D" w:rsidRDefault="0009049B" w:rsidP="00F632C7">
      <w:pPr>
        <w:spacing w:line="360" w:lineRule="auto"/>
        <w:jc w:val="center"/>
        <w:rPr>
          <w:rFonts w:ascii="Times New Roman" w:hAnsi="Times New Roman" w:cs="Times New Roman"/>
          <w:sz w:val="24"/>
          <w:szCs w:val="24"/>
        </w:rPr>
      </w:pPr>
      <w:r w:rsidRPr="00DA258D">
        <w:rPr>
          <w:rFonts w:ascii="Times New Roman" w:hAnsi="Times New Roman" w:cs="Times New Roman"/>
          <w:noProof/>
          <w:sz w:val="24"/>
          <w:szCs w:val="24"/>
        </w:rPr>
        <w:drawing>
          <wp:inline distT="0" distB="0" distL="0" distR="0">
            <wp:extent cx="5291170" cy="1752600"/>
            <wp:effectExtent l="19050" t="0" r="473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311359" cy="1759287"/>
                    </a:xfrm>
                    <a:prstGeom prst="rect">
                      <a:avLst/>
                    </a:prstGeom>
                    <a:noFill/>
                    <a:ln w="9525">
                      <a:noFill/>
                      <a:miter lim="800000"/>
                      <a:headEnd/>
                      <a:tailEnd/>
                    </a:ln>
                  </pic:spPr>
                </pic:pic>
              </a:graphicData>
            </a:graphic>
          </wp:inline>
        </w:drawing>
      </w:r>
    </w:p>
    <w:p w:rsidR="002052AE" w:rsidRPr="00C12167" w:rsidRDefault="0009049B" w:rsidP="002052AE">
      <w:pPr>
        <w:spacing w:line="480" w:lineRule="auto"/>
        <w:jc w:val="center"/>
        <w:rPr>
          <w:rFonts w:ascii="Times New Roman" w:hAnsi="Times New Roman" w:cs="Times New Roman"/>
          <w:sz w:val="20"/>
          <w:szCs w:val="20"/>
        </w:rPr>
      </w:pPr>
      <w:r w:rsidRPr="00C12167">
        <w:rPr>
          <w:rFonts w:ascii="Times New Roman" w:hAnsi="Times New Roman" w:cs="Times New Roman"/>
          <w:sz w:val="20"/>
          <w:szCs w:val="20"/>
        </w:rPr>
        <w:t>Source: Basel Committee on Banking Supervision (2000) and websites of the three rating agencies.</w:t>
      </w:r>
    </w:p>
    <w:p w:rsidR="00484568" w:rsidRDefault="00484568" w:rsidP="00642F38">
      <w:pPr>
        <w:spacing w:line="360" w:lineRule="auto"/>
        <w:contextualSpacing/>
        <w:rPr>
          <w:rFonts w:ascii="Times New Roman" w:hAnsi="Times New Roman" w:cs="Times New Roman"/>
          <w:b/>
          <w:sz w:val="24"/>
          <w:szCs w:val="24"/>
        </w:rPr>
      </w:pPr>
    </w:p>
    <w:p w:rsidR="002446D6" w:rsidRDefault="002446D6" w:rsidP="00642F38">
      <w:pPr>
        <w:spacing w:line="360" w:lineRule="auto"/>
        <w:contextualSpacing/>
        <w:rPr>
          <w:rFonts w:ascii="Times New Roman" w:hAnsi="Times New Roman" w:cs="Times New Roman"/>
          <w:b/>
          <w:sz w:val="24"/>
          <w:szCs w:val="24"/>
        </w:rPr>
      </w:pPr>
    </w:p>
    <w:p w:rsidR="009A6B4D" w:rsidRPr="00DA258D" w:rsidRDefault="00055D36" w:rsidP="00642F38">
      <w:pPr>
        <w:spacing w:line="360" w:lineRule="auto"/>
        <w:contextualSpacing/>
        <w:rPr>
          <w:rFonts w:ascii="Times New Roman" w:hAnsi="Times New Roman" w:cs="Times New Roman"/>
          <w:sz w:val="24"/>
          <w:szCs w:val="24"/>
        </w:rPr>
      </w:pPr>
      <w:r w:rsidRPr="00DA258D">
        <w:rPr>
          <w:rFonts w:ascii="Times New Roman" w:hAnsi="Times New Roman" w:cs="Times New Roman"/>
          <w:b/>
          <w:sz w:val="24"/>
          <w:szCs w:val="24"/>
        </w:rPr>
        <w:lastRenderedPageBreak/>
        <w:t>2.4.4</w:t>
      </w:r>
      <w:r w:rsidR="0009049B" w:rsidRPr="00DA258D">
        <w:rPr>
          <w:rFonts w:ascii="Times New Roman" w:hAnsi="Times New Roman" w:cs="Times New Roman"/>
          <w:b/>
          <w:sz w:val="24"/>
          <w:szCs w:val="24"/>
        </w:rPr>
        <w:t xml:space="preserve">.2 </w:t>
      </w:r>
      <w:r w:rsidR="00CD0EF0">
        <w:rPr>
          <w:rFonts w:ascii="Times New Roman" w:hAnsi="Times New Roman" w:cs="Times New Roman"/>
          <w:b/>
          <w:sz w:val="24"/>
          <w:szCs w:val="24"/>
        </w:rPr>
        <w:t>Credit Scoring S</w:t>
      </w:r>
      <w:r w:rsidR="009A6B4D" w:rsidRPr="00DA258D">
        <w:rPr>
          <w:rFonts w:ascii="Times New Roman" w:hAnsi="Times New Roman" w:cs="Times New Roman"/>
          <w:b/>
          <w:sz w:val="24"/>
          <w:szCs w:val="24"/>
        </w:rPr>
        <w:t>ystems</w:t>
      </w:r>
    </w:p>
    <w:p w:rsidR="00B04D35" w:rsidRPr="00DA258D" w:rsidRDefault="00446161" w:rsidP="00BA1E6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45E6">
        <w:rPr>
          <w:rFonts w:ascii="Times New Roman" w:hAnsi="Times New Roman" w:cs="Times New Roman"/>
          <w:sz w:val="24"/>
          <w:szCs w:val="24"/>
        </w:rPr>
        <w:t>Credit scoring system is considered one of the first scientific,</w:t>
      </w:r>
      <w:r w:rsidR="00694786">
        <w:rPr>
          <w:rFonts w:ascii="Times New Roman" w:hAnsi="Times New Roman" w:cs="Times New Roman"/>
          <w:sz w:val="24"/>
          <w:szCs w:val="24"/>
        </w:rPr>
        <w:t xml:space="preserve"> </w:t>
      </w:r>
      <w:r w:rsidR="00694786" w:rsidRPr="00DA258D">
        <w:rPr>
          <w:rFonts w:ascii="Times New Roman" w:hAnsi="Times New Roman" w:cs="Times New Roman"/>
          <w:sz w:val="24"/>
          <w:szCs w:val="24"/>
        </w:rPr>
        <w:t>statistical</w:t>
      </w:r>
      <w:r w:rsidR="00694786">
        <w:rPr>
          <w:rFonts w:ascii="Times New Roman" w:hAnsi="Times New Roman" w:cs="Times New Roman"/>
          <w:sz w:val="24"/>
          <w:szCs w:val="24"/>
        </w:rPr>
        <w:t>,</w:t>
      </w:r>
      <w:r w:rsidR="00BE45E6" w:rsidRPr="00DA258D">
        <w:rPr>
          <w:rFonts w:ascii="Times New Roman" w:hAnsi="Times New Roman" w:cs="Times New Roman"/>
          <w:sz w:val="24"/>
          <w:szCs w:val="24"/>
        </w:rPr>
        <w:t xml:space="preserve"> automated </w:t>
      </w:r>
      <w:r w:rsidR="00694786">
        <w:rPr>
          <w:rFonts w:ascii="Times New Roman" w:hAnsi="Times New Roman" w:cs="Times New Roman"/>
          <w:sz w:val="24"/>
          <w:szCs w:val="24"/>
        </w:rPr>
        <w:t xml:space="preserve">models </w:t>
      </w:r>
      <w:r w:rsidR="00BE45E6">
        <w:rPr>
          <w:rFonts w:ascii="Times New Roman" w:hAnsi="Times New Roman" w:cs="Times New Roman"/>
          <w:sz w:val="24"/>
          <w:szCs w:val="24"/>
        </w:rPr>
        <w:t>and of</w:t>
      </w:r>
      <w:r w:rsidR="00694786">
        <w:rPr>
          <w:rFonts w:ascii="Times New Roman" w:hAnsi="Times New Roman" w:cs="Times New Roman"/>
          <w:sz w:val="24"/>
          <w:szCs w:val="24"/>
        </w:rPr>
        <w:t>ficial approaches for prediction</w:t>
      </w:r>
      <w:r w:rsidR="00BE45E6">
        <w:rPr>
          <w:rFonts w:ascii="Times New Roman" w:hAnsi="Times New Roman" w:cs="Times New Roman"/>
          <w:sz w:val="24"/>
          <w:szCs w:val="24"/>
        </w:rPr>
        <w:t xml:space="preserve"> and estimation of credit risk for individual borrower. This approach comes out in response to the increased volume of applications of small loans </w:t>
      </w:r>
      <w:r>
        <w:rPr>
          <w:rFonts w:ascii="Times New Roman" w:hAnsi="Times New Roman" w:cs="Times New Roman"/>
          <w:sz w:val="24"/>
          <w:szCs w:val="24"/>
        </w:rPr>
        <w:t>(Marques, 2008</w:t>
      </w:r>
      <w:r w:rsidR="005F0826" w:rsidRPr="00DA258D">
        <w:rPr>
          <w:rFonts w:ascii="Times New Roman" w:hAnsi="Times New Roman" w:cs="Times New Roman"/>
          <w:sz w:val="24"/>
          <w:szCs w:val="24"/>
        </w:rPr>
        <w:t>).</w:t>
      </w:r>
      <w:r w:rsidR="00694786">
        <w:rPr>
          <w:rFonts w:ascii="Times New Roman" w:hAnsi="Times New Roman" w:cs="Times New Roman"/>
          <w:sz w:val="24"/>
          <w:szCs w:val="24"/>
        </w:rPr>
        <w:t xml:space="preserve"> Most</w:t>
      </w:r>
      <w:r w:rsidR="00B04D35" w:rsidRPr="00DA258D">
        <w:rPr>
          <w:rFonts w:ascii="Times New Roman" w:hAnsi="Times New Roman" w:cs="Times New Roman"/>
          <w:sz w:val="24"/>
          <w:szCs w:val="24"/>
        </w:rPr>
        <w:t xml:space="preserve"> of financial institutions and insurance companies use </w:t>
      </w:r>
      <w:r w:rsidR="00694786" w:rsidRPr="00DA258D">
        <w:rPr>
          <w:rFonts w:ascii="Times New Roman" w:hAnsi="Times New Roman" w:cs="Times New Roman"/>
          <w:sz w:val="24"/>
          <w:szCs w:val="24"/>
        </w:rPr>
        <w:t>these rating models</w:t>
      </w:r>
      <w:r w:rsidR="00B04D35" w:rsidRPr="00DA258D">
        <w:rPr>
          <w:rFonts w:ascii="Times New Roman" w:hAnsi="Times New Roman" w:cs="Times New Roman"/>
          <w:sz w:val="24"/>
          <w:szCs w:val="24"/>
        </w:rPr>
        <w:t xml:space="preserve"> to help them in evaluating and reducing risks associated with the submitted credit application.</w:t>
      </w:r>
    </w:p>
    <w:p w:rsidR="00B04D35" w:rsidRPr="00DA258D" w:rsidRDefault="00694786" w:rsidP="002D11B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basic theory which these</w:t>
      </w:r>
      <w:r w:rsidRPr="00DA258D">
        <w:rPr>
          <w:rFonts w:ascii="Times New Roman" w:hAnsi="Times New Roman" w:cs="Times New Roman"/>
          <w:sz w:val="24"/>
          <w:szCs w:val="24"/>
        </w:rPr>
        <w:t xml:space="preserve"> credits</w:t>
      </w:r>
      <w:r>
        <w:rPr>
          <w:rFonts w:ascii="Times New Roman" w:hAnsi="Times New Roman" w:cs="Times New Roman"/>
          <w:sz w:val="24"/>
          <w:szCs w:val="24"/>
        </w:rPr>
        <w:t xml:space="preserve"> scoring system are</w:t>
      </w:r>
      <w:r w:rsidR="00B04D35" w:rsidRPr="00DA258D">
        <w:rPr>
          <w:rFonts w:ascii="Times New Roman" w:hAnsi="Times New Roman" w:cs="Times New Roman"/>
          <w:sz w:val="24"/>
          <w:szCs w:val="24"/>
        </w:rPr>
        <w:t xml:space="preserve"> based </w:t>
      </w:r>
      <w:r w:rsidRPr="00DA258D">
        <w:rPr>
          <w:rFonts w:ascii="Times New Roman" w:hAnsi="Times New Roman" w:cs="Times New Roman"/>
          <w:sz w:val="24"/>
          <w:szCs w:val="24"/>
        </w:rPr>
        <w:t>on</w:t>
      </w:r>
      <w:r>
        <w:rPr>
          <w:rFonts w:ascii="Times New Roman" w:hAnsi="Times New Roman" w:cs="Times New Roman"/>
          <w:sz w:val="24"/>
          <w:szCs w:val="24"/>
        </w:rPr>
        <w:t xml:space="preserve"> is to discover</w:t>
      </w:r>
      <w:r w:rsidR="00B04D35" w:rsidRPr="00DA258D">
        <w:rPr>
          <w:rFonts w:ascii="Times New Roman" w:hAnsi="Times New Roman" w:cs="Times New Roman"/>
          <w:sz w:val="24"/>
          <w:szCs w:val="24"/>
        </w:rPr>
        <w:t xml:space="preserve"> a n</w:t>
      </w:r>
      <w:r>
        <w:rPr>
          <w:rFonts w:ascii="Times New Roman" w:hAnsi="Times New Roman" w:cs="Times New Roman"/>
          <w:sz w:val="24"/>
          <w:szCs w:val="24"/>
        </w:rPr>
        <w:t xml:space="preserve">umber of indicators and factors. </w:t>
      </w:r>
      <w:r w:rsidR="00B04D35" w:rsidRPr="00DA258D">
        <w:rPr>
          <w:rFonts w:ascii="Times New Roman" w:hAnsi="Times New Roman" w:cs="Times New Roman"/>
          <w:sz w:val="24"/>
          <w:szCs w:val="24"/>
        </w:rPr>
        <w:t xml:space="preserve"> Each indicator or factor is given a certain weight, thus helping </w:t>
      </w:r>
      <w:r w:rsidR="00223FD2" w:rsidRPr="00DA258D">
        <w:rPr>
          <w:rFonts w:ascii="Times New Roman" w:hAnsi="Times New Roman" w:cs="Times New Roman"/>
          <w:sz w:val="24"/>
          <w:szCs w:val="24"/>
        </w:rPr>
        <w:t>these banks</w:t>
      </w:r>
      <w:r w:rsidR="00B04D35" w:rsidRPr="00DA258D">
        <w:rPr>
          <w:rFonts w:ascii="Times New Roman" w:hAnsi="Times New Roman" w:cs="Times New Roman"/>
          <w:sz w:val="24"/>
          <w:szCs w:val="24"/>
        </w:rPr>
        <w:t xml:space="preserve"> to evaluate the credit applications and enabling it to </w:t>
      </w:r>
      <w:r>
        <w:rPr>
          <w:rFonts w:ascii="Times New Roman" w:hAnsi="Times New Roman" w:cs="Times New Roman"/>
          <w:sz w:val="24"/>
          <w:szCs w:val="24"/>
        </w:rPr>
        <w:t xml:space="preserve">make the right lending </w:t>
      </w:r>
      <w:r w:rsidR="007F3769">
        <w:rPr>
          <w:rFonts w:ascii="Times New Roman" w:hAnsi="Times New Roman" w:cs="Times New Roman"/>
          <w:sz w:val="24"/>
          <w:szCs w:val="24"/>
        </w:rPr>
        <w:t>decision (</w:t>
      </w:r>
      <w:r w:rsidR="00B04D35" w:rsidRPr="00DA258D">
        <w:rPr>
          <w:rFonts w:ascii="Times New Roman" w:hAnsi="Times New Roman" w:cs="Times New Roman"/>
          <w:sz w:val="24"/>
          <w:szCs w:val="24"/>
        </w:rPr>
        <w:t>Ro</w:t>
      </w:r>
      <w:r w:rsidR="00446161">
        <w:rPr>
          <w:rFonts w:ascii="Times New Roman" w:hAnsi="Times New Roman" w:cs="Times New Roman"/>
          <w:sz w:val="24"/>
          <w:szCs w:val="24"/>
        </w:rPr>
        <w:t>se and Hudgins, 2005</w:t>
      </w:r>
      <w:r w:rsidR="00B04D35" w:rsidRPr="00DA258D">
        <w:rPr>
          <w:rFonts w:ascii="Times New Roman" w:hAnsi="Times New Roman" w:cs="Times New Roman"/>
          <w:sz w:val="24"/>
          <w:szCs w:val="24"/>
        </w:rPr>
        <w:t>).</w:t>
      </w:r>
    </w:p>
    <w:p w:rsidR="003B4DA4" w:rsidRDefault="00B04D35" w:rsidP="00BC6799">
      <w:pPr>
        <w:spacing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 xml:space="preserve">The importance of the credit scoring system springs from being one of the </w:t>
      </w:r>
      <w:r w:rsidR="00AA620F" w:rsidRPr="00DA258D">
        <w:rPr>
          <w:rFonts w:ascii="Times New Roman" w:hAnsi="Times New Roman" w:cs="Times New Roman"/>
          <w:sz w:val="24"/>
          <w:szCs w:val="24"/>
        </w:rPr>
        <w:t>ways used in evaluating clients’</w:t>
      </w:r>
      <w:r w:rsidRPr="00DA258D">
        <w:rPr>
          <w:rFonts w:ascii="Times New Roman" w:hAnsi="Times New Roman" w:cs="Times New Roman"/>
          <w:sz w:val="24"/>
          <w:szCs w:val="24"/>
        </w:rPr>
        <w:t xml:space="preserve"> credit risks and predicting delinquent risks and default of payment. This system depends on historical data based, in its foundation, on a bank database which describes credit problems and risks which had faced the bank in the past (R</w:t>
      </w:r>
      <w:r w:rsidR="00446161">
        <w:rPr>
          <w:rFonts w:ascii="Times New Roman" w:hAnsi="Times New Roman" w:cs="Times New Roman"/>
          <w:sz w:val="24"/>
          <w:szCs w:val="24"/>
        </w:rPr>
        <w:t>ose and Hudgins, 2005</w:t>
      </w:r>
      <w:r w:rsidRPr="00DA258D">
        <w:rPr>
          <w:rFonts w:ascii="Times New Roman" w:hAnsi="Times New Roman" w:cs="Times New Roman"/>
          <w:sz w:val="24"/>
          <w:szCs w:val="24"/>
        </w:rPr>
        <w:t>).</w:t>
      </w:r>
      <w:r w:rsidR="007F3769">
        <w:rPr>
          <w:rFonts w:ascii="Times New Roman" w:hAnsi="Times New Roman" w:cs="Times New Roman"/>
          <w:sz w:val="24"/>
          <w:szCs w:val="24"/>
        </w:rPr>
        <w:t xml:space="preserve"> </w:t>
      </w:r>
      <w:r w:rsidR="00AA620F" w:rsidRPr="00DA258D">
        <w:rPr>
          <w:rFonts w:ascii="Times New Roman" w:hAnsi="Times New Roman" w:cs="Times New Roman"/>
          <w:sz w:val="24"/>
          <w:szCs w:val="24"/>
        </w:rPr>
        <w:t>In the evaluation of borrowers’</w:t>
      </w:r>
      <w:r w:rsidR="00AC124F" w:rsidRPr="00DA258D">
        <w:rPr>
          <w:rFonts w:ascii="Times New Roman" w:hAnsi="Times New Roman" w:cs="Times New Roman"/>
          <w:sz w:val="24"/>
          <w:szCs w:val="24"/>
        </w:rPr>
        <w:t xml:space="preserve"> credit applications submitted, the credit scoring system depends on a number of variables such as age, sex, marital status, place of living, client's profession, time of work, extent of job security, house ownership or rent client is living in, borrower's credit rating, length of borrower's stay at current address, number of borrower's dependents, extent of borrower's keeping of credit balances, degree of commitment, previous experiences with the borrower and income at disposal (R</w:t>
      </w:r>
      <w:r w:rsidR="00446161">
        <w:rPr>
          <w:rFonts w:ascii="Times New Roman" w:hAnsi="Times New Roman" w:cs="Times New Roman"/>
          <w:sz w:val="24"/>
          <w:szCs w:val="24"/>
        </w:rPr>
        <w:t>ose and Hudgins, 2005</w:t>
      </w:r>
      <w:r w:rsidR="00AC124F" w:rsidRPr="00DA258D">
        <w:rPr>
          <w:rFonts w:ascii="Times New Roman" w:hAnsi="Times New Roman" w:cs="Times New Roman"/>
          <w:sz w:val="24"/>
          <w:szCs w:val="24"/>
        </w:rPr>
        <w:t>).</w:t>
      </w:r>
      <w:r w:rsidR="00AC124F" w:rsidRPr="00DA258D">
        <w:rPr>
          <w:rFonts w:ascii="Times New Roman" w:eastAsia="ArialMT" w:hAnsi="Times New Roman" w:cs="Times New Roman"/>
          <w:sz w:val="24"/>
          <w:szCs w:val="24"/>
        </w:rPr>
        <w:t>To conclude, credit scoring aim to quantify the forecasted values of probability of default (PD), in order to identify and to quantify the borrower’s characteristics that determine which variables involve a higher default rate.</w:t>
      </w:r>
    </w:p>
    <w:p w:rsidR="002052AE" w:rsidRPr="00BC6799" w:rsidRDefault="002052AE" w:rsidP="00BC6799">
      <w:pPr>
        <w:spacing w:line="360" w:lineRule="auto"/>
        <w:contextualSpacing/>
        <w:jc w:val="both"/>
        <w:rPr>
          <w:rFonts w:ascii="Times New Roman" w:hAnsi="Times New Roman" w:cs="Times New Roman"/>
          <w:sz w:val="24"/>
          <w:szCs w:val="24"/>
        </w:rPr>
      </w:pPr>
    </w:p>
    <w:p w:rsidR="00B04D35" w:rsidRPr="00DA258D" w:rsidRDefault="002F44DA" w:rsidP="00642F38">
      <w:pPr>
        <w:spacing w:line="360" w:lineRule="auto"/>
        <w:contextualSpacing/>
        <w:rPr>
          <w:rFonts w:ascii="Times New Roman" w:hAnsi="Times New Roman" w:cs="Times New Roman"/>
          <w:b/>
          <w:sz w:val="24"/>
          <w:szCs w:val="24"/>
        </w:rPr>
      </w:pPr>
      <w:r w:rsidRPr="00DA258D">
        <w:rPr>
          <w:rFonts w:ascii="Times New Roman" w:hAnsi="Times New Roman" w:cs="Times New Roman"/>
          <w:b/>
          <w:sz w:val="24"/>
          <w:szCs w:val="24"/>
        </w:rPr>
        <w:t xml:space="preserve">2.4.4.2.1 </w:t>
      </w:r>
      <w:r w:rsidR="00CD0EF0">
        <w:rPr>
          <w:rFonts w:ascii="Times New Roman" w:hAnsi="Times New Roman" w:cs="Times New Roman"/>
          <w:b/>
          <w:bCs/>
          <w:sz w:val="24"/>
          <w:szCs w:val="24"/>
        </w:rPr>
        <w:t>A classical E</w:t>
      </w:r>
      <w:r w:rsidRPr="00DA258D">
        <w:rPr>
          <w:rFonts w:ascii="Times New Roman" w:hAnsi="Times New Roman" w:cs="Times New Roman"/>
          <w:b/>
          <w:bCs/>
          <w:sz w:val="24"/>
          <w:szCs w:val="24"/>
        </w:rPr>
        <w:t>xample of Credit Scoring: Altman’s Z-Score.</w:t>
      </w:r>
    </w:p>
    <w:p w:rsidR="00B04D35" w:rsidRPr="00DA258D" w:rsidRDefault="002F44DA" w:rsidP="00642F38">
      <w:pPr>
        <w:autoSpaceDE w:val="0"/>
        <w:autoSpaceDN w:val="0"/>
        <w:adjustRightInd w:val="0"/>
        <w:spacing w:after="0"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 xml:space="preserve">The </w:t>
      </w:r>
      <w:r w:rsidRPr="00DA258D">
        <w:rPr>
          <w:rFonts w:ascii="Times New Roman" w:hAnsi="Times New Roman" w:cs="Times New Roman"/>
          <w:bCs/>
          <w:sz w:val="24"/>
          <w:szCs w:val="24"/>
        </w:rPr>
        <w:t>Altman (1968</w:t>
      </w:r>
      <w:r w:rsidR="005133A3" w:rsidRPr="00DA258D">
        <w:rPr>
          <w:rFonts w:ascii="Times New Roman" w:hAnsi="Times New Roman" w:cs="Times New Roman"/>
          <w:bCs/>
          <w:sz w:val="24"/>
          <w:szCs w:val="24"/>
        </w:rPr>
        <w:t>)</w:t>
      </w:r>
      <w:r w:rsidR="005133A3" w:rsidRPr="00DA258D">
        <w:rPr>
          <w:rFonts w:ascii="Times New Roman" w:hAnsi="Times New Roman" w:cs="Times New Roman"/>
          <w:b/>
          <w:bCs/>
          <w:sz w:val="24"/>
          <w:szCs w:val="24"/>
        </w:rPr>
        <w:t xml:space="preserve"> Z</w:t>
      </w:r>
      <w:r w:rsidR="00945A4F" w:rsidRPr="00DA258D">
        <w:rPr>
          <w:rFonts w:ascii="Times New Roman" w:hAnsi="Times New Roman" w:cs="Times New Roman"/>
          <w:b/>
          <w:bCs/>
          <w:sz w:val="24"/>
          <w:szCs w:val="24"/>
        </w:rPr>
        <w:t>-score</w:t>
      </w:r>
      <w:r w:rsidR="00945A4F" w:rsidRPr="00DA258D">
        <w:rPr>
          <w:rFonts w:ascii="Times New Roman" w:hAnsi="Times New Roman" w:cs="Times New Roman"/>
          <w:bCs/>
          <w:sz w:val="24"/>
          <w:szCs w:val="24"/>
        </w:rPr>
        <w:t xml:space="preserve"> model</w:t>
      </w:r>
      <w:r w:rsidRPr="00DA258D">
        <w:rPr>
          <w:rFonts w:ascii="Times New Roman" w:hAnsi="Times New Roman" w:cs="Times New Roman"/>
          <w:sz w:val="24"/>
          <w:szCs w:val="24"/>
        </w:rPr>
        <w:t xml:space="preserve"> is derived from </w:t>
      </w:r>
      <w:r w:rsidR="00945A4F" w:rsidRPr="00DA258D">
        <w:rPr>
          <w:rFonts w:ascii="Times New Roman" w:hAnsi="Times New Roman" w:cs="Times New Roman"/>
          <w:sz w:val="24"/>
          <w:szCs w:val="24"/>
        </w:rPr>
        <w:t>discriminate</w:t>
      </w:r>
      <w:r w:rsidRPr="00DA258D">
        <w:rPr>
          <w:rFonts w:ascii="Times New Roman" w:hAnsi="Times New Roman" w:cs="Times New Roman"/>
          <w:sz w:val="24"/>
          <w:szCs w:val="24"/>
        </w:rPr>
        <w:t xml:space="preserve"> analysis and is used for</w:t>
      </w:r>
      <w:r w:rsidR="00945A4F" w:rsidRPr="00DA258D">
        <w:rPr>
          <w:rFonts w:ascii="Times New Roman" w:hAnsi="Times New Roman" w:cs="Times New Roman"/>
          <w:sz w:val="24"/>
          <w:szCs w:val="24"/>
        </w:rPr>
        <w:t xml:space="preserve"> larger </w:t>
      </w:r>
      <w:r w:rsidR="007F3769" w:rsidRPr="00DA258D">
        <w:rPr>
          <w:rFonts w:ascii="Times New Roman" w:hAnsi="Times New Roman" w:cs="Times New Roman"/>
          <w:sz w:val="24"/>
          <w:szCs w:val="24"/>
        </w:rPr>
        <w:t>corporations</w:t>
      </w:r>
      <w:r w:rsidR="007F3769">
        <w:rPr>
          <w:rFonts w:ascii="Times New Roman" w:hAnsi="Times New Roman" w:cs="Times New Roman"/>
          <w:sz w:val="24"/>
          <w:szCs w:val="24"/>
        </w:rPr>
        <w:t xml:space="preserve">; </w:t>
      </w:r>
      <w:r w:rsidR="007F3769" w:rsidRPr="00DA258D">
        <w:rPr>
          <w:rFonts w:ascii="Times New Roman" w:hAnsi="Times New Roman" w:cs="Times New Roman"/>
          <w:sz w:val="24"/>
          <w:szCs w:val="24"/>
        </w:rPr>
        <w:t>based</w:t>
      </w:r>
      <w:r w:rsidR="00945A4F" w:rsidRPr="00DA258D">
        <w:rPr>
          <w:rFonts w:ascii="Times New Roman" w:hAnsi="Times New Roman" w:cs="Times New Roman"/>
          <w:sz w:val="24"/>
          <w:szCs w:val="24"/>
        </w:rPr>
        <w:t xml:space="preserve"> on </w:t>
      </w:r>
      <w:r w:rsidRPr="00DA258D">
        <w:rPr>
          <w:rFonts w:ascii="Times New Roman" w:hAnsi="Times New Roman" w:cs="Times New Roman"/>
          <w:sz w:val="24"/>
          <w:szCs w:val="24"/>
        </w:rPr>
        <w:t>financial/acco</w:t>
      </w:r>
      <w:r w:rsidR="007F3769">
        <w:rPr>
          <w:rFonts w:ascii="Times New Roman" w:hAnsi="Times New Roman" w:cs="Times New Roman"/>
          <w:sz w:val="24"/>
          <w:szCs w:val="24"/>
        </w:rPr>
        <w:t xml:space="preserve">unting ratios. </w:t>
      </w:r>
      <w:r w:rsidR="006338AF">
        <w:rPr>
          <w:rFonts w:ascii="Times New Roman" w:hAnsi="Times New Roman" w:cs="Times New Roman"/>
          <w:sz w:val="24"/>
          <w:szCs w:val="24"/>
        </w:rPr>
        <w:t xml:space="preserve">Banks </w:t>
      </w:r>
      <w:r w:rsidR="007F3769">
        <w:rPr>
          <w:rFonts w:ascii="Times New Roman" w:hAnsi="Times New Roman" w:cs="Times New Roman"/>
          <w:sz w:val="24"/>
          <w:szCs w:val="24"/>
        </w:rPr>
        <w:t>that employ Z-score model</w:t>
      </w:r>
      <w:r w:rsidR="006338AF">
        <w:rPr>
          <w:rFonts w:ascii="Times New Roman" w:hAnsi="Times New Roman" w:cs="Times New Roman"/>
          <w:sz w:val="24"/>
          <w:szCs w:val="24"/>
        </w:rPr>
        <w:t xml:space="preserve"> as prediction tool </w:t>
      </w:r>
      <w:r w:rsidR="007F3769">
        <w:rPr>
          <w:rFonts w:ascii="Times New Roman" w:hAnsi="Times New Roman" w:cs="Times New Roman"/>
          <w:sz w:val="24"/>
          <w:szCs w:val="24"/>
        </w:rPr>
        <w:t>depend</w:t>
      </w:r>
      <w:r w:rsidR="007F3769" w:rsidRPr="00DA258D">
        <w:rPr>
          <w:rFonts w:ascii="Times New Roman" w:hAnsi="Times New Roman" w:cs="Times New Roman"/>
          <w:sz w:val="24"/>
          <w:szCs w:val="24"/>
        </w:rPr>
        <w:t xml:space="preserve"> on</w:t>
      </w:r>
      <w:r w:rsidRPr="00DA258D">
        <w:rPr>
          <w:rFonts w:ascii="Times New Roman" w:hAnsi="Times New Roman" w:cs="Times New Roman"/>
          <w:sz w:val="24"/>
          <w:szCs w:val="24"/>
        </w:rPr>
        <w:t xml:space="preserve"> that score, either the loan is granted or it is refused. The higher </w:t>
      </w:r>
      <w:r w:rsidRPr="00DA258D">
        <w:rPr>
          <w:rFonts w:ascii="Times New Roman" w:hAnsi="Times New Roman" w:cs="Times New Roman"/>
          <w:sz w:val="24"/>
          <w:szCs w:val="24"/>
        </w:rPr>
        <w:lastRenderedPageBreak/>
        <w:t>the</w:t>
      </w:r>
      <w:r w:rsidR="006D19C8">
        <w:rPr>
          <w:rFonts w:ascii="Times New Roman" w:hAnsi="Times New Roman" w:cs="Times New Roman"/>
          <w:i/>
          <w:iCs/>
          <w:sz w:val="24"/>
          <w:szCs w:val="24"/>
        </w:rPr>
        <w:t xml:space="preserve"> </w:t>
      </w:r>
      <w:r w:rsidRPr="00DA258D">
        <w:rPr>
          <w:rFonts w:ascii="Times New Roman" w:hAnsi="Times New Roman" w:cs="Times New Roman"/>
          <w:i/>
          <w:iCs/>
          <w:sz w:val="24"/>
          <w:szCs w:val="24"/>
        </w:rPr>
        <w:t xml:space="preserve">Z </w:t>
      </w:r>
      <w:r w:rsidR="00945A4F" w:rsidRPr="00DA258D">
        <w:rPr>
          <w:rFonts w:ascii="Times New Roman" w:hAnsi="Times New Roman" w:cs="Times New Roman"/>
          <w:sz w:val="24"/>
          <w:szCs w:val="24"/>
        </w:rPr>
        <w:t xml:space="preserve">score, the lower the </w:t>
      </w:r>
      <w:r w:rsidRPr="00DA258D">
        <w:rPr>
          <w:rFonts w:ascii="Times New Roman" w:hAnsi="Times New Roman" w:cs="Times New Roman"/>
          <w:sz w:val="24"/>
          <w:szCs w:val="24"/>
        </w:rPr>
        <w:t xml:space="preserve">probability of default; </w:t>
      </w:r>
      <w:r w:rsidR="00945A4F" w:rsidRPr="00DA258D">
        <w:rPr>
          <w:rFonts w:ascii="Times New Roman" w:hAnsi="Times New Roman" w:cs="Times New Roman"/>
          <w:sz w:val="24"/>
          <w:szCs w:val="24"/>
        </w:rPr>
        <w:t>if</w:t>
      </w:r>
      <w:r w:rsidR="006D19C8">
        <w:rPr>
          <w:rFonts w:ascii="Times New Roman" w:hAnsi="Times New Roman" w:cs="Times New Roman"/>
          <w:i/>
          <w:iCs/>
          <w:sz w:val="24"/>
          <w:szCs w:val="24"/>
        </w:rPr>
        <w:t xml:space="preserve"> </w:t>
      </w:r>
      <w:r w:rsidRPr="00DA258D">
        <w:rPr>
          <w:rFonts w:ascii="Times New Roman" w:hAnsi="Times New Roman" w:cs="Times New Roman"/>
          <w:i/>
          <w:iCs/>
          <w:sz w:val="24"/>
          <w:szCs w:val="24"/>
        </w:rPr>
        <w:t xml:space="preserve">Z </w:t>
      </w:r>
      <w:r w:rsidR="00945A4F" w:rsidRPr="00DA258D">
        <w:rPr>
          <w:rFonts w:ascii="Times New Roman" w:hAnsi="Times New Roman" w:cs="Times New Roman"/>
          <w:sz w:val="24"/>
          <w:szCs w:val="24"/>
        </w:rPr>
        <w:t>is lower than 1.81,</w:t>
      </w:r>
      <w:r w:rsidRPr="00DA258D">
        <w:rPr>
          <w:rFonts w:ascii="Times New Roman" w:hAnsi="Times New Roman" w:cs="Times New Roman"/>
          <w:sz w:val="24"/>
          <w:szCs w:val="24"/>
        </w:rPr>
        <w:t xml:space="preserve"> the default risk is</w:t>
      </w:r>
      <w:r w:rsidR="006D19C8">
        <w:rPr>
          <w:rFonts w:ascii="Times New Roman" w:hAnsi="Times New Roman" w:cs="Times New Roman"/>
          <w:sz w:val="24"/>
          <w:szCs w:val="24"/>
        </w:rPr>
        <w:t xml:space="preserve"> </w:t>
      </w:r>
      <w:r w:rsidRPr="00DA258D">
        <w:rPr>
          <w:rFonts w:ascii="Times New Roman" w:hAnsi="Times New Roman" w:cs="Times New Roman"/>
          <w:sz w:val="24"/>
          <w:szCs w:val="24"/>
        </w:rPr>
        <w:t>considered too high and no loan is made.</w:t>
      </w:r>
      <w:r w:rsidR="00945A4F" w:rsidRPr="00DA258D">
        <w:rPr>
          <w:rFonts w:ascii="Times New Roman" w:hAnsi="Times New Roman" w:cs="Times New Roman"/>
          <w:sz w:val="24"/>
          <w:szCs w:val="24"/>
        </w:rPr>
        <w:t xml:space="preserve"> If Z score is higher than 2.99, the default risk is considered too low and the corporate is healthy.</w:t>
      </w:r>
    </w:p>
    <w:p w:rsidR="00D51E25" w:rsidRPr="00DA258D" w:rsidRDefault="006338AF" w:rsidP="006338A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model is based on the corporate accounting data by calculating the financial ratios used by analysts to assess and evaluate the solvency of the business firm to differentiate the healthy one from </w:t>
      </w:r>
      <w:r w:rsidRPr="00DA258D">
        <w:rPr>
          <w:rFonts w:ascii="Times New Roman" w:hAnsi="Times New Roman" w:cs="Times New Roman"/>
          <w:sz w:val="24"/>
          <w:szCs w:val="24"/>
        </w:rPr>
        <w:t>a high probability of bankruptcy</w:t>
      </w:r>
      <w:r>
        <w:rPr>
          <w:rFonts w:ascii="Times New Roman" w:hAnsi="Times New Roman" w:cs="Times New Roman"/>
          <w:sz w:val="24"/>
          <w:szCs w:val="24"/>
        </w:rPr>
        <w:t>:</w:t>
      </w:r>
    </w:p>
    <w:p w:rsidR="00D51E25" w:rsidRPr="00DA258D" w:rsidRDefault="00D51E25" w:rsidP="00D51E25">
      <w:pPr>
        <w:autoSpaceDE w:val="0"/>
        <w:autoSpaceDN w:val="0"/>
        <w:adjustRightInd w:val="0"/>
        <w:spacing w:after="0" w:line="360" w:lineRule="auto"/>
        <w:rPr>
          <w:rFonts w:ascii="Times New Roman" w:hAnsi="Times New Roman" w:cs="Times New Roman"/>
          <w:b/>
          <w:sz w:val="24"/>
          <w:szCs w:val="24"/>
        </w:rPr>
      </w:pPr>
      <w:r w:rsidRPr="00DA258D">
        <w:rPr>
          <w:rFonts w:ascii="Times New Roman" w:hAnsi="Times New Roman" w:cs="Times New Roman"/>
          <w:b/>
          <w:sz w:val="24"/>
          <w:szCs w:val="24"/>
        </w:rPr>
        <w:t xml:space="preserve">  Z- Score = Z= 0.717X1+ 0.847X2+ 3.107X3+0.420X4+0.998X5</w:t>
      </w:r>
    </w:p>
    <w:p w:rsidR="005133A3" w:rsidRDefault="00D51E25" w:rsidP="005133A3">
      <w:pPr>
        <w:spacing w:line="360" w:lineRule="auto"/>
        <w:contextualSpacing/>
        <w:rPr>
          <w:rFonts w:ascii="Times New Roman" w:hAnsi="Times New Roman" w:cs="Times New Roman"/>
          <w:sz w:val="24"/>
          <w:szCs w:val="24"/>
        </w:rPr>
      </w:pPr>
      <w:r w:rsidRPr="00DA258D">
        <w:rPr>
          <w:rFonts w:ascii="Times New Roman" w:hAnsi="Times New Roman" w:cs="Times New Roman"/>
          <w:sz w:val="24"/>
          <w:szCs w:val="24"/>
        </w:rPr>
        <w:t>The variables that best discriminated between healthy and bankrupt companies were:</w:t>
      </w:r>
    </w:p>
    <w:p w:rsidR="005133A3" w:rsidRDefault="005133A3" w:rsidP="005133A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51E25" w:rsidRPr="00DA258D">
        <w:rPr>
          <w:rFonts w:ascii="Times New Roman" w:hAnsi="Times New Roman" w:cs="Times New Roman"/>
          <w:b/>
          <w:iCs/>
          <w:color w:val="000000"/>
          <w:sz w:val="24"/>
          <w:szCs w:val="24"/>
        </w:rPr>
        <w:t>X</w:t>
      </w:r>
      <w:r w:rsidR="00D51E25" w:rsidRPr="00DA258D">
        <w:rPr>
          <w:rFonts w:ascii="Times New Roman" w:hAnsi="Times New Roman" w:cs="Times New Roman"/>
          <w:b/>
          <w:iCs/>
          <w:color w:val="000000"/>
          <w:position w:val="-8"/>
          <w:sz w:val="24"/>
          <w:szCs w:val="24"/>
          <w:vertAlign w:val="subscript"/>
        </w:rPr>
        <w:t xml:space="preserve">1 </w:t>
      </w:r>
      <w:r w:rsidR="00D51E25" w:rsidRPr="00DA258D">
        <w:rPr>
          <w:rFonts w:ascii="Times New Roman" w:hAnsi="Times New Roman" w:cs="Times New Roman"/>
          <w:b/>
          <w:iCs/>
          <w:color w:val="000000"/>
          <w:sz w:val="24"/>
          <w:szCs w:val="24"/>
        </w:rPr>
        <w:t xml:space="preserve">= </w:t>
      </w:r>
      <w:r w:rsidR="00D51E25" w:rsidRPr="00DA258D">
        <w:rPr>
          <w:rFonts w:ascii="Times New Roman" w:hAnsi="Times New Roman" w:cs="Times New Roman"/>
          <w:iCs/>
          <w:color w:val="000000"/>
          <w:sz w:val="24"/>
          <w:szCs w:val="24"/>
        </w:rPr>
        <w:t xml:space="preserve">Working Capital /Total assets. </w:t>
      </w:r>
    </w:p>
    <w:p w:rsidR="00D51E25" w:rsidRPr="005133A3" w:rsidRDefault="005133A3" w:rsidP="005133A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51E25" w:rsidRPr="00DA258D">
        <w:rPr>
          <w:rFonts w:ascii="Times New Roman" w:hAnsi="Times New Roman" w:cs="Times New Roman"/>
          <w:b/>
          <w:iCs/>
          <w:color w:val="000000"/>
          <w:sz w:val="24"/>
          <w:szCs w:val="24"/>
        </w:rPr>
        <w:t>X</w:t>
      </w:r>
      <w:r w:rsidR="00D51E25" w:rsidRPr="00DA258D">
        <w:rPr>
          <w:rFonts w:ascii="Times New Roman" w:hAnsi="Times New Roman" w:cs="Times New Roman"/>
          <w:b/>
          <w:iCs/>
          <w:color w:val="000000"/>
          <w:position w:val="-8"/>
          <w:sz w:val="24"/>
          <w:szCs w:val="24"/>
          <w:vertAlign w:val="subscript"/>
        </w:rPr>
        <w:t xml:space="preserve">2 </w:t>
      </w:r>
      <w:r w:rsidR="00D51E25" w:rsidRPr="00DA258D">
        <w:rPr>
          <w:rFonts w:ascii="Times New Roman" w:hAnsi="Times New Roman" w:cs="Times New Roman"/>
          <w:b/>
          <w:iCs/>
          <w:color w:val="000000"/>
          <w:sz w:val="24"/>
          <w:szCs w:val="24"/>
        </w:rPr>
        <w:t xml:space="preserve">= </w:t>
      </w:r>
      <w:r w:rsidR="00D51E25" w:rsidRPr="00DA258D">
        <w:rPr>
          <w:rFonts w:ascii="Times New Roman" w:hAnsi="Times New Roman" w:cs="Times New Roman"/>
          <w:iCs/>
          <w:color w:val="000000"/>
          <w:sz w:val="24"/>
          <w:szCs w:val="24"/>
        </w:rPr>
        <w:t>Retained Earnings / Total assets.</w:t>
      </w:r>
    </w:p>
    <w:p w:rsidR="005133A3" w:rsidRPr="005133A3" w:rsidRDefault="005133A3" w:rsidP="005133A3">
      <w:pPr>
        <w:autoSpaceDE w:val="0"/>
        <w:autoSpaceDN w:val="0"/>
        <w:adjustRightInd w:val="0"/>
        <w:spacing w:after="60" w:line="240" w:lineRule="auto"/>
        <w:ind w:left="840" w:hanging="560"/>
        <w:contextualSpacing/>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 </w:t>
      </w:r>
      <w:r w:rsidR="00D51E25" w:rsidRPr="00DA258D">
        <w:rPr>
          <w:rFonts w:ascii="Times New Roman" w:hAnsi="Times New Roman" w:cs="Times New Roman"/>
          <w:b/>
          <w:iCs/>
          <w:color w:val="000000"/>
          <w:sz w:val="24"/>
          <w:szCs w:val="24"/>
        </w:rPr>
        <w:t>X</w:t>
      </w:r>
      <w:r w:rsidR="00D51E25" w:rsidRPr="00DA258D">
        <w:rPr>
          <w:rFonts w:ascii="Times New Roman" w:hAnsi="Times New Roman" w:cs="Times New Roman"/>
          <w:b/>
          <w:iCs/>
          <w:color w:val="000000"/>
          <w:position w:val="-8"/>
          <w:sz w:val="24"/>
          <w:szCs w:val="24"/>
          <w:vertAlign w:val="subscript"/>
        </w:rPr>
        <w:t xml:space="preserve">3 </w:t>
      </w:r>
      <w:r w:rsidR="00D51E25" w:rsidRPr="00DA258D">
        <w:rPr>
          <w:rFonts w:ascii="Times New Roman" w:hAnsi="Times New Roman" w:cs="Times New Roman"/>
          <w:b/>
          <w:iCs/>
          <w:color w:val="000000"/>
          <w:sz w:val="24"/>
          <w:szCs w:val="24"/>
        </w:rPr>
        <w:t xml:space="preserve">= </w:t>
      </w:r>
      <w:r w:rsidR="00D51E25" w:rsidRPr="00DA258D">
        <w:rPr>
          <w:rFonts w:ascii="Times New Roman" w:hAnsi="Times New Roman" w:cs="Times New Roman"/>
          <w:iCs/>
          <w:color w:val="000000"/>
          <w:sz w:val="24"/>
          <w:szCs w:val="24"/>
        </w:rPr>
        <w:t>Earnings before interest and tax (EBIT) / Total assets.</w:t>
      </w:r>
    </w:p>
    <w:p w:rsidR="005133A3" w:rsidRPr="005133A3" w:rsidRDefault="005133A3" w:rsidP="005133A3">
      <w:pPr>
        <w:autoSpaceDE w:val="0"/>
        <w:autoSpaceDN w:val="0"/>
        <w:adjustRightInd w:val="0"/>
        <w:spacing w:after="60" w:line="240" w:lineRule="auto"/>
        <w:ind w:left="840" w:hanging="560"/>
        <w:contextualSpacing/>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 </w:t>
      </w:r>
      <w:r w:rsidR="00D51E25" w:rsidRPr="00DA258D">
        <w:rPr>
          <w:rFonts w:ascii="Times New Roman" w:hAnsi="Times New Roman" w:cs="Times New Roman"/>
          <w:b/>
          <w:iCs/>
          <w:color w:val="000000"/>
          <w:sz w:val="24"/>
          <w:szCs w:val="24"/>
        </w:rPr>
        <w:t>X</w:t>
      </w:r>
      <w:r w:rsidR="00D51E25" w:rsidRPr="00DA258D">
        <w:rPr>
          <w:rFonts w:ascii="Times New Roman" w:hAnsi="Times New Roman" w:cs="Times New Roman"/>
          <w:b/>
          <w:iCs/>
          <w:color w:val="000000"/>
          <w:position w:val="-8"/>
          <w:sz w:val="24"/>
          <w:szCs w:val="24"/>
          <w:vertAlign w:val="subscript"/>
        </w:rPr>
        <w:t xml:space="preserve">4 </w:t>
      </w:r>
      <w:r w:rsidR="00D51E25" w:rsidRPr="00DA258D">
        <w:rPr>
          <w:rFonts w:ascii="Times New Roman" w:hAnsi="Times New Roman" w:cs="Times New Roman"/>
          <w:b/>
          <w:iCs/>
          <w:color w:val="000000"/>
          <w:sz w:val="24"/>
          <w:szCs w:val="24"/>
        </w:rPr>
        <w:t xml:space="preserve">= </w:t>
      </w:r>
      <w:r w:rsidR="00D51E25" w:rsidRPr="00DA258D">
        <w:rPr>
          <w:rFonts w:ascii="Times New Roman" w:hAnsi="Times New Roman" w:cs="Times New Roman"/>
          <w:iCs/>
          <w:color w:val="000000"/>
          <w:sz w:val="24"/>
          <w:szCs w:val="24"/>
        </w:rPr>
        <w:t>Marke</w:t>
      </w:r>
      <w:r w:rsidR="00524276" w:rsidRPr="00DA258D">
        <w:rPr>
          <w:rFonts w:ascii="Times New Roman" w:hAnsi="Times New Roman" w:cs="Times New Roman"/>
          <w:iCs/>
          <w:color w:val="000000"/>
          <w:sz w:val="24"/>
          <w:szCs w:val="24"/>
        </w:rPr>
        <w:t>t Value of Equity / Total liabilities</w:t>
      </w:r>
      <w:r w:rsidR="00D51E25" w:rsidRPr="00DA258D">
        <w:rPr>
          <w:rFonts w:ascii="Times New Roman" w:hAnsi="Times New Roman" w:cs="Times New Roman"/>
          <w:iCs/>
          <w:color w:val="000000"/>
          <w:sz w:val="24"/>
          <w:szCs w:val="24"/>
        </w:rPr>
        <w:t>.</w:t>
      </w:r>
    </w:p>
    <w:p w:rsidR="00D007BE" w:rsidRDefault="00D51E25" w:rsidP="00BC6799">
      <w:pPr>
        <w:spacing w:line="240" w:lineRule="auto"/>
        <w:contextualSpacing/>
        <w:rPr>
          <w:rFonts w:ascii="Times New Roman" w:hAnsi="Times New Roman" w:cs="Times New Roman"/>
          <w:b/>
          <w:sz w:val="24"/>
          <w:szCs w:val="24"/>
        </w:rPr>
      </w:pPr>
      <w:r w:rsidRPr="00DA258D">
        <w:rPr>
          <w:rFonts w:ascii="Times New Roman" w:hAnsi="Times New Roman" w:cs="Times New Roman"/>
          <w:b/>
          <w:iCs/>
          <w:color w:val="000000"/>
          <w:sz w:val="24"/>
          <w:szCs w:val="24"/>
        </w:rPr>
        <w:t xml:space="preserve"> </w:t>
      </w:r>
      <w:r w:rsidR="00FA33D6">
        <w:rPr>
          <w:rFonts w:ascii="Times New Roman" w:hAnsi="Times New Roman" w:cs="Times New Roman"/>
          <w:b/>
          <w:iCs/>
          <w:color w:val="000000"/>
          <w:sz w:val="24"/>
          <w:szCs w:val="24"/>
        </w:rPr>
        <w:t xml:space="preserve">    </w:t>
      </w:r>
      <w:r w:rsidR="005133A3">
        <w:rPr>
          <w:rFonts w:ascii="Times New Roman" w:hAnsi="Times New Roman" w:cs="Times New Roman"/>
          <w:b/>
          <w:iCs/>
          <w:color w:val="000000"/>
          <w:sz w:val="24"/>
          <w:szCs w:val="24"/>
        </w:rPr>
        <w:t xml:space="preserve"> </w:t>
      </w:r>
      <w:r w:rsidRPr="00DA258D">
        <w:rPr>
          <w:rFonts w:ascii="Times New Roman" w:hAnsi="Times New Roman" w:cs="Times New Roman"/>
          <w:b/>
          <w:iCs/>
          <w:color w:val="000000"/>
          <w:sz w:val="24"/>
          <w:szCs w:val="24"/>
        </w:rPr>
        <w:t>X</w:t>
      </w:r>
      <w:r w:rsidRPr="00DA258D">
        <w:rPr>
          <w:rFonts w:ascii="Times New Roman" w:hAnsi="Times New Roman" w:cs="Times New Roman"/>
          <w:b/>
          <w:iCs/>
          <w:color w:val="000000"/>
          <w:position w:val="-8"/>
          <w:sz w:val="24"/>
          <w:szCs w:val="24"/>
          <w:vertAlign w:val="subscript"/>
        </w:rPr>
        <w:t xml:space="preserve">5 </w:t>
      </w:r>
      <w:r w:rsidRPr="00DA258D">
        <w:rPr>
          <w:rFonts w:ascii="Times New Roman" w:hAnsi="Times New Roman" w:cs="Times New Roman"/>
          <w:b/>
          <w:iCs/>
          <w:color w:val="000000"/>
          <w:sz w:val="24"/>
          <w:szCs w:val="24"/>
        </w:rPr>
        <w:t xml:space="preserve">= </w:t>
      </w:r>
      <w:r w:rsidRPr="00DA258D">
        <w:rPr>
          <w:rFonts w:ascii="Times New Roman" w:hAnsi="Times New Roman" w:cs="Times New Roman"/>
          <w:iCs/>
          <w:color w:val="000000"/>
          <w:sz w:val="24"/>
          <w:szCs w:val="24"/>
        </w:rPr>
        <w:t>Sales / Total assets</w:t>
      </w:r>
      <w:r w:rsidR="00747326" w:rsidRPr="00DA258D">
        <w:rPr>
          <w:rFonts w:ascii="Times New Roman" w:hAnsi="Times New Roman" w:cs="Times New Roman"/>
          <w:iCs/>
          <w:color w:val="000000"/>
          <w:sz w:val="24"/>
          <w:szCs w:val="24"/>
        </w:rPr>
        <w:t>.</w:t>
      </w:r>
    </w:p>
    <w:p w:rsidR="002052AE" w:rsidRPr="00BC6799" w:rsidRDefault="002052AE" w:rsidP="00BC6799">
      <w:pPr>
        <w:spacing w:line="240" w:lineRule="auto"/>
        <w:contextualSpacing/>
        <w:rPr>
          <w:rFonts w:ascii="Times New Roman" w:hAnsi="Times New Roman" w:cs="Times New Roman"/>
          <w:b/>
          <w:sz w:val="24"/>
          <w:szCs w:val="24"/>
        </w:rPr>
      </w:pPr>
    </w:p>
    <w:p w:rsidR="00171F2B" w:rsidRPr="002D11BA" w:rsidRDefault="002D11BA" w:rsidP="002D11BA">
      <w:pPr>
        <w:spacing w:line="360" w:lineRule="auto"/>
        <w:contextualSpacing/>
        <w:rPr>
          <w:rFonts w:asciiTheme="majorBidi" w:hAnsiTheme="majorBidi" w:cstheme="majorBidi"/>
          <w:b/>
          <w:sz w:val="24"/>
          <w:szCs w:val="24"/>
        </w:rPr>
      </w:pPr>
      <w:r>
        <w:rPr>
          <w:rFonts w:asciiTheme="majorBidi" w:hAnsiTheme="majorBidi" w:cstheme="majorBidi"/>
          <w:b/>
          <w:sz w:val="24"/>
          <w:szCs w:val="24"/>
        </w:rPr>
        <w:t xml:space="preserve">2.4.4 </w:t>
      </w:r>
      <w:r w:rsidR="00A679A6" w:rsidRPr="002D11BA">
        <w:rPr>
          <w:rFonts w:asciiTheme="majorBidi" w:hAnsiTheme="majorBidi" w:cstheme="majorBidi"/>
          <w:b/>
          <w:sz w:val="24"/>
          <w:szCs w:val="24"/>
        </w:rPr>
        <w:t>Basel II</w:t>
      </w:r>
      <w:r w:rsidR="001C4306" w:rsidRPr="002D11BA">
        <w:rPr>
          <w:rFonts w:asciiTheme="majorBidi" w:hAnsiTheme="majorBidi" w:cstheme="majorBidi"/>
          <w:b/>
          <w:sz w:val="24"/>
          <w:szCs w:val="24"/>
        </w:rPr>
        <w:t xml:space="preserve"> Credit Risk Measurement</w:t>
      </w:r>
    </w:p>
    <w:p w:rsidR="005326F5" w:rsidRPr="00DA258D" w:rsidRDefault="005326F5" w:rsidP="00223FD2">
      <w:pPr>
        <w:autoSpaceDE w:val="0"/>
        <w:autoSpaceDN w:val="0"/>
        <w:adjustRightInd w:val="0"/>
        <w:spacing w:after="0" w:line="360" w:lineRule="auto"/>
        <w:contextualSpacing/>
        <w:jc w:val="both"/>
        <w:rPr>
          <w:rFonts w:ascii="Times New Roman" w:hAnsi="Times New Roman" w:cs="Times New Roman"/>
          <w:sz w:val="24"/>
          <w:szCs w:val="24"/>
        </w:rPr>
      </w:pPr>
      <w:r w:rsidRPr="00DA258D">
        <w:rPr>
          <w:rFonts w:ascii="Times New Roman" w:hAnsi="Times New Roman" w:cs="Times New Roman"/>
          <w:sz w:val="24"/>
          <w:szCs w:val="24"/>
        </w:rPr>
        <w:t xml:space="preserve">In response to Basel I’s critics, Basel II in its first pillar which known as “minimum capital requirements” creates a more sensitive measurement of a bank’s risk-weighted assets and tries to eliminate the </w:t>
      </w:r>
      <w:r w:rsidR="00BC4002" w:rsidRPr="00DA258D">
        <w:rPr>
          <w:rFonts w:ascii="Times New Roman" w:hAnsi="Times New Roman" w:cs="Times New Roman"/>
          <w:sz w:val="24"/>
          <w:szCs w:val="24"/>
        </w:rPr>
        <w:t xml:space="preserve">ambiguity </w:t>
      </w:r>
      <w:r w:rsidRPr="00DA258D">
        <w:rPr>
          <w:rFonts w:ascii="Times New Roman" w:hAnsi="Times New Roman" w:cs="Times New Roman"/>
          <w:sz w:val="24"/>
          <w:szCs w:val="24"/>
        </w:rPr>
        <w:t xml:space="preserve">in Basel I that allow banks to take on additional risk while cosmetically </w:t>
      </w:r>
      <w:r w:rsidR="00BC4002" w:rsidRPr="00DA258D">
        <w:rPr>
          <w:rFonts w:ascii="Times New Roman" w:hAnsi="Times New Roman" w:cs="Times New Roman"/>
          <w:sz w:val="24"/>
          <w:szCs w:val="24"/>
        </w:rPr>
        <w:t xml:space="preserve">satisfy </w:t>
      </w:r>
      <w:r w:rsidRPr="00DA258D">
        <w:rPr>
          <w:rFonts w:ascii="Times New Roman" w:hAnsi="Times New Roman" w:cs="Times New Roman"/>
          <w:sz w:val="24"/>
          <w:szCs w:val="24"/>
        </w:rPr>
        <w:t>to minimum capital adequacy requirements</w:t>
      </w:r>
      <w:r w:rsidR="00BC4002" w:rsidRPr="00DA258D">
        <w:rPr>
          <w:rFonts w:ascii="Times New Roman" w:hAnsi="Times New Roman" w:cs="Times New Roman"/>
          <w:sz w:val="24"/>
          <w:szCs w:val="24"/>
        </w:rPr>
        <w:t>. Its first mandate is to broaden the scope of regulation to include assets of the holding company of an internationally active bank. This is done to avoid the risk that a bank will “hide” risk-taking by transferring its assets to other subsidiaries and also to incorporate the financial health of the entire firm in the calculation of capital requirements for its su</w:t>
      </w:r>
      <w:r w:rsidR="00446161">
        <w:rPr>
          <w:rFonts w:ascii="Times New Roman" w:hAnsi="Times New Roman" w:cs="Times New Roman"/>
          <w:sz w:val="24"/>
          <w:szCs w:val="24"/>
        </w:rPr>
        <w:t>bsidiary bank (Balin, 2008</w:t>
      </w:r>
      <w:r w:rsidR="00BC4002" w:rsidRPr="00DA258D">
        <w:rPr>
          <w:rFonts w:ascii="Times New Roman" w:hAnsi="Times New Roman" w:cs="Times New Roman"/>
          <w:sz w:val="24"/>
          <w:szCs w:val="24"/>
        </w:rPr>
        <w:t>).</w:t>
      </w:r>
    </w:p>
    <w:p w:rsidR="001C4306" w:rsidRPr="00DA258D" w:rsidRDefault="00A679A6" w:rsidP="00223FD2">
      <w:pPr>
        <w:spacing w:line="360" w:lineRule="auto"/>
        <w:jc w:val="both"/>
        <w:rPr>
          <w:rFonts w:ascii="Times New Roman" w:hAnsi="Times New Roman" w:cs="Times New Roman"/>
          <w:b/>
          <w:sz w:val="24"/>
          <w:szCs w:val="24"/>
        </w:rPr>
      </w:pPr>
      <w:r w:rsidRPr="00DA258D">
        <w:rPr>
          <w:rFonts w:ascii="Times New Roman" w:hAnsi="Times New Roman" w:cs="Times New Roman"/>
          <w:sz w:val="24"/>
          <w:szCs w:val="24"/>
        </w:rPr>
        <w:t>The Basel II</w:t>
      </w:r>
      <w:r w:rsidR="001F5AF7" w:rsidRPr="00DA258D">
        <w:rPr>
          <w:rFonts w:ascii="Times New Roman" w:hAnsi="Times New Roman" w:cs="Times New Roman"/>
          <w:sz w:val="24"/>
          <w:szCs w:val="24"/>
        </w:rPr>
        <w:t xml:space="preserve"> framework defines three different approaches for measuring of credit risk</w:t>
      </w:r>
      <w:r w:rsidR="001F5AF7" w:rsidRPr="00DA258D">
        <w:rPr>
          <w:rFonts w:ascii="Times New Roman" w:hAnsi="Times New Roman" w:cs="Times New Roman"/>
          <w:b/>
          <w:sz w:val="24"/>
          <w:szCs w:val="24"/>
        </w:rPr>
        <w:t>:</w:t>
      </w:r>
    </w:p>
    <w:p w:rsidR="001F5AF7" w:rsidRPr="00DA258D" w:rsidRDefault="001F5AF7" w:rsidP="00F873C9">
      <w:pPr>
        <w:pStyle w:val="ListParagraph"/>
        <w:numPr>
          <w:ilvl w:val="0"/>
          <w:numId w:val="17"/>
        </w:numPr>
        <w:spacing w:line="360" w:lineRule="auto"/>
        <w:rPr>
          <w:rFonts w:ascii="Times New Roman" w:hAnsi="Times New Roman" w:cs="Times New Roman"/>
          <w:b/>
          <w:sz w:val="24"/>
          <w:szCs w:val="24"/>
        </w:rPr>
      </w:pPr>
      <w:r w:rsidRPr="00DA258D">
        <w:rPr>
          <w:rFonts w:ascii="Times New Roman" w:hAnsi="Times New Roman" w:cs="Times New Roman"/>
          <w:b/>
          <w:sz w:val="24"/>
          <w:szCs w:val="24"/>
        </w:rPr>
        <w:t>Standardized approach</w:t>
      </w:r>
    </w:p>
    <w:p w:rsidR="001F5AF7" w:rsidRPr="00DA258D" w:rsidRDefault="001F5AF7" w:rsidP="00F873C9">
      <w:pPr>
        <w:pStyle w:val="ListParagraph"/>
        <w:numPr>
          <w:ilvl w:val="0"/>
          <w:numId w:val="17"/>
        </w:numPr>
        <w:spacing w:line="360" w:lineRule="auto"/>
        <w:rPr>
          <w:rFonts w:ascii="Times New Roman" w:hAnsi="Times New Roman" w:cs="Times New Roman"/>
          <w:b/>
          <w:sz w:val="24"/>
          <w:szCs w:val="24"/>
        </w:rPr>
      </w:pPr>
      <w:r w:rsidRPr="00DA258D">
        <w:rPr>
          <w:rFonts w:ascii="Times New Roman" w:hAnsi="Times New Roman" w:cs="Times New Roman"/>
          <w:b/>
          <w:sz w:val="24"/>
          <w:szCs w:val="24"/>
        </w:rPr>
        <w:t>Internal ratings based approach: Foundation</w:t>
      </w:r>
    </w:p>
    <w:p w:rsidR="001F5AF7" w:rsidRPr="00DA258D" w:rsidRDefault="001F5AF7" w:rsidP="00F873C9">
      <w:pPr>
        <w:pStyle w:val="ListParagraph"/>
        <w:numPr>
          <w:ilvl w:val="0"/>
          <w:numId w:val="17"/>
        </w:numPr>
        <w:spacing w:line="360" w:lineRule="auto"/>
        <w:rPr>
          <w:rFonts w:ascii="Times New Roman" w:hAnsi="Times New Roman" w:cs="Times New Roman"/>
          <w:b/>
          <w:sz w:val="24"/>
          <w:szCs w:val="24"/>
        </w:rPr>
      </w:pPr>
      <w:r w:rsidRPr="00DA258D">
        <w:rPr>
          <w:rFonts w:ascii="Times New Roman" w:hAnsi="Times New Roman" w:cs="Times New Roman"/>
          <w:b/>
          <w:sz w:val="24"/>
          <w:szCs w:val="24"/>
        </w:rPr>
        <w:t>Internal ratings based approach: Advanced</w:t>
      </w:r>
    </w:p>
    <w:p w:rsidR="00F9612D" w:rsidRDefault="001F5AF7" w:rsidP="00F9612D">
      <w:pPr>
        <w:spacing w:line="360" w:lineRule="auto"/>
        <w:rPr>
          <w:rFonts w:ascii="Times New Roman" w:hAnsi="Times New Roman" w:cs="Times New Roman"/>
          <w:sz w:val="24"/>
          <w:szCs w:val="24"/>
        </w:rPr>
      </w:pPr>
      <w:r w:rsidRPr="00DA258D">
        <w:rPr>
          <w:rFonts w:ascii="Times New Roman" w:hAnsi="Times New Roman" w:cs="Times New Roman"/>
          <w:sz w:val="24"/>
          <w:szCs w:val="24"/>
        </w:rPr>
        <w:t>Each of these approaches offers different risk-sensitiv</w:t>
      </w:r>
      <w:r w:rsidR="00F41A1A" w:rsidRPr="00DA258D">
        <w:rPr>
          <w:rFonts w:ascii="Times New Roman" w:hAnsi="Times New Roman" w:cs="Times New Roman"/>
          <w:sz w:val="24"/>
          <w:szCs w:val="24"/>
        </w:rPr>
        <w:t>ity and complexi</w:t>
      </w:r>
      <w:r w:rsidR="00237994">
        <w:rPr>
          <w:rFonts w:ascii="Times New Roman" w:hAnsi="Times New Roman" w:cs="Times New Roman"/>
          <w:sz w:val="24"/>
          <w:szCs w:val="24"/>
        </w:rPr>
        <w:t>ty for the bank.</w:t>
      </w:r>
    </w:p>
    <w:p w:rsidR="00E214F9" w:rsidRPr="00F9612D" w:rsidRDefault="00E214F9" w:rsidP="00F9612D">
      <w:pPr>
        <w:spacing w:line="360" w:lineRule="auto"/>
        <w:jc w:val="center"/>
        <w:rPr>
          <w:rFonts w:ascii="Times New Roman" w:hAnsi="Times New Roman" w:cs="Times New Roman"/>
          <w:sz w:val="24"/>
          <w:szCs w:val="24"/>
        </w:rPr>
      </w:pPr>
      <w:r w:rsidRPr="009F067C">
        <w:rPr>
          <w:rFonts w:ascii="Times New Roman" w:hAnsi="Times New Roman" w:cs="Times New Roman"/>
          <w:b/>
          <w:bCs/>
        </w:rPr>
        <w:lastRenderedPageBreak/>
        <w:t>Figure 2.</w:t>
      </w:r>
      <w:r w:rsidR="00237994" w:rsidRPr="009F067C">
        <w:rPr>
          <w:rFonts w:ascii="Times New Roman" w:hAnsi="Times New Roman" w:cs="Times New Roman"/>
          <w:b/>
          <w:bCs/>
        </w:rPr>
        <w:t>8</w:t>
      </w:r>
      <w:r w:rsidRPr="009F067C">
        <w:rPr>
          <w:rFonts w:ascii="Times New Roman" w:hAnsi="Times New Roman" w:cs="Times New Roman"/>
          <w:b/>
          <w:bCs/>
        </w:rPr>
        <w:t>: Credit risk approaches to credit risk in Basel II</w:t>
      </w:r>
    </w:p>
    <w:p w:rsidR="00534446" w:rsidRPr="00534446" w:rsidRDefault="00F41A1A" w:rsidP="00534446">
      <w:pPr>
        <w:spacing w:line="360" w:lineRule="auto"/>
        <w:jc w:val="center"/>
        <w:rPr>
          <w:rFonts w:ascii="Times New Roman" w:hAnsi="Times New Roman" w:cs="Times New Roman"/>
          <w:sz w:val="24"/>
          <w:szCs w:val="24"/>
        </w:rPr>
      </w:pPr>
      <w:r w:rsidRPr="00670FAC">
        <w:rPr>
          <w:rFonts w:ascii="Times New Roman" w:hAnsi="Times New Roman" w:cs="Times New Roman"/>
          <w:noProof/>
          <w:sz w:val="24"/>
          <w:szCs w:val="24"/>
        </w:rPr>
        <w:drawing>
          <wp:inline distT="0" distB="0" distL="0" distR="0">
            <wp:extent cx="4863047" cy="126425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duotone>
                        <a:prstClr val="black"/>
                        <a:schemeClr val="accent1">
                          <a:tint val="45000"/>
                          <a:satMod val="400000"/>
                        </a:schemeClr>
                      </a:duotone>
                    </a:blip>
                    <a:srcRect/>
                    <a:stretch>
                      <a:fillRect/>
                    </a:stretch>
                  </pic:blipFill>
                  <pic:spPr bwMode="auto">
                    <a:xfrm>
                      <a:off x="0" y="0"/>
                      <a:ext cx="4864735" cy="1264696"/>
                    </a:xfrm>
                    <a:prstGeom prst="rect">
                      <a:avLst/>
                    </a:prstGeom>
                    <a:noFill/>
                    <a:ln w="9525">
                      <a:noFill/>
                      <a:miter lim="800000"/>
                      <a:headEnd/>
                      <a:tailEnd/>
                    </a:ln>
                  </pic:spPr>
                </pic:pic>
              </a:graphicData>
            </a:graphic>
          </wp:inline>
        </w:drawing>
      </w:r>
    </w:p>
    <w:p w:rsidR="00534446" w:rsidRPr="00534446" w:rsidRDefault="00534446" w:rsidP="00534446">
      <w:pPr>
        <w:spacing w:line="360" w:lineRule="auto"/>
        <w:jc w:val="center"/>
        <w:rPr>
          <w:rFonts w:ascii="Times New Roman" w:hAnsi="Times New Roman" w:cs="Times New Roman"/>
          <w:sz w:val="20"/>
          <w:szCs w:val="20"/>
        </w:rPr>
      </w:pPr>
      <w:r w:rsidRPr="00C12167">
        <w:rPr>
          <w:rFonts w:ascii="Times New Roman" w:hAnsi="Times New Roman" w:cs="Times New Roman"/>
          <w:sz w:val="20"/>
          <w:szCs w:val="20"/>
        </w:rPr>
        <w:t>Source: Benzin, et al., 2004.</w:t>
      </w:r>
    </w:p>
    <w:p w:rsidR="00534446" w:rsidRDefault="00534446" w:rsidP="00FD6EED">
      <w:pPr>
        <w:spacing w:line="360" w:lineRule="auto"/>
        <w:contextualSpacing/>
        <w:rPr>
          <w:rFonts w:ascii="Times New Roman" w:hAnsi="Times New Roman" w:cs="Times New Roman"/>
          <w:b/>
          <w:sz w:val="24"/>
          <w:szCs w:val="24"/>
        </w:rPr>
      </w:pPr>
    </w:p>
    <w:p w:rsidR="003348F7" w:rsidRPr="00DA258D" w:rsidRDefault="00F41A1A" w:rsidP="00FD6EED">
      <w:pPr>
        <w:spacing w:line="360" w:lineRule="auto"/>
        <w:contextualSpacing/>
        <w:rPr>
          <w:rFonts w:ascii="Times New Roman" w:hAnsi="Times New Roman" w:cs="Times New Roman"/>
          <w:sz w:val="24"/>
          <w:szCs w:val="24"/>
        </w:rPr>
      </w:pPr>
      <w:r w:rsidRPr="00DA258D">
        <w:rPr>
          <w:rFonts w:ascii="Times New Roman" w:hAnsi="Times New Roman" w:cs="Times New Roman"/>
          <w:b/>
          <w:sz w:val="24"/>
          <w:szCs w:val="24"/>
        </w:rPr>
        <w:t xml:space="preserve">2.4.5.1 </w:t>
      </w:r>
      <w:r w:rsidR="001F5AF7" w:rsidRPr="00DA258D">
        <w:rPr>
          <w:rFonts w:ascii="Times New Roman" w:hAnsi="Times New Roman" w:cs="Times New Roman"/>
          <w:b/>
          <w:sz w:val="24"/>
          <w:szCs w:val="24"/>
        </w:rPr>
        <w:t xml:space="preserve">Standardized Approach to Credit Risk </w:t>
      </w:r>
    </w:p>
    <w:p w:rsidR="00E160A6" w:rsidRDefault="0025137C" w:rsidP="00AD32A5">
      <w:pPr>
        <w:spacing w:line="360" w:lineRule="auto"/>
        <w:contextualSpacing/>
        <w:jc w:val="both"/>
        <w:rPr>
          <w:rFonts w:ascii="Times New Roman" w:hAnsi="Times New Roman" w:cs="Times New Roman"/>
          <w:color w:val="000000"/>
          <w:sz w:val="24"/>
          <w:szCs w:val="24"/>
        </w:rPr>
      </w:pPr>
      <w:r w:rsidRPr="00DA258D">
        <w:rPr>
          <w:rFonts w:ascii="Times New Roman" w:hAnsi="Times New Roman" w:cs="Times New Roman"/>
          <w:sz w:val="24"/>
          <w:szCs w:val="24"/>
        </w:rPr>
        <w:t xml:space="preserve">The standardized approach </w:t>
      </w:r>
      <w:r w:rsidR="00A122C9">
        <w:rPr>
          <w:rFonts w:ascii="Times New Roman" w:hAnsi="Times New Roman" w:cs="Times New Roman"/>
          <w:sz w:val="24"/>
          <w:szCs w:val="24"/>
        </w:rPr>
        <w:t>is the most simple</w:t>
      </w:r>
      <w:r>
        <w:rPr>
          <w:rFonts w:ascii="Times New Roman" w:hAnsi="Times New Roman" w:cs="Times New Roman"/>
          <w:sz w:val="24"/>
          <w:szCs w:val="24"/>
        </w:rPr>
        <w:t xml:space="preserve"> and traditional among the three approaches in measuring credit risk. This approach increase the risk sensitivity</w:t>
      </w:r>
      <w:r w:rsidRPr="00DA258D">
        <w:rPr>
          <w:rFonts w:ascii="Times New Roman" w:hAnsi="Times New Roman" w:cs="Times New Roman"/>
          <w:sz w:val="24"/>
          <w:szCs w:val="24"/>
        </w:rPr>
        <w:t xml:space="preserve"> of the capital framework</w:t>
      </w:r>
      <w:r>
        <w:rPr>
          <w:rFonts w:ascii="Times New Roman" w:hAnsi="Times New Roman" w:cs="Times New Roman"/>
          <w:sz w:val="24"/>
          <w:szCs w:val="24"/>
        </w:rPr>
        <w:t xml:space="preserve"> by pointing out that the same credit category includes different risks. Based on that, banks are required to grade their credit risk exposures under different groups such corporate loan, retail loan and </w:t>
      </w:r>
      <w:r w:rsidRPr="00DA258D">
        <w:rPr>
          <w:rFonts w:ascii="Times New Roman" w:hAnsi="Times New Roman" w:cs="Times New Roman"/>
          <w:color w:val="000000"/>
          <w:sz w:val="24"/>
          <w:szCs w:val="24"/>
        </w:rPr>
        <w:t>residential mortgage loan</w:t>
      </w:r>
      <w:r>
        <w:rPr>
          <w:rFonts w:ascii="Times New Roman" w:hAnsi="Times New Roman" w:cs="Times New Roman"/>
          <w:color w:val="000000"/>
          <w:sz w:val="24"/>
          <w:szCs w:val="24"/>
        </w:rPr>
        <w:t>. In other words, providi</w:t>
      </w:r>
      <w:r w:rsidR="001A617E">
        <w:rPr>
          <w:rFonts w:ascii="Times New Roman" w:hAnsi="Times New Roman" w:cs="Times New Roman"/>
          <w:color w:val="000000"/>
          <w:sz w:val="24"/>
          <w:szCs w:val="24"/>
        </w:rPr>
        <w:t>ng a fixed risk weight for each group which</w:t>
      </w:r>
      <w:r>
        <w:rPr>
          <w:rFonts w:ascii="Times New Roman" w:hAnsi="Times New Roman" w:cs="Times New Roman"/>
          <w:color w:val="000000"/>
          <w:sz w:val="24"/>
          <w:szCs w:val="24"/>
        </w:rPr>
        <w:t xml:space="preserve"> supported by external credit assessment to enhance the risk </w:t>
      </w:r>
      <w:r w:rsidRPr="00DA258D">
        <w:rPr>
          <w:rFonts w:ascii="Times New Roman" w:hAnsi="Times New Roman" w:cs="Times New Roman"/>
          <w:color w:val="000000"/>
          <w:sz w:val="24"/>
          <w:szCs w:val="24"/>
        </w:rPr>
        <w:t>sensitivity with respect to the weighting</w:t>
      </w:r>
      <w:r>
        <w:rPr>
          <w:rFonts w:ascii="Times New Roman" w:hAnsi="Times New Roman" w:cs="Times New Roman"/>
          <w:color w:val="000000"/>
          <w:sz w:val="24"/>
          <w:szCs w:val="24"/>
        </w:rPr>
        <w:t xml:space="preserve">. </w:t>
      </w:r>
      <w:r w:rsidR="00E160A6" w:rsidRPr="00DA258D">
        <w:rPr>
          <w:rFonts w:ascii="Times New Roman" w:hAnsi="Times New Roman" w:cs="Times New Roman"/>
          <w:color w:val="000000"/>
          <w:sz w:val="24"/>
          <w:szCs w:val="24"/>
        </w:rPr>
        <w:t>(</w:t>
      </w:r>
      <w:r w:rsidR="00E160A6" w:rsidRPr="00DA258D">
        <w:rPr>
          <w:rFonts w:ascii="Times New Roman" w:hAnsi="Times New Roman" w:cs="Times New Roman"/>
          <w:sz w:val="24"/>
          <w:szCs w:val="24"/>
        </w:rPr>
        <w:t>Sherwo</w:t>
      </w:r>
      <w:r w:rsidR="00446161">
        <w:rPr>
          <w:rFonts w:ascii="Times New Roman" w:hAnsi="Times New Roman" w:cs="Times New Roman"/>
          <w:sz w:val="24"/>
          <w:szCs w:val="24"/>
        </w:rPr>
        <w:t>od Associates Limited, 2004</w:t>
      </w:r>
      <w:r w:rsidR="00E160A6" w:rsidRPr="00DA258D">
        <w:rPr>
          <w:rFonts w:ascii="Times New Roman" w:hAnsi="Times New Roman" w:cs="Times New Roman"/>
          <w:sz w:val="24"/>
          <w:szCs w:val="24"/>
        </w:rPr>
        <w:t>)</w:t>
      </w:r>
      <w:r w:rsidR="00146497" w:rsidRPr="00DA258D">
        <w:rPr>
          <w:rFonts w:ascii="Times New Roman" w:hAnsi="Times New Roman" w:cs="Times New Roman"/>
          <w:color w:val="000000"/>
          <w:sz w:val="24"/>
          <w:szCs w:val="24"/>
        </w:rPr>
        <w:t xml:space="preserve">. </w:t>
      </w:r>
    </w:p>
    <w:p w:rsidR="002052AE" w:rsidRPr="00DA258D" w:rsidRDefault="002052AE" w:rsidP="00AD32A5">
      <w:pPr>
        <w:spacing w:line="360" w:lineRule="auto"/>
        <w:contextualSpacing/>
        <w:jc w:val="both"/>
        <w:rPr>
          <w:rFonts w:ascii="Times New Roman" w:hAnsi="Times New Roman" w:cs="Times New Roman"/>
          <w:color w:val="000000"/>
          <w:sz w:val="24"/>
          <w:szCs w:val="24"/>
        </w:rPr>
      </w:pPr>
    </w:p>
    <w:p w:rsidR="00802A80" w:rsidRPr="00DA258D" w:rsidRDefault="00D700F4" w:rsidP="00FD6EED">
      <w:pPr>
        <w:spacing w:line="360" w:lineRule="auto"/>
        <w:contextualSpacing/>
        <w:rPr>
          <w:rFonts w:ascii="Times New Roman" w:hAnsi="Times New Roman" w:cs="Times New Roman"/>
          <w:b/>
          <w:sz w:val="24"/>
          <w:szCs w:val="24"/>
        </w:rPr>
      </w:pPr>
      <w:r w:rsidRPr="00DA258D">
        <w:rPr>
          <w:rFonts w:ascii="Times New Roman" w:hAnsi="Times New Roman" w:cs="Times New Roman"/>
          <w:b/>
          <w:sz w:val="24"/>
          <w:szCs w:val="24"/>
        </w:rPr>
        <w:t>2.4.5.2 Internal Ratings</w:t>
      </w:r>
      <w:r w:rsidR="00714419" w:rsidRPr="00DA258D">
        <w:rPr>
          <w:rFonts w:ascii="Times New Roman" w:hAnsi="Times New Roman" w:cs="Times New Roman"/>
          <w:b/>
          <w:sz w:val="24"/>
          <w:szCs w:val="24"/>
        </w:rPr>
        <w:t xml:space="preserve">-Based (IRB) </w:t>
      </w:r>
      <w:r w:rsidRPr="00DA258D">
        <w:rPr>
          <w:rFonts w:ascii="Times New Roman" w:hAnsi="Times New Roman" w:cs="Times New Roman"/>
          <w:b/>
          <w:sz w:val="24"/>
          <w:szCs w:val="24"/>
        </w:rPr>
        <w:t>A</w:t>
      </w:r>
      <w:r w:rsidR="00802A80" w:rsidRPr="00DA258D">
        <w:rPr>
          <w:rFonts w:ascii="Times New Roman" w:hAnsi="Times New Roman" w:cs="Times New Roman"/>
          <w:b/>
          <w:sz w:val="24"/>
          <w:szCs w:val="24"/>
        </w:rPr>
        <w:t xml:space="preserve">pproach: </w:t>
      </w:r>
    </w:p>
    <w:p w:rsidR="00A828FA" w:rsidRDefault="0027503F" w:rsidP="00AD32A5">
      <w:pPr>
        <w:autoSpaceDE w:val="0"/>
        <w:autoSpaceDN w:val="0"/>
        <w:adjustRightInd w:val="0"/>
        <w:spacing w:after="0" w:line="360" w:lineRule="auto"/>
        <w:contextualSpacing/>
        <w:jc w:val="both"/>
        <w:rPr>
          <w:rFonts w:ascii="Times New Roman" w:hAnsi="Times New Roman" w:cs="Times New Roman"/>
          <w:sz w:val="24"/>
          <w:szCs w:val="24"/>
        </w:rPr>
      </w:pPr>
      <w:r w:rsidRPr="00E34589">
        <w:rPr>
          <w:rFonts w:ascii="Times New Roman" w:hAnsi="Times New Roman" w:cs="Times New Roman"/>
          <w:sz w:val="24"/>
          <w:szCs w:val="24"/>
        </w:rPr>
        <w:t>Basel II proposes and encourage</w:t>
      </w:r>
      <w:r>
        <w:rPr>
          <w:rFonts w:ascii="Times New Roman" w:hAnsi="Times New Roman" w:cs="Times New Roman"/>
          <w:sz w:val="24"/>
          <w:szCs w:val="24"/>
        </w:rPr>
        <w:t xml:space="preserve">s two alternative approaches toward </w:t>
      </w:r>
      <w:r w:rsidRPr="00DA258D">
        <w:rPr>
          <w:rFonts w:ascii="Times New Roman" w:hAnsi="Times New Roman" w:cs="Times New Roman"/>
          <w:sz w:val="24"/>
          <w:szCs w:val="24"/>
        </w:rPr>
        <w:t>risk-weighting capital,</w:t>
      </w:r>
      <w:r>
        <w:rPr>
          <w:rFonts w:ascii="Times New Roman" w:hAnsi="Times New Roman" w:cs="Times New Roman"/>
          <w:sz w:val="24"/>
          <w:szCs w:val="24"/>
        </w:rPr>
        <w:t xml:space="preserve"> known as </w:t>
      </w:r>
      <w:r w:rsidRPr="00DA258D">
        <w:rPr>
          <w:rFonts w:ascii="Times New Roman" w:hAnsi="Times New Roman" w:cs="Times New Roman"/>
          <w:sz w:val="24"/>
          <w:szCs w:val="24"/>
        </w:rPr>
        <w:t>Inte</w:t>
      </w:r>
      <w:r>
        <w:rPr>
          <w:rFonts w:ascii="Times New Roman" w:hAnsi="Times New Roman" w:cs="Times New Roman"/>
          <w:sz w:val="24"/>
          <w:szCs w:val="24"/>
        </w:rPr>
        <w:t>rnal Ratings Based Approach (</w:t>
      </w:r>
      <w:r w:rsidRPr="00DA258D">
        <w:rPr>
          <w:rFonts w:ascii="Times New Roman" w:hAnsi="Times New Roman" w:cs="Times New Roman"/>
          <w:sz w:val="24"/>
          <w:szCs w:val="24"/>
        </w:rPr>
        <w:t>IRB</w:t>
      </w:r>
      <w:r>
        <w:rPr>
          <w:rFonts w:ascii="Times New Roman" w:hAnsi="Times New Roman" w:cs="Times New Roman"/>
          <w:sz w:val="24"/>
          <w:szCs w:val="24"/>
        </w:rPr>
        <w:t xml:space="preserve">). These approaches are Foundation IRB approach and Advanced IRB approach. </w:t>
      </w:r>
      <w:r w:rsidR="000B08FA" w:rsidRPr="00DA258D">
        <w:rPr>
          <w:rFonts w:ascii="Times New Roman" w:hAnsi="Times New Roman" w:cs="Times New Roman"/>
          <w:sz w:val="24"/>
          <w:szCs w:val="24"/>
        </w:rPr>
        <w:t>These approaches encourage banks to create their own internal systems to rate risk with the help of regulators</w:t>
      </w:r>
      <w:r w:rsidR="00AE32AE">
        <w:rPr>
          <w:rFonts w:ascii="Times New Roman" w:hAnsi="Times New Roman" w:cs="Times New Roman"/>
          <w:sz w:val="24"/>
          <w:szCs w:val="24"/>
        </w:rPr>
        <w:t xml:space="preserve">. </w:t>
      </w:r>
    </w:p>
    <w:p w:rsidR="00BD3837" w:rsidRPr="002052AE" w:rsidRDefault="00A828FA" w:rsidP="00AD32A5">
      <w:pPr>
        <w:spacing w:line="360" w:lineRule="auto"/>
        <w:jc w:val="both"/>
        <w:rPr>
          <w:rFonts w:ascii="Times New Roman" w:hAnsi="Times New Roman" w:cs="Times New Roman"/>
          <w:sz w:val="24"/>
          <w:szCs w:val="24"/>
        </w:rPr>
      </w:pPr>
      <w:r w:rsidRPr="002052AE">
        <w:rPr>
          <w:rFonts w:ascii="Times New Roman" w:hAnsi="Times New Roman" w:cs="Times New Roman"/>
          <w:sz w:val="24"/>
          <w:szCs w:val="24"/>
        </w:rPr>
        <w:t xml:space="preserve">Banks that use Foundation IRB approach have to retain capital in possession for operational risk, equal to a fixed percentage of the average total income in the last three years and exclude the year in which </w:t>
      </w:r>
      <w:r w:rsidRPr="002052AE">
        <w:rPr>
          <w:rFonts w:ascii="Times New Roman" w:eastAsia="Times New Roman" w:hAnsi="Times New Roman" w:cs="Times New Roman"/>
          <w:sz w:val="24"/>
          <w:szCs w:val="24"/>
        </w:rPr>
        <w:t xml:space="preserve">the total income of the bank is zero or a loss, the average is calculated for the last two years. And if the bank has a loss for two or more years of the last three, the second pillar of the agreement would be applied which entitled the Supervisory Authorities to determine the retained Capital Requirements to cover </w:t>
      </w:r>
      <w:r w:rsidRPr="002052AE">
        <w:rPr>
          <w:rFonts w:ascii="Times New Roman" w:eastAsia="Times New Roman" w:hAnsi="Times New Roman" w:cs="Times New Roman"/>
          <w:sz w:val="24"/>
          <w:szCs w:val="24"/>
        </w:rPr>
        <w:lastRenderedPageBreak/>
        <w:t>operational risks</w:t>
      </w:r>
      <w:r w:rsidRPr="002052AE">
        <w:rPr>
          <w:rFonts w:ascii="Times New Roman" w:hAnsi="Times New Roman" w:cs="Times New Roman"/>
          <w:sz w:val="24"/>
          <w:szCs w:val="24"/>
        </w:rPr>
        <w:t xml:space="preserve"> </w:t>
      </w:r>
      <w:r w:rsidR="00446161" w:rsidRPr="002052AE">
        <w:rPr>
          <w:rFonts w:ascii="Times New Roman" w:hAnsi="Times New Roman" w:cs="Times New Roman"/>
          <w:sz w:val="24"/>
          <w:szCs w:val="24"/>
        </w:rPr>
        <w:t>(Balin, 2008</w:t>
      </w:r>
      <w:r w:rsidR="00801A87" w:rsidRPr="002052AE">
        <w:rPr>
          <w:rFonts w:ascii="Times New Roman" w:hAnsi="Times New Roman" w:cs="Times New Roman"/>
          <w:sz w:val="24"/>
          <w:szCs w:val="24"/>
        </w:rPr>
        <w:t>).</w:t>
      </w:r>
      <w:r w:rsidRPr="002052AE">
        <w:rPr>
          <w:rFonts w:ascii="Times New Roman" w:hAnsi="Times New Roman" w:cs="Times New Roman"/>
          <w:sz w:val="24"/>
          <w:szCs w:val="24"/>
        </w:rPr>
        <w:t xml:space="preserve"> </w:t>
      </w:r>
      <w:r w:rsidR="00BD3837" w:rsidRPr="002052AE">
        <w:rPr>
          <w:rFonts w:ascii="Times New Roman" w:hAnsi="Times New Roman" w:cs="Times New Roman"/>
          <w:sz w:val="24"/>
          <w:szCs w:val="24"/>
        </w:rPr>
        <w:t>According to banks that the Advanced IRB approach, the bank’s legal Capital equal to risk measures generated from the bank’s internal system to measure operational risks, using advances quantitative and qualitative measures under Regulatory Authority Approval.</w:t>
      </w:r>
    </w:p>
    <w:p w:rsidR="00375EDB" w:rsidRPr="002052AE" w:rsidRDefault="00375EDB" w:rsidP="00D36BE3">
      <w:pPr>
        <w:autoSpaceDE w:val="0"/>
        <w:autoSpaceDN w:val="0"/>
        <w:adjustRightInd w:val="0"/>
        <w:spacing w:after="0" w:line="360" w:lineRule="auto"/>
        <w:jc w:val="both"/>
        <w:rPr>
          <w:rFonts w:ascii="Times New Roman" w:hAnsi="Times New Roman" w:cs="Times New Roman"/>
          <w:sz w:val="24"/>
          <w:szCs w:val="24"/>
        </w:rPr>
      </w:pPr>
      <w:r w:rsidRPr="002052AE">
        <w:rPr>
          <w:rFonts w:ascii="Times New Roman" w:hAnsi="Times New Roman" w:cs="Times New Roman"/>
          <w:sz w:val="24"/>
          <w:szCs w:val="24"/>
        </w:rPr>
        <w:t xml:space="preserve">The use of the two IRB levels applies to corporate, sovereign and inter-bank exposures. For retail exposures only the </w:t>
      </w:r>
      <w:r w:rsidR="00AD32A5" w:rsidRPr="002052AE">
        <w:rPr>
          <w:rFonts w:ascii="Times New Roman" w:hAnsi="Times New Roman" w:cs="Times New Roman"/>
          <w:sz w:val="24"/>
          <w:szCs w:val="24"/>
        </w:rPr>
        <w:t>Advanced IRB approach applies.</w:t>
      </w:r>
      <w:r w:rsidRPr="002052AE">
        <w:rPr>
          <w:rFonts w:ascii="Times New Roman" w:hAnsi="Times New Roman" w:cs="Times New Roman"/>
          <w:sz w:val="24"/>
          <w:szCs w:val="24"/>
        </w:rPr>
        <w:t xml:space="preserve"> Retail exposures are divided into three primary categories: (1) exposures secured by residential mortgages, (2) qualifying revolving retail exposures (such as credit card relationships), and (3) other retail exposures. A separate risk weight is specified for each category.</w:t>
      </w:r>
    </w:p>
    <w:p w:rsidR="00A122C9" w:rsidRDefault="00AD32A5" w:rsidP="00A122C9">
      <w:pPr>
        <w:autoSpaceDE w:val="0"/>
        <w:autoSpaceDN w:val="0"/>
        <w:adjustRightInd w:val="0"/>
        <w:spacing w:after="0" w:line="360" w:lineRule="auto"/>
        <w:jc w:val="both"/>
        <w:rPr>
          <w:rFonts w:ascii="Times New Roman" w:hAnsi="Times New Roman" w:cs="Times New Roman"/>
          <w:sz w:val="24"/>
          <w:szCs w:val="24"/>
        </w:rPr>
      </w:pPr>
      <w:r w:rsidRPr="002052AE">
        <w:rPr>
          <w:rFonts w:ascii="Times New Roman" w:hAnsi="Times New Roman" w:cs="Times New Roman"/>
          <w:sz w:val="24"/>
          <w:szCs w:val="24"/>
        </w:rPr>
        <w:t>The Foundation and Advanced IRB approaches are based on four parameters, calculated by the bank’s internal methods</w:t>
      </w:r>
      <w:r w:rsidR="00220045" w:rsidRPr="002052AE">
        <w:rPr>
          <w:rFonts w:ascii="Times New Roman" w:hAnsi="Times New Roman" w:cs="Times New Roman"/>
          <w:sz w:val="24"/>
          <w:szCs w:val="24"/>
        </w:rPr>
        <w:t>.</w:t>
      </w:r>
      <w:r w:rsidR="000E088D" w:rsidRPr="002052AE">
        <w:rPr>
          <w:rFonts w:ascii="Times New Roman" w:hAnsi="Times New Roman" w:cs="Times New Roman"/>
          <w:sz w:val="24"/>
          <w:szCs w:val="24"/>
        </w:rPr>
        <w:t xml:space="preserve"> The four input parameters are summarized in Table</w:t>
      </w:r>
      <w:r w:rsidR="00446161" w:rsidRPr="002052AE">
        <w:rPr>
          <w:rFonts w:ascii="Times New Roman" w:hAnsi="Times New Roman" w:cs="Times New Roman"/>
          <w:sz w:val="24"/>
          <w:szCs w:val="24"/>
        </w:rPr>
        <w:t xml:space="preserve"> 2.6</w:t>
      </w:r>
      <w:r w:rsidR="00531E1B" w:rsidRPr="002052AE">
        <w:rPr>
          <w:rFonts w:ascii="Times New Roman" w:hAnsi="Times New Roman" w:cs="Times New Roman"/>
          <w:sz w:val="24"/>
          <w:szCs w:val="24"/>
        </w:rPr>
        <w:t>:</w:t>
      </w:r>
    </w:p>
    <w:p w:rsidR="00A122C9" w:rsidRPr="00A122C9" w:rsidRDefault="00A122C9" w:rsidP="00A122C9">
      <w:pPr>
        <w:autoSpaceDE w:val="0"/>
        <w:autoSpaceDN w:val="0"/>
        <w:adjustRightInd w:val="0"/>
        <w:spacing w:after="0" w:line="360" w:lineRule="auto"/>
        <w:jc w:val="both"/>
        <w:rPr>
          <w:rFonts w:ascii="Times New Roman" w:hAnsi="Times New Roman" w:cs="Times New Roman"/>
          <w:sz w:val="16"/>
          <w:szCs w:val="16"/>
        </w:rPr>
      </w:pPr>
    </w:p>
    <w:p w:rsidR="00531E1B" w:rsidRPr="003957CF" w:rsidRDefault="00531E1B" w:rsidP="004F754C">
      <w:pPr>
        <w:autoSpaceDE w:val="0"/>
        <w:autoSpaceDN w:val="0"/>
        <w:adjustRightInd w:val="0"/>
        <w:spacing w:after="0"/>
        <w:jc w:val="center"/>
        <w:rPr>
          <w:rFonts w:ascii="Times New Roman" w:hAnsi="Times New Roman" w:cs="Times New Roman"/>
          <w:b/>
          <w:bCs/>
          <w:color w:val="000000"/>
        </w:rPr>
      </w:pPr>
      <w:r w:rsidRPr="003957CF">
        <w:rPr>
          <w:rFonts w:ascii="Times New Roman" w:hAnsi="Times New Roman" w:cs="Times New Roman"/>
          <w:b/>
          <w:bCs/>
          <w:color w:val="000000"/>
        </w:rPr>
        <w:t xml:space="preserve">Table </w:t>
      </w:r>
      <w:r w:rsidR="00E214F9" w:rsidRPr="003957CF">
        <w:rPr>
          <w:rFonts w:ascii="Times New Roman" w:hAnsi="Times New Roman" w:cs="Times New Roman"/>
          <w:b/>
          <w:bCs/>
          <w:color w:val="000000"/>
        </w:rPr>
        <w:t>2.6</w:t>
      </w:r>
      <w:r w:rsidRPr="003957CF">
        <w:rPr>
          <w:rFonts w:ascii="Times New Roman" w:hAnsi="Times New Roman" w:cs="Times New Roman"/>
          <w:b/>
          <w:bCs/>
          <w:color w:val="000000"/>
        </w:rPr>
        <w:t>: Input Parameters for IRB Approaches to Credit Risk Measurement</w:t>
      </w:r>
    </w:p>
    <w:p w:rsidR="00531E1B" w:rsidRPr="00DA258D" w:rsidRDefault="00531E1B" w:rsidP="009F7B06">
      <w:pPr>
        <w:autoSpaceDE w:val="0"/>
        <w:autoSpaceDN w:val="0"/>
        <w:adjustRightInd w:val="0"/>
        <w:spacing w:after="0" w:line="360" w:lineRule="auto"/>
        <w:jc w:val="center"/>
        <w:rPr>
          <w:rFonts w:ascii="Times New Roman" w:hAnsi="Times New Roman" w:cs="Times New Roman"/>
          <w:color w:val="000000"/>
          <w:sz w:val="24"/>
          <w:szCs w:val="24"/>
        </w:rPr>
      </w:pPr>
      <w:r w:rsidRPr="009F7B06">
        <w:rPr>
          <w:rFonts w:ascii="Times New Roman" w:hAnsi="Times New Roman" w:cs="Times New Roman"/>
          <w:b/>
          <w:bCs/>
          <w:noProof/>
          <w:color w:val="000000"/>
          <w:sz w:val="24"/>
          <w:szCs w:val="24"/>
        </w:rPr>
        <w:drawing>
          <wp:inline distT="0" distB="0" distL="0" distR="0">
            <wp:extent cx="5356031" cy="139147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prstClr val="black"/>
                        <a:schemeClr val="accent1">
                          <a:tint val="45000"/>
                          <a:satMod val="400000"/>
                        </a:schemeClr>
                      </a:duotone>
                    </a:blip>
                    <a:srcRect/>
                    <a:stretch>
                      <a:fillRect/>
                    </a:stretch>
                  </pic:blipFill>
                  <pic:spPr bwMode="auto">
                    <a:xfrm>
                      <a:off x="0" y="0"/>
                      <a:ext cx="5358963" cy="1392240"/>
                    </a:xfrm>
                    <a:prstGeom prst="rect">
                      <a:avLst/>
                    </a:prstGeom>
                    <a:noFill/>
                    <a:ln w="9525">
                      <a:noFill/>
                      <a:miter lim="800000"/>
                      <a:headEnd/>
                      <a:tailEnd/>
                    </a:ln>
                  </pic:spPr>
                </pic:pic>
              </a:graphicData>
            </a:graphic>
          </wp:inline>
        </w:drawing>
      </w:r>
    </w:p>
    <w:p w:rsidR="00531E1B" w:rsidRDefault="00531E1B" w:rsidP="001A617E">
      <w:pPr>
        <w:autoSpaceDE w:val="0"/>
        <w:autoSpaceDN w:val="0"/>
        <w:adjustRightInd w:val="0"/>
        <w:spacing w:after="0" w:line="360" w:lineRule="auto"/>
        <w:jc w:val="center"/>
        <w:rPr>
          <w:rFonts w:ascii="Times New Roman" w:hAnsi="Times New Roman" w:cs="Times New Roman"/>
          <w:color w:val="000000"/>
          <w:sz w:val="20"/>
          <w:szCs w:val="20"/>
        </w:rPr>
      </w:pPr>
      <w:r w:rsidRPr="00C12167">
        <w:rPr>
          <w:rFonts w:ascii="Times New Roman" w:hAnsi="Times New Roman" w:cs="Times New Roman"/>
          <w:color w:val="000000"/>
          <w:sz w:val="20"/>
          <w:szCs w:val="20"/>
        </w:rPr>
        <w:t xml:space="preserve">Source: </w:t>
      </w:r>
      <w:r w:rsidR="004953D2" w:rsidRPr="00C12167">
        <w:rPr>
          <w:rFonts w:ascii="Times New Roman" w:hAnsi="Times New Roman" w:cs="Times New Roman"/>
          <w:sz w:val="20"/>
          <w:szCs w:val="20"/>
        </w:rPr>
        <w:t>Sherwood Associates Limite</w:t>
      </w:r>
      <w:r w:rsidR="00721BF0" w:rsidRPr="00C12167">
        <w:rPr>
          <w:rFonts w:ascii="Times New Roman" w:hAnsi="Times New Roman" w:cs="Times New Roman"/>
          <w:sz w:val="20"/>
          <w:szCs w:val="20"/>
        </w:rPr>
        <w:t>d and I</w:t>
      </w:r>
      <w:r w:rsidR="00446161" w:rsidRPr="00C12167">
        <w:rPr>
          <w:rFonts w:ascii="Times New Roman" w:hAnsi="Times New Roman" w:cs="Times New Roman"/>
          <w:sz w:val="20"/>
          <w:szCs w:val="20"/>
        </w:rPr>
        <w:t>d</w:t>
      </w:r>
      <w:r w:rsidR="00721BF0" w:rsidRPr="00C12167">
        <w:rPr>
          <w:rFonts w:ascii="Times New Roman" w:hAnsi="Times New Roman" w:cs="Times New Roman"/>
          <w:sz w:val="20"/>
          <w:szCs w:val="20"/>
        </w:rPr>
        <w:t xml:space="preserve"> </w:t>
      </w:r>
      <w:r w:rsidR="00446161" w:rsidRPr="00C12167">
        <w:rPr>
          <w:rFonts w:ascii="Times New Roman" w:hAnsi="Times New Roman" w:cs="Times New Roman"/>
          <w:sz w:val="20"/>
          <w:szCs w:val="20"/>
        </w:rPr>
        <w:t>Risk Limited (2004</w:t>
      </w:r>
      <w:r w:rsidR="004953D2" w:rsidRPr="00C12167">
        <w:rPr>
          <w:rFonts w:ascii="Times New Roman" w:hAnsi="Times New Roman" w:cs="Times New Roman"/>
          <w:sz w:val="20"/>
          <w:szCs w:val="20"/>
        </w:rPr>
        <w:t>).</w:t>
      </w:r>
    </w:p>
    <w:p w:rsidR="00A122C9" w:rsidRPr="00C12167" w:rsidRDefault="00A122C9" w:rsidP="001A617E">
      <w:pPr>
        <w:autoSpaceDE w:val="0"/>
        <w:autoSpaceDN w:val="0"/>
        <w:adjustRightInd w:val="0"/>
        <w:spacing w:after="0" w:line="360" w:lineRule="auto"/>
        <w:jc w:val="center"/>
        <w:rPr>
          <w:rFonts w:ascii="Times New Roman" w:hAnsi="Times New Roman" w:cs="Times New Roman"/>
          <w:color w:val="000000"/>
          <w:sz w:val="20"/>
          <w:szCs w:val="20"/>
        </w:rPr>
      </w:pPr>
    </w:p>
    <w:p w:rsidR="005E3EE6" w:rsidRPr="00DA258D" w:rsidRDefault="00EB2E81" w:rsidP="00EB2E81">
      <w:pPr>
        <w:autoSpaceDE w:val="0"/>
        <w:autoSpaceDN w:val="0"/>
        <w:adjustRightInd w:val="0"/>
        <w:spacing w:after="0" w:line="360" w:lineRule="auto"/>
        <w:rPr>
          <w:rFonts w:ascii="Times New Roman" w:hAnsi="Times New Roman" w:cs="Times New Roman"/>
          <w:b/>
          <w:sz w:val="24"/>
          <w:szCs w:val="24"/>
        </w:rPr>
      </w:pPr>
      <w:r w:rsidRPr="00DA258D">
        <w:rPr>
          <w:rFonts w:ascii="Times New Roman" w:hAnsi="Times New Roman" w:cs="Times New Roman"/>
          <w:b/>
          <w:sz w:val="24"/>
          <w:szCs w:val="24"/>
        </w:rPr>
        <w:t>1) Probability</w:t>
      </w:r>
      <w:r w:rsidR="00D768D6" w:rsidRPr="00DA258D">
        <w:rPr>
          <w:rFonts w:ascii="Times New Roman" w:hAnsi="Times New Roman" w:cs="Times New Roman"/>
          <w:b/>
          <w:sz w:val="24"/>
          <w:szCs w:val="24"/>
        </w:rPr>
        <w:t xml:space="preserve"> of Default (PD)  </w:t>
      </w:r>
    </w:p>
    <w:p w:rsidR="008840F6" w:rsidRPr="00AD32A5" w:rsidRDefault="00AD32A5" w:rsidP="00AD32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Credit risk can be defined as the loss that results from borrower’s inability to repay the loan. A major </w:t>
      </w:r>
      <w:r w:rsidRPr="00DA258D">
        <w:rPr>
          <w:rFonts w:ascii="Times New Roman" w:hAnsi="Times New Roman" w:cs="Times New Roman"/>
          <w:sz w:val="24"/>
          <w:szCs w:val="24"/>
        </w:rPr>
        <w:t>cornerstone</w:t>
      </w:r>
      <w:r>
        <w:rPr>
          <w:rFonts w:ascii="Times New Roman" w:hAnsi="Times New Roman" w:cs="Times New Roman"/>
          <w:sz w:val="24"/>
          <w:szCs w:val="24"/>
        </w:rPr>
        <w:t xml:space="preserve"> in the credit risk modeling is </w:t>
      </w:r>
      <w:r w:rsidRPr="00DA258D">
        <w:rPr>
          <w:rFonts w:ascii="Times New Roman" w:hAnsi="Times New Roman" w:cs="Times New Roman"/>
          <w:sz w:val="24"/>
          <w:szCs w:val="24"/>
        </w:rPr>
        <w:t>the probability of default</w:t>
      </w:r>
      <w:r>
        <w:rPr>
          <w:rFonts w:ascii="Times New Roman" w:hAnsi="Times New Roman" w:cs="Times New Roman"/>
          <w:sz w:val="24"/>
          <w:szCs w:val="24"/>
        </w:rPr>
        <w:t xml:space="preserve">. </w:t>
      </w:r>
      <w:r w:rsidRPr="00DA258D">
        <w:rPr>
          <w:rFonts w:ascii="Times New Roman" w:hAnsi="Times New Roman" w:cs="Times New Roman"/>
          <w:sz w:val="24"/>
          <w:szCs w:val="24"/>
        </w:rPr>
        <w:t xml:space="preserve">“The probability of default (PD) per rating grade represents the average percentage of obligors that default in this rating </w:t>
      </w:r>
      <w:r w:rsidR="002201A5">
        <w:rPr>
          <w:rFonts w:ascii="Times New Roman" w:hAnsi="Times New Roman" w:cs="Times New Roman"/>
          <w:sz w:val="24"/>
          <w:szCs w:val="24"/>
        </w:rPr>
        <w:t>grade in the course of one year” (</w:t>
      </w:r>
      <w:r w:rsidR="00446161">
        <w:rPr>
          <w:rFonts w:ascii="Times New Roman" w:hAnsi="Times New Roman" w:cs="Times New Roman"/>
          <w:sz w:val="24"/>
          <w:szCs w:val="24"/>
        </w:rPr>
        <w:t>Basel, 2006</w:t>
      </w:r>
      <w:r w:rsidR="00314D5C" w:rsidRPr="00DA258D">
        <w:rPr>
          <w:rFonts w:ascii="Times New Roman" w:hAnsi="Times New Roman" w:cs="Times New Roman"/>
          <w:sz w:val="24"/>
          <w:szCs w:val="24"/>
        </w:rPr>
        <w:t>)</w:t>
      </w:r>
      <w:r w:rsidR="00D768D6" w:rsidRPr="00DA258D">
        <w:rPr>
          <w:rFonts w:ascii="Times New Roman" w:hAnsi="Times New Roman" w:cs="Times New Roman"/>
          <w:sz w:val="24"/>
          <w:szCs w:val="24"/>
        </w:rPr>
        <w:t>.</w:t>
      </w:r>
      <w:r w:rsidR="00207992" w:rsidRPr="00DA258D">
        <w:rPr>
          <w:rFonts w:ascii="Times New Roman" w:hAnsi="Times New Roman" w:cs="Times New Roman"/>
          <w:sz w:val="24"/>
          <w:szCs w:val="24"/>
        </w:rPr>
        <w:t xml:space="preserve"> In other words (PD) is the likelihood of a default (a loan will not be </w:t>
      </w:r>
      <w:r w:rsidR="00CB57FE" w:rsidRPr="00DA258D">
        <w:rPr>
          <w:rFonts w:ascii="Times New Roman" w:hAnsi="Times New Roman" w:cs="Times New Roman"/>
          <w:sz w:val="24"/>
          <w:szCs w:val="24"/>
        </w:rPr>
        <w:t>repaid</w:t>
      </w:r>
      <w:r w:rsidR="00207992" w:rsidRPr="00DA258D">
        <w:rPr>
          <w:rFonts w:ascii="Times New Roman" w:hAnsi="Times New Roman" w:cs="Times New Roman"/>
          <w:sz w:val="24"/>
          <w:szCs w:val="24"/>
        </w:rPr>
        <w:t xml:space="preserve"> and fall</w:t>
      </w:r>
      <w:r w:rsidR="00A122C9">
        <w:rPr>
          <w:rFonts w:ascii="Times New Roman" w:hAnsi="Times New Roman" w:cs="Times New Roman"/>
          <w:sz w:val="24"/>
          <w:szCs w:val="24"/>
        </w:rPr>
        <w:t>s</w:t>
      </w:r>
      <w:r w:rsidR="00207992" w:rsidRPr="00DA258D">
        <w:rPr>
          <w:rFonts w:ascii="Times New Roman" w:hAnsi="Times New Roman" w:cs="Times New Roman"/>
          <w:sz w:val="24"/>
          <w:szCs w:val="24"/>
        </w:rPr>
        <w:t xml:space="preserve"> into default) over a particular time horizon.</w:t>
      </w:r>
      <w:r w:rsidR="00077AB1" w:rsidRPr="00DA258D">
        <w:rPr>
          <w:rFonts w:ascii="Times New Roman" w:hAnsi="Times New Roman" w:cs="Times New Roman"/>
          <w:sz w:val="24"/>
          <w:szCs w:val="24"/>
        </w:rPr>
        <w:t xml:space="preserve"> </w:t>
      </w:r>
      <w:r w:rsidR="004633C2" w:rsidRPr="00DA258D">
        <w:rPr>
          <w:rFonts w:ascii="Times New Roman" w:hAnsi="Times New Roman" w:cs="Times New Roman"/>
          <w:color w:val="000000"/>
          <w:sz w:val="24"/>
          <w:szCs w:val="24"/>
        </w:rPr>
        <w:t>Generally speaking, the higher the default probability a lender estimates a borrower to have, the higher the interest rate the lender will charge the borrower (as compensation for bearing higher default risk).</w:t>
      </w:r>
    </w:p>
    <w:p w:rsidR="00CB7A86" w:rsidRPr="00DA258D" w:rsidRDefault="008840F6" w:rsidP="00446161">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lastRenderedPageBreak/>
        <w:t>Many methods are used to estimate the probability that a borrower will default. There are three main approaches to estimate an obligor’s probability of default:</w:t>
      </w:r>
    </w:p>
    <w:p w:rsidR="00CB7A86" w:rsidRPr="00DA258D" w:rsidRDefault="00CB7A86" w:rsidP="00F873C9">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Internal default experience (the analysis of borrower’s financial statements can highlight problems of cash flows, profitability and liquidity, that can provide an early signs of default probability.</w:t>
      </w:r>
    </w:p>
    <w:p w:rsidR="00CB7A86" w:rsidRPr="00DA258D" w:rsidRDefault="00CB7A86" w:rsidP="00F873C9">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External rating.</w:t>
      </w:r>
    </w:p>
    <w:p w:rsidR="00B306D3" w:rsidRPr="00DA258D" w:rsidRDefault="00CB7A86" w:rsidP="00F873C9">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 xml:space="preserve">Market prices (models based on market prices and </w:t>
      </w:r>
      <w:r w:rsidR="00B306D3" w:rsidRPr="00DA258D">
        <w:rPr>
          <w:rFonts w:ascii="Times New Roman" w:hAnsi="Times New Roman" w:cs="Times New Roman"/>
          <w:sz w:val="24"/>
          <w:szCs w:val="24"/>
        </w:rPr>
        <w:t>the market value of the borrower’s equity are used to measure PDs.</w:t>
      </w:r>
    </w:p>
    <w:p w:rsidR="00E07137" w:rsidRPr="00DA258D" w:rsidRDefault="00B306D3" w:rsidP="00446161">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In the calculation of</w:t>
      </w:r>
      <w:r w:rsidR="00642286" w:rsidRPr="00DA258D">
        <w:rPr>
          <w:rFonts w:ascii="Times New Roman" w:hAnsi="Times New Roman" w:cs="Times New Roman"/>
          <w:sz w:val="24"/>
          <w:szCs w:val="24"/>
        </w:rPr>
        <w:t xml:space="preserve"> the PDs </w:t>
      </w:r>
      <w:r w:rsidR="00A26A96" w:rsidRPr="00DA258D">
        <w:rPr>
          <w:rFonts w:ascii="Times New Roman" w:hAnsi="Times New Roman" w:cs="Times New Roman"/>
          <w:sz w:val="24"/>
          <w:szCs w:val="24"/>
        </w:rPr>
        <w:t xml:space="preserve">for the borrower or the counterparty some aspects should be taken into consideration by the bank or a lender such as, </w:t>
      </w:r>
      <w:r w:rsidR="00642286" w:rsidRPr="00DA258D">
        <w:rPr>
          <w:rFonts w:ascii="Times New Roman" w:hAnsi="Times New Roman" w:cs="Times New Roman"/>
          <w:sz w:val="24"/>
          <w:szCs w:val="24"/>
        </w:rPr>
        <w:t>the historical data, risk pr</w:t>
      </w:r>
      <w:r w:rsidR="004633C2" w:rsidRPr="00DA258D">
        <w:rPr>
          <w:rFonts w:ascii="Times New Roman" w:hAnsi="Times New Roman" w:cs="Times New Roman"/>
          <w:sz w:val="24"/>
          <w:szCs w:val="24"/>
        </w:rPr>
        <w:t>ofile &amp; nature of investment,</w:t>
      </w:r>
      <w:r w:rsidR="00642286" w:rsidRPr="00DA258D">
        <w:rPr>
          <w:rFonts w:ascii="Times New Roman" w:hAnsi="Times New Roman" w:cs="Times New Roman"/>
          <w:sz w:val="24"/>
          <w:szCs w:val="24"/>
        </w:rPr>
        <w:t xml:space="preserve"> financing of counterparty</w:t>
      </w:r>
      <w:r w:rsidR="004633C2" w:rsidRPr="00DA258D">
        <w:rPr>
          <w:rFonts w:ascii="Times New Roman" w:hAnsi="Times New Roman" w:cs="Times New Roman"/>
          <w:sz w:val="24"/>
          <w:szCs w:val="24"/>
        </w:rPr>
        <w:t xml:space="preserve"> and business cycle</w:t>
      </w:r>
      <w:r w:rsidR="00A26A96" w:rsidRPr="00DA258D">
        <w:rPr>
          <w:rFonts w:ascii="Times New Roman" w:hAnsi="Times New Roman" w:cs="Times New Roman"/>
          <w:sz w:val="24"/>
          <w:szCs w:val="24"/>
        </w:rPr>
        <w:t>.</w:t>
      </w:r>
    </w:p>
    <w:p w:rsidR="0008712E" w:rsidRPr="00DA258D" w:rsidRDefault="00EB2E81" w:rsidP="00446161">
      <w:pPr>
        <w:autoSpaceDE w:val="0"/>
        <w:autoSpaceDN w:val="0"/>
        <w:adjustRightInd w:val="0"/>
        <w:spacing w:after="0" w:line="360" w:lineRule="auto"/>
        <w:jc w:val="both"/>
        <w:rPr>
          <w:rFonts w:ascii="Times New Roman" w:hAnsi="Times New Roman" w:cs="Times New Roman"/>
          <w:b/>
          <w:sz w:val="24"/>
          <w:szCs w:val="24"/>
        </w:rPr>
      </w:pPr>
      <w:r w:rsidRPr="00DA258D">
        <w:rPr>
          <w:rFonts w:ascii="Times New Roman" w:hAnsi="Times New Roman" w:cs="Times New Roman"/>
          <w:b/>
          <w:sz w:val="24"/>
          <w:szCs w:val="24"/>
        </w:rPr>
        <w:t>2) Loss</w:t>
      </w:r>
      <w:r w:rsidR="0008712E" w:rsidRPr="00DA258D">
        <w:rPr>
          <w:rFonts w:ascii="Times New Roman" w:hAnsi="Times New Roman" w:cs="Times New Roman"/>
          <w:b/>
          <w:sz w:val="24"/>
          <w:szCs w:val="24"/>
        </w:rPr>
        <w:t xml:space="preserve"> Given Default (LGD)</w:t>
      </w:r>
    </w:p>
    <w:p w:rsidR="00B154F3" w:rsidRPr="00A122C9" w:rsidRDefault="005D33EF" w:rsidP="00A122C9">
      <w:pPr>
        <w:spacing w:line="360" w:lineRule="auto"/>
        <w:contextualSpacing/>
        <w:jc w:val="both"/>
        <w:rPr>
          <w:rFonts w:asciiTheme="majorBidi" w:hAnsiTheme="majorBidi" w:cstheme="majorBidi"/>
          <w:sz w:val="24"/>
          <w:szCs w:val="24"/>
          <w:lang w:bidi="ar-JO"/>
        </w:rPr>
      </w:pPr>
      <w:r>
        <w:rPr>
          <w:rFonts w:ascii="Times New Roman" w:hAnsi="Times New Roman" w:cs="Times New Roman"/>
          <w:sz w:val="24"/>
          <w:szCs w:val="24"/>
        </w:rPr>
        <w:t xml:space="preserve">LGD </w:t>
      </w:r>
      <w:r w:rsidR="004D1834">
        <w:rPr>
          <w:rFonts w:asciiTheme="majorBidi" w:hAnsiTheme="majorBidi" w:cstheme="majorBidi"/>
          <w:sz w:val="24"/>
          <w:szCs w:val="24"/>
          <w:lang w:bidi="ar-JO"/>
        </w:rPr>
        <w:t>i</w:t>
      </w:r>
      <w:r>
        <w:rPr>
          <w:rFonts w:asciiTheme="majorBidi" w:hAnsiTheme="majorBidi" w:cstheme="majorBidi"/>
          <w:sz w:val="24"/>
          <w:szCs w:val="24"/>
          <w:lang w:bidi="ar-JO"/>
        </w:rPr>
        <w:t>s a measure of the value of</w:t>
      </w:r>
      <w:r w:rsidRPr="001E145F">
        <w:rPr>
          <w:rFonts w:asciiTheme="majorBidi" w:hAnsiTheme="majorBidi" w:cstheme="majorBidi"/>
          <w:sz w:val="24"/>
          <w:szCs w:val="24"/>
          <w:lang w:bidi="ar-JO"/>
        </w:rPr>
        <w:t xml:space="preserve"> loss in the investment portfolio that </w:t>
      </w:r>
      <w:r w:rsidR="00C30EE8" w:rsidRPr="001E145F">
        <w:rPr>
          <w:rFonts w:asciiTheme="majorBidi" w:hAnsiTheme="majorBidi" w:cstheme="majorBidi"/>
          <w:sz w:val="24"/>
          <w:szCs w:val="24"/>
          <w:lang w:bidi="ar-JO"/>
        </w:rPr>
        <w:t>accompanies</w:t>
      </w:r>
      <w:r w:rsidRPr="001E145F">
        <w:rPr>
          <w:rFonts w:asciiTheme="majorBidi" w:hAnsiTheme="majorBidi" w:cstheme="majorBidi"/>
          <w:sz w:val="24"/>
          <w:szCs w:val="24"/>
          <w:lang w:bidi="ar-JO"/>
        </w:rPr>
        <w:t xml:space="preserve"> the occurrence of </w:t>
      </w:r>
      <w:r w:rsidR="00C30EE8" w:rsidRPr="001E145F">
        <w:rPr>
          <w:rFonts w:asciiTheme="majorBidi" w:hAnsiTheme="majorBidi" w:cstheme="majorBidi"/>
          <w:sz w:val="24"/>
          <w:szCs w:val="24"/>
          <w:lang w:bidi="ar-JO"/>
        </w:rPr>
        <w:t>tripping</w:t>
      </w:r>
      <w:r w:rsidR="00C30EE8">
        <w:rPr>
          <w:rFonts w:asciiTheme="majorBidi" w:hAnsiTheme="majorBidi" w:cstheme="majorBidi"/>
          <w:sz w:val="24"/>
          <w:szCs w:val="24"/>
          <w:lang w:bidi="ar-JO"/>
        </w:rPr>
        <w:t xml:space="preserve"> </w:t>
      </w:r>
      <w:r w:rsidR="00C30EE8">
        <w:rPr>
          <w:rFonts w:ascii="Times New Roman" w:hAnsi="Times New Roman" w:cs="Times New Roman"/>
          <w:sz w:val="24"/>
          <w:szCs w:val="24"/>
        </w:rPr>
        <w:t>(</w:t>
      </w:r>
      <w:r w:rsidR="00446161">
        <w:rPr>
          <w:rFonts w:ascii="Times New Roman" w:hAnsi="Times New Roman" w:cs="Times New Roman"/>
          <w:sz w:val="24"/>
          <w:szCs w:val="24"/>
        </w:rPr>
        <w:t>Basel, 2001</w:t>
      </w:r>
      <w:r w:rsidR="00C30EE8">
        <w:rPr>
          <w:rFonts w:ascii="Times New Roman" w:hAnsi="Times New Roman" w:cs="Times New Roman"/>
          <w:sz w:val="24"/>
          <w:szCs w:val="24"/>
        </w:rPr>
        <w:t>). In other words</w:t>
      </w:r>
      <w:r w:rsidR="00A83A30" w:rsidRPr="00DA258D">
        <w:rPr>
          <w:rFonts w:ascii="Times New Roman" w:hAnsi="Times New Roman" w:cs="Times New Roman"/>
          <w:sz w:val="24"/>
          <w:szCs w:val="24"/>
        </w:rPr>
        <w:t xml:space="preserve"> </w:t>
      </w:r>
      <w:r>
        <w:rPr>
          <w:rFonts w:asciiTheme="majorBidi" w:hAnsiTheme="majorBidi" w:cstheme="majorBidi"/>
          <w:sz w:val="24"/>
          <w:szCs w:val="24"/>
          <w:lang w:bidi="ar-JO"/>
        </w:rPr>
        <w:t xml:space="preserve">LGD is the possible size of loss on the exposure, </w:t>
      </w:r>
      <w:r w:rsidRPr="00DA258D">
        <w:rPr>
          <w:rFonts w:ascii="Times New Roman" w:hAnsi="Times New Roman" w:cs="Times New Roman"/>
          <w:sz w:val="24"/>
          <w:szCs w:val="24"/>
        </w:rPr>
        <w:t>expressed as a percentage of the exposure</w:t>
      </w:r>
      <w:r w:rsidR="00A122C9">
        <w:rPr>
          <w:rFonts w:asciiTheme="majorBidi" w:hAnsiTheme="majorBidi" w:cstheme="majorBidi"/>
          <w:sz w:val="24"/>
          <w:szCs w:val="24"/>
          <w:lang w:bidi="ar-JO"/>
        </w:rPr>
        <w:t xml:space="preserve">. </w:t>
      </w:r>
      <w:r w:rsidR="00A83A30" w:rsidRPr="00DA258D">
        <w:rPr>
          <w:rFonts w:ascii="Times New Roman" w:hAnsi="Times New Roman" w:cs="Times New Roman"/>
          <w:sz w:val="24"/>
          <w:szCs w:val="24"/>
        </w:rPr>
        <w:t>Loss Given Default is</w:t>
      </w:r>
      <w:r w:rsidR="00B154F3">
        <w:rPr>
          <w:rFonts w:ascii="Times New Roman" w:hAnsi="Times New Roman" w:cs="Times New Roman"/>
          <w:sz w:val="24"/>
          <w:szCs w:val="24"/>
        </w:rPr>
        <w:t xml:space="preserve"> determined in one of two ways:</w:t>
      </w:r>
    </w:p>
    <w:p w:rsidR="00A83A30" w:rsidRPr="00764165" w:rsidRDefault="00764165" w:rsidP="007641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A83A30" w:rsidRPr="00764165">
        <w:rPr>
          <w:rFonts w:ascii="Times New Roman" w:hAnsi="Times New Roman" w:cs="Times New Roman"/>
          <w:sz w:val="24"/>
          <w:szCs w:val="24"/>
        </w:rPr>
        <w:t>Under the foundation methodology,</w:t>
      </w:r>
      <w:r w:rsidR="00B154F3" w:rsidRPr="00764165">
        <w:rPr>
          <w:rFonts w:ascii="Times New Roman" w:hAnsi="Times New Roman" w:cs="Times New Roman"/>
          <w:sz w:val="24"/>
          <w:szCs w:val="24"/>
        </w:rPr>
        <w:t xml:space="preserve"> Supervisory Authority impose specific percentage of losses that may arise from the borrowers failure in the repayment capacity.</w:t>
      </w:r>
      <w:r w:rsidR="00561DF9" w:rsidRPr="00764165">
        <w:rPr>
          <w:rFonts w:ascii="Times New Roman" w:hAnsi="Times New Roman" w:cs="Times New Roman"/>
          <w:sz w:val="24"/>
          <w:szCs w:val="24"/>
        </w:rPr>
        <w:t xml:space="preserve"> In determining the percentage of losses, </w:t>
      </w:r>
      <w:r w:rsidR="00C30EE8" w:rsidRPr="00764165">
        <w:rPr>
          <w:rFonts w:ascii="Times New Roman" w:hAnsi="Times New Roman" w:cs="Times New Roman"/>
          <w:sz w:val="24"/>
          <w:szCs w:val="24"/>
        </w:rPr>
        <w:t>the banks</w:t>
      </w:r>
      <w:r w:rsidR="00561DF9" w:rsidRPr="00764165">
        <w:rPr>
          <w:rFonts w:ascii="Times New Roman" w:hAnsi="Times New Roman" w:cs="Times New Roman"/>
          <w:sz w:val="24"/>
          <w:szCs w:val="24"/>
        </w:rPr>
        <w:t xml:space="preserve"> should take into account collateral </w:t>
      </w:r>
      <w:r w:rsidR="00C30EE8" w:rsidRPr="00764165">
        <w:rPr>
          <w:rFonts w:ascii="Times New Roman" w:hAnsi="Times New Roman" w:cs="Times New Roman"/>
          <w:sz w:val="24"/>
          <w:szCs w:val="24"/>
        </w:rPr>
        <w:t>value, which</w:t>
      </w:r>
      <w:r w:rsidR="00561DF9" w:rsidRPr="00764165">
        <w:rPr>
          <w:rFonts w:ascii="Times New Roman" w:hAnsi="Times New Roman" w:cs="Times New Roman"/>
          <w:sz w:val="24"/>
          <w:szCs w:val="24"/>
        </w:rPr>
        <w:t xml:space="preserve"> the bank can liquidate in case of </w:t>
      </w:r>
      <w:r w:rsidR="00C30EE8" w:rsidRPr="00764165">
        <w:rPr>
          <w:rFonts w:ascii="Times New Roman" w:hAnsi="Times New Roman" w:cs="Times New Roman"/>
          <w:sz w:val="24"/>
          <w:szCs w:val="24"/>
        </w:rPr>
        <w:t>borrower’s</w:t>
      </w:r>
      <w:r w:rsidR="00561DF9" w:rsidRPr="00764165">
        <w:rPr>
          <w:rFonts w:ascii="Times New Roman" w:hAnsi="Times New Roman" w:cs="Times New Roman"/>
          <w:sz w:val="24"/>
          <w:szCs w:val="24"/>
        </w:rPr>
        <w:t xml:space="preserve"> failure (Basel, 2001).</w:t>
      </w:r>
    </w:p>
    <w:p w:rsidR="00764165" w:rsidRDefault="00561DF9" w:rsidP="00764165">
      <w:pPr>
        <w:spacing w:line="360" w:lineRule="auto"/>
        <w:contextualSpacing/>
        <w:jc w:val="both"/>
        <w:rPr>
          <w:rFonts w:asciiTheme="majorBidi" w:hAnsiTheme="majorBidi" w:cstheme="majorBidi"/>
          <w:sz w:val="24"/>
          <w:szCs w:val="24"/>
          <w:lang w:bidi="ar-JO"/>
        </w:rPr>
      </w:pPr>
      <w:r>
        <w:rPr>
          <w:rFonts w:ascii="Times New Roman" w:hAnsi="Times New Roman" w:cs="Times New Roman"/>
          <w:sz w:val="24"/>
          <w:szCs w:val="24"/>
        </w:rPr>
        <w:t>2-</w:t>
      </w:r>
      <w:r w:rsidR="00764165">
        <w:rPr>
          <w:rFonts w:ascii="Times New Roman" w:hAnsi="Times New Roman" w:cs="Times New Roman"/>
          <w:sz w:val="24"/>
          <w:szCs w:val="24"/>
        </w:rPr>
        <w:t xml:space="preserve"> </w:t>
      </w:r>
      <w:r>
        <w:rPr>
          <w:rFonts w:ascii="Times New Roman" w:hAnsi="Times New Roman" w:cs="Times New Roman"/>
          <w:sz w:val="24"/>
          <w:szCs w:val="24"/>
        </w:rPr>
        <w:t xml:space="preserve">Under the advanced methodology, the bank determines the losses arise from the borrowers failure </w:t>
      </w:r>
      <w:r w:rsidR="00543699">
        <w:rPr>
          <w:rFonts w:ascii="Times New Roman" w:hAnsi="Times New Roman" w:cs="Times New Roman"/>
          <w:sz w:val="24"/>
          <w:szCs w:val="24"/>
        </w:rPr>
        <w:t>for each loan individually</w:t>
      </w:r>
      <w:r w:rsidR="00764165">
        <w:rPr>
          <w:rFonts w:ascii="Times New Roman" w:hAnsi="Times New Roman" w:cs="Times New Roman"/>
          <w:sz w:val="24"/>
          <w:szCs w:val="24"/>
        </w:rPr>
        <w:t xml:space="preserve">, </w:t>
      </w:r>
      <w:r w:rsidR="00764165">
        <w:rPr>
          <w:rFonts w:asciiTheme="majorBidi" w:hAnsiTheme="majorBidi" w:cstheme="majorBidi"/>
          <w:sz w:val="24"/>
          <w:szCs w:val="24"/>
          <w:lang w:bidi="ar-JO"/>
        </w:rPr>
        <w:t xml:space="preserve">taking into account in calculating the size of loss that may result from non-payment (borrowers default) to use its own estimates, and be ready to meet the capital requirements </w:t>
      </w:r>
      <w:r w:rsidR="00764165" w:rsidRPr="002D6B5D">
        <w:rPr>
          <w:rFonts w:ascii="Times New Roman" w:hAnsi="Times New Roman" w:cs="Times New Roman"/>
          <w:sz w:val="24"/>
          <w:szCs w:val="24"/>
        </w:rPr>
        <w:t>at the discretion of the regulatory</w:t>
      </w:r>
      <w:r w:rsidR="00764165">
        <w:rPr>
          <w:rFonts w:asciiTheme="majorBidi" w:hAnsiTheme="majorBidi" w:cstheme="majorBidi"/>
          <w:sz w:val="24"/>
          <w:szCs w:val="24"/>
          <w:lang w:bidi="ar-JO"/>
        </w:rPr>
        <w:t xml:space="preserve"> authorities. The size of losses for granted facilities is measured by the size of the principal (basic loan) minus the present value of </w:t>
      </w:r>
      <w:r w:rsidR="00764165" w:rsidRPr="00A71A0A">
        <w:rPr>
          <w:rFonts w:asciiTheme="majorBidi" w:hAnsiTheme="majorBidi" w:cstheme="majorBidi"/>
          <w:sz w:val="24"/>
          <w:szCs w:val="24"/>
          <w:lang w:bidi="ar-JO"/>
        </w:rPr>
        <w:t>recoveries of</w:t>
      </w:r>
      <w:r w:rsidR="00764165">
        <w:rPr>
          <w:rFonts w:asciiTheme="majorBidi" w:hAnsiTheme="majorBidi" w:cstheme="majorBidi"/>
          <w:sz w:val="24"/>
          <w:szCs w:val="24"/>
          <w:lang w:bidi="ar-JO"/>
        </w:rPr>
        <w:t xml:space="preserve"> the</w:t>
      </w:r>
      <w:r w:rsidR="00764165" w:rsidRPr="00A71A0A">
        <w:rPr>
          <w:rFonts w:asciiTheme="majorBidi" w:hAnsiTheme="majorBidi" w:cstheme="majorBidi"/>
          <w:sz w:val="24"/>
          <w:szCs w:val="24"/>
          <w:lang w:bidi="ar-JO"/>
        </w:rPr>
        <w:t xml:space="preserve"> loan</w:t>
      </w:r>
      <w:r w:rsidR="00764165">
        <w:rPr>
          <w:rFonts w:asciiTheme="majorBidi" w:hAnsiTheme="majorBidi" w:cstheme="majorBidi"/>
          <w:sz w:val="24"/>
          <w:szCs w:val="24"/>
          <w:lang w:bidi="ar-JO"/>
        </w:rPr>
        <w:t>.</w:t>
      </w:r>
    </w:p>
    <w:p w:rsidR="00DA29D3" w:rsidRPr="00DA258D" w:rsidRDefault="00EB2E81" w:rsidP="00EB2E81">
      <w:pPr>
        <w:autoSpaceDE w:val="0"/>
        <w:autoSpaceDN w:val="0"/>
        <w:adjustRightInd w:val="0"/>
        <w:spacing w:after="0" w:line="360" w:lineRule="auto"/>
        <w:contextualSpacing/>
        <w:rPr>
          <w:rFonts w:ascii="Times New Roman" w:hAnsi="Times New Roman" w:cs="Times New Roman"/>
          <w:b/>
          <w:sz w:val="24"/>
          <w:szCs w:val="24"/>
        </w:rPr>
      </w:pPr>
      <w:r w:rsidRPr="00DA258D">
        <w:rPr>
          <w:rFonts w:ascii="Times New Roman" w:hAnsi="Times New Roman" w:cs="Times New Roman"/>
          <w:b/>
          <w:sz w:val="24"/>
          <w:szCs w:val="24"/>
        </w:rPr>
        <w:t>3) Exposure</w:t>
      </w:r>
      <w:r w:rsidR="00613436" w:rsidRPr="00DA258D">
        <w:rPr>
          <w:rFonts w:ascii="Times New Roman" w:hAnsi="Times New Roman" w:cs="Times New Roman"/>
          <w:b/>
          <w:sz w:val="24"/>
          <w:szCs w:val="24"/>
        </w:rPr>
        <w:t xml:space="preserve"> at Default (EAD)</w:t>
      </w:r>
    </w:p>
    <w:p w:rsidR="00503F06" w:rsidRDefault="00503F06" w:rsidP="00503F06">
      <w:pPr>
        <w:spacing w:line="360" w:lineRule="auto"/>
        <w:contextualSpacing/>
        <w:jc w:val="both"/>
        <w:rPr>
          <w:rFonts w:asciiTheme="majorBidi" w:hAnsiTheme="majorBidi" w:cstheme="majorBidi"/>
          <w:sz w:val="24"/>
          <w:szCs w:val="24"/>
          <w:lang w:bidi="ar-JO"/>
        </w:rPr>
      </w:pPr>
      <w:r>
        <w:rPr>
          <w:rFonts w:asciiTheme="majorBidi" w:hAnsiTheme="majorBidi" w:cstheme="majorBidi"/>
          <w:sz w:val="24"/>
          <w:szCs w:val="24"/>
          <w:lang w:bidi="ar-JO"/>
        </w:rPr>
        <w:t xml:space="preserve">EAD is determined by the estimate value of exposure of </w:t>
      </w:r>
      <w:r w:rsidRPr="00A71A0A">
        <w:rPr>
          <w:rFonts w:asciiTheme="majorBidi" w:hAnsiTheme="majorBidi" w:cstheme="majorBidi"/>
          <w:sz w:val="24"/>
          <w:szCs w:val="24"/>
          <w:lang w:bidi="ar-JO"/>
        </w:rPr>
        <w:t>syndication risk</w:t>
      </w:r>
      <w:r>
        <w:rPr>
          <w:rFonts w:asciiTheme="majorBidi" w:hAnsiTheme="majorBidi" w:cstheme="majorBidi"/>
          <w:sz w:val="24"/>
          <w:szCs w:val="24"/>
          <w:lang w:bidi="ar-JO"/>
        </w:rPr>
        <w:t>, calculated as:</w:t>
      </w:r>
    </w:p>
    <w:p w:rsidR="00503F06" w:rsidRDefault="00503F06" w:rsidP="00503F06">
      <w:pPr>
        <w:spacing w:line="360" w:lineRule="auto"/>
        <w:contextualSpacing/>
        <w:jc w:val="both"/>
        <w:rPr>
          <w:rFonts w:asciiTheme="majorBidi" w:hAnsiTheme="majorBidi" w:cs="Times New Roman"/>
          <w:sz w:val="24"/>
          <w:szCs w:val="24"/>
          <w:lang w:bidi="ar-JO"/>
        </w:rPr>
      </w:pPr>
      <w:r>
        <w:rPr>
          <w:rFonts w:asciiTheme="majorBidi" w:hAnsiTheme="majorBidi" w:cstheme="majorBidi"/>
          <w:sz w:val="24"/>
          <w:szCs w:val="24"/>
          <w:lang w:bidi="ar-JO"/>
        </w:rPr>
        <w:lastRenderedPageBreak/>
        <w:t xml:space="preserve"> </w:t>
      </w:r>
      <w:r>
        <w:rPr>
          <w:rFonts w:asciiTheme="majorBidi" w:hAnsiTheme="majorBidi" w:cs="Times New Roman"/>
          <w:sz w:val="24"/>
          <w:szCs w:val="24"/>
          <w:lang w:bidi="ar-JO"/>
        </w:rPr>
        <w:t xml:space="preserve">For items On-Balance- Sheet: </w:t>
      </w:r>
      <w:r w:rsidRPr="00CF49A2">
        <w:rPr>
          <w:rFonts w:asciiTheme="majorBidi" w:hAnsiTheme="majorBidi" w:cs="Times New Roman"/>
          <w:sz w:val="24"/>
          <w:szCs w:val="24"/>
          <w:lang w:bidi="ar-JO"/>
        </w:rPr>
        <w:t>Take into account the exclusion of collateral in the form of deposits for</w:t>
      </w:r>
      <w:r>
        <w:rPr>
          <w:rFonts w:asciiTheme="majorBidi" w:hAnsiTheme="majorBidi" w:cs="Times New Roman"/>
          <w:sz w:val="24"/>
          <w:szCs w:val="24"/>
          <w:lang w:bidi="ar-JO"/>
        </w:rPr>
        <w:t xml:space="preserve"> granted</w:t>
      </w:r>
      <w:r w:rsidRPr="00CF49A2">
        <w:rPr>
          <w:rFonts w:asciiTheme="majorBidi" w:hAnsiTheme="majorBidi" w:cs="Times New Roman"/>
          <w:sz w:val="24"/>
          <w:szCs w:val="24"/>
          <w:lang w:bidi="ar-JO"/>
        </w:rPr>
        <w:t xml:space="preserve"> credit</w:t>
      </w:r>
      <w:r>
        <w:rPr>
          <w:rFonts w:asciiTheme="majorBidi" w:hAnsiTheme="majorBidi" w:cs="Times New Roman"/>
          <w:sz w:val="24"/>
          <w:szCs w:val="24"/>
          <w:lang w:bidi="ar-JO"/>
        </w:rPr>
        <w:t>.</w:t>
      </w:r>
    </w:p>
    <w:p w:rsidR="00E04FD0" w:rsidRDefault="00503F06" w:rsidP="000871BF">
      <w:pPr>
        <w:spacing w:line="360" w:lineRule="auto"/>
        <w:contextualSpacing/>
        <w:jc w:val="both"/>
        <w:rPr>
          <w:rFonts w:asciiTheme="majorBidi" w:hAnsiTheme="majorBidi" w:cstheme="majorBidi"/>
          <w:sz w:val="24"/>
          <w:szCs w:val="24"/>
          <w:lang w:bidi="ar-JO"/>
        </w:rPr>
      </w:pPr>
      <w:r>
        <w:rPr>
          <w:rFonts w:asciiTheme="majorBidi" w:hAnsiTheme="majorBidi" w:cs="Times New Roman"/>
          <w:sz w:val="24"/>
          <w:szCs w:val="24"/>
          <w:lang w:bidi="ar-JO"/>
        </w:rPr>
        <w:t>For items Off-Balance-Sheet: Risks are calculated for items Off-balance-Sheet by multiplying each item by Credit Conversion Factor (CCF) which its value determined according to the type of credit facility</w:t>
      </w:r>
      <w:r w:rsidR="00153D60">
        <w:rPr>
          <w:rFonts w:asciiTheme="majorBidi" w:hAnsiTheme="majorBidi" w:cstheme="majorBidi"/>
          <w:sz w:val="24"/>
          <w:szCs w:val="24"/>
          <w:lang w:bidi="ar-JO"/>
        </w:rPr>
        <w:t>.</w:t>
      </w:r>
    </w:p>
    <w:p w:rsidR="00F02A3E" w:rsidRPr="00B37610" w:rsidRDefault="0027503F" w:rsidP="00FD6EED">
      <w:pPr>
        <w:autoSpaceDE w:val="0"/>
        <w:autoSpaceDN w:val="0"/>
        <w:adjustRightInd w:val="0"/>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4)</w:t>
      </w:r>
      <w:r w:rsidRPr="00B37610">
        <w:rPr>
          <w:rFonts w:ascii="Times New Roman" w:hAnsi="Times New Roman" w:cs="Times New Roman"/>
          <w:b/>
          <w:sz w:val="24"/>
          <w:szCs w:val="24"/>
        </w:rPr>
        <w:t xml:space="preserve"> Maturity</w:t>
      </w:r>
    </w:p>
    <w:p w:rsidR="00D77723" w:rsidRPr="00D77723" w:rsidRDefault="00D77723" w:rsidP="00D77723">
      <w:pPr>
        <w:bidi/>
        <w:spacing w:line="360" w:lineRule="auto"/>
        <w:contextualSpacing/>
        <w:jc w:val="right"/>
        <w:rPr>
          <w:rFonts w:asciiTheme="majorBidi" w:hAnsiTheme="majorBidi" w:cstheme="majorBidi"/>
          <w:sz w:val="24"/>
          <w:szCs w:val="24"/>
          <w:rtl/>
          <w:lang w:bidi="ar-JO"/>
        </w:rPr>
      </w:pPr>
      <w:r w:rsidRPr="00D77723">
        <w:rPr>
          <w:rFonts w:asciiTheme="majorBidi" w:hAnsiTheme="majorBidi" w:cstheme="majorBidi"/>
          <w:sz w:val="24"/>
          <w:szCs w:val="24"/>
          <w:lang w:bidi="ar-JO"/>
        </w:rPr>
        <w:t xml:space="preserve">Used in some cases, when a clear system to modify the maturity of </w:t>
      </w:r>
      <w:r w:rsidR="00E210E3" w:rsidRPr="00D77723">
        <w:rPr>
          <w:rFonts w:asciiTheme="majorBidi" w:hAnsiTheme="majorBidi" w:cstheme="majorBidi"/>
          <w:sz w:val="24"/>
          <w:szCs w:val="24"/>
          <w:lang w:bidi="ar-JO"/>
        </w:rPr>
        <w:t>investments is</w:t>
      </w:r>
      <w:r w:rsidRPr="00D77723">
        <w:rPr>
          <w:rFonts w:asciiTheme="majorBidi" w:hAnsiTheme="majorBidi" w:cstheme="majorBidi"/>
          <w:sz w:val="24"/>
          <w:szCs w:val="24"/>
          <w:lang w:bidi="ar-JO"/>
        </w:rPr>
        <w:t xml:space="preserve"> available in the bank, and not reliance on maturity contractual when estimate the size of required capital.</w:t>
      </w:r>
    </w:p>
    <w:p w:rsidR="00F02A3E" w:rsidRPr="00D77723" w:rsidRDefault="00F02A3E" w:rsidP="00D77723">
      <w:pPr>
        <w:autoSpaceDE w:val="0"/>
        <w:autoSpaceDN w:val="0"/>
        <w:adjustRightInd w:val="0"/>
        <w:spacing w:after="0" w:line="360" w:lineRule="auto"/>
        <w:contextualSpacing/>
        <w:jc w:val="both"/>
        <w:rPr>
          <w:rFonts w:asciiTheme="majorBidi" w:hAnsiTheme="majorBidi" w:cstheme="majorBidi"/>
          <w:sz w:val="24"/>
          <w:szCs w:val="24"/>
        </w:rPr>
      </w:pPr>
      <w:r w:rsidRPr="00D77723">
        <w:rPr>
          <w:rFonts w:asciiTheme="majorBidi" w:hAnsiTheme="majorBidi" w:cstheme="majorBidi"/>
          <w:sz w:val="24"/>
          <w:szCs w:val="24"/>
        </w:rPr>
        <w:t>To calculate the credit risk capital of financial institution, probability of default (PD) - along with loss given default (LPD) and exposure at default (EAD) are used:</w:t>
      </w:r>
    </w:p>
    <w:p w:rsidR="00F02A3E" w:rsidRPr="00DA258D" w:rsidRDefault="00F02A3E" w:rsidP="00F02A3E">
      <w:pPr>
        <w:autoSpaceDE w:val="0"/>
        <w:autoSpaceDN w:val="0"/>
        <w:adjustRightInd w:val="0"/>
        <w:spacing w:after="0" w:line="360" w:lineRule="auto"/>
        <w:rPr>
          <w:rFonts w:ascii="Times New Roman" w:hAnsi="Times New Roman" w:cs="Times New Roman"/>
          <w:b/>
          <w:sz w:val="24"/>
          <w:szCs w:val="24"/>
        </w:rPr>
      </w:pPr>
      <w:r w:rsidRPr="00DA258D">
        <w:rPr>
          <w:rFonts w:ascii="Times New Roman" w:hAnsi="Times New Roman" w:cs="Times New Roman"/>
          <w:b/>
          <w:sz w:val="24"/>
          <w:szCs w:val="24"/>
        </w:rPr>
        <w:t xml:space="preserve"> Expected Loss</w:t>
      </w:r>
      <w:r w:rsidR="0017409D" w:rsidRPr="00DA258D">
        <w:rPr>
          <w:rFonts w:ascii="Times New Roman" w:hAnsi="Times New Roman" w:cs="Times New Roman"/>
          <w:b/>
          <w:sz w:val="24"/>
          <w:szCs w:val="24"/>
        </w:rPr>
        <w:t xml:space="preserve"> (EL)</w:t>
      </w:r>
      <w:r w:rsidRPr="00DA258D">
        <w:rPr>
          <w:rFonts w:ascii="Times New Roman" w:hAnsi="Times New Roman" w:cs="Times New Roman"/>
          <w:b/>
          <w:sz w:val="24"/>
          <w:szCs w:val="24"/>
        </w:rPr>
        <w:t xml:space="preserve"> = EAD*LGD *PD</w:t>
      </w:r>
    </w:p>
    <w:p w:rsidR="00A26F09" w:rsidRPr="00DA258D" w:rsidRDefault="0017409D" w:rsidP="00A26F09">
      <w:pPr>
        <w:autoSpaceDE w:val="0"/>
        <w:autoSpaceDN w:val="0"/>
        <w:adjustRightInd w:val="0"/>
        <w:spacing w:after="0" w:line="360" w:lineRule="auto"/>
        <w:rPr>
          <w:rFonts w:ascii="Times New Roman" w:hAnsi="Times New Roman" w:cs="Times New Roman"/>
          <w:sz w:val="24"/>
          <w:szCs w:val="24"/>
        </w:rPr>
      </w:pPr>
      <w:r w:rsidRPr="00DA258D">
        <w:rPr>
          <w:rFonts w:ascii="Times New Roman" w:hAnsi="Times New Roman" w:cs="Times New Roman"/>
          <w:sz w:val="24"/>
          <w:szCs w:val="24"/>
        </w:rPr>
        <w:t>Or, if expressed as a percentage figure of the EAD, as</w:t>
      </w:r>
    </w:p>
    <w:p w:rsidR="0017409D" w:rsidRPr="00DA258D" w:rsidRDefault="0017409D" w:rsidP="00A26F09">
      <w:pPr>
        <w:autoSpaceDE w:val="0"/>
        <w:autoSpaceDN w:val="0"/>
        <w:adjustRightInd w:val="0"/>
        <w:spacing w:after="0" w:line="360" w:lineRule="auto"/>
        <w:rPr>
          <w:rFonts w:ascii="Times New Roman" w:hAnsi="Times New Roman" w:cs="Times New Roman"/>
          <w:b/>
          <w:sz w:val="24"/>
          <w:szCs w:val="24"/>
        </w:rPr>
      </w:pPr>
      <w:r w:rsidRPr="00DA258D">
        <w:rPr>
          <w:rFonts w:ascii="Times New Roman" w:hAnsi="Times New Roman" w:cs="Times New Roman"/>
          <w:b/>
          <w:sz w:val="24"/>
          <w:szCs w:val="24"/>
        </w:rPr>
        <w:t xml:space="preserve">  Expected Loss (EL</w:t>
      </w:r>
      <w:r w:rsidRPr="00DA258D">
        <w:rPr>
          <w:rFonts w:ascii="Arial" w:hAnsi="Arial" w:cs="Arial"/>
          <w:b/>
          <w:sz w:val="24"/>
          <w:szCs w:val="24"/>
        </w:rPr>
        <w:t>) = PD * LGD.</w:t>
      </w:r>
    </w:p>
    <w:p w:rsidR="001F5AF7" w:rsidRPr="00DA258D" w:rsidRDefault="001F5AF7" w:rsidP="00A26F09">
      <w:pPr>
        <w:spacing w:line="360" w:lineRule="auto"/>
        <w:rPr>
          <w:rFonts w:ascii="Times New Roman" w:hAnsi="Times New Roman" w:cs="Times New Roman"/>
          <w:sz w:val="24"/>
          <w:szCs w:val="24"/>
        </w:rPr>
      </w:pPr>
    </w:p>
    <w:p w:rsidR="003D4CD8" w:rsidRDefault="003D4CD8" w:rsidP="003D4CD8">
      <w:pPr>
        <w:spacing w:after="240" w:line="240" w:lineRule="auto"/>
        <w:rPr>
          <w:rFonts w:ascii="Times New Roman" w:hAnsi="Times New Roman" w:cs="Times New Roman"/>
          <w:sz w:val="24"/>
          <w:szCs w:val="24"/>
        </w:rPr>
      </w:pPr>
    </w:p>
    <w:p w:rsidR="00AD32A5" w:rsidRDefault="00AD32A5" w:rsidP="00AD32A5">
      <w:pPr>
        <w:spacing w:after="240" w:line="240" w:lineRule="auto"/>
        <w:rPr>
          <w:rFonts w:ascii="Times New Roman" w:hAnsi="Times New Roman" w:cs="Times New Roman"/>
          <w:b/>
          <w:sz w:val="24"/>
          <w:szCs w:val="24"/>
        </w:rPr>
      </w:pPr>
    </w:p>
    <w:p w:rsidR="000871BF" w:rsidRDefault="000871BF" w:rsidP="00AD32A5">
      <w:pPr>
        <w:spacing w:after="240" w:line="240" w:lineRule="auto"/>
        <w:jc w:val="center"/>
        <w:rPr>
          <w:rFonts w:ascii="Times New Roman" w:hAnsi="Times New Roman" w:cs="Times New Roman"/>
          <w:b/>
          <w:sz w:val="24"/>
          <w:szCs w:val="24"/>
        </w:rPr>
      </w:pPr>
    </w:p>
    <w:p w:rsidR="005C1DF9" w:rsidRDefault="005C1DF9" w:rsidP="00C61103">
      <w:pPr>
        <w:spacing w:after="240" w:line="240" w:lineRule="auto"/>
        <w:rPr>
          <w:rFonts w:ascii="Times New Roman" w:hAnsi="Times New Roman" w:cs="Times New Roman"/>
          <w:b/>
          <w:sz w:val="24"/>
          <w:szCs w:val="24"/>
        </w:rPr>
      </w:pPr>
    </w:p>
    <w:p w:rsidR="00C61103" w:rsidRDefault="00C61103" w:rsidP="00C61103">
      <w:pPr>
        <w:spacing w:after="240" w:line="240" w:lineRule="auto"/>
        <w:rPr>
          <w:rFonts w:ascii="Times New Roman" w:hAnsi="Times New Roman" w:cs="Times New Roman"/>
          <w:b/>
          <w:sz w:val="24"/>
          <w:szCs w:val="24"/>
        </w:rPr>
      </w:pPr>
    </w:p>
    <w:p w:rsidR="00A122C9" w:rsidRDefault="00A122C9" w:rsidP="00AD32A5">
      <w:pPr>
        <w:spacing w:after="240" w:line="240" w:lineRule="auto"/>
        <w:jc w:val="center"/>
        <w:rPr>
          <w:rFonts w:ascii="Times New Roman" w:hAnsi="Times New Roman" w:cs="Times New Roman"/>
          <w:b/>
          <w:sz w:val="24"/>
          <w:szCs w:val="24"/>
        </w:rPr>
      </w:pPr>
    </w:p>
    <w:p w:rsidR="00A122C9" w:rsidRDefault="00A122C9" w:rsidP="00AD32A5">
      <w:pPr>
        <w:spacing w:after="240" w:line="240" w:lineRule="auto"/>
        <w:jc w:val="center"/>
        <w:rPr>
          <w:rFonts w:ascii="Times New Roman" w:hAnsi="Times New Roman" w:cs="Times New Roman"/>
          <w:b/>
          <w:sz w:val="24"/>
          <w:szCs w:val="24"/>
        </w:rPr>
      </w:pPr>
    </w:p>
    <w:p w:rsidR="00A122C9" w:rsidRDefault="00A122C9" w:rsidP="00AD32A5">
      <w:pPr>
        <w:spacing w:after="240" w:line="240" w:lineRule="auto"/>
        <w:jc w:val="center"/>
        <w:rPr>
          <w:rFonts w:ascii="Times New Roman" w:hAnsi="Times New Roman" w:cs="Times New Roman"/>
          <w:b/>
          <w:sz w:val="24"/>
          <w:szCs w:val="24"/>
        </w:rPr>
      </w:pPr>
    </w:p>
    <w:p w:rsidR="00A122C9" w:rsidRDefault="00A122C9" w:rsidP="00AD32A5">
      <w:pPr>
        <w:spacing w:after="240" w:line="240" w:lineRule="auto"/>
        <w:jc w:val="center"/>
        <w:rPr>
          <w:rFonts w:ascii="Times New Roman" w:hAnsi="Times New Roman" w:cs="Times New Roman"/>
          <w:b/>
          <w:sz w:val="24"/>
          <w:szCs w:val="24"/>
        </w:rPr>
      </w:pPr>
    </w:p>
    <w:p w:rsidR="00A122C9" w:rsidRDefault="00A122C9" w:rsidP="00AD32A5">
      <w:pPr>
        <w:spacing w:after="240" w:line="240" w:lineRule="auto"/>
        <w:jc w:val="center"/>
        <w:rPr>
          <w:rFonts w:ascii="Times New Roman" w:hAnsi="Times New Roman" w:cs="Times New Roman"/>
          <w:b/>
          <w:sz w:val="24"/>
          <w:szCs w:val="24"/>
        </w:rPr>
      </w:pPr>
    </w:p>
    <w:p w:rsidR="00A122C9" w:rsidRDefault="00A122C9" w:rsidP="00AD32A5">
      <w:pPr>
        <w:spacing w:after="240" w:line="240" w:lineRule="auto"/>
        <w:jc w:val="center"/>
        <w:rPr>
          <w:rFonts w:ascii="Times New Roman" w:hAnsi="Times New Roman" w:cs="Times New Roman"/>
          <w:b/>
          <w:sz w:val="24"/>
          <w:szCs w:val="24"/>
        </w:rPr>
      </w:pPr>
    </w:p>
    <w:p w:rsidR="00766BA8" w:rsidRPr="00670FAC" w:rsidRDefault="00766771" w:rsidP="00AD32A5">
      <w:pPr>
        <w:spacing w:after="240" w:line="240" w:lineRule="auto"/>
        <w:jc w:val="center"/>
        <w:rPr>
          <w:rFonts w:ascii="Times New Roman" w:hAnsi="Times New Roman" w:cs="Times New Roman"/>
          <w:b/>
          <w:sz w:val="24"/>
          <w:szCs w:val="24"/>
        </w:rPr>
      </w:pPr>
      <w:r w:rsidRPr="00670FAC">
        <w:rPr>
          <w:rFonts w:ascii="Times New Roman" w:hAnsi="Times New Roman" w:cs="Times New Roman"/>
          <w:b/>
          <w:sz w:val="24"/>
          <w:szCs w:val="24"/>
        </w:rPr>
        <w:lastRenderedPageBreak/>
        <w:t>SECTION FIVE</w:t>
      </w:r>
    </w:p>
    <w:p w:rsidR="004E0EF3" w:rsidRDefault="00766771" w:rsidP="004E0EF3">
      <w:pPr>
        <w:spacing w:after="240" w:line="240" w:lineRule="auto"/>
        <w:jc w:val="center"/>
        <w:rPr>
          <w:rFonts w:ascii="Times New Roman" w:hAnsi="Times New Roman" w:cs="Times New Roman"/>
          <w:b/>
          <w:sz w:val="24"/>
          <w:szCs w:val="24"/>
        </w:rPr>
      </w:pPr>
      <w:r w:rsidRPr="00670FAC">
        <w:rPr>
          <w:rFonts w:ascii="Times New Roman" w:hAnsi="Times New Roman" w:cs="Times New Roman"/>
          <w:b/>
          <w:sz w:val="24"/>
          <w:szCs w:val="24"/>
        </w:rPr>
        <w:t>CREDIT RISK MITIGATION AND</w:t>
      </w:r>
      <w:r w:rsidR="00DA258D" w:rsidRPr="00670FAC">
        <w:rPr>
          <w:rFonts w:ascii="Times New Roman" w:hAnsi="Times New Roman" w:cs="Times New Roman"/>
          <w:b/>
          <w:sz w:val="24"/>
          <w:szCs w:val="24"/>
        </w:rPr>
        <w:t xml:space="preserve"> T</w:t>
      </w:r>
      <w:r w:rsidRPr="00670FAC">
        <w:rPr>
          <w:rFonts w:ascii="Times New Roman" w:hAnsi="Times New Roman" w:cs="Times New Roman"/>
          <w:b/>
          <w:sz w:val="24"/>
          <w:szCs w:val="24"/>
        </w:rPr>
        <w:t>RANSFER</w:t>
      </w:r>
    </w:p>
    <w:p w:rsidR="00A52DD8" w:rsidRDefault="00A52DD8" w:rsidP="004E0EF3">
      <w:pPr>
        <w:spacing w:after="240" w:line="240" w:lineRule="auto"/>
        <w:jc w:val="center"/>
        <w:rPr>
          <w:rFonts w:ascii="Times New Roman" w:hAnsi="Times New Roman" w:cs="Times New Roman"/>
          <w:b/>
          <w:sz w:val="24"/>
          <w:szCs w:val="24"/>
        </w:rPr>
      </w:pPr>
    </w:p>
    <w:p w:rsidR="004E0EF3" w:rsidRDefault="004E0EF3" w:rsidP="004E0EF3">
      <w:pPr>
        <w:spacing w:after="240" w:line="360" w:lineRule="auto"/>
        <w:jc w:val="center"/>
        <w:rPr>
          <w:rFonts w:ascii="Times New Roman" w:hAnsi="Times New Roman" w:cs="Times New Roman"/>
          <w:b/>
          <w:sz w:val="24"/>
          <w:szCs w:val="24"/>
        </w:rPr>
      </w:pPr>
    </w:p>
    <w:p w:rsidR="00C624B1" w:rsidRDefault="00F11058" w:rsidP="003B4DA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2.5 </w:t>
      </w:r>
      <w:r w:rsidR="00DA258D" w:rsidRPr="00F11058">
        <w:rPr>
          <w:rFonts w:ascii="Times New Roman" w:hAnsi="Times New Roman" w:cs="Times New Roman"/>
          <w:b/>
          <w:sz w:val="24"/>
          <w:szCs w:val="24"/>
        </w:rPr>
        <w:t>Credit Risk Mitigation and T</w:t>
      </w:r>
      <w:r w:rsidR="00011280" w:rsidRPr="00F11058">
        <w:rPr>
          <w:rFonts w:ascii="Times New Roman" w:hAnsi="Times New Roman" w:cs="Times New Roman"/>
          <w:b/>
          <w:sz w:val="24"/>
          <w:szCs w:val="24"/>
        </w:rPr>
        <w:t>ransfer</w:t>
      </w:r>
    </w:p>
    <w:p w:rsidR="003B4DA4" w:rsidRDefault="003B4DA4" w:rsidP="003B4DA4">
      <w:pPr>
        <w:spacing w:after="0" w:line="360" w:lineRule="auto"/>
        <w:rPr>
          <w:rFonts w:ascii="Times New Roman" w:hAnsi="Times New Roman" w:cs="Times New Roman"/>
          <w:b/>
          <w:sz w:val="24"/>
          <w:szCs w:val="24"/>
        </w:rPr>
      </w:pPr>
    </w:p>
    <w:p w:rsidR="0048735B" w:rsidRPr="00670FAC" w:rsidRDefault="00011280" w:rsidP="003B4DA4">
      <w:pPr>
        <w:spacing w:after="0" w:line="360" w:lineRule="auto"/>
        <w:rPr>
          <w:rFonts w:ascii="Times New Roman" w:hAnsi="Times New Roman" w:cs="Times New Roman"/>
          <w:b/>
          <w:sz w:val="24"/>
          <w:szCs w:val="24"/>
        </w:rPr>
      </w:pPr>
      <w:r w:rsidRPr="00670FAC">
        <w:rPr>
          <w:rFonts w:ascii="Times New Roman" w:hAnsi="Times New Roman" w:cs="Times New Roman"/>
          <w:b/>
          <w:sz w:val="24"/>
          <w:szCs w:val="24"/>
        </w:rPr>
        <w:t xml:space="preserve">2.5.1 </w:t>
      </w:r>
      <w:r w:rsidR="002D31C8" w:rsidRPr="00670FAC">
        <w:rPr>
          <w:rFonts w:ascii="Times New Roman" w:hAnsi="Times New Roman" w:cs="Times New Roman"/>
          <w:b/>
          <w:sz w:val="24"/>
          <w:szCs w:val="24"/>
        </w:rPr>
        <w:t>Introducti</w:t>
      </w:r>
      <w:r w:rsidR="0048735B" w:rsidRPr="00670FAC">
        <w:rPr>
          <w:rFonts w:ascii="Times New Roman" w:hAnsi="Times New Roman" w:cs="Times New Roman"/>
          <w:b/>
          <w:sz w:val="24"/>
          <w:szCs w:val="24"/>
        </w:rPr>
        <w:t>on</w:t>
      </w:r>
    </w:p>
    <w:p w:rsidR="00FD6EED" w:rsidRPr="006C7C71" w:rsidRDefault="006C7C71" w:rsidP="006C7C71">
      <w:pPr>
        <w:spacing w:line="360" w:lineRule="auto"/>
        <w:contextualSpacing/>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major concern facing risk management over years is that </w:t>
      </w:r>
      <w:r w:rsidRPr="00DA258D">
        <w:rPr>
          <w:rFonts w:ascii="Times New Roman" w:hAnsi="Times New Roman" w:cs="Times New Roman"/>
          <w:sz w:val="24"/>
          <w:szCs w:val="24"/>
        </w:rPr>
        <w:t xml:space="preserve">counterparties will </w:t>
      </w:r>
      <w:r>
        <w:rPr>
          <w:rFonts w:ascii="Times New Roman" w:hAnsi="Times New Roman" w:cs="Times New Roman"/>
          <w:sz w:val="24"/>
          <w:szCs w:val="24"/>
        </w:rPr>
        <w:t>failure to repay their</w:t>
      </w:r>
      <w:r w:rsidRPr="00DA258D">
        <w:rPr>
          <w:rFonts w:ascii="Times New Roman" w:hAnsi="Times New Roman" w:cs="Times New Roman"/>
          <w:sz w:val="24"/>
          <w:szCs w:val="24"/>
        </w:rPr>
        <w:t xml:space="preserve"> obligations</w:t>
      </w:r>
      <w:r>
        <w:rPr>
          <w:rFonts w:ascii="Times New Roman" w:hAnsi="Times New Roman" w:cs="Times New Roman"/>
          <w:sz w:val="24"/>
          <w:szCs w:val="24"/>
        </w:rPr>
        <w:t xml:space="preserve">. This concern and worry arise from the fact that credit risk still </w:t>
      </w:r>
      <w:r>
        <w:rPr>
          <w:rFonts w:ascii="Times New Roman" w:hAnsi="Times New Roman" w:cs="Times New Roman"/>
          <w:color w:val="000000" w:themeColor="text1"/>
          <w:sz w:val="24"/>
          <w:szCs w:val="24"/>
        </w:rPr>
        <w:t>stay the major risk threats financial institutions.</w:t>
      </w:r>
      <w:r w:rsidR="00B315B6">
        <w:rPr>
          <w:rFonts w:ascii="Times New Roman" w:hAnsi="Times New Roman" w:cs="Times New Roman"/>
          <w:sz w:val="24"/>
          <w:szCs w:val="24"/>
        </w:rPr>
        <w:t xml:space="preserve"> C</w:t>
      </w:r>
      <w:r w:rsidR="00BB36A0" w:rsidRPr="00DA258D">
        <w:rPr>
          <w:rFonts w:ascii="Times New Roman" w:hAnsi="Times New Roman" w:cs="Times New Roman"/>
          <w:sz w:val="24"/>
          <w:szCs w:val="24"/>
        </w:rPr>
        <w:t>redit</w:t>
      </w:r>
      <w:r w:rsidR="00B315B6">
        <w:rPr>
          <w:rFonts w:ascii="Times New Roman" w:hAnsi="Times New Roman" w:cs="Times New Roman"/>
          <w:sz w:val="24"/>
          <w:szCs w:val="24"/>
        </w:rPr>
        <w:t xml:space="preserve"> institutions have always </w:t>
      </w:r>
      <w:r w:rsidR="00BB36A0" w:rsidRPr="00DA258D">
        <w:rPr>
          <w:rFonts w:ascii="Times New Roman" w:hAnsi="Times New Roman" w:cs="Times New Roman"/>
          <w:sz w:val="24"/>
          <w:szCs w:val="24"/>
        </w:rPr>
        <w:t xml:space="preserve">been </w:t>
      </w:r>
      <w:r w:rsidR="00DE3DF5">
        <w:rPr>
          <w:rFonts w:ascii="Times New Roman" w:hAnsi="Times New Roman" w:cs="Times New Roman"/>
          <w:sz w:val="24"/>
          <w:szCs w:val="24"/>
        </w:rPr>
        <w:t xml:space="preserve">busily </w:t>
      </w:r>
      <w:r w:rsidR="00BB36A0" w:rsidRPr="00DA258D">
        <w:rPr>
          <w:rFonts w:ascii="Times New Roman" w:hAnsi="Times New Roman" w:cs="Times New Roman"/>
          <w:sz w:val="24"/>
          <w:szCs w:val="24"/>
        </w:rPr>
        <w:t xml:space="preserve">looking </w:t>
      </w:r>
      <w:r w:rsidR="0027503F" w:rsidRPr="00DA258D">
        <w:rPr>
          <w:rFonts w:ascii="Times New Roman" w:hAnsi="Times New Roman" w:cs="Times New Roman"/>
          <w:sz w:val="24"/>
          <w:szCs w:val="24"/>
        </w:rPr>
        <w:t xml:space="preserve">for </w:t>
      </w:r>
      <w:r w:rsidR="0027503F">
        <w:rPr>
          <w:rFonts w:ascii="Times New Roman" w:hAnsi="Times New Roman" w:cs="Times New Roman"/>
          <w:sz w:val="24"/>
          <w:szCs w:val="24"/>
        </w:rPr>
        <w:t>new</w:t>
      </w:r>
      <w:r w:rsidR="00DE3DF5">
        <w:rPr>
          <w:rFonts w:ascii="Times New Roman" w:hAnsi="Times New Roman" w:cs="Times New Roman"/>
          <w:sz w:val="24"/>
          <w:szCs w:val="24"/>
        </w:rPr>
        <w:t xml:space="preserve"> </w:t>
      </w:r>
      <w:r w:rsidR="00BB36A0" w:rsidRPr="00DA258D">
        <w:rPr>
          <w:rFonts w:ascii="Times New Roman" w:hAnsi="Times New Roman" w:cs="Times New Roman"/>
          <w:sz w:val="24"/>
          <w:szCs w:val="24"/>
        </w:rPr>
        <w:t>innovati</w:t>
      </w:r>
      <w:r w:rsidR="00DE3DF5">
        <w:rPr>
          <w:rFonts w:ascii="Times New Roman" w:hAnsi="Times New Roman" w:cs="Times New Roman"/>
          <w:sz w:val="24"/>
          <w:szCs w:val="24"/>
        </w:rPr>
        <w:t xml:space="preserve">ve solutions in risk mitigation techniques. </w:t>
      </w:r>
    </w:p>
    <w:p w:rsidR="00FD6EED" w:rsidRDefault="00BB36A0" w:rsidP="006C7C71">
      <w:pPr>
        <w:autoSpaceDE w:val="0"/>
        <w:autoSpaceDN w:val="0"/>
        <w:adjustRightInd w:val="0"/>
        <w:spacing w:after="0" w:line="360" w:lineRule="auto"/>
        <w:contextualSpacing/>
        <w:jc w:val="both"/>
        <w:rPr>
          <w:rFonts w:asciiTheme="majorBidi" w:hAnsiTheme="majorBidi" w:cstheme="majorBidi"/>
          <w:sz w:val="24"/>
          <w:szCs w:val="24"/>
        </w:rPr>
      </w:pPr>
      <w:r w:rsidRPr="00FD6EED">
        <w:rPr>
          <w:rFonts w:asciiTheme="majorBidi" w:hAnsiTheme="majorBidi" w:cstheme="majorBidi"/>
          <w:sz w:val="24"/>
          <w:szCs w:val="24"/>
        </w:rPr>
        <w:t xml:space="preserve">The last step for any kind of risk management is to mitigate and transfer the </w:t>
      </w:r>
      <w:r w:rsidR="000E6485" w:rsidRPr="00FD6EED">
        <w:rPr>
          <w:rFonts w:asciiTheme="majorBidi" w:hAnsiTheme="majorBidi" w:cstheme="majorBidi"/>
          <w:sz w:val="24"/>
          <w:szCs w:val="24"/>
        </w:rPr>
        <w:t>risk</w:t>
      </w:r>
      <w:r w:rsidR="006C7C71">
        <w:rPr>
          <w:rFonts w:asciiTheme="majorBidi" w:hAnsiTheme="majorBidi" w:cstheme="majorBidi"/>
          <w:sz w:val="24"/>
          <w:szCs w:val="24"/>
        </w:rPr>
        <w:t xml:space="preserve"> in order to avoid or minimize</w:t>
      </w:r>
      <w:r w:rsidRPr="00FD6EED">
        <w:rPr>
          <w:rFonts w:asciiTheme="majorBidi" w:hAnsiTheme="majorBidi" w:cstheme="majorBidi"/>
          <w:sz w:val="24"/>
          <w:szCs w:val="24"/>
        </w:rPr>
        <w:t xml:space="preserve"> losses</w:t>
      </w:r>
      <w:r w:rsidR="00D113AB" w:rsidRPr="00FD6EED">
        <w:rPr>
          <w:rFonts w:asciiTheme="majorBidi" w:hAnsiTheme="majorBidi" w:cstheme="majorBidi"/>
          <w:sz w:val="24"/>
          <w:szCs w:val="24"/>
        </w:rPr>
        <w:t xml:space="preserve"> </w:t>
      </w:r>
      <w:r w:rsidR="001A76AD" w:rsidRPr="00FD6EED">
        <w:rPr>
          <w:rFonts w:asciiTheme="majorBidi" w:hAnsiTheme="majorBidi" w:cstheme="majorBidi"/>
          <w:sz w:val="24"/>
          <w:szCs w:val="24"/>
        </w:rPr>
        <w:t xml:space="preserve">resulted from this type of </w:t>
      </w:r>
      <w:r w:rsidR="00C378C5" w:rsidRPr="00FD6EED">
        <w:rPr>
          <w:rFonts w:asciiTheme="majorBidi" w:hAnsiTheme="majorBidi" w:cstheme="majorBidi"/>
          <w:sz w:val="24"/>
          <w:szCs w:val="24"/>
        </w:rPr>
        <w:t>risk (</w:t>
      </w:r>
      <w:r w:rsidR="006C7C71">
        <w:rPr>
          <w:rFonts w:asciiTheme="majorBidi" w:hAnsiTheme="majorBidi" w:cstheme="majorBidi"/>
          <w:sz w:val="24"/>
          <w:szCs w:val="24"/>
        </w:rPr>
        <w:t>credit risk) and reduce the costs of raising external capital that the bank need it in</w:t>
      </w:r>
      <w:r w:rsidR="006C7C71" w:rsidRPr="006C7C71">
        <w:rPr>
          <w:rFonts w:asciiTheme="majorBidi" w:hAnsiTheme="majorBidi" w:cstheme="majorBidi"/>
          <w:sz w:val="24"/>
          <w:szCs w:val="24"/>
        </w:rPr>
        <w:t xml:space="preserve"> </w:t>
      </w:r>
      <w:r w:rsidR="006C7C71">
        <w:rPr>
          <w:rFonts w:asciiTheme="majorBidi" w:hAnsiTheme="majorBidi" w:cstheme="majorBidi"/>
          <w:sz w:val="24"/>
          <w:szCs w:val="24"/>
        </w:rPr>
        <w:t>its operations (</w:t>
      </w:r>
      <w:r w:rsidR="006C7C71" w:rsidRPr="00FD6EED">
        <w:rPr>
          <w:rFonts w:asciiTheme="majorBidi" w:eastAsia="ArialMT" w:hAnsiTheme="majorBidi" w:cstheme="majorBidi"/>
          <w:sz w:val="24"/>
          <w:szCs w:val="24"/>
        </w:rPr>
        <w:t>Basel, 2008</w:t>
      </w:r>
      <w:r w:rsidR="006C7C71">
        <w:rPr>
          <w:rFonts w:asciiTheme="majorBidi" w:hAnsiTheme="majorBidi" w:cstheme="majorBidi"/>
          <w:sz w:val="24"/>
          <w:szCs w:val="24"/>
        </w:rPr>
        <w:t>.</w:t>
      </w:r>
      <w:r w:rsidR="0075739B" w:rsidRPr="00FD6EED">
        <w:rPr>
          <w:rFonts w:asciiTheme="majorBidi" w:hAnsiTheme="majorBidi" w:cstheme="majorBidi"/>
          <w:sz w:val="24"/>
          <w:szCs w:val="24"/>
        </w:rPr>
        <w:t xml:space="preserve"> Basel II offers two</w:t>
      </w:r>
      <w:r w:rsidR="00CB77B9">
        <w:rPr>
          <w:rFonts w:asciiTheme="majorBidi" w:hAnsiTheme="majorBidi" w:cstheme="majorBidi"/>
          <w:sz w:val="24"/>
          <w:szCs w:val="24"/>
        </w:rPr>
        <w:t xml:space="preserve"> wide</w:t>
      </w:r>
      <w:r w:rsidR="0075739B" w:rsidRPr="00FD6EED">
        <w:rPr>
          <w:rFonts w:asciiTheme="majorBidi" w:hAnsiTheme="majorBidi" w:cstheme="majorBidi"/>
          <w:sz w:val="24"/>
          <w:szCs w:val="24"/>
        </w:rPr>
        <w:t xml:space="preserve"> forms o</w:t>
      </w:r>
      <w:r w:rsidR="00CB77B9">
        <w:rPr>
          <w:rFonts w:asciiTheme="majorBidi" w:hAnsiTheme="majorBidi" w:cstheme="majorBidi"/>
          <w:sz w:val="24"/>
          <w:szCs w:val="24"/>
        </w:rPr>
        <w:t xml:space="preserve">f credit mitigation </w:t>
      </w:r>
      <w:r w:rsidR="008B1EEC">
        <w:rPr>
          <w:rFonts w:asciiTheme="majorBidi" w:hAnsiTheme="majorBidi" w:cstheme="majorBidi"/>
          <w:sz w:val="24"/>
          <w:szCs w:val="24"/>
        </w:rPr>
        <w:t>techniques, funded credit protection and unfunded credit protection.</w:t>
      </w:r>
    </w:p>
    <w:p w:rsidR="00FD6EED" w:rsidRPr="00542B64" w:rsidRDefault="00542B64" w:rsidP="00542B64">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While the concept of unfunded credit protection, includes an </w:t>
      </w:r>
      <w:r w:rsidRPr="00FD6EED">
        <w:rPr>
          <w:rFonts w:asciiTheme="majorBidi" w:hAnsiTheme="majorBidi" w:cstheme="majorBidi"/>
          <w:color w:val="000000"/>
          <w:sz w:val="24"/>
          <w:szCs w:val="24"/>
        </w:rPr>
        <w:t>unsecured obligation of a third party</w:t>
      </w:r>
      <w:r>
        <w:rPr>
          <w:rFonts w:asciiTheme="majorBidi" w:hAnsiTheme="majorBidi" w:cstheme="majorBidi"/>
          <w:sz w:val="24"/>
          <w:szCs w:val="24"/>
        </w:rPr>
        <w:t xml:space="preserve">. Under this concept as credit risk mitigation technique, </w:t>
      </w:r>
      <w:r w:rsidRPr="00FD6EED">
        <w:rPr>
          <w:rFonts w:asciiTheme="majorBidi" w:hAnsiTheme="majorBidi" w:cstheme="majorBidi"/>
          <w:color w:val="000000"/>
          <w:sz w:val="24"/>
          <w:szCs w:val="24"/>
        </w:rPr>
        <w:t>creditworthy</w:t>
      </w:r>
      <w:r>
        <w:rPr>
          <w:rFonts w:asciiTheme="majorBidi" w:hAnsiTheme="majorBidi" w:cstheme="majorBidi"/>
          <w:sz w:val="24"/>
          <w:szCs w:val="24"/>
        </w:rPr>
        <w:t xml:space="preserve"> party more than the original </w:t>
      </w:r>
      <w:r w:rsidR="008F617A">
        <w:rPr>
          <w:rFonts w:asciiTheme="majorBidi" w:hAnsiTheme="majorBidi" w:cstheme="majorBidi"/>
          <w:sz w:val="24"/>
          <w:szCs w:val="24"/>
        </w:rPr>
        <w:t>borrower guarantees</w:t>
      </w:r>
      <w:r>
        <w:rPr>
          <w:rFonts w:asciiTheme="majorBidi" w:hAnsiTheme="majorBidi" w:cstheme="majorBidi"/>
          <w:sz w:val="24"/>
          <w:szCs w:val="24"/>
        </w:rPr>
        <w:t xml:space="preserve"> the transaction, </w:t>
      </w:r>
      <w:r w:rsidR="008F617A">
        <w:rPr>
          <w:rFonts w:asciiTheme="majorBidi" w:hAnsiTheme="majorBidi" w:cstheme="majorBidi"/>
          <w:sz w:val="24"/>
          <w:szCs w:val="24"/>
        </w:rPr>
        <w:t>this results in reducing credit risk the bank face.</w:t>
      </w:r>
      <w:r>
        <w:rPr>
          <w:rFonts w:asciiTheme="majorBidi" w:hAnsiTheme="majorBidi" w:cstheme="majorBidi"/>
          <w:sz w:val="24"/>
          <w:szCs w:val="24"/>
        </w:rPr>
        <w:t xml:space="preserve"> </w:t>
      </w:r>
      <w:r w:rsidR="008C63A4" w:rsidRPr="00FD6EED">
        <w:rPr>
          <w:rFonts w:asciiTheme="majorBidi" w:hAnsiTheme="majorBidi" w:cstheme="majorBidi"/>
          <w:color w:val="000000"/>
          <w:sz w:val="24"/>
          <w:szCs w:val="24"/>
        </w:rPr>
        <w:t>Unfunded credit protection includes gu</w:t>
      </w:r>
      <w:r w:rsidR="003875A5" w:rsidRPr="00FD6EED">
        <w:rPr>
          <w:rFonts w:asciiTheme="majorBidi" w:hAnsiTheme="majorBidi" w:cstheme="majorBidi"/>
          <w:color w:val="000000"/>
          <w:sz w:val="24"/>
          <w:szCs w:val="24"/>
        </w:rPr>
        <w:t xml:space="preserve">arantees and credit </w:t>
      </w:r>
      <w:r w:rsidR="00446161" w:rsidRPr="00FD6EED">
        <w:rPr>
          <w:rFonts w:asciiTheme="majorBidi" w:hAnsiTheme="majorBidi" w:cstheme="majorBidi"/>
          <w:color w:val="000000"/>
          <w:sz w:val="24"/>
          <w:szCs w:val="24"/>
        </w:rPr>
        <w:t>derivatives</w:t>
      </w:r>
      <w:r w:rsidR="00176F74">
        <w:rPr>
          <w:rFonts w:asciiTheme="majorBidi" w:hAnsiTheme="majorBidi" w:cstheme="majorBidi"/>
          <w:color w:val="000000"/>
          <w:sz w:val="24"/>
          <w:szCs w:val="24"/>
        </w:rPr>
        <w:t>"</w:t>
      </w:r>
      <w:r w:rsidR="00446161" w:rsidRPr="00FD6EED">
        <w:rPr>
          <w:rFonts w:asciiTheme="majorBidi" w:hAnsiTheme="majorBidi" w:cstheme="majorBidi"/>
          <w:color w:val="000000"/>
          <w:sz w:val="24"/>
          <w:szCs w:val="24"/>
        </w:rPr>
        <w:t xml:space="preserve"> (Basel, 2006</w:t>
      </w:r>
      <w:r w:rsidR="006D2650" w:rsidRPr="00FD6EED">
        <w:rPr>
          <w:rFonts w:asciiTheme="majorBidi" w:hAnsiTheme="majorBidi" w:cstheme="majorBidi"/>
          <w:color w:val="000000"/>
          <w:sz w:val="24"/>
          <w:szCs w:val="24"/>
        </w:rPr>
        <w:t>)</w:t>
      </w:r>
      <w:r w:rsidR="003875A5" w:rsidRPr="00FD6EED">
        <w:rPr>
          <w:rFonts w:asciiTheme="majorBidi" w:hAnsiTheme="majorBidi" w:cstheme="majorBidi"/>
          <w:color w:val="000000"/>
          <w:sz w:val="24"/>
          <w:szCs w:val="24"/>
        </w:rPr>
        <w:t xml:space="preserve">. </w:t>
      </w:r>
    </w:p>
    <w:p w:rsidR="00C30EE8" w:rsidRPr="00C30EE8" w:rsidRDefault="000E6485" w:rsidP="00D57303">
      <w:pPr>
        <w:spacing w:line="360" w:lineRule="auto"/>
        <w:jc w:val="both"/>
        <w:rPr>
          <w:rFonts w:asciiTheme="majorBidi" w:hAnsiTheme="majorBidi" w:cstheme="majorBidi"/>
          <w:sz w:val="24"/>
          <w:szCs w:val="24"/>
        </w:rPr>
      </w:pPr>
      <w:r w:rsidRPr="00FD6EED">
        <w:rPr>
          <w:rFonts w:asciiTheme="majorBidi" w:hAnsiTheme="majorBidi" w:cstheme="majorBidi"/>
          <w:sz w:val="24"/>
          <w:szCs w:val="24"/>
        </w:rPr>
        <w:t xml:space="preserve">In this context, </w:t>
      </w:r>
      <w:r w:rsidR="008F617A">
        <w:rPr>
          <w:rFonts w:asciiTheme="majorBidi" w:hAnsiTheme="majorBidi" w:cstheme="majorBidi"/>
          <w:sz w:val="24"/>
          <w:szCs w:val="24"/>
        </w:rPr>
        <w:t>many</w:t>
      </w:r>
      <w:r w:rsidR="00D57303">
        <w:rPr>
          <w:rFonts w:asciiTheme="majorBidi" w:hAnsiTheme="majorBidi" w:cstheme="majorBidi"/>
          <w:sz w:val="24"/>
          <w:szCs w:val="24"/>
        </w:rPr>
        <w:t xml:space="preserve"> methods are available whether its traditional or newer methods adopted by financial institutions as credit risk mitigation techniques</w:t>
      </w:r>
      <w:r w:rsidR="004031EE" w:rsidRPr="00FD6EED">
        <w:rPr>
          <w:rFonts w:asciiTheme="majorBidi" w:hAnsiTheme="majorBidi" w:cstheme="majorBidi"/>
          <w:sz w:val="24"/>
          <w:szCs w:val="24"/>
        </w:rPr>
        <w:t xml:space="preserve"> (Neal</w:t>
      </w:r>
      <w:r w:rsidR="00BA6345" w:rsidRPr="00FD6EED">
        <w:rPr>
          <w:rFonts w:asciiTheme="majorBidi" w:hAnsiTheme="majorBidi" w:cstheme="majorBidi"/>
          <w:sz w:val="24"/>
          <w:szCs w:val="24"/>
        </w:rPr>
        <w:t>, 1996</w:t>
      </w:r>
      <w:r w:rsidR="004031EE" w:rsidRPr="00FD6EED">
        <w:rPr>
          <w:rFonts w:asciiTheme="majorBidi" w:hAnsiTheme="majorBidi" w:cstheme="majorBidi"/>
          <w:sz w:val="24"/>
          <w:szCs w:val="24"/>
        </w:rPr>
        <w:t>).</w:t>
      </w:r>
      <w:r w:rsidR="00BA6345" w:rsidRPr="00FD6EED">
        <w:rPr>
          <w:rFonts w:asciiTheme="majorBidi" w:hAnsiTheme="majorBidi" w:cstheme="majorBidi"/>
          <w:sz w:val="24"/>
          <w:szCs w:val="24"/>
        </w:rPr>
        <w:t xml:space="preserve"> In this section, all those essential ways for minimiz</w:t>
      </w:r>
      <w:r w:rsidR="008E4D28" w:rsidRPr="00FD6EED">
        <w:rPr>
          <w:rFonts w:asciiTheme="majorBidi" w:hAnsiTheme="majorBidi" w:cstheme="majorBidi"/>
          <w:sz w:val="24"/>
          <w:szCs w:val="24"/>
        </w:rPr>
        <w:t>ing credit risk will be covered.</w:t>
      </w:r>
    </w:p>
    <w:p w:rsidR="00D57303" w:rsidRDefault="00D57303" w:rsidP="00176F74">
      <w:pPr>
        <w:autoSpaceDE w:val="0"/>
        <w:autoSpaceDN w:val="0"/>
        <w:adjustRightInd w:val="0"/>
        <w:spacing w:after="0" w:line="360" w:lineRule="auto"/>
        <w:contextualSpacing/>
        <w:jc w:val="both"/>
        <w:rPr>
          <w:rFonts w:ascii="Times New Roman" w:hAnsi="Times New Roman" w:cs="Times New Roman"/>
          <w:b/>
          <w:sz w:val="24"/>
          <w:szCs w:val="24"/>
        </w:rPr>
      </w:pPr>
    </w:p>
    <w:p w:rsidR="00D57303" w:rsidRDefault="00D57303" w:rsidP="00176F74">
      <w:pPr>
        <w:autoSpaceDE w:val="0"/>
        <w:autoSpaceDN w:val="0"/>
        <w:adjustRightInd w:val="0"/>
        <w:spacing w:after="0" w:line="360" w:lineRule="auto"/>
        <w:contextualSpacing/>
        <w:jc w:val="both"/>
        <w:rPr>
          <w:rFonts w:ascii="Times New Roman" w:hAnsi="Times New Roman" w:cs="Times New Roman"/>
          <w:b/>
          <w:sz w:val="24"/>
          <w:szCs w:val="24"/>
        </w:rPr>
      </w:pPr>
    </w:p>
    <w:p w:rsidR="00D57303" w:rsidRDefault="00D57303" w:rsidP="00176F74">
      <w:pPr>
        <w:autoSpaceDE w:val="0"/>
        <w:autoSpaceDN w:val="0"/>
        <w:adjustRightInd w:val="0"/>
        <w:spacing w:after="0" w:line="360" w:lineRule="auto"/>
        <w:contextualSpacing/>
        <w:jc w:val="both"/>
        <w:rPr>
          <w:rFonts w:ascii="Times New Roman" w:hAnsi="Times New Roman" w:cs="Times New Roman"/>
          <w:b/>
          <w:sz w:val="24"/>
          <w:szCs w:val="24"/>
        </w:rPr>
      </w:pPr>
    </w:p>
    <w:p w:rsidR="008E4D28" w:rsidRPr="00D57303" w:rsidRDefault="008E4D28" w:rsidP="00F873C9">
      <w:pPr>
        <w:pStyle w:val="ListParagraph"/>
        <w:numPr>
          <w:ilvl w:val="2"/>
          <w:numId w:val="44"/>
        </w:numPr>
        <w:autoSpaceDE w:val="0"/>
        <w:autoSpaceDN w:val="0"/>
        <w:adjustRightInd w:val="0"/>
        <w:spacing w:after="0" w:line="360" w:lineRule="auto"/>
        <w:jc w:val="both"/>
        <w:rPr>
          <w:rFonts w:ascii="Times New Roman" w:hAnsi="Times New Roman" w:cs="Times New Roman"/>
          <w:sz w:val="24"/>
          <w:szCs w:val="24"/>
        </w:rPr>
      </w:pPr>
      <w:r w:rsidRPr="00D57303">
        <w:rPr>
          <w:rFonts w:ascii="Times New Roman" w:hAnsi="Times New Roman" w:cs="Times New Roman"/>
          <w:b/>
          <w:bCs/>
          <w:sz w:val="24"/>
          <w:szCs w:val="24"/>
        </w:rPr>
        <w:lastRenderedPageBreak/>
        <w:t>Traditional Methods for Controlling Credit Risk</w:t>
      </w:r>
    </w:p>
    <w:p w:rsidR="00176F74" w:rsidRDefault="00176F74" w:rsidP="00176F74">
      <w:pPr>
        <w:spacing w:after="240" w:line="240" w:lineRule="auto"/>
        <w:contextualSpacing/>
        <w:rPr>
          <w:rFonts w:ascii="Times New Roman" w:hAnsi="Times New Roman" w:cs="Times New Roman"/>
          <w:b/>
          <w:sz w:val="24"/>
          <w:szCs w:val="24"/>
        </w:rPr>
      </w:pPr>
    </w:p>
    <w:p w:rsidR="00C61103" w:rsidRPr="00D57303" w:rsidRDefault="008F617A" w:rsidP="00D57303">
      <w:pPr>
        <w:spacing w:after="240" w:line="240" w:lineRule="auto"/>
        <w:rPr>
          <w:rFonts w:ascii="Times New Roman" w:hAnsi="Times New Roman" w:cs="Times New Roman"/>
          <w:b/>
          <w:sz w:val="24"/>
          <w:szCs w:val="24"/>
        </w:rPr>
      </w:pPr>
      <w:r>
        <w:rPr>
          <w:rFonts w:ascii="Times New Roman" w:hAnsi="Times New Roman" w:cs="Times New Roman"/>
          <w:b/>
          <w:sz w:val="24"/>
          <w:szCs w:val="24"/>
        </w:rPr>
        <w:t>1)</w:t>
      </w:r>
      <w:r w:rsidRPr="00D57303">
        <w:rPr>
          <w:rFonts w:ascii="Times New Roman" w:hAnsi="Times New Roman" w:cs="Times New Roman"/>
          <w:b/>
          <w:sz w:val="24"/>
          <w:szCs w:val="24"/>
        </w:rPr>
        <w:t xml:space="preserve"> Accurate</w:t>
      </w:r>
      <w:r w:rsidR="00E50E6C" w:rsidRPr="00D57303">
        <w:rPr>
          <w:rFonts w:ascii="Times New Roman" w:hAnsi="Times New Roman" w:cs="Times New Roman"/>
          <w:b/>
          <w:sz w:val="24"/>
          <w:szCs w:val="24"/>
        </w:rPr>
        <w:t xml:space="preserve"> Loan Pricing </w:t>
      </w:r>
    </w:p>
    <w:p w:rsidR="00E50E6C" w:rsidRPr="00EE3983" w:rsidRDefault="00E50E6C" w:rsidP="002446D6">
      <w:pPr>
        <w:spacing w:line="360" w:lineRule="auto"/>
        <w:contextualSpacing/>
        <w:jc w:val="both"/>
        <w:rPr>
          <w:rFonts w:asciiTheme="majorBidi" w:hAnsiTheme="majorBidi" w:cstheme="majorBidi"/>
          <w:color w:val="000000" w:themeColor="text1"/>
          <w:sz w:val="24"/>
          <w:szCs w:val="24"/>
          <w:shd w:val="clear" w:color="auto" w:fill="FFFFFF"/>
        </w:rPr>
      </w:pPr>
      <w:r w:rsidRPr="00C61103">
        <w:rPr>
          <w:rFonts w:ascii="Times New Roman" w:hAnsi="Times New Roman" w:cs="Times New Roman"/>
          <w:sz w:val="24"/>
          <w:szCs w:val="24"/>
        </w:rPr>
        <w:t xml:space="preserve">One of the most </w:t>
      </w:r>
      <w:r w:rsidR="008170ED" w:rsidRPr="00C61103">
        <w:rPr>
          <w:rFonts w:ascii="Times New Roman" w:hAnsi="Times New Roman" w:cs="Times New Roman"/>
          <w:sz w:val="24"/>
          <w:szCs w:val="24"/>
        </w:rPr>
        <w:t xml:space="preserve">crucial side </w:t>
      </w:r>
      <w:r w:rsidRPr="00C61103">
        <w:rPr>
          <w:rFonts w:ascii="Times New Roman" w:hAnsi="Times New Roman" w:cs="Times New Roman"/>
          <w:sz w:val="24"/>
          <w:szCs w:val="24"/>
        </w:rPr>
        <w:t>of asset/liability management (ALM) is loan pricing</w:t>
      </w:r>
      <w:r w:rsidR="00463F0A">
        <w:rPr>
          <w:rFonts w:ascii="Times New Roman" w:hAnsi="Times New Roman" w:cs="Times New Roman"/>
          <w:sz w:val="24"/>
          <w:szCs w:val="24"/>
        </w:rPr>
        <w:t xml:space="preserve">, </w:t>
      </w:r>
      <w:r w:rsidR="00463F0A">
        <w:rPr>
          <w:rFonts w:asciiTheme="majorBidi" w:hAnsiTheme="majorBidi" w:cstheme="majorBidi"/>
          <w:sz w:val="24"/>
          <w:szCs w:val="24"/>
        </w:rPr>
        <w:t>since the level of returns, credit risk and capital adequacy are largely affected by loan pricing decisions.</w:t>
      </w:r>
      <w:r w:rsidR="00EE3983" w:rsidRPr="00EE3983">
        <w:rPr>
          <w:rFonts w:asciiTheme="majorBidi" w:hAnsiTheme="majorBidi" w:cstheme="majorBidi"/>
          <w:color w:val="000000" w:themeColor="text1"/>
          <w:sz w:val="24"/>
          <w:szCs w:val="24"/>
          <w:shd w:val="clear" w:color="auto" w:fill="FFFFFF"/>
        </w:rPr>
        <w:t xml:space="preserve"> </w:t>
      </w:r>
      <w:r w:rsidR="00EE3983">
        <w:rPr>
          <w:rFonts w:asciiTheme="majorBidi" w:hAnsiTheme="majorBidi" w:cstheme="majorBidi"/>
          <w:color w:val="000000" w:themeColor="text1"/>
          <w:sz w:val="24"/>
          <w:szCs w:val="24"/>
          <w:shd w:val="clear" w:color="auto" w:fill="FFFFFF"/>
        </w:rPr>
        <w:t>Loan pricing is considered one of the major factors affecting the level of profits earned by the bank, that’s why the bank's management must adopt and follow good pricing policy in order to achieve its goals.</w:t>
      </w:r>
      <w:r w:rsidR="008170ED" w:rsidRPr="00C61103">
        <w:rPr>
          <w:rFonts w:asciiTheme="majorBidi" w:hAnsiTheme="majorBidi" w:cstheme="majorBidi"/>
          <w:sz w:val="24"/>
          <w:szCs w:val="24"/>
          <w:rtl/>
        </w:rPr>
        <w:t xml:space="preserve"> </w:t>
      </w:r>
      <w:r w:rsidR="00446808" w:rsidRPr="00C61103">
        <w:rPr>
          <w:rFonts w:asciiTheme="majorBidi" w:hAnsiTheme="majorBidi" w:cstheme="majorBidi"/>
          <w:sz w:val="24"/>
          <w:szCs w:val="24"/>
        </w:rPr>
        <w:t>Upon the importance of loan pricing on the bank’s success and profitability, the bank’s board of directors establish a formal policy that directs and controls pricing decisions, this policy should be reviewed at least annually for adequacy and to ensuring it meets the bank’s overall pricing objectives, earnings projections, and optimum capital levels. Monitoring may be completed on a broad, bank-wide basis, or may be focused on the pricing decisions made by individual loan officers.</w:t>
      </w:r>
    </w:p>
    <w:p w:rsidR="008B1EEC" w:rsidRPr="005C1DF9" w:rsidRDefault="00E116E5" w:rsidP="002446D6">
      <w:pPr>
        <w:autoSpaceDE w:val="0"/>
        <w:autoSpaceDN w:val="0"/>
        <w:adjustRightInd w:val="0"/>
        <w:spacing w:after="0" w:line="360" w:lineRule="auto"/>
        <w:contextualSpacing/>
        <w:jc w:val="both"/>
        <w:rPr>
          <w:rFonts w:ascii="Times New Roman" w:hAnsi="Times New Roman" w:cs="Times New Roman"/>
          <w:sz w:val="24"/>
          <w:szCs w:val="24"/>
        </w:rPr>
      </w:pPr>
      <w:r w:rsidRPr="00D84434">
        <w:rPr>
          <w:rFonts w:ascii="Times New Roman" w:hAnsi="Times New Roman" w:cs="Times New Roman"/>
          <w:sz w:val="24"/>
          <w:szCs w:val="24"/>
        </w:rPr>
        <w:t>Acco</w:t>
      </w:r>
      <w:r w:rsidR="00D84434" w:rsidRPr="00D84434">
        <w:rPr>
          <w:rFonts w:ascii="Times New Roman" w:hAnsi="Times New Roman" w:cs="Times New Roman"/>
          <w:sz w:val="24"/>
          <w:szCs w:val="24"/>
        </w:rPr>
        <w:t>rding to Heffernan (2005</w:t>
      </w:r>
      <w:r w:rsidRPr="00D84434">
        <w:rPr>
          <w:rFonts w:ascii="Times New Roman" w:hAnsi="Times New Roman" w:cs="Times New Roman"/>
          <w:sz w:val="24"/>
          <w:szCs w:val="24"/>
        </w:rPr>
        <w:t>), one of the most clear ways to minimize credit risk is that banks should ensure the price of a loan ex</w:t>
      </w:r>
      <w:r w:rsidR="00D113AB">
        <w:rPr>
          <w:rFonts w:ascii="Times New Roman" w:hAnsi="Times New Roman" w:cs="Times New Roman"/>
          <w:sz w:val="24"/>
          <w:szCs w:val="24"/>
        </w:rPr>
        <w:t>ceed a risk adjusted rate, and l</w:t>
      </w:r>
      <w:r w:rsidRPr="00D84434">
        <w:rPr>
          <w:rFonts w:ascii="Times New Roman" w:hAnsi="Times New Roman" w:cs="Times New Roman"/>
          <w:sz w:val="24"/>
          <w:szCs w:val="24"/>
        </w:rPr>
        <w:t>oans should be priced at a level sufficient to cover all costs</w:t>
      </w:r>
      <w:r w:rsidR="00DA4BE7" w:rsidRPr="00D84434">
        <w:rPr>
          <w:rFonts w:ascii="Times New Roman" w:hAnsi="Times New Roman" w:cs="Times New Roman"/>
          <w:sz w:val="24"/>
          <w:szCs w:val="24"/>
        </w:rPr>
        <w:t>. Specific</w:t>
      </w:r>
      <w:r w:rsidR="00DA4BE7" w:rsidRPr="00DA258D">
        <w:rPr>
          <w:rFonts w:ascii="Times New Roman" w:hAnsi="Times New Roman" w:cs="Times New Roman"/>
          <w:sz w:val="24"/>
          <w:szCs w:val="24"/>
        </w:rPr>
        <w:t xml:space="preserve"> consideration should be given</w:t>
      </w:r>
      <w:r w:rsidR="001A76AD" w:rsidRPr="00DA258D">
        <w:rPr>
          <w:rFonts w:ascii="Times New Roman" w:hAnsi="Times New Roman" w:cs="Times New Roman"/>
          <w:sz w:val="24"/>
          <w:szCs w:val="24"/>
        </w:rPr>
        <w:t xml:space="preserve"> in the process of pricing loans such as,</w:t>
      </w:r>
      <w:r w:rsidR="00DA4BE7" w:rsidRPr="00DA258D">
        <w:rPr>
          <w:rFonts w:ascii="Times New Roman" w:hAnsi="Times New Roman" w:cs="Times New Roman"/>
          <w:sz w:val="24"/>
          <w:szCs w:val="24"/>
        </w:rPr>
        <w:t xml:space="preserve"> the cost of funds,</w:t>
      </w:r>
      <w:r w:rsidR="007168CB" w:rsidRPr="00DA258D">
        <w:rPr>
          <w:rFonts w:ascii="Times New Roman" w:hAnsi="Times New Roman" w:cs="Times New Roman"/>
          <w:sz w:val="24"/>
          <w:szCs w:val="24"/>
        </w:rPr>
        <w:t xml:space="preserve"> collateral</w:t>
      </w:r>
      <w:r w:rsidR="009A36A5" w:rsidRPr="00DA258D">
        <w:rPr>
          <w:rFonts w:ascii="Times New Roman" w:hAnsi="Times New Roman" w:cs="Times New Roman"/>
          <w:sz w:val="24"/>
          <w:szCs w:val="24"/>
        </w:rPr>
        <w:t xml:space="preserve"> (If there is any collateral or security backing the loan, the rate charged should be lower than in the absence of security),</w:t>
      </w:r>
      <w:r w:rsidR="00D113AB">
        <w:rPr>
          <w:rFonts w:ascii="Times New Roman" w:hAnsi="Times New Roman" w:cs="Times New Roman"/>
          <w:sz w:val="24"/>
          <w:szCs w:val="24"/>
        </w:rPr>
        <w:t xml:space="preserve"> </w:t>
      </w:r>
      <w:r w:rsidR="00DA4BE7" w:rsidRPr="00DA258D">
        <w:rPr>
          <w:rFonts w:ascii="Times New Roman" w:hAnsi="Times New Roman" w:cs="Times New Roman"/>
          <w:sz w:val="24"/>
          <w:szCs w:val="24"/>
        </w:rPr>
        <w:t>the cost of servicing loans, costs of operations, loan</w:t>
      </w:r>
      <w:r w:rsidR="00721BF0">
        <w:rPr>
          <w:rFonts w:ascii="Times New Roman" w:hAnsi="Times New Roman" w:cs="Times New Roman"/>
          <w:sz w:val="24"/>
          <w:szCs w:val="24"/>
        </w:rPr>
        <w:t xml:space="preserve"> </w:t>
      </w:r>
      <w:r w:rsidR="00DA4BE7" w:rsidRPr="00DA258D">
        <w:rPr>
          <w:rFonts w:ascii="Times New Roman" w:hAnsi="Times New Roman" w:cs="Times New Roman"/>
          <w:sz w:val="24"/>
          <w:szCs w:val="24"/>
        </w:rPr>
        <w:t>a</w:t>
      </w:r>
      <w:r w:rsidR="008461CA">
        <w:rPr>
          <w:rFonts w:ascii="Times New Roman" w:hAnsi="Times New Roman" w:cs="Times New Roman"/>
          <w:sz w:val="24"/>
          <w:szCs w:val="24"/>
        </w:rPr>
        <w:t>ble fun</w:t>
      </w:r>
      <w:r w:rsidR="008B1EEC">
        <w:rPr>
          <w:rFonts w:ascii="Times New Roman" w:hAnsi="Times New Roman" w:cs="Times New Roman"/>
          <w:sz w:val="24"/>
          <w:szCs w:val="24"/>
        </w:rPr>
        <w:t>d</w:t>
      </w:r>
      <w:r w:rsidR="008461CA">
        <w:rPr>
          <w:rFonts w:ascii="Times New Roman" w:hAnsi="Times New Roman" w:cs="Times New Roman"/>
          <w:sz w:val="24"/>
          <w:szCs w:val="24"/>
        </w:rPr>
        <w:t>s (size of the credit),</w:t>
      </w:r>
      <w:r w:rsidR="009373BA" w:rsidRPr="00DA258D">
        <w:rPr>
          <w:rFonts w:ascii="Times New Roman" w:hAnsi="Times New Roman" w:cs="Times New Roman"/>
          <w:sz w:val="24"/>
          <w:szCs w:val="24"/>
        </w:rPr>
        <w:t xml:space="preserve"> interest rate risks (IRR),</w:t>
      </w:r>
      <w:r w:rsidR="00DA4BE7" w:rsidRPr="00DA258D">
        <w:rPr>
          <w:rFonts w:ascii="Times New Roman" w:hAnsi="Times New Roman" w:cs="Times New Roman"/>
          <w:sz w:val="24"/>
          <w:szCs w:val="24"/>
        </w:rPr>
        <w:t xml:space="preserve"> the competitive environment</w:t>
      </w:r>
      <w:r w:rsidR="009373BA" w:rsidRPr="00DA258D">
        <w:rPr>
          <w:rFonts w:ascii="Times New Roman" w:hAnsi="Times New Roman" w:cs="Times New Roman"/>
          <w:sz w:val="24"/>
          <w:szCs w:val="24"/>
        </w:rPr>
        <w:t xml:space="preserve"> and credit risks (the borrower risk premium that reflects his/her creditworthiness</w:t>
      </w:r>
      <w:r w:rsidR="00BA1E6A" w:rsidRPr="00DA258D">
        <w:rPr>
          <w:rFonts w:ascii="Times New Roman" w:hAnsi="Times New Roman" w:cs="Times New Roman"/>
          <w:sz w:val="24"/>
          <w:szCs w:val="24"/>
        </w:rPr>
        <w:t xml:space="preserve">). </w:t>
      </w:r>
      <w:r w:rsidR="00DA4BE7" w:rsidRPr="00DA258D">
        <w:rPr>
          <w:rFonts w:ascii="Times New Roman" w:hAnsi="Times New Roman" w:cs="Times New Roman"/>
          <w:sz w:val="24"/>
          <w:szCs w:val="24"/>
        </w:rPr>
        <w:t xml:space="preserve">Basically, the risk premium is higher for riskier </w:t>
      </w:r>
      <w:r w:rsidR="008135C1" w:rsidRPr="00DA258D">
        <w:rPr>
          <w:rFonts w:ascii="Times New Roman" w:hAnsi="Times New Roman" w:cs="Times New Roman"/>
          <w:sz w:val="24"/>
          <w:szCs w:val="24"/>
        </w:rPr>
        <w:t>borrowers</w:t>
      </w:r>
      <w:r w:rsidR="008135C1" w:rsidRPr="00F72FB3">
        <w:rPr>
          <w:rFonts w:ascii="Times New Roman" w:hAnsi="Times New Roman" w:cs="Times New Roman"/>
          <w:sz w:val="24"/>
          <w:szCs w:val="24"/>
        </w:rPr>
        <w:t xml:space="preserve"> (</w:t>
      </w:r>
      <w:r w:rsidR="009A36A5" w:rsidRPr="00F72FB3">
        <w:rPr>
          <w:rFonts w:ascii="Times New Roman" w:hAnsi="Times New Roman" w:cs="Times New Roman"/>
          <w:sz w:val="24"/>
          <w:szCs w:val="24"/>
        </w:rPr>
        <w:t xml:space="preserve">the riskier the borrower, the higher the premium and the higher the premium the higher the rate) </w:t>
      </w:r>
      <w:r w:rsidR="00DA4BE7" w:rsidRPr="00F72FB3">
        <w:rPr>
          <w:rFonts w:ascii="Times New Roman" w:hAnsi="Times New Roman" w:cs="Times New Roman"/>
          <w:sz w:val="24"/>
          <w:szCs w:val="24"/>
        </w:rPr>
        <w:t>and the loan rate should keep changing with the alteration of the loan risk profile.</w:t>
      </w:r>
    </w:p>
    <w:p w:rsidR="001A76AD" w:rsidRPr="00DA258D" w:rsidRDefault="00B05F50" w:rsidP="00B05F50">
      <w:pPr>
        <w:autoSpaceDE w:val="0"/>
        <w:autoSpaceDN w:val="0"/>
        <w:adjustRightInd w:val="0"/>
        <w:spacing w:after="0" w:line="360" w:lineRule="auto"/>
        <w:rPr>
          <w:rFonts w:ascii="Times New Roman" w:hAnsi="Times New Roman" w:cs="Times New Roman"/>
          <w:sz w:val="24"/>
          <w:szCs w:val="24"/>
        </w:rPr>
      </w:pPr>
      <w:r w:rsidRPr="00DA258D">
        <w:rPr>
          <w:rFonts w:ascii="Times New Roman" w:hAnsi="Times New Roman" w:cs="Times New Roman"/>
          <w:b/>
          <w:sz w:val="24"/>
          <w:szCs w:val="24"/>
        </w:rPr>
        <w:t>2) Credit</w:t>
      </w:r>
      <w:r w:rsidR="001A76AD" w:rsidRPr="00DA258D">
        <w:rPr>
          <w:rFonts w:ascii="Times New Roman" w:hAnsi="Times New Roman" w:cs="Times New Roman"/>
          <w:b/>
          <w:sz w:val="24"/>
          <w:szCs w:val="24"/>
        </w:rPr>
        <w:t xml:space="preserve"> Limits</w:t>
      </w:r>
    </w:p>
    <w:p w:rsidR="00B05F50" w:rsidRPr="00CE4110" w:rsidRDefault="00D7745A" w:rsidP="00B94D36">
      <w:pPr>
        <w:autoSpaceDE w:val="0"/>
        <w:autoSpaceDN w:val="0"/>
        <w:adjustRightInd w:val="0"/>
        <w:spacing w:after="0" w:line="360" w:lineRule="auto"/>
        <w:contextualSpacing/>
        <w:jc w:val="both"/>
        <w:rPr>
          <w:rFonts w:ascii="Times New Roman" w:hAnsi="Times New Roman" w:cs="Times New Roman"/>
          <w:sz w:val="24"/>
          <w:szCs w:val="24"/>
          <w:lang w:bidi="ar-JO"/>
        </w:rPr>
      </w:pPr>
      <w:r w:rsidRPr="00DA258D">
        <w:rPr>
          <w:rFonts w:ascii="Times New Roman" w:hAnsi="Times New Roman" w:cs="Times New Roman"/>
          <w:sz w:val="24"/>
          <w:szCs w:val="24"/>
        </w:rPr>
        <w:t xml:space="preserve">Another method for controlling credit risk is credit limits. </w:t>
      </w:r>
      <w:r w:rsidR="00A40789" w:rsidRPr="00DA258D">
        <w:rPr>
          <w:rFonts w:ascii="Times New Roman" w:hAnsi="Times New Roman" w:cs="Times New Roman"/>
          <w:sz w:val="24"/>
          <w:szCs w:val="24"/>
        </w:rPr>
        <w:t>A</w:t>
      </w:r>
      <w:r w:rsidR="00B05F50" w:rsidRPr="00DA258D">
        <w:rPr>
          <w:rFonts w:ascii="Times New Roman" w:hAnsi="Times New Roman" w:cs="Times New Roman"/>
          <w:sz w:val="24"/>
          <w:szCs w:val="24"/>
        </w:rPr>
        <w:t xml:space="preserve"> </w:t>
      </w:r>
      <w:r w:rsidR="00CE4110">
        <w:rPr>
          <w:rFonts w:ascii="Times New Roman" w:hAnsi="Times New Roman" w:cs="Times New Roman"/>
          <w:sz w:val="24"/>
          <w:szCs w:val="24"/>
        </w:rPr>
        <w:t xml:space="preserve">significant </w:t>
      </w:r>
      <w:r w:rsidR="00B05F50" w:rsidRPr="00DA258D">
        <w:rPr>
          <w:rFonts w:ascii="Times New Roman" w:hAnsi="Times New Roman" w:cs="Times New Roman"/>
          <w:sz w:val="24"/>
          <w:szCs w:val="24"/>
        </w:rPr>
        <w:t>element of credit</w:t>
      </w:r>
      <w:r w:rsidR="008170ED">
        <w:rPr>
          <w:rFonts w:ascii="Times New Roman" w:hAnsi="Times New Roman" w:cs="Times New Roman"/>
          <w:sz w:val="24"/>
          <w:szCs w:val="24"/>
        </w:rPr>
        <w:t xml:space="preserve"> risk management</w:t>
      </w:r>
      <w:r w:rsidR="00CE4110">
        <w:rPr>
          <w:rFonts w:ascii="Times New Roman" w:hAnsi="Times New Roman" w:cs="Times New Roman"/>
          <w:sz w:val="24"/>
          <w:szCs w:val="24"/>
        </w:rPr>
        <w:t xml:space="preserve"> (CRM)</w:t>
      </w:r>
      <w:r w:rsidR="008170ED">
        <w:rPr>
          <w:rFonts w:ascii="Times New Roman" w:hAnsi="Times New Roman" w:cs="Times New Roman"/>
          <w:sz w:val="24"/>
          <w:szCs w:val="24"/>
        </w:rPr>
        <w:t xml:space="preserve"> is the establishment </w:t>
      </w:r>
      <w:r w:rsidR="00B05F50" w:rsidRPr="00DA258D">
        <w:rPr>
          <w:rFonts w:ascii="Times New Roman" w:hAnsi="Times New Roman" w:cs="Times New Roman"/>
          <w:sz w:val="24"/>
          <w:szCs w:val="24"/>
        </w:rPr>
        <w:t>of exp</w:t>
      </w:r>
      <w:r w:rsidR="008B1EEC">
        <w:rPr>
          <w:rFonts w:ascii="Times New Roman" w:hAnsi="Times New Roman" w:cs="Times New Roman"/>
          <w:sz w:val="24"/>
          <w:szCs w:val="24"/>
        </w:rPr>
        <w:t>osure limits for single obligor</w:t>
      </w:r>
      <w:r w:rsidR="00B05F50" w:rsidRPr="00DA258D">
        <w:rPr>
          <w:rFonts w:ascii="Times New Roman" w:hAnsi="Times New Roman" w:cs="Times New Roman"/>
          <w:sz w:val="24"/>
          <w:szCs w:val="24"/>
        </w:rPr>
        <w:t xml:space="preserve"> and groups of related obligors. </w:t>
      </w:r>
      <w:r w:rsidR="00CA1449">
        <w:rPr>
          <w:rFonts w:ascii="Times New Roman" w:hAnsi="Times New Roman" w:cs="Times New Roman"/>
          <w:sz w:val="24"/>
          <w:szCs w:val="24"/>
          <w:lang w:bidi="ar-JO"/>
        </w:rPr>
        <w:t xml:space="preserve">The financial strength of the borrower (credit quality) and degree of bank's tolerance toward handling risks are major factors determining the size of </w:t>
      </w:r>
      <w:r w:rsidR="00CA1449">
        <w:rPr>
          <w:rFonts w:ascii="Times New Roman" w:hAnsi="Times New Roman" w:cs="Times New Roman"/>
          <w:sz w:val="24"/>
          <w:szCs w:val="24"/>
          <w:lang w:bidi="ar-JO"/>
        </w:rPr>
        <w:lastRenderedPageBreak/>
        <w:t>bank's credit</w:t>
      </w:r>
      <w:r w:rsidR="00B94D36">
        <w:rPr>
          <w:rFonts w:ascii="Times New Roman" w:hAnsi="Times New Roman" w:cs="Times New Roman"/>
          <w:sz w:val="24"/>
          <w:szCs w:val="24"/>
          <w:lang w:bidi="ar-JO"/>
        </w:rPr>
        <w:t xml:space="preserve"> limits.</w:t>
      </w:r>
      <w:r w:rsidR="00B94D36">
        <w:rPr>
          <w:rFonts w:ascii="Times New Roman" w:hAnsi="Times New Roman" w:cs="Times New Roman"/>
          <w:sz w:val="24"/>
          <w:szCs w:val="24"/>
        </w:rPr>
        <w:t xml:space="preserve"> </w:t>
      </w:r>
      <w:r w:rsidR="00B05F50" w:rsidRPr="00DA258D">
        <w:rPr>
          <w:rFonts w:ascii="Times New Roman" w:eastAsia="ArialMT" w:hAnsi="Times New Roman" w:cs="Times New Roman"/>
          <w:sz w:val="24"/>
          <w:szCs w:val="24"/>
        </w:rPr>
        <w:t>Financial institutions may establish limits for a specific industry, economic sector or geographic regions to avoid concen</w:t>
      </w:r>
      <w:r w:rsidR="00D84434">
        <w:rPr>
          <w:rFonts w:ascii="Times New Roman" w:eastAsia="ArialMT" w:hAnsi="Times New Roman" w:cs="Times New Roman"/>
          <w:sz w:val="24"/>
          <w:szCs w:val="24"/>
        </w:rPr>
        <w:t>tration</w:t>
      </w:r>
      <w:r w:rsidR="00CA1449">
        <w:rPr>
          <w:rFonts w:ascii="Times New Roman" w:eastAsia="ArialMT" w:hAnsi="Times New Roman" w:cs="Times New Roman"/>
          <w:sz w:val="24"/>
          <w:szCs w:val="24"/>
        </w:rPr>
        <w:t xml:space="preserve"> of</w:t>
      </w:r>
      <w:r w:rsidR="00D84434">
        <w:rPr>
          <w:rFonts w:ascii="Times New Roman" w:eastAsia="ArialMT" w:hAnsi="Times New Roman" w:cs="Times New Roman"/>
          <w:sz w:val="24"/>
          <w:szCs w:val="24"/>
        </w:rPr>
        <w:t xml:space="preserve"> risk (Basel, 2000</w:t>
      </w:r>
      <w:r w:rsidR="00B05F50" w:rsidRPr="00DA258D">
        <w:rPr>
          <w:rFonts w:ascii="Times New Roman" w:eastAsia="ArialMT" w:hAnsi="Times New Roman" w:cs="Times New Roman"/>
          <w:sz w:val="24"/>
          <w:szCs w:val="24"/>
        </w:rPr>
        <w:t>).</w:t>
      </w:r>
    </w:p>
    <w:p w:rsidR="002446D6" w:rsidRDefault="00B94D36" w:rsidP="002446D6">
      <w:pPr>
        <w:spacing w:line="360" w:lineRule="auto"/>
        <w:contextualSpacing/>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To ensure an appropriate credit limits policy, it should be reviewed on periodic basis, frequently once every six months.</w:t>
      </w:r>
    </w:p>
    <w:p w:rsidR="00636691" w:rsidRPr="002446D6" w:rsidRDefault="002A4AB3" w:rsidP="002446D6">
      <w:pPr>
        <w:spacing w:line="360" w:lineRule="auto"/>
        <w:contextualSpacing/>
        <w:jc w:val="both"/>
        <w:rPr>
          <w:rFonts w:asciiTheme="majorBidi" w:hAnsiTheme="majorBidi" w:cstheme="majorBidi"/>
          <w:color w:val="000000" w:themeColor="text1"/>
          <w:sz w:val="24"/>
          <w:szCs w:val="24"/>
          <w:shd w:val="clear" w:color="auto" w:fill="FFFFFF"/>
        </w:rPr>
      </w:pPr>
      <w:r w:rsidRPr="00DA258D">
        <w:rPr>
          <w:rFonts w:ascii="Times New Roman" w:hAnsi="Times New Roman" w:cs="Times New Roman"/>
          <w:b/>
          <w:sz w:val="24"/>
          <w:szCs w:val="24"/>
        </w:rPr>
        <w:t>3) Collateral</w:t>
      </w:r>
      <w:r w:rsidR="00351D52">
        <w:rPr>
          <w:rFonts w:ascii="Times New Roman" w:hAnsi="Times New Roman" w:cs="Times New Roman"/>
          <w:b/>
          <w:sz w:val="24"/>
          <w:szCs w:val="24"/>
        </w:rPr>
        <w:t xml:space="preserve"> (Tangible Assets E</w:t>
      </w:r>
      <w:r w:rsidRPr="00DA258D">
        <w:rPr>
          <w:rFonts w:ascii="Times New Roman" w:hAnsi="Times New Roman" w:cs="Times New Roman"/>
          <w:b/>
          <w:sz w:val="24"/>
          <w:szCs w:val="24"/>
        </w:rPr>
        <w:t>ligible for</w:t>
      </w:r>
      <w:r w:rsidR="00351D52">
        <w:rPr>
          <w:rFonts w:ascii="Times New Roman" w:hAnsi="Times New Roman" w:cs="Times New Roman"/>
          <w:b/>
          <w:sz w:val="24"/>
          <w:szCs w:val="24"/>
        </w:rPr>
        <w:t xml:space="preserve"> S</w:t>
      </w:r>
      <w:r w:rsidR="00636691" w:rsidRPr="00DA258D">
        <w:rPr>
          <w:rFonts w:ascii="Times New Roman" w:hAnsi="Times New Roman" w:cs="Times New Roman"/>
          <w:b/>
          <w:sz w:val="24"/>
          <w:szCs w:val="24"/>
        </w:rPr>
        <w:t>ale)</w:t>
      </w:r>
    </w:p>
    <w:p w:rsidR="006847F2" w:rsidRPr="004A5DB6" w:rsidRDefault="004A5DB6" w:rsidP="002446D6">
      <w:pPr>
        <w:spacing w:line="360" w:lineRule="auto"/>
        <w:contextualSpacing/>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One of the most, oldest and traditional techniques used by banks to mitigate credit risk is collaterals. </w:t>
      </w:r>
      <w:r>
        <w:rPr>
          <w:rFonts w:ascii="Times New Roman" w:hAnsi="Times New Roman" w:cs="Times New Roman"/>
          <w:sz w:val="24"/>
          <w:szCs w:val="24"/>
        </w:rPr>
        <w:t>Banks</w:t>
      </w:r>
      <w:r w:rsidR="004C1CF0" w:rsidRPr="00DA258D">
        <w:rPr>
          <w:rFonts w:ascii="Times New Roman" w:hAnsi="Times New Roman" w:cs="Times New Roman"/>
          <w:sz w:val="24"/>
          <w:szCs w:val="24"/>
        </w:rPr>
        <w:t xml:space="preserve"> use collateral to reduce credit risk exposure. </w:t>
      </w:r>
      <w:r w:rsidR="00F80B37">
        <w:rPr>
          <w:rFonts w:ascii="Times New Roman" w:hAnsi="Times New Roman" w:cs="Times New Roman"/>
          <w:sz w:val="24"/>
          <w:szCs w:val="24"/>
        </w:rPr>
        <w:t xml:space="preserve">Collateral performed the asset that is pledged to secure the credit, </w:t>
      </w:r>
      <w:r w:rsidR="00F80B37" w:rsidRPr="00DA258D">
        <w:rPr>
          <w:rFonts w:ascii="Times New Roman" w:hAnsi="Times New Roman" w:cs="Times New Roman"/>
          <w:sz w:val="24"/>
          <w:szCs w:val="24"/>
        </w:rPr>
        <w:t xml:space="preserve">which becomes subject to </w:t>
      </w:r>
      <w:r w:rsidR="00552797">
        <w:rPr>
          <w:rFonts w:ascii="Times New Roman" w:hAnsi="Times New Roman" w:cs="Times New Roman"/>
          <w:sz w:val="24"/>
          <w:szCs w:val="24"/>
        </w:rPr>
        <w:t xml:space="preserve">seizure </w:t>
      </w:r>
      <w:r w:rsidR="00253534">
        <w:rPr>
          <w:rFonts w:ascii="Times New Roman" w:hAnsi="Times New Roman" w:cs="Times New Roman"/>
          <w:sz w:val="24"/>
          <w:szCs w:val="24"/>
        </w:rPr>
        <w:t xml:space="preserve">in </w:t>
      </w:r>
      <w:r w:rsidR="00F80B37" w:rsidRPr="00DA258D">
        <w:rPr>
          <w:rFonts w:ascii="Times New Roman" w:hAnsi="Times New Roman" w:cs="Times New Roman"/>
          <w:sz w:val="24"/>
          <w:szCs w:val="24"/>
        </w:rPr>
        <w:t>case of borrower’s default</w:t>
      </w:r>
      <w:r w:rsidR="00F80B37">
        <w:rPr>
          <w:rFonts w:ascii="Times New Roman" w:hAnsi="Times New Roman" w:cs="Times New Roman"/>
          <w:sz w:val="24"/>
          <w:szCs w:val="24"/>
        </w:rPr>
        <w:t xml:space="preserve">. </w:t>
      </w:r>
      <w:r w:rsidR="00B86002" w:rsidRPr="00DA258D">
        <w:rPr>
          <w:rFonts w:ascii="Times New Roman" w:hAnsi="Times New Roman" w:cs="Times New Roman"/>
          <w:sz w:val="24"/>
          <w:szCs w:val="24"/>
        </w:rPr>
        <w:t>In other words it refers to the process of pledging or giving assets to a credit institution, by the borrower or a third party</w:t>
      </w:r>
      <w:r w:rsidR="00552797">
        <w:rPr>
          <w:rFonts w:ascii="Times New Roman" w:hAnsi="Times New Roman" w:cs="Times New Roman"/>
          <w:sz w:val="24"/>
          <w:szCs w:val="24"/>
        </w:rPr>
        <w:t xml:space="preserve"> </w:t>
      </w:r>
      <w:r w:rsidR="00B86002" w:rsidRPr="00DA258D">
        <w:rPr>
          <w:rFonts w:ascii="Times New Roman" w:hAnsi="Times New Roman" w:cs="Times New Roman"/>
          <w:sz w:val="24"/>
          <w:szCs w:val="24"/>
        </w:rPr>
        <w:t>on behalf of the borrower. In technical terms, collateral gives the possibility to transform, at least partly, credit risk into other forms of risks like market risk or liquidity risk.</w:t>
      </w:r>
      <w:r w:rsidR="00552797">
        <w:rPr>
          <w:rFonts w:ascii="Times New Roman" w:hAnsi="Times New Roman" w:cs="Times New Roman"/>
          <w:sz w:val="24"/>
          <w:szCs w:val="24"/>
        </w:rPr>
        <w:t xml:space="preserve"> </w:t>
      </w:r>
      <w:r w:rsidR="006847F2" w:rsidRPr="00DA258D">
        <w:rPr>
          <w:rFonts w:ascii="Times New Roman" w:hAnsi="Times New Roman" w:cs="Times New Roman"/>
          <w:color w:val="000000" w:themeColor="text1"/>
          <w:sz w:val="24"/>
          <w:szCs w:val="24"/>
        </w:rPr>
        <w:t xml:space="preserve">Collateral may include business or personal assets, such as cash, gold, government bonds, </w:t>
      </w:r>
      <w:r w:rsidR="004616F6" w:rsidRPr="00DA258D">
        <w:rPr>
          <w:rFonts w:ascii="Times New Roman" w:hAnsi="Times New Roman" w:cs="Times New Roman"/>
          <w:color w:val="000000" w:themeColor="text1"/>
          <w:sz w:val="24"/>
          <w:szCs w:val="24"/>
        </w:rPr>
        <w:t xml:space="preserve">rated financial securities, and equity …. </w:t>
      </w:r>
    </w:p>
    <w:p w:rsidR="009B2B1D" w:rsidRPr="00DA258D" w:rsidRDefault="009B2B1D" w:rsidP="00E210E3">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DA258D">
        <w:rPr>
          <w:rFonts w:ascii="Times New Roman" w:hAnsi="Times New Roman" w:cs="Times New Roman"/>
          <w:color w:val="000000" w:themeColor="text1"/>
          <w:sz w:val="24"/>
          <w:szCs w:val="24"/>
        </w:rPr>
        <w:t xml:space="preserve">In general, collaterals represent an additional form of security to the bank (lender) in case the borrower fails to pay back the loan or its obligations. </w:t>
      </w:r>
      <w:r w:rsidR="00A708A3" w:rsidRPr="00DA258D">
        <w:rPr>
          <w:rFonts w:ascii="Times New Roman" w:hAnsi="Times New Roman" w:cs="Times New Roman"/>
          <w:color w:val="000000" w:themeColor="text1"/>
          <w:sz w:val="24"/>
          <w:szCs w:val="24"/>
        </w:rPr>
        <w:t>However, banks look at collaterals as second line of defense</w:t>
      </w:r>
      <w:r w:rsidR="00721BF0">
        <w:rPr>
          <w:rFonts w:ascii="Times New Roman" w:hAnsi="Times New Roman" w:cs="Times New Roman"/>
          <w:color w:val="000000" w:themeColor="text1"/>
          <w:sz w:val="24"/>
          <w:szCs w:val="24"/>
        </w:rPr>
        <w:t xml:space="preserve"> </w:t>
      </w:r>
      <w:r w:rsidR="00A708A3" w:rsidRPr="00DA258D">
        <w:rPr>
          <w:rFonts w:ascii="Times New Roman" w:hAnsi="Times New Roman" w:cs="Times New Roman"/>
          <w:color w:val="000000" w:themeColor="text1"/>
          <w:sz w:val="24"/>
          <w:szCs w:val="24"/>
        </w:rPr>
        <w:t>in case of borrower’s default, first line of defense for banks</w:t>
      </w:r>
      <w:r w:rsidR="00A85869" w:rsidRPr="00DA258D">
        <w:rPr>
          <w:rFonts w:ascii="Times New Roman" w:hAnsi="Times New Roman" w:cs="Times New Roman"/>
          <w:color w:val="000000" w:themeColor="text1"/>
          <w:sz w:val="24"/>
          <w:szCs w:val="24"/>
        </w:rPr>
        <w:t xml:space="preserve"> and credit decision rely on </w:t>
      </w:r>
      <w:r w:rsidR="009E34A3" w:rsidRPr="00DA258D">
        <w:rPr>
          <w:rFonts w:ascii="Times New Roman" w:hAnsi="Times New Roman" w:cs="Times New Roman"/>
          <w:color w:val="000000" w:themeColor="text1"/>
          <w:sz w:val="24"/>
          <w:szCs w:val="24"/>
        </w:rPr>
        <w:t>(</w:t>
      </w:r>
      <w:r w:rsidR="00A85869" w:rsidRPr="00DA258D">
        <w:rPr>
          <w:rFonts w:ascii="Times New Roman" w:hAnsi="Times New Roman" w:cs="Times New Roman"/>
          <w:color w:val="000000" w:themeColor="text1"/>
          <w:sz w:val="24"/>
          <w:szCs w:val="24"/>
        </w:rPr>
        <w:t>not the collateral</w:t>
      </w:r>
      <w:r w:rsidR="00636691" w:rsidRPr="00DA258D">
        <w:rPr>
          <w:rFonts w:ascii="Times New Roman" w:hAnsi="Times New Roman" w:cs="Times New Roman"/>
          <w:color w:val="000000" w:themeColor="text1"/>
          <w:sz w:val="24"/>
          <w:szCs w:val="24"/>
        </w:rPr>
        <w:t xml:space="preserve"> as primary source of repayment</w:t>
      </w:r>
      <w:r w:rsidR="009E34A3" w:rsidRPr="00DA258D">
        <w:rPr>
          <w:rFonts w:ascii="Times New Roman" w:hAnsi="Times New Roman" w:cs="Times New Roman"/>
          <w:color w:val="000000" w:themeColor="text1"/>
          <w:sz w:val="24"/>
          <w:szCs w:val="24"/>
        </w:rPr>
        <w:t>)</w:t>
      </w:r>
      <w:r w:rsidR="00A708A3" w:rsidRPr="00DA258D">
        <w:rPr>
          <w:rFonts w:ascii="Times New Roman" w:hAnsi="Times New Roman" w:cs="Times New Roman"/>
          <w:color w:val="000000" w:themeColor="text1"/>
          <w:sz w:val="24"/>
          <w:szCs w:val="24"/>
        </w:rPr>
        <w:t xml:space="preserve"> is the borrower ability to generate cash flow</w:t>
      </w:r>
      <w:r w:rsidR="00B31734" w:rsidRPr="00DA258D">
        <w:rPr>
          <w:rFonts w:ascii="Times New Roman" w:hAnsi="Times New Roman" w:cs="Times New Roman"/>
          <w:color w:val="000000" w:themeColor="text1"/>
          <w:sz w:val="24"/>
          <w:szCs w:val="24"/>
        </w:rPr>
        <w:t>(</w:t>
      </w:r>
      <w:r w:rsidR="00B31734" w:rsidRPr="00DA258D">
        <w:rPr>
          <w:rFonts w:ascii="Times New Roman" w:hAnsi="Times New Roman" w:cs="Times New Roman"/>
          <w:color w:val="333333"/>
          <w:sz w:val="24"/>
          <w:szCs w:val="24"/>
        </w:rPr>
        <w:t>the borrower’s financial strength and debt-servicing capacity)</w:t>
      </w:r>
      <w:r w:rsidR="00A708A3" w:rsidRPr="00DA258D">
        <w:rPr>
          <w:rFonts w:ascii="Times New Roman" w:hAnsi="Times New Roman" w:cs="Times New Roman"/>
          <w:color w:val="000000" w:themeColor="text1"/>
          <w:sz w:val="24"/>
          <w:szCs w:val="24"/>
        </w:rPr>
        <w:t xml:space="preserve"> to repay the</w:t>
      </w:r>
      <w:r w:rsidR="00A85869" w:rsidRPr="00DA258D">
        <w:rPr>
          <w:rFonts w:ascii="Times New Roman" w:hAnsi="Times New Roman" w:cs="Times New Roman"/>
          <w:color w:val="000000" w:themeColor="text1"/>
          <w:sz w:val="24"/>
          <w:szCs w:val="24"/>
        </w:rPr>
        <w:t xml:space="preserve"> debt (primary source of </w:t>
      </w:r>
      <w:r w:rsidR="00D84434">
        <w:rPr>
          <w:rFonts w:ascii="Times New Roman" w:hAnsi="Times New Roman" w:cs="Times New Roman"/>
          <w:color w:val="000000" w:themeColor="text1"/>
          <w:sz w:val="24"/>
          <w:szCs w:val="24"/>
        </w:rPr>
        <w:t>funds) (AL-Zubeidi, 2002</w:t>
      </w:r>
      <w:r w:rsidR="00A85869" w:rsidRPr="00DA258D">
        <w:rPr>
          <w:rFonts w:ascii="Times New Roman" w:hAnsi="Times New Roman" w:cs="Times New Roman"/>
          <w:color w:val="000000" w:themeColor="text1"/>
          <w:sz w:val="24"/>
          <w:szCs w:val="24"/>
        </w:rPr>
        <w:t xml:space="preserve">). </w:t>
      </w:r>
      <w:r w:rsidR="0044552A" w:rsidRPr="00DA258D">
        <w:rPr>
          <w:rFonts w:ascii="Times New Roman" w:hAnsi="Times New Roman" w:cs="Times New Roman"/>
          <w:color w:val="000000" w:themeColor="text1"/>
          <w:sz w:val="24"/>
          <w:szCs w:val="24"/>
        </w:rPr>
        <w:t>In other words what really matters is actually whether the borrower has continuing access to sufficient cash flow when needed, not merely an existence of the collateral.</w:t>
      </w:r>
    </w:p>
    <w:p w:rsidR="00954055" w:rsidRPr="00DA258D" w:rsidRDefault="00314510" w:rsidP="00E210E3">
      <w:pPr>
        <w:autoSpaceDE w:val="0"/>
        <w:autoSpaceDN w:val="0"/>
        <w:adjustRightInd w:val="0"/>
        <w:spacing w:after="0" w:line="360" w:lineRule="auto"/>
        <w:jc w:val="both"/>
        <w:rPr>
          <w:rFonts w:ascii="Times New Roman" w:hAnsi="Times New Roman" w:cs="Times New Roman"/>
          <w:color w:val="000000" w:themeColor="text1"/>
          <w:sz w:val="24"/>
          <w:szCs w:val="24"/>
        </w:rPr>
      </w:pPr>
      <w:r w:rsidRPr="00DA258D">
        <w:rPr>
          <w:rFonts w:ascii="Times New Roman" w:hAnsi="Times New Roman" w:cs="Times New Roman"/>
          <w:color w:val="000000" w:themeColor="text1"/>
          <w:sz w:val="24"/>
          <w:szCs w:val="24"/>
        </w:rPr>
        <w:t>Generally speaking, banks ask for collateral for three major reasons</w:t>
      </w:r>
      <w:r w:rsidR="00D84434">
        <w:rPr>
          <w:rFonts w:ascii="Times New Roman" w:hAnsi="Times New Roman" w:cs="Times New Roman"/>
          <w:color w:val="000000" w:themeColor="text1"/>
          <w:sz w:val="24"/>
          <w:szCs w:val="24"/>
        </w:rPr>
        <w:t xml:space="preserve"> (Blazy and Weill, 2006</w:t>
      </w:r>
      <w:r w:rsidR="00C3770A" w:rsidRPr="00DA258D">
        <w:rPr>
          <w:rFonts w:ascii="Times New Roman" w:hAnsi="Times New Roman" w:cs="Times New Roman"/>
          <w:color w:val="000000" w:themeColor="text1"/>
          <w:sz w:val="24"/>
          <w:szCs w:val="24"/>
        </w:rPr>
        <w:t>):</w:t>
      </w:r>
    </w:p>
    <w:p w:rsidR="00314510" w:rsidRPr="00DA258D" w:rsidRDefault="00314510" w:rsidP="00F873C9">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DA258D">
        <w:rPr>
          <w:rFonts w:ascii="Times New Roman" w:hAnsi="Times New Roman" w:cs="Times New Roman"/>
          <w:color w:val="000000" w:themeColor="text1"/>
          <w:sz w:val="24"/>
          <w:szCs w:val="24"/>
        </w:rPr>
        <w:t>A bank t</w:t>
      </w:r>
      <w:r w:rsidR="00552797">
        <w:rPr>
          <w:rFonts w:ascii="Times New Roman" w:hAnsi="Times New Roman" w:cs="Times New Roman"/>
          <w:color w:val="000000" w:themeColor="text1"/>
          <w:sz w:val="24"/>
          <w:szCs w:val="24"/>
        </w:rPr>
        <w:t>ends to ask for collateral to</w:t>
      </w:r>
      <w:r w:rsidRPr="00DA258D">
        <w:rPr>
          <w:rFonts w:ascii="Times New Roman" w:hAnsi="Times New Roman" w:cs="Times New Roman"/>
          <w:color w:val="000000" w:themeColor="text1"/>
          <w:sz w:val="24"/>
          <w:szCs w:val="24"/>
        </w:rPr>
        <w:t xml:space="preserve"> </w:t>
      </w:r>
      <w:r w:rsidR="00E04FD0" w:rsidRPr="00DA258D">
        <w:rPr>
          <w:rFonts w:ascii="Times New Roman" w:hAnsi="Times New Roman" w:cs="Times New Roman"/>
          <w:color w:val="000000" w:themeColor="text1"/>
          <w:sz w:val="24"/>
          <w:szCs w:val="24"/>
        </w:rPr>
        <w:t>re</w:t>
      </w:r>
      <w:r w:rsidR="00E04FD0">
        <w:rPr>
          <w:rFonts w:ascii="Times New Roman" w:hAnsi="Times New Roman" w:cs="Times New Roman"/>
          <w:color w:val="000000" w:themeColor="text1"/>
          <w:sz w:val="24"/>
          <w:szCs w:val="24"/>
        </w:rPr>
        <w:t>duce</w:t>
      </w:r>
      <w:r w:rsidR="001A347C">
        <w:rPr>
          <w:rFonts w:ascii="Times New Roman" w:hAnsi="Times New Roman" w:cs="Times New Roman"/>
          <w:color w:val="000000" w:themeColor="text1"/>
          <w:sz w:val="24"/>
          <w:szCs w:val="24"/>
        </w:rPr>
        <w:t xml:space="preserve"> loan loss in the case</w:t>
      </w:r>
      <w:r w:rsidRPr="00DA258D">
        <w:rPr>
          <w:rFonts w:ascii="Times New Roman" w:hAnsi="Times New Roman" w:cs="Times New Roman"/>
          <w:color w:val="000000" w:themeColor="text1"/>
          <w:sz w:val="24"/>
          <w:szCs w:val="24"/>
        </w:rPr>
        <w:t xml:space="preserve"> of default by the borrower.</w:t>
      </w:r>
    </w:p>
    <w:p w:rsidR="00314510" w:rsidRPr="00DA258D" w:rsidRDefault="001A347C" w:rsidP="00F873C9">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Collateral may find the answer for</w:t>
      </w:r>
      <w:r w:rsidR="006145B7" w:rsidRPr="00DA258D">
        <w:rPr>
          <w:rFonts w:ascii="Times New Roman" w:hAnsi="Times New Roman" w:cs="Times New Roman"/>
          <w:color w:val="000000" w:themeColor="text1"/>
          <w:sz w:val="24"/>
          <w:szCs w:val="24"/>
        </w:rPr>
        <w:t xml:space="preserve"> the proble</w:t>
      </w:r>
      <w:r>
        <w:rPr>
          <w:rFonts w:ascii="Times New Roman" w:hAnsi="Times New Roman" w:cs="Times New Roman"/>
          <w:color w:val="000000" w:themeColor="text1"/>
          <w:sz w:val="24"/>
          <w:szCs w:val="24"/>
        </w:rPr>
        <w:t>m of adverse selection that arise</w:t>
      </w:r>
      <w:r w:rsidR="006145B7" w:rsidRPr="00DA258D">
        <w:rPr>
          <w:rFonts w:ascii="Times New Roman" w:hAnsi="Times New Roman" w:cs="Times New Roman"/>
          <w:color w:val="000000" w:themeColor="text1"/>
          <w:sz w:val="24"/>
          <w:szCs w:val="24"/>
        </w:rPr>
        <w:t xml:space="preserve"> from the better information owned by the borrower in comparison to the bank before the lending decision.</w:t>
      </w:r>
    </w:p>
    <w:p w:rsidR="006145B7" w:rsidRPr="007E4DE3" w:rsidRDefault="007E4DE3" w:rsidP="00F873C9">
      <w:pPr>
        <w:pStyle w:val="ListParagraph"/>
        <w:numPr>
          <w:ilvl w:val="0"/>
          <w:numId w:val="22"/>
        </w:numPr>
        <w:spacing w:line="360" w:lineRule="auto"/>
      </w:pPr>
      <w:r w:rsidRPr="007E4DE3">
        <w:rPr>
          <w:rFonts w:ascii="Times New Roman" w:hAnsi="Times New Roman" w:cs="Times New Roman"/>
          <w:color w:val="000000" w:themeColor="text1"/>
          <w:sz w:val="24"/>
          <w:szCs w:val="24"/>
        </w:rPr>
        <w:lastRenderedPageBreak/>
        <w:t>Collateral can minimize the moral hazard problem that could be arise by the borrower after having the loan, by reducing  the incentives of the borrower to invest in riskier projects or minimize its effort to ensure the success of the project for which loan was granted</w:t>
      </w:r>
      <w:r>
        <w:rPr>
          <w:rFonts w:ascii="Times New Roman" w:hAnsi="Times New Roman" w:cs="Times New Roman"/>
          <w:color w:val="000000" w:themeColor="text1"/>
          <w:sz w:val="24"/>
          <w:szCs w:val="24"/>
        </w:rPr>
        <w:t xml:space="preserve"> </w:t>
      </w:r>
      <w:r w:rsidR="006145B7" w:rsidRPr="007E4DE3">
        <w:rPr>
          <w:rFonts w:ascii="Times New Roman" w:hAnsi="Times New Roman" w:cs="Times New Roman"/>
          <w:color w:val="000000" w:themeColor="text1"/>
          <w:sz w:val="24"/>
          <w:szCs w:val="24"/>
        </w:rPr>
        <w:t>(aligning the interests for both the bank and the borrower).</w:t>
      </w:r>
    </w:p>
    <w:p w:rsidR="00F3053A" w:rsidRPr="00DA258D" w:rsidRDefault="002132F9" w:rsidP="002132F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6A3C62">
        <w:rPr>
          <w:rFonts w:ascii="Times New Roman" w:hAnsi="Times New Roman" w:cs="Times New Roman"/>
          <w:color w:val="000000" w:themeColor="text1"/>
          <w:sz w:val="24"/>
          <w:szCs w:val="24"/>
        </w:rPr>
        <w:t>suitability</w:t>
      </w:r>
      <w:r>
        <w:rPr>
          <w:rFonts w:ascii="Times New Roman" w:hAnsi="Times New Roman" w:cs="Times New Roman"/>
          <w:color w:val="000000" w:themeColor="text1"/>
          <w:sz w:val="24"/>
          <w:szCs w:val="24"/>
        </w:rPr>
        <w:t xml:space="preserve"> of any asset to be used as collateral should </w:t>
      </w:r>
      <w:r w:rsidRPr="00DA258D">
        <w:rPr>
          <w:rFonts w:ascii="Times New Roman" w:hAnsi="Times New Roman" w:cs="Times New Roman"/>
          <w:color w:val="000000" w:themeColor="text1"/>
          <w:sz w:val="24"/>
          <w:szCs w:val="24"/>
        </w:rPr>
        <w:t>have a number of conditions and characteristic</w:t>
      </w:r>
      <w:r>
        <w:rPr>
          <w:rFonts w:ascii="Times New Roman" w:hAnsi="Times New Roman" w:cs="Times New Roman"/>
          <w:color w:val="000000" w:themeColor="text1"/>
          <w:sz w:val="24"/>
          <w:szCs w:val="24"/>
        </w:rPr>
        <w:t xml:space="preserve">s </w:t>
      </w:r>
      <w:r w:rsidR="00D84434">
        <w:rPr>
          <w:rFonts w:ascii="Times New Roman" w:hAnsi="Times New Roman" w:cs="Times New Roman"/>
          <w:color w:val="000000" w:themeColor="text1"/>
          <w:sz w:val="24"/>
          <w:szCs w:val="24"/>
        </w:rPr>
        <w:t>such (AL-Zubeidi, 2002</w:t>
      </w:r>
      <w:r w:rsidR="00F3053A" w:rsidRPr="00DA258D">
        <w:rPr>
          <w:rFonts w:ascii="Times New Roman" w:hAnsi="Times New Roman" w:cs="Times New Roman"/>
          <w:color w:val="000000" w:themeColor="text1"/>
          <w:sz w:val="24"/>
          <w:szCs w:val="24"/>
        </w:rPr>
        <w:t>):</w:t>
      </w:r>
    </w:p>
    <w:p w:rsidR="0005002F" w:rsidRPr="00B72AE5" w:rsidRDefault="00574587" w:rsidP="00F873C9">
      <w:pPr>
        <w:pStyle w:val="ListParagraph"/>
        <w:numPr>
          <w:ilvl w:val="0"/>
          <w:numId w:val="32"/>
        </w:numPr>
        <w:spacing w:line="360" w:lineRule="auto"/>
        <w:jc w:val="both"/>
        <w:rPr>
          <w:rFonts w:ascii="Times New Roman" w:hAnsi="Times New Roman" w:cs="Times New Roman"/>
          <w:color w:val="000000" w:themeColor="text1"/>
          <w:sz w:val="24"/>
          <w:szCs w:val="24"/>
        </w:rPr>
      </w:pPr>
      <w:r w:rsidRPr="00B72AE5">
        <w:rPr>
          <w:rFonts w:ascii="Times New Roman" w:hAnsi="Times New Roman" w:cs="Times New Roman"/>
          <w:sz w:val="24"/>
          <w:szCs w:val="24"/>
        </w:rPr>
        <w:t>Standardization (e</w:t>
      </w:r>
      <w:r w:rsidR="0005002F" w:rsidRPr="00B72AE5">
        <w:rPr>
          <w:rFonts w:ascii="Times New Roman" w:hAnsi="Times New Roman" w:cs="Times New Roman"/>
          <w:sz w:val="24"/>
          <w:szCs w:val="24"/>
        </w:rPr>
        <w:t>ase of evaluation</w:t>
      </w:r>
      <w:r w:rsidRPr="00B72AE5">
        <w:rPr>
          <w:rFonts w:ascii="Times New Roman" w:hAnsi="Times New Roman" w:cs="Times New Roman"/>
          <w:sz w:val="24"/>
          <w:szCs w:val="24"/>
        </w:rPr>
        <w:t>)</w:t>
      </w:r>
      <w:r w:rsidR="008135C1" w:rsidRPr="00B72AE5">
        <w:rPr>
          <w:rFonts w:ascii="Times New Roman" w:hAnsi="Times New Roman" w:cs="Times New Roman"/>
          <w:sz w:val="24"/>
          <w:szCs w:val="24"/>
        </w:rPr>
        <w:t>:</w:t>
      </w:r>
      <w:r w:rsidR="00B72AE5" w:rsidRPr="00B72AE5">
        <w:rPr>
          <w:rFonts w:ascii="Times New Roman" w:hAnsi="Times New Roman" w:cs="Times New Roman"/>
          <w:sz w:val="24"/>
          <w:szCs w:val="24"/>
        </w:rPr>
        <w:t xml:space="preserve"> Some items particularly</w:t>
      </w:r>
      <w:r w:rsidR="00B72AE5" w:rsidRPr="006A3C62">
        <w:t xml:space="preserve"> </w:t>
      </w:r>
      <w:r w:rsidR="00B72AE5" w:rsidRPr="00B72AE5">
        <w:rPr>
          <w:rFonts w:ascii="Times New Roman" w:hAnsi="Times New Roman" w:cs="Times New Roman"/>
          <w:sz w:val="24"/>
          <w:szCs w:val="24"/>
        </w:rPr>
        <w:t>merchandise have been graded or classified to reflect or express its quality or s</w:t>
      </w:r>
      <w:r w:rsidR="00B72AE5">
        <w:rPr>
          <w:rFonts w:ascii="Times New Roman" w:hAnsi="Times New Roman" w:cs="Times New Roman"/>
          <w:sz w:val="24"/>
          <w:szCs w:val="24"/>
        </w:rPr>
        <w:t xml:space="preserve">tandards </w:t>
      </w:r>
      <w:r w:rsidR="00B72AE5" w:rsidRPr="00B72AE5">
        <w:rPr>
          <w:rFonts w:ascii="Times New Roman" w:hAnsi="Times New Roman" w:cs="Times New Roman"/>
          <w:sz w:val="24"/>
          <w:szCs w:val="24"/>
        </w:rPr>
        <w:t xml:space="preserve">in order to </w:t>
      </w:r>
      <w:r w:rsidR="00B72AE5">
        <w:rPr>
          <w:rFonts w:ascii="Times New Roman" w:hAnsi="Times New Roman" w:cs="Times New Roman"/>
          <w:sz w:val="24"/>
          <w:szCs w:val="24"/>
        </w:rPr>
        <w:t>facilitate its</w:t>
      </w:r>
      <w:r w:rsidR="00B72AE5" w:rsidRPr="00B72AE5">
        <w:rPr>
          <w:rFonts w:ascii="Times New Roman" w:hAnsi="Times New Roman" w:cs="Times New Roman"/>
          <w:sz w:val="24"/>
          <w:szCs w:val="24"/>
        </w:rPr>
        <w:t xml:space="preserve"> use in trade transactions and/or as </w:t>
      </w:r>
      <w:r w:rsidR="00552797" w:rsidRPr="00B72AE5">
        <w:rPr>
          <w:rFonts w:ascii="Times New Roman" w:hAnsi="Times New Roman" w:cs="Times New Roman"/>
          <w:sz w:val="24"/>
          <w:szCs w:val="24"/>
        </w:rPr>
        <w:t>collateral</w:t>
      </w:r>
      <w:r w:rsidR="00552797">
        <w:rPr>
          <w:rFonts w:ascii="Times New Roman" w:hAnsi="Times New Roman" w:cs="Times New Roman"/>
          <w:sz w:val="24"/>
          <w:szCs w:val="24"/>
        </w:rPr>
        <w:t>.</w:t>
      </w:r>
      <w:r w:rsidR="00552797" w:rsidRPr="00B72AE5">
        <w:rPr>
          <w:rFonts w:ascii="Times New Roman" w:hAnsi="Times New Roman" w:cs="Times New Roman"/>
          <w:sz w:val="24"/>
          <w:szCs w:val="24"/>
        </w:rPr>
        <w:t xml:space="preserve"> These</w:t>
      </w:r>
      <w:r w:rsidR="0005002F" w:rsidRPr="00B72AE5">
        <w:rPr>
          <w:rFonts w:ascii="Times New Roman" w:hAnsi="Times New Roman" w:cs="Times New Roman"/>
          <w:sz w:val="24"/>
          <w:szCs w:val="24"/>
        </w:rPr>
        <w:t xml:space="preserve"> collaterals should be evaluated periodically at a minimum of every six months.</w:t>
      </w:r>
    </w:p>
    <w:p w:rsidR="0005002F" w:rsidRPr="00DA258D" w:rsidRDefault="0044082B" w:rsidP="00F873C9">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Marketability (e</w:t>
      </w:r>
      <w:r w:rsidR="0005002F" w:rsidRPr="00DA258D">
        <w:rPr>
          <w:rFonts w:ascii="Times New Roman" w:hAnsi="Times New Roman" w:cs="Times New Roman"/>
          <w:sz w:val="24"/>
          <w:szCs w:val="24"/>
        </w:rPr>
        <w:t>ase of liquidation</w:t>
      </w:r>
      <w:r w:rsidRPr="00DA258D">
        <w:rPr>
          <w:rFonts w:ascii="Times New Roman" w:hAnsi="Times New Roman" w:cs="Times New Roman"/>
          <w:sz w:val="24"/>
          <w:szCs w:val="24"/>
        </w:rPr>
        <w:t>)</w:t>
      </w:r>
      <w:r w:rsidR="00EC0687">
        <w:rPr>
          <w:rFonts w:ascii="Times New Roman" w:hAnsi="Times New Roman" w:cs="Times New Roman"/>
          <w:sz w:val="24"/>
          <w:szCs w:val="24"/>
        </w:rPr>
        <w:t>: E</w:t>
      </w:r>
      <w:r w:rsidR="0005002F" w:rsidRPr="00DA258D">
        <w:rPr>
          <w:rFonts w:ascii="Times New Roman" w:hAnsi="Times New Roman" w:cs="Times New Roman"/>
          <w:sz w:val="24"/>
          <w:szCs w:val="24"/>
        </w:rPr>
        <w:t>ase of converting collateral into cash to repay the debt in case of borrower’s default s</w:t>
      </w:r>
      <w:r w:rsidR="00BB1D9D" w:rsidRPr="00DA258D">
        <w:rPr>
          <w:rFonts w:ascii="Times New Roman" w:hAnsi="Times New Roman" w:cs="Times New Roman"/>
          <w:sz w:val="24"/>
          <w:szCs w:val="24"/>
        </w:rPr>
        <w:t>uch as gold and short-term debt securities traded in money markets.</w:t>
      </w:r>
    </w:p>
    <w:p w:rsidR="00BB1D9D" w:rsidRPr="00DA258D" w:rsidRDefault="00BB1D9D" w:rsidP="00F873C9">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Stab</w:t>
      </w:r>
      <w:r w:rsidR="00574587" w:rsidRPr="00DA258D">
        <w:rPr>
          <w:rFonts w:ascii="Times New Roman" w:hAnsi="Times New Roman" w:cs="Times New Roman"/>
          <w:sz w:val="24"/>
          <w:szCs w:val="24"/>
        </w:rPr>
        <w:t>ility of</w:t>
      </w:r>
      <w:r w:rsidRPr="00DA258D">
        <w:rPr>
          <w:rFonts w:ascii="Times New Roman" w:hAnsi="Times New Roman" w:cs="Times New Roman"/>
          <w:sz w:val="24"/>
          <w:szCs w:val="24"/>
        </w:rPr>
        <w:t xml:space="preserve"> value: Security or collateral should have stable value over time; this value is not subject to a severe shortage and sharp price fluctuations or inversely corre</w:t>
      </w:r>
      <w:r w:rsidR="00574587" w:rsidRPr="00DA258D">
        <w:rPr>
          <w:rFonts w:ascii="Times New Roman" w:hAnsi="Times New Roman" w:cs="Times New Roman"/>
          <w:sz w:val="24"/>
          <w:szCs w:val="24"/>
        </w:rPr>
        <w:t>lated with the commitment value since Lenders would prefer or love collateral which market values are not likely to depreciate or drop significantly during the life of the loan</w:t>
      </w:r>
      <w:r w:rsidR="00B72AE5">
        <w:rPr>
          <w:rFonts w:ascii="Times New Roman" w:hAnsi="Times New Roman" w:cs="Times New Roman"/>
          <w:sz w:val="24"/>
          <w:szCs w:val="24"/>
        </w:rPr>
        <w:t>.</w:t>
      </w:r>
    </w:p>
    <w:p w:rsidR="00B72AE5" w:rsidRDefault="00EC0687" w:rsidP="00F873C9">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Coverage: C</w:t>
      </w:r>
      <w:r w:rsidR="004F124A" w:rsidRPr="00DA258D">
        <w:rPr>
          <w:rFonts w:ascii="Times New Roman" w:hAnsi="Times New Roman" w:cs="Times New Roman"/>
          <w:sz w:val="24"/>
          <w:szCs w:val="24"/>
        </w:rPr>
        <w:t>ollateral or security value should cover the full value of the loan or the commitment plus safety margin (no less than 25% of the loan value) in case of market value reduction of the security.</w:t>
      </w:r>
      <w:r w:rsidR="0044082B" w:rsidRPr="00DA258D">
        <w:rPr>
          <w:rFonts w:ascii="Times New Roman" w:hAnsi="Times New Roman" w:cs="Times New Roman"/>
          <w:sz w:val="24"/>
          <w:szCs w:val="24"/>
        </w:rPr>
        <w:t xml:space="preserve"> That’s what called a haircut.</w:t>
      </w:r>
      <w:r w:rsidR="00B72AE5">
        <w:rPr>
          <w:rFonts w:ascii="Times New Roman" w:hAnsi="Times New Roman" w:cs="Times New Roman"/>
          <w:sz w:val="24"/>
          <w:szCs w:val="24"/>
        </w:rPr>
        <w:t xml:space="preserve"> </w:t>
      </w:r>
      <w:r w:rsidR="0044082B" w:rsidRPr="00B72AE5">
        <w:rPr>
          <w:rFonts w:ascii="Times New Roman" w:hAnsi="Times New Roman" w:cs="Times New Roman"/>
          <w:bCs/>
          <w:sz w:val="24"/>
          <w:szCs w:val="24"/>
        </w:rPr>
        <w:t>A haircut</w:t>
      </w:r>
      <w:r w:rsidR="0044082B" w:rsidRPr="00B72AE5">
        <w:rPr>
          <w:rFonts w:ascii="Times New Roman" w:hAnsi="Times New Roman" w:cs="Times New Roman"/>
          <w:sz w:val="24"/>
          <w:szCs w:val="24"/>
        </w:rPr>
        <w:t xml:space="preserve"> is the amount by which the collateral exceeds the principal of a loan</w:t>
      </w:r>
      <w:r w:rsidR="00B44189" w:rsidRPr="00B72AE5">
        <w:rPr>
          <w:rFonts w:ascii="Times New Roman" w:hAnsi="Times New Roman" w:cs="Times New Roman"/>
          <w:sz w:val="24"/>
          <w:szCs w:val="24"/>
        </w:rPr>
        <w:t>.</w:t>
      </w:r>
      <w:r w:rsidR="00FD1CDF" w:rsidRPr="00B72AE5">
        <w:rPr>
          <w:rFonts w:ascii="Times New Roman" w:hAnsi="Times New Roman" w:cs="Times New Roman"/>
          <w:sz w:val="24"/>
          <w:szCs w:val="24"/>
        </w:rPr>
        <w:t xml:space="preserve"> Haircuts are applied to the market value of various types of collateral. The size of the haircut will vary with the perceived riskiness of the collateral. For example, if a 1% haircut is applied to Treasuries, then Treasuries are value</w:t>
      </w:r>
      <w:r w:rsidR="00B46A39" w:rsidRPr="00B72AE5">
        <w:rPr>
          <w:rFonts w:ascii="Times New Roman" w:hAnsi="Times New Roman" w:cs="Times New Roman"/>
          <w:sz w:val="24"/>
          <w:szCs w:val="24"/>
        </w:rPr>
        <w:t>d at 99% of their market value and if you have an asset that has a value of $1,000, and you want to put it up as collateral for a loan, but the lender will only give you $900, you are getting a 10% haircut.</w:t>
      </w:r>
    </w:p>
    <w:p w:rsidR="009D522B" w:rsidRPr="00B72AE5" w:rsidRDefault="004F124A" w:rsidP="00F873C9">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B72AE5">
        <w:rPr>
          <w:rFonts w:ascii="Times New Roman" w:hAnsi="Times New Roman" w:cs="Times New Roman"/>
          <w:sz w:val="24"/>
          <w:szCs w:val="24"/>
        </w:rPr>
        <w:t>Safety of legal documentation fo</w:t>
      </w:r>
      <w:r w:rsidR="0044082B" w:rsidRPr="00B72AE5">
        <w:rPr>
          <w:rFonts w:ascii="Times New Roman" w:hAnsi="Times New Roman" w:cs="Times New Roman"/>
          <w:sz w:val="24"/>
          <w:szCs w:val="24"/>
        </w:rPr>
        <w:t>r the collateral</w:t>
      </w:r>
      <w:r w:rsidR="00027B53" w:rsidRPr="00B72AE5">
        <w:rPr>
          <w:rFonts w:ascii="Times New Roman" w:hAnsi="Times New Roman" w:cs="Times New Roman"/>
          <w:sz w:val="24"/>
          <w:szCs w:val="24"/>
        </w:rPr>
        <w:t xml:space="preserve"> (</w:t>
      </w:r>
      <w:r w:rsidR="007B28BE" w:rsidRPr="00B72AE5">
        <w:rPr>
          <w:rFonts w:ascii="Times New Roman" w:hAnsi="Times New Roman" w:cs="Times New Roman"/>
          <w:sz w:val="24"/>
          <w:szCs w:val="24"/>
        </w:rPr>
        <w:t xml:space="preserve">the bank </w:t>
      </w:r>
      <w:r w:rsidR="007B28BE">
        <w:rPr>
          <w:rFonts w:ascii="Times New Roman" w:hAnsi="Times New Roman" w:cs="Times New Roman"/>
          <w:sz w:val="24"/>
          <w:szCs w:val="24"/>
        </w:rPr>
        <w:t xml:space="preserve"> must </w:t>
      </w:r>
      <w:r w:rsidR="007B28BE" w:rsidRPr="00B72AE5">
        <w:rPr>
          <w:rFonts w:ascii="Times New Roman" w:hAnsi="Times New Roman" w:cs="Times New Roman"/>
          <w:sz w:val="24"/>
          <w:szCs w:val="24"/>
        </w:rPr>
        <w:t xml:space="preserve">has the </w:t>
      </w:r>
      <w:r w:rsidR="007B28BE">
        <w:rPr>
          <w:rFonts w:ascii="Times New Roman" w:hAnsi="Times New Roman" w:cs="Times New Roman"/>
          <w:sz w:val="24"/>
          <w:szCs w:val="24"/>
        </w:rPr>
        <w:t xml:space="preserve">legal </w:t>
      </w:r>
      <w:r w:rsidR="007B28BE" w:rsidRPr="00B72AE5">
        <w:rPr>
          <w:rFonts w:ascii="Times New Roman" w:hAnsi="Times New Roman" w:cs="Times New Roman"/>
          <w:sz w:val="24"/>
          <w:szCs w:val="24"/>
        </w:rPr>
        <w:t>r</w:t>
      </w:r>
      <w:r w:rsidR="007B28BE">
        <w:rPr>
          <w:rFonts w:ascii="Times New Roman" w:hAnsi="Times New Roman" w:cs="Times New Roman"/>
          <w:sz w:val="24"/>
          <w:szCs w:val="24"/>
        </w:rPr>
        <w:t xml:space="preserve">ight to liquidate or take legal custody of the collateral that has been pledged or </w:t>
      </w:r>
      <w:r w:rsidR="007B28BE">
        <w:rPr>
          <w:rFonts w:ascii="Times New Roman" w:hAnsi="Times New Roman" w:cs="Times New Roman"/>
          <w:sz w:val="24"/>
          <w:szCs w:val="24"/>
        </w:rPr>
        <w:lastRenderedPageBreak/>
        <w:t>transferred to the bank</w:t>
      </w:r>
      <w:r w:rsidR="007B28BE" w:rsidRPr="00B72AE5">
        <w:rPr>
          <w:rFonts w:ascii="Times New Roman" w:hAnsi="Times New Roman" w:cs="Times New Roman"/>
          <w:sz w:val="24"/>
          <w:szCs w:val="24"/>
        </w:rPr>
        <w:t xml:space="preserve">, </w:t>
      </w:r>
      <w:r w:rsidR="007B28BE">
        <w:rPr>
          <w:rFonts w:ascii="Times New Roman" w:hAnsi="Times New Roman" w:cs="Times New Roman"/>
          <w:sz w:val="24"/>
          <w:szCs w:val="24"/>
        </w:rPr>
        <w:t>at the right time</w:t>
      </w:r>
      <w:r w:rsidR="007B28BE" w:rsidRPr="00B72AE5">
        <w:rPr>
          <w:rFonts w:ascii="Times New Roman" w:hAnsi="Times New Roman" w:cs="Times New Roman"/>
          <w:sz w:val="24"/>
          <w:szCs w:val="24"/>
        </w:rPr>
        <w:t xml:space="preserve">, in </w:t>
      </w:r>
      <w:r w:rsidR="007B28BE">
        <w:rPr>
          <w:rFonts w:ascii="Times New Roman" w:hAnsi="Times New Roman" w:cs="Times New Roman"/>
          <w:sz w:val="24"/>
          <w:szCs w:val="24"/>
        </w:rPr>
        <w:t xml:space="preserve">case </w:t>
      </w:r>
      <w:r w:rsidR="007B28BE" w:rsidRPr="00B72AE5">
        <w:rPr>
          <w:rFonts w:ascii="Times New Roman" w:hAnsi="Times New Roman" w:cs="Times New Roman"/>
          <w:sz w:val="24"/>
          <w:szCs w:val="24"/>
        </w:rPr>
        <w:t>of the default, insolvency or bankruptcy</w:t>
      </w:r>
      <w:r w:rsidR="00027B53" w:rsidRPr="00B72AE5">
        <w:rPr>
          <w:rFonts w:ascii="Times New Roman" w:hAnsi="Times New Roman" w:cs="Times New Roman"/>
          <w:sz w:val="24"/>
          <w:szCs w:val="24"/>
        </w:rPr>
        <w:t>).</w:t>
      </w:r>
      <w:r w:rsidR="0071405F" w:rsidRPr="00B72AE5">
        <w:rPr>
          <w:rFonts w:ascii="Times New Roman" w:hAnsi="Times New Roman" w:cs="Times New Roman"/>
          <w:sz w:val="24"/>
          <w:szCs w:val="24"/>
        </w:rPr>
        <w:t xml:space="preserve"> In other words the </w:t>
      </w:r>
      <w:r w:rsidR="0071405F" w:rsidRPr="00B72AE5">
        <w:rPr>
          <w:rFonts w:ascii="Times New Roman" w:hAnsi="Times New Roman" w:cs="Times New Roman"/>
          <w:color w:val="000000" w:themeColor="text1"/>
          <w:sz w:val="24"/>
          <w:szCs w:val="24"/>
        </w:rPr>
        <w:t xml:space="preserve">bank should ensure that there is no prior </w:t>
      </w:r>
      <w:r w:rsidR="009D522B" w:rsidRPr="00B72AE5">
        <w:rPr>
          <w:rFonts w:ascii="Times New Roman" w:hAnsi="Times New Roman" w:cs="Times New Roman"/>
          <w:color w:val="000000" w:themeColor="text1"/>
          <w:sz w:val="24"/>
          <w:szCs w:val="24"/>
        </w:rPr>
        <w:t>claim</w:t>
      </w:r>
      <w:r w:rsidR="0071405F" w:rsidRPr="00B72AE5">
        <w:rPr>
          <w:rFonts w:ascii="Times New Roman" w:hAnsi="Times New Roman" w:cs="Times New Roman"/>
          <w:color w:val="000000" w:themeColor="text1"/>
          <w:sz w:val="24"/>
          <w:szCs w:val="24"/>
        </w:rPr>
        <w:t xml:space="preserve"> or claim of equal ranking, by another party on the collateral</w:t>
      </w:r>
      <w:r w:rsidR="009D522B" w:rsidRPr="00B72AE5">
        <w:rPr>
          <w:rFonts w:ascii="Times New Roman" w:hAnsi="Times New Roman" w:cs="Times New Roman"/>
          <w:color w:val="000000" w:themeColor="text1"/>
          <w:sz w:val="24"/>
          <w:szCs w:val="24"/>
        </w:rPr>
        <w:t xml:space="preserve"> and should secure their control of the</w:t>
      </w:r>
      <w:r w:rsidR="00006011" w:rsidRPr="00B72AE5">
        <w:rPr>
          <w:rFonts w:ascii="Times New Roman" w:hAnsi="Times New Roman" w:cs="Times New Roman"/>
          <w:color w:val="000000" w:themeColor="text1"/>
          <w:sz w:val="24"/>
          <w:szCs w:val="24"/>
        </w:rPr>
        <w:t xml:space="preserve"> </w:t>
      </w:r>
      <w:r w:rsidR="009D522B" w:rsidRPr="00B72AE5">
        <w:rPr>
          <w:rFonts w:ascii="Times New Roman" w:hAnsi="Times New Roman" w:cs="Times New Roman"/>
          <w:color w:val="000000" w:themeColor="text1"/>
          <w:sz w:val="24"/>
          <w:szCs w:val="24"/>
        </w:rPr>
        <w:t xml:space="preserve">collateral prior to the drawdown of credit facilities. For example, they should obtain customers’ authorization to transfer the legal title to the pledged asset to them. </w:t>
      </w:r>
    </w:p>
    <w:p w:rsidR="00510B9B" w:rsidRPr="00510B9B" w:rsidRDefault="00510B9B" w:rsidP="00F873C9">
      <w:pPr>
        <w:pStyle w:val="ListParagraph"/>
        <w:numPr>
          <w:ilvl w:val="0"/>
          <w:numId w:val="21"/>
        </w:numPr>
        <w:spacing w:line="360" w:lineRule="auto"/>
        <w:jc w:val="both"/>
        <w:rPr>
          <w:rFonts w:ascii="Times New Roman" w:hAnsi="Times New Roman" w:cs="Times New Roman"/>
          <w:sz w:val="24"/>
          <w:szCs w:val="24"/>
        </w:rPr>
      </w:pPr>
      <w:r w:rsidRPr="00510B9B">
        <w:rPr>
          <w:rFonts w:ascii="Times New Roman" w:hAnsi="Times New Roman" w:cs="Times New Roman"/>
          <w:sz w:val="24"/>
          <w:szCs w:val="24"/>
        </w:rPr>
        <w:t>In order for collateral to be eligible and suitable as protection tool, the credit quality of the counterparty and the value of the collateral must not have a material positive</w:t>
      </w:r>
      <w:r>
        <w:rPr>
          <w:rFonts w:ascii="Times New Roman" w:hAnsi="Times New Roman" w:cs="Times New Roman"/>
          <w:sz w:val="24"/>
          <w:szCs w:val="24"/>
        </w:rPr>
        <w:t xml:space="preserve"> </w:t>
      </w:r>
      <w:r w:rsidRPr="00510B9B">
        <w:rPr>
          <w:rFonts w:ascii="Times New Roman" w:hAnsi="Times New Roman" w:cs="Times New Roman"/>
          <w:sz w:val="24"/>
          <w:szCs w:val="24"/>
        </w:rPr>
        <w:t>relationship.</w:t>
      </w:r>
    </w:p>
    <w:p w:rsidR="00C06752" w:rsidRPr="00DA258D" w:rsidRDefault="00C06752" w:rsidP="000C316D">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Since collateral reduces the bank’s risk, it should reduce the cost of borrowing to the borrower or the counterparty by charging lower rates to collateralized debt Vs uncollateralized debt.</w:t>
      </w:r>
    </w:p>
    <w:p w:rsidR="00FB5164" w:rsidRPr="00DA258D" w:rsidRDefault="002A4AB3" w:rsidP="00552797">
      <w:pPr>
        <w:autoSpaceDE w:val="0"/>
        <w:autoSpaceDN w:val="0"/>
        <w:adjustRightInd w:val="0"/>
        <w:spacing w:after="0" w:line="360" w:lineRule="auto"/>
        <w:jc w:val="both"/>
        <w:rPr>
          <w:rFonts w:ascii="Times New Roman" w:hAnsi="Times New Roman" w:cs="Times New Roman"/>
          <w:b/>
          <w:sz w:val="24"/>
          <w:szCs w:val="24"/>
        </w:rPr>
      </w:pPr>
      <w:r w:rsidRPr="00DA258D">
        <w:rPr>
          <w:rFonts w:ascii="Times New Roman" w:hAnsi="Times New Roman" w:cs="Times New Roman"/>
          <w:b/>
          <w:sz w:val="24"/>
          <w:szCs w:val="24"/>
        </w:rPr>
        <w:t>4) Guarantees</w:t>
      </w:r>
    </w:p>
    <w:p w:rsidR="003875A5" w:rsidRPr="00552797" w:rsidRDefault="005A7E1F" w:rsidP="00552797">
      <w:pPr>
        <w:autoSpaceDE w:val="0"/>
        <w:autoSpaceDN w:val="0"/>
        <w:adjustRightInd w:val="0"/>
        <w:spacing w:after="0" w:line="360" w:lineRule="auto"/>
        <w:jc w:val="both"/>
        <w:rPr>
          <w:rFonts w:ascii="Times New Roman" w:hAnsi="Times New Roman" w:cs="Times New Roman"/>
          <w:sz w:val="24"/>
          <w:szCs w:val="24"/>
        </w:rPr>
      </w:pPr>
      <w:r w:rsidRPr="00DA258D">
        <w:rPr>
          <w:rFonts w:ascii="Times New Roman" w:hAnsi="Times New Roman" w:cs="Times New Roman"/>
          <w:sz w:val="24"/>
          <w:szCs w:val="24"/>
        </w:rPr>
        <w:t>There are two essential parties in the credit process provided by banks, the first party is the bank and the second party is the beneficiary of the credit. Personal guarantees are contractual obligations of a third party (natural or legal entity), and they act as if they were external collateral. However, they do not give the lender a specific claim on particular assets, and change the actions he could take in the case of the borrower’s bankruptcy. In other words</w:t>
      </w:r>
      <w:r w:rsidR="001D5CFE" w:rsidRPr="00DA258D">
        <w:rPr>
          <w:rFonts w:ascii="Times New Roman" w:hAnsi="Times New Roman" w:cs="Times New Roman"/>
          <w:sz w:val="24"/>
          <w:szCs w:val="24"/>
        </w:rPr>
        <w:t xml:space="preserve"> a third party (guarantor) is committed to the bank (creditor), in addition to the primary debtor (borrower) to pay the value o</w:t>
      </w:r>
      <w:r w:rsidR="00E35E7B">
        <w:rPr>
          <w:rFonts w:ascii="Times New Roman" w:hAnsi="Times New Roman" w:cs="Times New Roman"/>
          <w:sz w:val="24"/>
          <w:szCs w:val="24"/>
        </w:rPr>
        <w:t>f the debt in case of borrowers</w:t>
      </w:r>
      <w:r w:rsidR="001D5CFE" w:rsidRPr="00DA258D">
        <w:rPr>
          <w:rFonts w:ascii="Times New Roman" w:hAnsi="Times New Roman" w:cs="Times New Roman"/>
          <w:sz w:val="24"/>
          <w:szCs w:val="24"/>
        </w:rPr>
        <w:t xml:space="preserve"> default, so that the bank </w:t>
      </w:r>
      <w:r w:rsidR="00E9107A" w:rsidRPr="00DA258D">
        <w:rPr>
          <w:rFonts w:ascii="Times New Roman" w:hAnsi="Times New Roman" w:cs="Times New Roman"/>
          <w:sz w:val="24"/>
          <w:szCs w:val="24"/>
        </w:rPr>
        <w:t xml:space="preserve">will deal with the guarantor in parallel to the debtor in terms of the claim and prosecution until the full payment. </w:t>
      </w:r>
      <w:r w:rsidR="003875A5" w:rsidRPr="00DA258D">
        <w:rPr>
          <w:rFonts w:ascii="Times New Roman" w:hAnsi="Times New Roman" w:cs="Times New Roman"/>
          <w:color w:val="000000"/>
          <w:sz w:val="24"/>
          <w:szCs w:val="24"/>
        </w:rPr>
        <w:t>Since no specific asset is available by way of security in the context of guarantees (unfunded credit protection), the bank (lender) will focus on;</w:t>
      </w:r>
    </w:p>
    <w:p w:rsidR="003875A5" w:rsidRPr="00FA7402" w:rsidRDefault="003875A5" w:rsidP="00F873C9">
      <w:pPr>
        <w:pStyle w:val="ListParagraph"/>
        <w:numPr>
          <w:ilvl w:val="0"/>
          <w:numId w:val="36"/>
        </w:numPr>
        <w:autoSpaceDE w:val="0"/>
        <w:autoSpaceDN w:val="0"/>
        <w:adjustRightInd w:val="0"/>
        <w:spacing w:after="0" w:line="360" w:lineRule="auto"/>
        <w:jc w:val="both"/>
        <w:rPr>
          <w:rFonts w:ascii="Verdana" w:hAnsi="Verdana"/>
          <w:color w:val="000000"/>
          <w:sz w:val="24"/>
          <w:szCs w:val="24"/>
        </w:rPr>
      </w:pPr>
      <w:r w:rsidRPr="00FA7402">
        <w:rPr>
          <w:rFonts w:ascii="Times New Roman" w:hAnsi="Times New Roman" w:cs="Times New Roman"/>
          <w:color w:val="000000"/>
          <w:sz w:val="24"/>
          <w:szCs w:val="24"/>
        </w:rPr>
        <w:t>The creditworthiness and reliability of the provider</w:t>
      </w:r>
      <w:r w:rsidRPr="00FA7402">
        <w:rPr>
          <w:rFonts w:ascii="Verdana" w:hAnsi="Verdana"/>
          <w:color w:val="000000"/>
          <w:sz w:val="24"/>
          <w:szCs w:val="24"/>
        </w:rPr>
        <w:t>.</w:t>
      </w:r>
    </w:p>
    <w:p w:rsidR="005C55D6" w:rsidRPr="00FA7402" w:rsidRDefault="0013253A" w:rsidP="00F873C9">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FA7402">
        <w:rPr>
          <w:rFonts w:ascii="Times New Roman" w:hAnsi="Times New Roman" w:cs="Times New Roman"/>
          <w:color w:val="000000"/>
          <w:sz w:val="24"/>
          <w:szCs w:val="24"/>
        </w:rPr>
        <w:t>T</w:t>
      </w:r>
      <w:r w:rsidR="003875A5" w:rsidRPr="00FA7402">
        <w:rPr>
          <w:rFonts w:ascii="Times New Roman" w:hAnsi="Times New Roman" w:cs="Times New Roman"/>
          <w:color w:val="000000"/>
          <w:sz w:val="24"/>
          <w:szCs w:val="24"/>
        </w:rPr>
        <w:t>he validity and enforceability of that party's obligations</w:t>
      </w:r>
      <w:r w:rsidR="00ED77B5" w:rsidRPr="00FA7402">
        <w:rPr>
          <w:rFonts w:ascii="Times New Roman" w:hAnsi="Times New Roman" w:cs="Times New Roman"/>
          <w:color w:val="000000"/>
          <w:sz w:val="24"/>
          <w:szCs w:val="24"/>
        </w:rPr>
        <w:t xml:space="preserve"> (the contractual arrangements provides adequate protection).</w:t>
      </w:r>
    </w:p>
    <w:p w:rsidR="005C55D6" w:rsidRDefault="0013253A" w:rsidP="00552797">
      <w:pPr>
        <w:autoSpaceDE w:val="0"/>
        <w:autoSpaceDN w:val="0"/>
        <w:adjustRightInd w:val="0"/>
        <w:spacing w:after="0" w:line="360" w:lineRule="auto"/>
        <w:jc w:val="both"/>
        <w:rPr>
          <w:rFonts w:asciiTheme="majorBidi" w:hAnsiTheme="majorBidi" w:cstheme="majorBidi"/>
          <w:color w:val="000000" w:themeColor="text1"/>
          <w:sz w:val="24"/>
          <w:szCs w:val="24"/>
        </w:rPr>
      </w:pPr>
      <w:r w:rsidRPr="00006011">
        <w:rPr>
          <w:rFonts w:asciiTheme="majorBidi" w:hAnsiTheme="majorBidi" w:cstheme="majorBidi"/>
          <w:color w:val="000000" w:themeColor="text1"/>
          <w:sz w:val="24"/>
          <w:szCs w:val="24"/>
        </w:rPr>
        <w:t xml:space="preserve">For guarantees to be credit risk mitigation tool, it should </w:t>
      </w:r>
      <w:r w:rsidR="002F07E5" w:rsidRPr="00006011">
        <w:rPr>
          <w:rFonts w:asciiTheme="majorBidi" w:hAnsiTheme="majorBidi" w:cstheme="majorBidi"/>
          <w:color w:val="000000" w:themeColor="text1"/>
          <w:sz w:val="24"/>
          <w:szCs w:val="24"/>
        </w:rPr>
        <w:t>fulfill the fo</w:t>
      </w:r>
      <w:r w:rsidR="00D84434" w:rsidRPr="00006011">
        <w:rPr>
          <w:rFonts w:asciiTheme="majorBidi" w:hAnsiTheme="majorBidi" w:cstheme="majorBidi"/>
          <w:color w:val="000000" w:themeColor="text1"/>
          <w:sz w:val="24"/>
          <w:szCs w:val="24"/>
        </w:rPr>
        <w:t>llowing criteria (Basel, 2006</w:t>
      </w:r>
      <w:r w:rsidR="002F07E5" w:rsidRPr="00006011">
        <w:rPr>
          <w:rFonts w:asciiTheme="majorBidi" w:hAnsiTheme="majorBidi" w:cstheme="majorBidi"/>
          <w:color w:val="000000" w:themeColor="text1"/>
          <w:sz w:val="24"/>
          <w:szCs w:val="24"/>
        </w:rPr>
        <w:t>):</w:t>
      </w:r>
    </w:p>
    <w:p w:rsidR="005C55D6" w:rsidRPr="005C55D6" w:rsidRDefault="00E35E7B" w:rsidP="00F873C9">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w:t>
      </w:r>
      <w:r w:rsidR="0013253A" w:rsidRPr="005C55D6">
        <w:rPr>
          <w:rFonts w:ascii="Times New Roman" w:hAnsi="Times New Roman" w:cs="Times New Roman"/>
          <w:color w:val="000000" w:themeColor="text1"/>
          <w:sz w:val="24"/>
          <w:szCs w:val="24"/>
        </w:rPr>
        <w:t>the guarantee should represent a direct claim on the guarantor;</w:t>
      </w:r>
    </w:p>
    <w:p w:rsidR="005C55D6" w:rsidRPr="005C55D6" w:rsidRDefault="0013253A" w:rsidP="00F873C9">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5C55D6">
        <w:rPr>
          <w:rFonts w:ascii="Times New Roman" w:hAnsi="Times New Roman" w:cs="Times New Roman"/>
          <w:color w:val="000000" w:themeColor="text1"/>
          <w:sz w:val="24"/>
          <w:szCs w:val="24"/>
        </w:rPr>
        <w:lastRenderedPageBreak/>
        <w:t>the guarantee should be unconditional and irrevocable;</w:t>
      </w:r>
    </w:p>
    <w:p w:rsidR="005C55D6" w:rsidRPr="005C55D6" w:rsidRDefault="0013253A" w:rsidP="00F873C9">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5C55D6">
        <w:rPr>
          <w:rFonts w:ascii="Times New Roman" w:hAnsi="Times New Roman" w:cs="Times New Roman"/>
          <w:color w:val="000000" w:themeColor="text1"/>
          <w:sz w:val="24"/>
          <w:szCs w:val="24"/>
        </w:rPr>
        <w:t>the guarantee should be properly documented and legally enforceable;</w:t>
      </w:r>
    </w:p>
    <w:p w:rsidR="005C55D6" w:rsidRPr="005C55D6" w:rsidRDefault="0013253A" w:rsidP="00F873C9">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5C55D6">
        <w:rPr>
          <w:rFonts w:ascii="Times New Roman" w:hAnsi="Times New Roman" w:cs="Times New Roman"/>
          <w:color w:val="000000" w:themeColor="text1"/>
          <w:sz w:val="24"/>
          <w:szCs w:val="24"/>
        </w:rPr>
        <w:t>the guarantee should remain continuously effective until the facility covered by the guarantee is fully repaid or settled; and</w:t>
      </w:r>
    </w:p>
    <w:p w:rsidR="005C55D6" w:rsidRPr="005C55D6" w:rsidRDefault="0013253A" w:rsidP="00F873C9">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5C55D6">
        <w:rPr>
          <w:rFonts w:ascii="Times New Roman" w:hAnsi="Times New Roman" w:cs="Times New Roman"/>
          <w:color w:val="000000" w:themeColor="text1"/>
          <w:sz w:val="24"/>
          <w:szCs w:val="24"/>
        </w:rPr>
        <w:t>the financial strength of the guarantor should be thoroughly assessed and considered as adequate for disch</w:t>
      </w:r>
      <w:r w:rsidR="000E4665" w:rsidRPr="005C55D6">
        <w:rPr>
          <w:rFonts w:ascii="Times New Roman" w:hAnsi="Times New Roman" w:cs="Times New Roman"/>
          <w:color w:val="000000" w:themeColor="text1"/>
          <w:sz w:val="24"/>
          <w:szCs w:val="24"/>
        </w:rPr>
        <w:t xml:space="preserve">arging the obligation under the </w:t>
      </w:r>
      <w:r w:rsidRPr="005C55D6">
        <w:rPr>
          <w:rFonts w:ascii="Times New Roman" w:hAnsi="Times New Roman" w:cs="Times New Roman"/>
          <w:color w:val="000000" w:themeColor="text1"/>
          <w:sz w:val="24"/>
          <w:szCs w:val="24"/>
        </w:rPr>
        <w:t>guarantee</w:t>
      </w:r>
      <w:r w:rsidR="00E35E7B">
        <w:rPr>
          <w:rFonts w:ascii="Times New Roman" w:hAnsi="Times New Roman" w:cs="Times New Roman"/>
          <w:color w:val="000000" w:themeColor="text1"/>
          <w:sz w:val="24"/>
          <w:szCs w:val="24"/>
        </w:rPr>
        <w:t>"</w:t>
      </w:r>
      <w:r w:rsidRPr="005C55D6">
        <w:rPr>
          <w:rFonts w:ascii="Times New Roman" w:hAnsi="Times New Roman" w:cs="Times New Roman"/>
          <w:color w:val="000000" w:themeColor="text1"/>
          <w:sz w:val="24"/>
          <w:szCs w:val="24"/>
        </w:rPr>
        <w:t>.</w:t>
      </w:r>
    </w:p>
    <w:p w:rsidR="00EC0687" w:rsidRPr="002220E3" w:rsidRDefault="00225FBD" w:rsidP="00006011">
      <w:pPr>
        <w:pStyle w:val="NormalWeb"/>
        <w:spacing w:line="360" w:lineRule="auto"/>
        <w:contextualSpacing/>
        <w:rPr>
          <w:color w:val="000000" w:themeColor="text1"/>
        </w:rPr>
      </w:pPr>
      <w:r w:rsidRPr="002220E3">
        <w:rPr>
          <w:b/>
        </w:rPr>
        <w:t>5) Diversification</w:t>
      </w:r>
    </w:p>
    <w:p w:rsidR="007E1502" w:rsidRDefault="00225FBD" w:rsidP="00552797">
      <w:pPr>
        <w:pStyle w:val="NormalWeb"/>
        <w:spacing w:line="360" w:lineRule="auto"/>
        <w:contextualSpacing/>
        <w:jc w:val="both"/>
      </w:pPr>
      <w:r w:rsidRPr="00DA258D">
        <w:t>Diversification is a very common concept in the area of</w:t>
      </w:r>
      <w:r w:rsidR="00D8612D" w:rsidRPr="00DA258D">
        <w:t xml:space="preserve"> credit</w:t>
      </w:r>
      <w:r w:rsidRPr="00DA258D">
        <w:t xml:space="preserve"> risk management</w:t>
      </w:r>
      <w:r w:rsidR="00D8612D" w:rsidRPr="00DA258D">
        <w:t>, and primary tool in the</w:t>
      </w:r>
      <w:r w:rsidR="006D126C" w:rsidRPr="00DA258D">
        <w:t xml:space="preserve"> area of credit risk mitigation. Diversification strategies spread the credit risk in order to avoid a concentration in credit risk problems. </w:t>
      </w:r>
      <w:r w:rsidR="007E1502" w:rsidRPr="00DA258D">
        <w:t>The overall risk faced by credit and investment portfolios is a reflection of systematic risk on the one hand</w:t>
      </w:r>
      <w:r w:rsidR="00575FB1" w:rsidRPr="00DA258D">
        <w:t xml:space="preserve"> and</w:t>
      </w:r>
      <w:r w:rsidR="007E1502" w:rsidRPr="00DA258D">
        <w:t xml:space="preserve"> unsystematic risk on</w:t>
      </w:r>
      <w:r w:rsidR="001028CF">
        <w:t xml:space="preserve"> the other hand. In other words, </w:t>
      </w:r>
      <w:r w:rsidR="007E1502" w:rsidRPr="00DA258D">
        <w:t xml:space="preserve">the </w:t>
      </w:r>
      <w:r w:rsidR="005C55D6" w:rsidRPr="00DA258D">
        <w:t>sources of credit risk</w:t>
      </w:r>
      <w:r w:rsidR="005C55D6">
        <w:t xml:space="preserve"> within the whole </w:t>
      </w:r>
      <w:r w:rsidR="005C55D6" w:rsidRPr="00DA258D">
        <w:t>portfolio include</w:t>
      </w:r>
      <w:r w:rsidR="007E1502" w:rsidRPr="00DA258D">
        <w:t xml:space="preserve"> two types of </w:t>
      </w:r>
      <w:r w:rsidR="00577550">
        <w:t xml:space="preserve">risks, are (Joseph, 2006; </w:t>
      </w:r>
      <w:r w:rsidR="00D84434">
        <w:t>Bodie, et al., 2005)</w:t>
      </w:r>
      <w:r w:rsidR="007E1502" w:rsidRPr="00DA258D">
        <w:t>:</w:t>
      </w:r>
    </w:p>
    <w:p w:rsidR="00C178DC" w:rsidRPr="00552797" w:rsidRDefault="00C178DC" w:rsidP="00552797">
      <w:pPr>
        <w:pStyle w:val="NormalWeb"/>
        <w:spacing w:line="360" w:lineRule="auto"/>
        <w:contextualSpacing/>
        <w:jc w:val="both"/>
      </w:pPr>
    </w:p>
    <w:p w:rsidR="00A15245" w:rsidRPr="00926FFF" w:rsidRDefault="00552797" w:rsidP="00E35E7B">
      <w:pPr>
        <w:pStyle w:val="NormalWeb"/>
        <w:spacing w:line="360" w:lineRule="auto"/>
        <w:contextualSpacing/>
        <w:jc w:val="both"/>
        <w:rPr>
          <w:bCs/>
        </w:rPr>
      </w:pPr>
      <w:r>
        <w:rPr>
          <w:bCs/>
        </w:rPr>
        <w:t>1-</w:t>
      </w:r>
      <w:r w:rsidR="00A15245" w:rsidRPr="00926FFF">
        <w:rPr>
          <w:bCs/>
        </w:rPr>
        <w:t>Unsystematic risk or called firm specific risk, unique risk and diversifiable risk:</w:t>
      </w:r>
      <w:r w:rsidR="00575FB1" w:rsidRPr="00926FFF">
        <w:rPr>
          <w:bCs/>
        </w:rPr>
        <w:t xml:space="preserve"> this kind of risk</w:t>
      </w:r>
      <w:r w:rsidR="00A15245" w:rsidRPr="00926FFF">
        <w:rPr>
          <w:bCs/>
        </w:rPr>
        <w:t xml:space="preserve"> represents the portion of an asset’s ris</w:t>
      </w:r>
      <w:r w:rsidR="00575FB1" w:rsidRPr="00926FFF">
        <w:rPr>
          <w:bCs/>
        </w:rPr>
        <w:t>k that is associated with unplanned</w:t>
      </w:r>
      <w:r w:rsidR="00A15245" w:rsidRPr="00926FFF">
        <w:rPr>
          <w:bCs/>
        </w:rPr>
        <w:t xml:space="preserve"> causes that can be </w:t>
      </w:r>
      <w:r w:rsidR="00E35E7B">
        <w:rPr>
          <w:bCs/>
        </w:rPr>
        <w:t xml:space="preserve">removed </w:t>
      </w:r>
      <w:r w:rsidR="00A15245" w:rsidRPr="00926FFF">
        <w:rPr>
          <w:bCs/>
        </w:rPr>
        <w:t>through diversification. It’s attributable to firm-specific e</w:t>
      </w:r>
      <w:r w:rsidR="00575FB1" w:rsidRPr="00926FFF">
        <w:rPr>
          <w:bCs/>
        </w:rPr>
        <w:t>vents, such as strikes, lawsuit, changing in customer traits and</w:t>
      </w:r>
      <w:r w:rsidR="00A15245" w:rsidRPr="00926FFF">
        <w:rPr>
          <w:bCs/>
        </w:rPr>
        <w:t xml:space="preserve"> regula</w:t>
      </w:r>
      <w:r w:rsidR="00575FB1" w:rsidRPr="00926FFF">
        <w:rPr>
          <w:bCs/>
        </w:rPr>
        <w:t>tory actions or due to factors related to the</w:t>
      </w:r>
      <w:r w:rsidR="00A15245" w:rsidRPr="00926FFF">
        <w:rPr>
          <w:bCs/>
        </w:rPr>
        <w:t xml:space="preserve"> industry or a company like labor unions, product category, research and development, pricing, marketing strategy etc.</w:t>
      </w:r>
    </w:p>
    <w:p w:rsidR="00C178DC" w:rsidRDefault="00217AAA" w:rsidP="00C178DC">
      <w:pPr>
        <w:spacing w:line="360" w:lineRule="auto"/>
        <w:contextualSpacing/>
        <w:jc w:val="both"/>
        <w:rPr>
          <w:rFonts w:asciiTheme="majorBidi" w:hAnsiTheme="majorBidi" w:cstheme="majorBidi"/>
          <w:sz w:val="24"/>
          <w:szCs w:val="24"/>
        </w:rPr>
      </w:pPr>
      <w:r>
        <w:rPr>
          <w:bCs/>
        </w:rPr>
        <w:t>2-</w:t>
      </w:r>
      <w:r w:rsidR="0029570F" w:rsidRPr="00C178DC">
        <w:rPr>
          <w:rFonts w:asciiTheme="majorBidi" w:hAnsiTheme="majorBidi" w:cstheme="majorBidi"/>
          <w:bCs/>
          <w:sz w:val="24"/>
          <w:szCs w:val="24"/>
        </w:rPr>
        <w:t>Systematic risk or called market risk and non-diversifiable risk:</w:t>
      </w:r>
      <w:r w:rsidR="0029570F" w:rsidRPr="00C178DC">
        <w:rPr>
          <w:rFonts w:asciiTheme="majorBidi" w:hAnsiTheme="majorBidi" w:cstheme="majorBidi"/>
          <w:sz w:val="24"/>
          <w:szCs w:val="24"/>
        </w:rPr>
        <w:t xml:space="preserve"> Systematic risk is due to risk factors </w:t>
      </w:r>
      <w:r w:rsidR="00C178DC" w:rsidRPr="00C178DC">
        <w:rPr>
          <w:rFonts w:asciiTheme="majorBidi" w:hAnsiTheme="majorBidi" w:cstheme="majorBidi"/>
          <w:sz w:val="24"/>
          <w:szCs w:val="24"/>
        </w:rPr>
        <w:t xml:space="preserve">is due to risk factors that impact the whole market such as, recession, inflation, taxation and some socio/economic factors. </w:t>
      </w:r>
      <w:r w:rsidR="00A531C2" w:rsidRPr="00C178DC">
        <w:rPr>
          <w:rFonts w:asciiTheme="majorBidi" w:hAnsiTheme="majorBidi" w:cstheme="majorBidi"/>
          <w:sz w:val="24"/>
          <w:szCs w:val="24"/>
        </w:rPr>
        <w:t xml:space="preserve">It cannot be </w:t>
      </w:r>
      <w:r w:rsidR="004B4B3C" w:rsidRPr="00C178DC">
        <w:rPr>
          <w:rFonts w:asciiTheme="majorBidi" w:hAnsiTheme="majorBidi" w:cstheme="majorBidi"/>
          <w:sz w:val="24"/>
          <w:szCs w:val="24"/>
        </w:rPr>
        <w:t xml:space="preserve">reduced or removed </w:t>
      </w:r>
      <w:r w:rsidR="00A531C2" w:rsidRPr="00C178DC">
        <w:rPr>
          <w:rFonts w:asciiTheme="majorBidi" w:hAnsiTheme="majorBidi" w:cstheme="majorBidi"/>
          <w:sz w:val="24"/>
          <w:szCs w:val="24"/>
        </w:rPr>
        <w:t>through diversification.</w:t>
      </w:r>
      <w:r w:rsidR="0029570F" w:rsidRPr="00C178DC">
        <w:rPr>
          <w:rFonts w:asciiTheme="majorBidi" w:hAnsiTheme="majorBidi" w:cstheme="majorBidi"/>
          <w:sz w:val="24"/>
          <w:szCs w:val="24"/>
        </w:rPr>
        <w:t xml:space="preserve"> Systematic risk is beyond the control</w:t>
      </w:r>
      <w:r w:rsidR="00A531C2" w:rsidRPr="00C178DC">
        <w:rPr>
          <w:rFonts w:asciiTheme="majorBidi" w:hAnsiTheme="majorBidi" w:cstheme="majorBidi"/>
          <w:sz w:val="24"/>
          <w:szCs w:val="24"/>
        </w:rPr>
        <w:t xml:space="preserve"> and some times forecasting of such risks by</w:t>
      </w:r>
      <w:r w:rsidR="0029570F" w:rsidRPr="00C178DC">
        <w:rPr>
          <w:rFonts w:asciiTheme="majorBidi" w:hAnsiTheme="majorBidi" w:cstheme="majorBidi"/>
          <w:sz w:val="24"/>
          <w:szCs w:val="24"/>
        </w:rPr>
        <w:t xml:space="preserve"> investors</w:t>
      </w:r>
      <w:r w:rsidR="00A531C2" w:rsidRPr="00C178DC">
        <w:rPr>
          <w:rFonts w:asciiTheme="majorBidi" w:hAnsiTheme="majorBidi" w:cstheme="majorBidi"/>
          <w:sz w:val="24"/>
          <w:szCs w:val="24"/>
        </w:rPr>
        <w:t xml:space="preserve"> and banks management</w:t>
      </w:r>
      <w:r w:rsidR="0029570F" w:rsidRPr="00C178DC">
        <w:rPr>
          <w:rFonts w:asciiTheme="majorBidi" w:hAnsiTheme="majorBidi" w:cstheme="majorBidi"/>
          <w:sz w:val="24"/>
          <w:szCs w:val="24"/>
        </w:rPr>
        <w:t xml:space="preserve"> and cannot be mitigated to a large extent.</w:t>
      </w:r>
      <w:r w:rsidR="0023461D" w:rsidRPr="00C178DC">
        <w:rPr>
          <w:rFonts w:asciiTheme="majorBidi" w:hAnsiTheme="majorBidi" w:cstheme="majorBidi"/>
          <w:sz w:val="24"/>
          <w:szCs w:val="24"/>
        </w:rPr>
        <w:t xml:space="preserve"> </w:t>
      </w:r>
      <w:r w:rsidR="0029570F" w:rsidRPr="00C178DC">
        <w:rPr>
          <w:rFonts w:asciiTheme="majorBidi" w:hAnsiTheme="majorBidi" w:cstheme="majorBidi"/>
          <w:sz w:val="24"/>
          <w:szCs w:val="24"/>
        </w:rPr>
        <w:t>In contrast to this, the unsystematic risk can be mitigated through portfolio diversification.</w:t>
      </w:r>
      <w:r w:rsidR="006D19C8" w:rsidRPr="00C178DC">
        <w:rPr>
          <w:rFonts w:asciiTheme="majorBidi" w:hAnsiTheme="majorBidi" w:cstheme="majorBidi"/>
          <w:sz w:val="24"/>
          <w:szCs w:val="24"/>
        </w:rPr>
        <w:t xml:space="preserve"> </w:t>
      </w:r>
      <w:r w:rsidR="00237994" w:rsidRPr="00C178DC">
        <w:rPr>
          <w:rFonts w:asciiTheme="majorBidi" w:hAnsiTheme="majorBidi" w:cstheme="majorBidi"/>
          <w:sz w:val="24"/>
          <w:szCs w:val="24"/>
        </w:rPr>
        <w:t>Bothe systematic and unsystematic risks are</w:t>
      </w:r>
      <w:r w:rsidR="0029570F" w:rsidRPr="00C178DC">
        <w:rPr>
          <w:rFonts w:asciiTheme="majorBidi" w:hAnsiTheme="majorBidi" w:cstheme="majorBidi"/>
          <w:sz w:val="24"/>
          <w:szCs w:val="24"/>
        </w:rPr>
        <w:t xml:space="preserve"> called tot</w:t>
      </w:r>
      <w:r w:rsidR="00812210" w:rsidRPr="00C178DC">
        <w:rPr>
          <w:rFonts w:asciiTheme="majorBidi" w:hAnsiTheme="majorBidi" w:cstheme="majorBidi"/>
          <w:sz w:val="24"/>
          <w:szCs w:val="24"/>
        </w:rPr>
        <w:t>al</w:t>
      </w:r>
      <w:r w:rsidR="0029570F" w:rsidRPr="00C178DC">
        <w:rPr>
          <w:rFonts w:asciiTheme="majorBidi" w:hAnsiTheme="majorBidi" w:cstheme="majorBidi"/>
          <w:sz w:val="24"/>
          <w:szCs w:val="24"/>
        </w:rPr>
        <w:t xml:space="preserve"> risk</w:t>
      </w:r>
      <w:r w:rsidR="00D84434" w:rsidRPr="00C178DC">
        <w:rPr>
          <w:rFonts w:asciiTheme="majorBidi" w:hAnsiTheme="majorBidi" w:cstheme="majorBidi"/>
          <w:sz w:val="24"/>
          <w:szCs w:val="24"/>
        </w:rPr>
        <w:t>.</w:t>
      </w:r>
      <w:r w:rsidR="00B13E74" w:rsidRPr="00C178DC">
        <w:rPr>
          <w:rFonts w:asciiTheme="majorBidi" w:hAnsiTheme="majorBidi" w:cstheme="majorBidi"/>
          <w:sz w:val="24"/>
          <w:szCs w:val="24"/>
        </w:rPr>
        <w:t xml:space="preserve"> </w:t>
      </w:r>
      <w:r w:rsidR="00350CA3" w:rsidRPr="00C178DC">
        <w:rPr>
          <w:rFonts w:asciiTheme="majorBidi" w:hAnsiTheme="majorBidi" w:cstheme="majorBidi"/>
          <w:sz w:val="24"/>
          <w:szCs w:val="24"/>
        </w:rPr>
        <w:t xml:space="preserve">The concepts associated with </w:t>
      </w:r>
      <w:r w:rsidR="00350CA3" w:rsidRPr="00C178DC">
        <w:rPr>
          <w:rFonts w:asciiTheme="majorBidi" w:hAnsiTheme="majorBidi" w:cstheme="majorBidi"/>
          <w:sz w:val="24"/>
          <w:szCs w:val="24"/>
        </w:rPr>
        <w:lastRenderedPageBreak/>
        <w:t xml:space="preserve">the diversification of credit portfolio are varied; the following are the most important of </w:t>
      </w:r>
      <w:r w:rsidR="00350CA3" w:rsidRPr="00C178DC">
        <w:rPr>
          <w:rFonts w:asciiTheme="majorBidi" w:hAnsiTheme="majorBidi" w:cstheme="majorBidi"/>
          <w:sz w:val="16"/>
          <w:szCs w:val="16"/>
        </w:rPr>
        <w:t>these</w:t>
      </w:r>
      <w:r w:rsidR="00350CA3" w:rsidRPr="00C178DC">
        <w:rPr>
          <w:rFonts w:asciiTheme="majorBidi" w:hAnsiTheme="majorBidi" w:cstheme="majorBidi"/>
          <w:sz w:val="24"/>
          <w:szCs w:val="24"/>
        </w:rPr>
        <w:t xml:space="preserve"> concepts:</w:t>
      </w:r>
    </w:p>
    <w:p w:rsidR="00C178DC" w:rsidRPr="00C178DC" w:rsidRDefault="006C3DBB" w:rsidP="00C178DC">
      <w:pPr>
        <w:spacing w:line="360" w:lineRule="auto"/>
        <w:contextualSpacing/>
        <w:jc w:val="both"/>
        <w:rPr>
          <w:rFonts w:asciiTheme="majorBidi" w:hAnsiTheme="majorBidi" w:cstheme="majorBidi"/>
          <w:color w:val="000000"/>
          <w:sz w:val="24"/>
          <w:szCs w:val="24"/>
        </w:rPr>
      </w:pPr>
      <w:r w:rsidRPr="00C178DC">
        <w:rPr>
          <w:rFonts w:asciiTheme="majorBidi" w:hAnsiTheme="majorBidi" w:cstheme="majorBidi"/>
          <w:sz w:val="24"/>
          <w:szCs w:val="24"/>
        </w:rPr>
        <w:t xml:space="preserve">Diversification is considered a risk management mechanism by combining or mixture </w:t>
      </w:r>
      <w:r w:rsidR="00D36BE3" w:rsidRPr="00C178DC">
        <w:rPr>
          <w:rFonts w:asciiTheme="majorBidi" w:hAnsiTheme="majorBidi" w:cstheme="majorBidi"/>
          <w:sz w:val="24"/>
          <w:szCs w:val="24"/>
        </w:rPr>
        <w:t>of various</w:t>
      </w:r>
      <w:r w:rsidRPr="00C178DC">
        <w:rPr>
          <w:rFonts w:asciiTheme="majorBidi" w:hAnsiTheme="majorBidi" w:cstheme="majorBidi"/>
          <w:sz w:val="24"/>
          <w:szCs w:val="24"/>
        </w:rPr>
        <w:t xml:space="preserve"> types of investment within a portfolio. The reason behind this mechanism or technique is to maximize returns at a lower risk levels, since a portfolio of different kinds of investments will, achieve on average higher </w:t>
      </w:r>
      <w:r w:rsidR="00E210E3" w:rsidRPr="00C178DC">
        <w:rPr>
          <w:rFonts w:asciiTheme="majorBidi" w:hAnsiTheme="majorBidi" w:cstheme="majorBidi"/>
          <w:sz w:val="24"/>
          <w:szCs w:val="24"/>
        </w:rPr>
        <w:t>returns,</w:t>
      </w:r>
      <w:r w:rsidRPr="00C178DC">
        <w:rPr>
          <w:rFonts w:asciiTheme="majorBidi" w:hAnsiTheme="majorBidi" w:cstheme="majorBidi"/>
          <w:sz w:val="24"/>
          <w:szCs w:val="24"/>
        </w:rPr>
        <w:t xml:space="preserve"> than other individual investment within the portfolio. </w:t>
      </w:r>
      <w:r w:rsidR="00C12036" w:rsidRPr="00C178DC">
        <w:rPr>
          <w:rFonts w:asciiTheme="majorBidi" w:hAnsiTheme="majorBidi" w:cstheme="majorBidi"/>
          <w:color w:val="000000"/>
          <w:sz w:val="24"/>
          <w:szCs w:val="24"/>
        </w:rPr>
        <w:t xml:space="preserve"> In other words, diversification can offset or compensate the additional volatility created from an increa</w:t>
      </w:r>
      <w:r w:rsidR="005F7B2F" w:rsidRPr="00C178DC">
        <w:rPr>
          <w:rFonts w:asciiTheme="majorBidi" w:hAnsiTheme="majorBidi" w:cstheme="majorBidi"/>
          <w:color w:val="000000"/>
          <w:sz w:val="24"/>
          <w:szCs w:val="24"/>
        </w:rPr>
        <w:t>se in the number of risky loans (Investopedia).</w:t>
      </w:r>
      <w:r w:rsidR="002220E3" w:rsidRPr="00C178DC">
        <w:rPr>
          <w:rFonts w:asciiTheme="majorBidi" w:hAnsiTheme="majorBidi" w:cstheme="majorBidi"/>
          <w:color w:val="000000"/>
          <w:sz w:val="24"/>
          <w:szCs w:val="24"/>
        </w:rPr>
        <w:t xml:space="preserve"> </w:t>
      </w:r>
      <w:r w:rsidR="00350CA3" w:rsidRPr="00C178DC">
        <w:rPr>
          <w:rFonts w:asciiTheme="majorBidi" w:hAnsiTheme="majorBidi" w:cstheme="majorBidi"/>
          <w:color w:val="000000"/>
          <w:sz w:val="24"/>
          <w:szCs w:val="24"/>
        </w:rPr>
        <w:t>Diversification of the portfolio included investments in variety of assets, which the revenues are no</w:t>
      </w:r>
      <w:r w:rsidR="001770B5" w:rsidRPr="00C178DC">
        <w:rPr>
          <w:rFonts w:asciiTheme="majorBidi" w:hAnsiTheme="majorBidi" w:cstheme="majorBidi"/>
          <w:color w:val="000000"/>
          <w:sz w:val="24"/>
          <w:szCs w:val="24"/>
        </w:rPr>
        <w:t>t moving together (not correlated), the overall risks are minimal compared to the individual assets, and allows the financial institutions to reduce operational costs compared with compilation of the credit portfoli</w:t>
      </w:r>
      <w:r w:rsidR="00D84434" w:rsidRPr="00C178DC">
        <w:rPr>
          <w:rFonts w:asciiTheme="majorBidi" w:hAnsiTheme="majorBidi" w:cstheme="majorBidi"/>
          <w:color w:val="000000"/>
          <w:sz w:val="24"/>
          <w:szCs w:val="24"/>
        </w:rPr>
        <w:t>o (Mishkin and Eakins, 2006</w:t>
      </w:r>
      <w:r w:rsidR="001770B5" w:rsidRPr="00C178DC">
        <w:rPr>
          <w:rFonts w:asciiTheme="majorBidi" w:hAnsiTheme="majorBidi" w:cstheme="majorBidi"/>
          <w:color w:val="000000"/>
          <w:sz w:val="24"/>
          <w:szCs w:val="24"/>
        </w:rPr>
        <w:t>).</w:t>
      </w:r>
    </w:p>
    <w:p w:rsidR="002446D6" w:rsidRDefault="004C0E8E" w:rsidP="002446D6">
      <w:pPr>
        <w:spacing w:line="360" w:lineRule="auto"/>
        <w:contextualSpacing/>
        <w:jc w:val="both"/>
        <w:rPr>
          <w:rFonts w:asciiTheme="majorBidi" w:hAnsiTheme="majorBidi" w:cstheme="majorBidi"/>
          <w:sz w:val="24"/>
          <w:szCs w:val="24"/>
        </w:rPr>
      </w:pPr>
      <w:r w:rsidRPr="00C178DC">
        <w:rPr>
          <w:rFonts w:asciiTheme="majorBidi" w:hAnsiTheme="majorBidi" w:cstheme="majorBidi"/>
          <w:sz w:val="24"/>
          <w:szCs w:val="24"/>
        </w:rPr>
        <w:t xml:space="preserve">Since the banking industry has become more competitive and less profitable, commercial banks must </w:t>
      </w:r>
      <w:r w:rsidR="00D31D17" w:rsidRPr="00C178DC">
        <w:rPr>
          <w:rFonts w:asciiTheme="majorBidi" w:hAnsiTheme="majorBidi" w:cstheme="majorBidi"/>
          <w:sz w:val="24"/>
          <w:szCs w:val="24"/>
        </w:rPr>
        <w:t>take i</w:t>
      </w:r>
      <w:r w:rsidR="00C058AC" w:rsidRPr="00C178DC">
        <w:rPr>
          <w:rFonts w:asciiTheme="majorBidi" w:hAnsiTheme="majorBidi" w:cstheme="majorBidi"/>
          <w:sz w:val="24"/>
          <w:szCs w:val="24"/>
        </w:rPr>
        <w:t>nto consideration</w:t>
      </w:r>
      <w:r w:rsidRPr="00C178DC">
        <w:rPr>
          <w:rFonts w:asciiTheme="majorBidi" w:hAnsiTheme="majorBidi" w:cstheme="majorBidi"/>
          <w:sz w:val="24"/>
          <w:szCs w:val="24"/>
        </w:rPr>
        <w:t xml:space="preserve"> improving the efficiency and quality of their financial services</w:t>
      </w:r>
      <w:r w:rsidR="001E54C6" w:rsidRPr="00C178DC">
        <w:rPr>
          <w:rFonts w:asciiTheme="majorBidi" w:hAnsiTheme="majorBidi" w:cstheme="majorBidi"/>
          <w:sz w:val="24"/>
          <w:szCs w:val="24"/>
        </w:rPr>
        <w:t>. B</w:t>
      </w:r>
      <w:r w:rsidR="00C058AC" w:rsidRPr="00C178DC">
        <w:rPr>
          <w:rFonts w:asciiTheme="majorBidi" w:hAnsiTheme="majorBidi" w:cstheme="majorBidi"/>
          <w:sz w:val="24"/>
          <w:szCs w:val="24"/>
        </w:rPr>
        <w:t>anks</w:t>
      </w:r>
      <w:r w:rsidR="00577550" w:rsidRPr="00C178DC">
        <w:rPr>
          <w:rFonts w:asciiTheme="majorBidi" w:hAnsiTheme="majorBidi" w:cstheme="majorBidi"/>
          <w:sz w:val="24"/>
          <w:szCs w:val="24"/>
        </w:rPr>
        <w:t xml:space="preserve"> i</w:t>
      </w:r>
      <w:r w:rsidR="003A2F7B" w:rsidRPr="00C178DC">
        <w:rPr>
          <w:rFonts w:asciiTheme="majorBidi" w:hAnsiTheme="majorBidi" w:cstheme="majorBidi"/>
          <w:sz w:val="24"/>
          <w:szCs w:val="24"/>
        </w:rPr>
        <w:t xml:space="preserve">n recent </w:t>
      </w:r>
      <w:r w:rsidR="00E04FD0" w:rsidRPr="00C178DC">
        <w:rPr>
          <w:rFonts w:asciiTheme="majorBidi" w:hAnsiTheme="majorBidi" w:cstheme="majorBidi"/>
          <w:sz w:val="24"/>
          <w:szCs w:val="24"/>
        </w:rPr>
        <w:t>years</w:t>
      </w:r>
      <w:r w:rsidR="003A2F7B" w:rsidRPr="00C178DC">
        <w:rPr>
          <w:rFonts w:asciiTheme="majorBidi" w:hAnsiTheme="majorBidi" w:cstheme="majorBidi"/>
          <w:sz w:val="24"/>
          <w:szCs w:val="24"/>
        </w:rPr>
        <w:t xml:space="preserve"> have started</w:t>
      </w:r>
      <w:r w:rsidR="00B13E74" w:rsidRPr="00C178DC">
        <w:rPr>
          <w:rFonts w:asciiTheme="majorBidi" w:hAnsiTheme="majorBidi" w:cstheme="majorBidi"/>
          <w:sz w:val="24"/>
          <w:szCs w:val="24"/>
        </w:rPr>
        <w:t xml:space="preserve"> increasingly</w:t>
      </w:r>
      <w:r w:rsidR="003A2F7B" w:rsidRPr="00C178DC">
        <w:rPr>
          <w:rFonts w:asciiTheme="majorBidi" w:hAnsiTheme="majorBidi" w:cstheme="majorBidi"/>
          <w:sz w:val="24"/>
          <w:szCs w:val="24"/>
        </w:rPr>
        <w:t xml:space="preserve"> to move and depend on </w:t>
      </w:r>
      <w:r w:rsidR="00577550" w:rsidRPr="00C178DC">
        <w:rPr>
          <w:rFonts w:asciiTheme="majorBidi" w:hAnsiTheme="majorBidi" w:cstheme="majorBidi"/>
          <w:sz w:val="24"/>
          <w:szCs w:val="24"/>
        </w:rPr>
        <w:t>into areas that yield N</w:t>
      </w:r>
      <w:r w:rsidR="003A2F7B" w:rsidRPr="00C178DC">
        <w:rPr>
          <w:rFonts w:asciiTheme="majorBidi" w:hAnsiTheme="majorBidi" w:cstheme="majorBidi"/>
          <w:sz w:val="24"/>
          <w:szCs w:val="24"/>
        </w:rPr>
        <w:t>on-interest income – into activities that earn fees rather than interest</w:t>
      </w:r>
      <w:r w:rsidR="00D708CE" w:rsidRPr="00C178DC">
        <w:rPr>
          <w:rFonts w:asciiTheme="majorBidi" w:hAnsiTheme="majorBidi" w:cstheme="majorBidi"/>
          <w:sz w:val="24"/>
          <w:szCs w:val="24"/>
        </w:rPr>
        <w:t xml:space="preserve"> after</w:t>
      </w:r>
      <w:r w:rsidR="00577550" w:rsidRPr="00C178DC">
        <w:rPr>
          <w:rFonts w:asciiTheme="majorBidi" w:hAnsiTheme="majorBidi" w:cstheme="majorBidi"/>
          <w:sz w:val="24"/>
          <w:szCs w:val="24"/>
        </w:rPr>
        <w:t xml:space="preserve"> the income</w:t>
      </w:r>
      <w:r w:rsidRPr="00C178DC">
        <w:rPr>
          <w:rFonts w:asciiTheme="majorBidi" w:hAnsiTheme="majorBidi" w:cstheme="majorBidi"/>
          <w:sz w:val="24"/>
          <w:szCs w:val="24"/>
        </w:rPr>
        <w:t xml:space="preserve"> from traditional </w:t>
      </w:r>
      <w:r w:rsidR="00B13E74" w:rsidRPr="00C178DC">
        <w:rPr>
          <w:rFonts w:asciiTheme="majorBidi" w:hAnsiTheme="majorBidi" w:cstheme="majorBidi"/>
          <w:sz w:val="24"/>
          <w:szCs w:val="24"/>
        </w:rPr>
        <w:t xml:space="preserve">activities </w:t>
      </w:r>
      <w:r w:rsidR="00577550" w:rsidRPr="00C178DC">
        <w:rPr>
          <w:rFonts w:asciiTheme="majorBidi" w:hAnsiTheme="majorBidi" w:cstheme="majorBidi"/>
          <w:sz w:val="24"/>
          <w:szCs w:val="24"/>
        </w:rPr>
        <w:t>in which</w:t>
      </w:r>
      <w:r w:rsidRPr="00C178DC">
        <w:rPr>
          <w:rFonts w:asciiTheme="majorBidi" w:hAnsiTheme="majorBidi" w:cstheme="majorBidi"/>
          <w:sz w:val="24"/>
          <w:szCs w:val="24"/>
        </w:rPr>
        <w:t xml:space="preserve"> interest in</w:t>
      </w:r>
      <w:r w:rsidR="00B13E74" w:rsidRPr="00C178DC">
        <w:rPr>
          <w:rFonts w:asciiTheme="majorBidi" w:hAnsiTheme="majorBidi" w:cstheme="majorBidi"/>
          <w:sz w:val="24"/>
          <w:szCs w:val="24"/>
        </w:rPr>
        <w:t>come</w:t>
      </w:r>
      <w:r w:rsidR="00577550" w:rsidRPr="00C178DC">
        <w:rPr>
          <w:rFonts w:asciiTheme="majorBidi" w:hAnsiTheme="majorBidi" w:cstheme="majorBidi"/>
          <w:sz w:val="24"/>
          <w:szCs w:val="24"/>
        </w:rPr>
        <w:t xml:space="preserve"> </w:t>
      </w:r>
      <w:r w:rsidR="00D85F79" w:rsidRPr="00C178DC">
        <w:rPr>
          <w:rFonts w:asciiTheme="majorBidi" w:hAnsiTheme="majorBidi" w:cstheme="majorBidi"/>
          <w:sz w:val="24"/>
          <w:szCs w:val="24"/>
        </w:rPr>
        <w:t xml:space="preserve">were squeezed because of </w:t>
      </w:r>
      <w:r w:rsidRPr="00C178DC">
        <w:rPr>
          <w:rFonts w:asciiTheme="majorBidi" w:hAnsiTheme="majorBidi" w:cstheme="majorBidi"/>
          <w:sz w:val="24"/>
          <w:szCs w:val="24"/>
        </w:rPr>
        <w:t>declining</w:t>
      </w:r>
      <w:r w:rsidR="00457A9E" w:rsidRPr="00C178DC">
        <w:rPr>
          <w:rFonts w:asciiTheme="majorBidi" w:hAnsiTheme="majorBidi" w:cstheme="majorBidi"/>
          <w:sz w:val="24"/>
          <w:szCs w:val="24"/>
        </w:rPr>
        <w:t xml:space="preserve"> in</w:t>
      </w:r>
      <w:r w:rsidRPr="00C178DC">
        <w:rPr>
          <w:rFonts w:asciiTheme="majorBidi" w:hAnsiTheme="majorBidi" w:cstheme="majorBidi"/>
          <w:sz w:val="24"/>
          <w:szCs w:val="24"/>
        </w:rPr>
        <w:t xml:space="preserve"> interest rates.</w:t>
      </w:r>
      <w:r w:rsidR="00B13E74" w:rsidRPr="00C178DC">
        <w:rPr>
          <w:rFonts w:asciiTheme="majorBidi" w:hAnsiTheme="majorBidi" w:cstheme="majorBidi"/>
          <w:sz w:val="24"/>
          <w:szCs w:val="24"/>
        </w:rPr>
        <w:t xml:space="preserve"> In other words,</w:t>
      </w:r>
      <w:r w:rsidR="007230AE" w:rsidRPr="00C178DC">
        <w:rPr>
          <w:rFonts w:asciiTheme="majorBidi" w:hAnsiTheme="majorBidi" w:cstheme="majorBidi"/>
          <w:sz w:val="24"/>
          <w:szCs w:val="24"/>
        </w:rPr>
        <w:t xml:space="preserve"> banks might need to increase and diversify the sources of incomes from traditional and non-traditional activities</w:t>
      </w:r>
      <w:r w:rsidR="00577550" w:rsidRPr="00C178DC">
        <w:rPr>
          <w:rFonts w:asciiTheme="majorBidi" w:hAnsiTheme="majorBidi" w:cstheme="majorBidi"/>
          <w:sz w:val="24"/>
          <w:szCs w:val="24"/>
        </w:rPr>
        <w:t>.</w:t>
      </w:r>
      <w:r w:rsidR="007230AE" w:rsidRPr="00C178DC">
        <w:rPr>
          <w:rFonts w:asciiTheme="majorBidi" w:hAnsiTheme="majorBidi" w:cstheme="majorBidi"/>
          <w:sz w:val="24"/>
          <w:szCs w:val="24"/>
        </w:rPr>
        <w:t xml:space="preserve"> </w:t>
      </w:r>
    </w:p>
    <w:p w:rsidR="00E65732" w:rsidRPr="002446D6" w:rsidRDefault="00835ECC" w:rsidP="002446D6">
      <w:pPr>
        <w:spacing w:line="360" w:lineRule="auto"/>
        <w:contextualSpacing/>
        <w:jc w:val="both"/>
        <w:rPr>
          <w:rFonts w:asciiTheme="majorBidi" w:hAnsiTheme="majorBidi" w:cstheme="majorBidi"/>
          <w:sz w:val="24"/>
          <w:szCs w:val="24"/>
        </w:rPr>
      </w:pPr>
      <w:r w:rsidRPr="00C178DC">
        <w:rPr>
          <w:rFonts w:asciiTheme="majorBidi" w:hAnsiTheme="majorBidi" w:cstheme="majorBidi"/>
        </w:rPr>
        <w:t xml:space="preserve">Deregulations, innovation in financial services products and improvements in technology are the main reasons and incentives for banks to increasingly adopt non-traditional activities. </w:t>
      </w:r>
      <w:r w:rsidR="00981159" w:rsidRPr="00C178DC">
        <w:rPr>
          <w:rFonts w:asciiTheme="majorBidi" w:hAnsiTheme="majorBidi" w:cstheme="majorBidi"/>
        </w:rPr>
        <w:t>Since the 1980s, because o</w:t>
      </w:r>
      <w:r w:rsidR="002521F2" w:rsidRPr="00C178DC">
        <w:rPr>
          <w:rFonts w:asciiTheme="majorBidi" w:hAnsiTheme="majorBidi" w:cstheme="majorBidi"/>
        </w:rPr>
        <w:t>f the three above tracks</w:t>
      </w:r>
      <w:r w:rsidR="00981159" w:rsidRPr="00C178DC">
        <w:rPr>
          <w:rFonts w:asciiTheme="majorBidi" w:hAnsiTheme="majorBidi" w:cstheme="majorBidi"/>
        </w:rPr>
        <w:t>, incomes from the non-traditional activities, which are classified as non-interest incomes, have played a more important role in operating incomes.</w:t>
      </w:r>
      <w:r w:rsidR="00BA1E6A" w:rsidRPr="00C178DC">
        <w:rPr>
          <w:rFonts w:asciiTheme="majorBidi" w:hAnsiTheme="majorBidi" w:cstheme="majorBidi"/>
        </w:rPr>
        <w:t xml:space="preserve"> </w:t>
      </w:r>
      <w:r w:rsidR="00E14B47" w:rsidRPr="00C178DC">
        <w:rPr>
          <w:rFonts w:asciiTheme="majorBidi" w:hAnsiTheme="majorBidi" w:cstheme="majorBidi"/>
        </w:rPr>
        <w:t>A diversified portfolio, composed of different assets with small mutual correlations, is less risky because the gains of some of the assets more or less compensate the loss of the others (Bo</w:t>
      </w:r>
      <w:r w:rsidR="00D84434" w:rsidRPr="00C178DC">
        <w:rPr>
          <w:rFonts w:asciiTheme="majorBidi" w:hAnsiTheme="majorBidi" w:cstheme="majorBidi"/>
        </w:rPr>
        <w:t>uchaud and Potters, 2003</w:t>
      </w:r>
      <w:r w:rsidR="00E14B47" w:rsidRPr="00C178DC">
        <w:rPr>
          <w:rFonts w:asciiTheme="majorBidi" w:hAnsiTheme="majorBidi" w:cstheme="majorBidi"/>
        </w:rPr>
        <w:t xml:space="preserve">). </w:t>
      </w:r>
    </w:p>
    <w:p w:rsidR="00E5087B" w:rsidRPr="00DA258D" w:rsidRDefault="00E5087B" w:rsidP="00835ECC">
      <w:pPr>
        <w:spacing w:line="360" w:lineRule="auto"/>
        <w:contextualSpacing/>
        <w:jc w:val="both"/>
        <w:rPr>
          <w:rFonts w:ascii="Times New Roman" w:hAnsi="Times New Roman" w:cs="Times New Roman"/>
          <w:sz w:val="24"/>
          <w:szCs w:val="24"/>
        </w:rPr>
      </w:pPr>
      <w:r w:rsidRPr="00C178DC">
        <w:rPr>
          <w:rFonts w:asciiTheme="majorBidi" w:hAnsiTheme="majorBidi" w:cstheme="majorBidi"/>
          <w:sz w:val="24"/>
          <w:szCs w:val="24"/>
        </w:rPr>
        <w:t>In other words, banks should follow and adopt an investment strategy whereby its portfolio is comprised of investments across different geographic areas if applicable, economic</w:t>
      </w:r>
      <w:r w:rsidRPr="00E5087B">
        <w:rPr>
          <w:rFonts w:ascii="Times New Roman" w:hAnsi="Times New Roman" w:cs="Times New Roman"/>
          <w:sz w:val="24"/>
          <w:szCs w:val="24"/>
        </w:rPr>
        <w:t xml:space="preserve"> sectors, industries and different companies and individuals. The </w:t>
      </w:r>
      <w:r w:rsidR="00547F08" w:rsidRPr="00E5087B">
        <w:rPr>
          <w:rFonts w:ascii="Times New Roman" w:hAnsi="Times New Roman" w:cs="Times New Roman"/>
          <w:sz w:val="24"/>
          <w:szCs w:val="24"/>
        </w:rPr>
        <w:t>strategy is</w:t>
      </w:r>
      <w:r w:rsidRPr="00E5087B">
        <w:rPr>
          <w:rFonts w:ascii="Times New Roman" w:hAnsi="Times New Roman" w:cs="Times New Roman"/>
          <w:sz w:val="24"/>
          <w:szCs w:val="24"/>
        </w:rPr>
        <w:t xml:space="preserve"> expected to reduce risk exposures.</w:t>
      </w:r>
    </w:p>
    <w:p w:rsidR="00457A9E" w:rsidRPr="00DA258D" w:rsidRDefault="00457A9E" w:rsidP="00547F08">
      <w:pPr>
        <w:autoSpaceDE w:val="0"/>
        <w:autoSpaceDN w:val="0"/>
        <w:adjustRightInd w:val="0"/>
        <w:spacing w:after="0" w:line="360" w:lineRule="auto"/>
        <w:contextualSpacing/>
        <w:rPr>
          <w:rFonts w:ascii="Times New Roman" w:hAnsi="Times New Roman" w:cs="Times New Roman"/>
          <w:sz w:val="24"/>
          <w:szCs w:val="24"/>
        </w:rPr>
      </w:pPr>
      <w:r w:rsidRPr="00DA258D">
        <w:rPr>
          <w:rFonts w:ascii="Times New Roman" w:hAnsi="Times New Roman" w:cs="Times New Roman"/>
          <w:b/>
          <w:color w:val="000000"/>
          <w:sz w:val="24"/>
          <w:szCs w:val="24"/>
        </w:rPr>
        <w:lastRenderedPageBreak/>
        <w:t>-Mod</w:t>
      </w:r>
      <w:r w:rsidR="00926FFF">
        <w:rPr>
          <w:rFonts w:ascii="Times New Roman" w:hAnsi="Times New Roman" w:cs="Times New Roman"/>
          <w:b/>
          <w:color w:val="000000"/>
          <w:sz w:val="24"/>
          <w:szCs w:val="24"/>
        </w:rPr>
        <w:t>ern Portfolio Theory (MPT) and Diversification P</w:t>
      </w:r>
      <w:r w:rsidRPr="00DA258D">
        <w:rPr>
          <w:rFonts w:ascii="Times New Roman" w:hAnsi="Times New Roman" w:cs="Times New Roman"/>
          <w:b/>
          <w:color w:val="000000"/>
          <w:sz w:val="24"/>
          <w:szCs w:val="24"/>
        </w:rPr>
        <w:t xml:space="preserve">olicy </w:t>
      </w:r>
    </w:p>
    <w:p w:rsidR="002446D6" w:rsidRDefault="00547F08" w:rsidP="002446D6">
      <w:pPr>
        <w:spacing w:line="360" w:lineRule="auto"/>
        <w:contextualSpacing/>
        <w:jc w:val="both"/>
        <w:rPr>
          <w:rStyle w:val="Strong"/>
          <w:rFonts w:asciiTheme="majorBidi" w:hAnsiTheme="majorBidi" w:cstheme="majorBidi"/>
          <w:b w:val="0"/>
          <w:bCs w:val="0"/>
          <w:sz w:val="24"/>
          <w:szCs w:val="24"/>
        </w:rPr>
      </w:pPr>
      <w:r w:rsidRPr="00B3164D">
        <w:rPr>
          <w:rFonts w:ascii="Times New Roman" w:hAnsi="Times New Roman" w:cs="Times New Roman"/>
          <w:color w:val="000000" w:themeColor="text1"/>
          <w:sz w:val="24"/>
          <w:szCs w:val="24"/>
        </w:rPr>
        <w:t>MPT is considered one of the most effective and important economic theories in finance and investments</w:t>
      </w:r>
      <w:r w:rsidR="00CF7B06" w:rsidRPr="00B3164D">
        <w:rPr>
          <w:rFonts w:ascii="Times New Roman" w:hAnsi="Times New Roman" w:cs="Times New Roman"/>
          <w:color w:val="000000" w:themeColor="text1"/>
          <w:sz w:val="24"/>
          <w:szCs w:val="24"/>
        </w:rPr>
        <w:t xml:space="preserve">. </w:t>
      </w:r>
      <w:r w:rsidR="00B3164D" w:rsidRPr="00B3164D">
        <w:rPr>
          <w:rFonts w:asciiTheme="majorBidi" w:hAnsiTheme="majorBidi" w:cstheme="majorBidi"/>
          <w:sz w:val="24"/>
          <w:szCs w:val="24"/>
        </w:rPr>
        <w:t>MPT propose that investors should not look at risk/return trade off alone but they should diversify their investments by investing in more than one investment within their portfolio, this will enable them to increase returns at particular level of risk. In other words do not putt all of your eggs in one basket.</w:t>
      </w:r>
      <w:r w:rsidR="00B3164D" w:rsidRPr="00B3164D">
        <w:rPr>
          <w:rFonts w:ascii="Times New Roman" w:hAnsi="Times New Roman" w:cs="Times New Roman"/>
          <w:color w:val="000000" w:themeColor="text1"/>
          <w:sz w:val="24"/>
          <w:szCs w:val="24"/>
        </w:rPr>
        <w:t xml:space="preserve"> The</w:t>
      </w:r>
      <w:r w:rsidR="00457A9E" w:rsidRPr="00B3164D">
        <w:rPr>
          <w:rFonts w:ascii="Times New Roman" w:hAnsi="Times New Roman" w:cs="Times New Roman"/>
          <w:color w:val="000000" w:themeColor="text1"/>
          <w:sz w:val="24"/>
          <w:szCs w:val="24"/>
        </w:rPr>
        <w:t xml:space="preserve"> basis of MPT theory is the needs for careful selection of investments make up the portfolio, taking into account the correlation</w:t>
      </w:r>
      <w:r w:rsidR="00B3164D">
        <w:rPr>
          <w:rFonts w:ascii="Times New Roman" w:hAnsi="Times New Roman" w:cs="Times New Roman"/>
          <w:color w:val="000000" w:themeColor="text1"/>
          <w:sz w:val="24"/>
          <w:szCs w:val="24"/>
        </w:rPr>
        <w:t xml:space="preserve"> or the movements</w:t>
      </w:r>
      <w:r w:rsidR="00457A9E" w:rsidRPr="00B3164D">
        <w:rPr>
          <w:rFonts w:ascii="Times New Roman" w:hAnsi="Times New Roman" w:cs="Times New Roman"/>
          <w:color w:val="000000" w:themeColor="text1"/>
          <w:sz w:val="24"/>
          <w:szCs w:val="24"/>
        </w:rPr>
        <w:t xml:space="preserve"> between the return on those investments, the more was this relationship is inverse or independent or no relationship the lower the risk of portfolio return, will be less than if there was positive and direct correlation between the return on those investments (</w:t>
      </w:r>
      <w:r w:rsidR="00457A9E" w:rsidRPr="00B3164D">
        <w:rPr>
          <w:rStyle w:val="Strong"/>
          <w:rFonts w:ascii="Times New Roman" w:hAnsi="Times New Roman" w:cs="Times New Roman"/>
          <w:b w:val="0"/>
          <w:color w:val="000000" w:themeColor="text1"/>
          <w:sz w:val="24"/>
          <w:szCs w:val="24"/>
        </w:rPr>
        <w:t>The lower correlations are between assets of a portfolio, the lower the risk is of the portfol</w:t>
      </w:r>
      <w:r w:rsidR="00D84434" w:rsidRPr="00B3164D">
        <w:rPr>
          <w:rStyle w:val="Strong"/>
          <w:rFonts w:ascii="Times New Roman" w:hAnsi="Times New Roman" w:cs="Times New Roman"/>
          <w:b w:val="0"/>
          <w:color w:val="000000" w:themeColor="text1"/>
          <w:sz w:val="24"/>
          <w:szCs w:val="24"/>
        </w:rPr>
        <w:t>io) (Bodie, et al., 2005</w:t>
      </w:r>
      <w:r w:rsidR="00457A9E" w:rsidRPr="00B3164D">
        <w:rPr>
          <w:rStyle w:val="Strong"/>
          <w:rFonts w:ascii="Times New Roman" w:hAnsi="Times New Roman" w:cs="Times New Roman"/>
          <w:b w:val="0"/>
          <w:color w:val="000000" w:themeColor="text1"/>
          <w:sz w:val="24"/>
          <w:szCs w:val="24"/>
        </w:rPr>
        <w:t>).</w:t>
      </w:r>
    </w:p>
    <w:p w:rsidR="006D2650" w:rsidRPr="002446D6" w:rsidRDefault="00EA74F6" w:rsidP="002446D6">
      <w:pPr>
        <w:spacing w:line="360" w:lineRule="auto"/>
        <w:contextualSpacing/>
        <w:jc w:val="both"/>
        <w:rPr>
          <w:rFonts w:asciiTheme="majorBidi" w:hAnsiTheme="majorBidi" w:cstheme="majorBidi"/>
          <w:sz w:val="24"/>
          <w:szCs w:val="24"/>
        </w:rPr>
      </w:pPr>
      <w:r w:rsidRPr="00DA258D">
        <w:rPr>
          <w:rStyle w:val="Strong"/>
          <w:rFonts w:ascii="Times New Roman" w:hAnsi="Times New Roman" w:cs="Times New Roman"/>
          <w:color w:val="000000" w:themeColor="text1"/>
          <w:sz w:val="24"/>
          <w:szCs w:val="24"/>
        </w:rPr>
        <w:t>6) On-Balance-Sheet</w:t>
      </w:r>
      <w:r w:rsidR="006D2650" w:rsidRPr="00DA258D">
        <w:rPr>
          <w:rFonts w:ascii="Times New Roman" w:hAnsi="Times New Roman" w:cs="Times New Roman"/>
          <w:b/>
          <w:sz w:val="24"/>
          <w:szCs w:val="24"/>
        </w:rPr>
        <w:t xml:space="preserve"> Netting</w:t>
      </w:r>
    </w:p>
    <w:p w:rsidR="007E66F6" w:rsidRPr="00DA258D" w:rsidRDefault="003A296F" w:rsidP="002446D6">
      <w:pPr>
        <w:autoSpaceDE w:val="0"/>
        <w:autoSpaceDN w:val="0"/>
        <w:adjustRightInd w:val="0"/>
        <w:spacing w:after="0" w:line="360" w:lineRule="auto"/>
        <w:contextualSpacing/>
        <w:jc w:val="both"/>
        <w:rPr>
          <w:rStyle w:val="Strong"/>
          <w:rFonts w:ascii="Times New Roman" w:hAnsi="Times New Roman" w:cs="Times New Roman"/>
          <w:b w:val="0"/>
          <w:bCs w:val="0"/>
          <w:sz w:val="24"/>
          <w:szCs w:val="24"/>
        </w:rPr>
      </w:pPr>
      <w:r w:rsidRPr="00DA258D">
        <w:rPr>
          <w:rStyle w:val="Strong"/>
          <w:rFonts w:ascii="Times New Roman" w:hAnsi="Times New Roman" w:cs="Times New Roman"/>
          <w:b w:val="0"/>
          <w:color w:val="000000" w:themeColor="text1"/>
          <w:sz w:val="24"/>
          <w:szCs w:val="24"/>
        </w:rPr>
        <w:t xml:space="preserve">In order to </w:t>
      </w:r>
      <w:r>
        <w:rPr>
          <w:rFonts w:ascii="Times New Roman" w:hAnsi="Times New Roman" w:cs="Times New Roman"/>
          <w:sz w:val="24"/>
          <w:szCs w:val="24"/>
        </w:rPr>
        <w:t>minimize</w:t>
      </w:r>
      <w:r w:rsidRPr="00DA258D">
        <w:rPr>
          <w:rFonts w:ascii="Times New Roman" w:hAnsi="Times New Roman" w:cs="Times New Roman"/>
          <w:sz w:val="24"/>
          <w:szCs w:val="24"/>
        </w:rPr>
        <w:t xml:space="preserve"> counterparty risk is to </w:t>
      </w:r>
      <w:r>
        <w:rPr>
          <w:rFonts w:ascii="Times New Roman" w:hAnsi="Times New Roman" w:cs="Times New Roman"/>
          <w:sz w:val="24"/>
          <w:szCs w:val="24"/>
        </w:rPr>
        <w:t xml:space="preserve">combine </w:t>
      </w:r>
      <w:r w:rsidRPr="00DA258D">
        <w:rPr>
          <w:rFonts w:ascii="Times New Roman" w:hAnsi="Times New Roman" w:cs="Times New Roman"/>
          <w:sz w:val="24"/>
          <w:szCs w:val="24"/>
        </w:rPr>
        <w:t xml:space="preserve">the exposure under the </w:t>
      </w:r>
      <w:r>
        <w:rPr>
          <w:rFonts w:ascii="Times New Roman" w:hAnsi="Times New Roman" w:cs="Times New Roman"/>
          <w:sz w:val="24"/>
          <w:szCs w:val="24"/>
        </w:rPr>
        <w:t xml:space="preserve">diverse </w:t>
      </w:r>
      <w:r w:rsidRPr="00DA258D">
        <w:rPr>
          <w:rFonts w:ascii="Times New Roman" w:hAnsi="Times New Roman" w:cs="Times New Roman"/>
          <w:sz w:val="24"/>
          <w:szCs w:val="24"/>
        </w:rPr>
        <w:t>transactions entered into with a particular counterparty through the use of netting mechanism. This can be achieved by enteri</w:t>
      </w:r>
      <w:r w:rsidR="00E04FD0">
        <w:rPr>
          <w:rFonts w:ascii="Times New Roman" w:hAnsi="Times New Roman" w:cs="Times New Roman"/>
          <w:sz w:val="24"/>
          <w:szCs w:val="24"/>
        </w:rPr>
        <w:t xml:space="preserve">ng into a master agreement with </w:t>
      </w:r>
      <w:r w:rsidRPr="00DA258D">
        <w:rPr>
          <w:rFonts w:ascii="Times New Roman" w:hAnsi="Times New Roman" w:cs="Times New Roman"/>
          <w:sz w:val="24"/>
          <w:szCs w:val="24"/>
        </w:rPr>
        <w:t>each counterparty</w:t>
      </w:r>
      <w:r w:rsidR="00D36BE3">
        <w:rPr>
          <w:rFonts w:ascii="Times New Roman" w:hAnsi="Times New Roman" w:cs="Times New Roman"/>
          <w:sz w:val="24"/>
          <w:szCs w:val="24"/>
        </w:rPr>
        <w:t xml:space="preserve"> </w:t>
      </w:r>
      <w:r w:rsidRPr="00DA258D">
        <w:rPr>
          <w:rFonts w:ascii="Times New Roman" w:hAnsi="Times New Roman" w:cs="Times New Roman"/>
          <w:sz w:val="24"/>
          <w:szCs w:val="24"/>
        </w:rPr>
        <w:t>providing for appropriate netting arrangements</w:t>
      </w:r>
      <w:r w:rsidR="00835ECC">
        <w:rPr>
          <w:rStyle w:val="Strong"/>
          <w:rFonts w:ascii="Times New Roman" w:hAnsi="Times New Roman" w:cs="Times New Roman"/>
          <w:b w:val="0"/>
          <w:bCs w:val="0"/>
          <w:sz w:val="24"/>
          <w:szCs w:val="24"/>
        </w:rPr>
        <w:t>.</w:t>
      </w:r>
    </w:p>
    <w:p w:rsidR="002446D6" w:rsidRDefault="001F4064" w:rsidP="00FD6EED">
      <w:pPr>
        <w:shd w:val="clear" w:color="auto" w:fill="FFFFFF"/>
        <w:spacing w:line="360" w:lineRule="auto"/>
        <w:contextualSpacing/>
        <w:jc w:val="both"/>
        <w:rPr>
          <w:rFonts w:ascii="Times New Roman" w:hAnsi="Times New Roman" w:cs="Times New Roman"/>
          <w:sz w:val="24"/>
          <w:szCs w:val="24"/>
        </w:rPr>
      </w:pPr>
      <w:r w:rsidRPr="00DA258D">
        <w:rPr>
          <w:rStyle w:val="Strong"/>
          <w:rFonts w:ascii="Times New Roman" w:hAnsi="Times New Roman" w:cs="Times New Roman"/>
          <w:b w:val="0"/>
          <w:color w:val="000000" w:themeColor="text1"/>
          <w:sz w:val="24"/>
          <w:szCs w:val="24"/>
        </w:rPr>
        <w:t xml:space="preserve">Netting agreements is </w:t>
      </w:r>
      <w:r w:rsidR="00D01C4E" w:rsidRPr="00DA258D">
        <w:rPr>
          <w:rStyle w:val="Strong"/>
          <w:rFonts w:ascii="Times New Roman" w:hAnsi="Times New Roman" w:cs="Times New Roman"/>
          <w:b w:val="0"/>
          <w:color w:val="000000" w:themeColor="text1"/>
          <w:sz w:val="24"/>
          <w:szCs w:val="24"/>
        </w:rPr>
        <w:t>a</w:t>
      </w:r>
      <w:r w:rsidRPr="00DA258D">
        <w:rPr>
          <w:rStyle w:val="Strong"/>
          <w:rFonts w:ascii="Times New Roman" w:hAnsi="Times New Roman" w:cs="Times New Roman"/>
          <w:b w:val="0"/>
          <w:color w:val="000000" w:themeColor="text1"/>
          <w:sz w:val="24"/>
          <w:szCs w:val="24"/>
        </w:rPr>
        <w:t xml:space="preserve"> legally binding contract </w:t>
      </w:r>
      <w:r w:rsidR="007E1362">
        <w:rPr>
          <w:rStyle w:val="Strong"/>
          <w:rFonts w:ascii="Times New Roman" w:hAnsi="Times New Roman" w:cs="Times New Roman"/>
          <w:b w:val="0"/>
          <w:color w:val="000000" w:themeColor="text1"/>
          <w:sz w:val="24"/>
          <w:szCs w:val="24"/>
        </w:rPr>
        <w:t>between two counterparties that</w:t>
      </w:r>
      <w:r w:rsidRPr="00DA258D">
        <w:rPr>
          <w:rStyle w:val="Strong"/>
          <w:rFonts w:ascii="Times New Roman" w:hAnsi="Times New Roman" w:cs="Times New Roman"/>
          <w:b w:val="0"/>
          <w:color w:val="000000" w:themeColor="text1"/>
          <w:sz w:val="24"/>
          <w:szCs w:val="24"/>
        </w:rPr>
        <w:t xml:space="preserve"> in the event of default of one of them</w:t>
      </w:r>
      <w:r w:rsidR="005935C3">
        <w:rPr>
          <w:rStyle w:val="Strong"/>
          <w:rFonts w:ascii="Times New Roman" w:hAnsi="Times New Roman" w:cs="Times New Roman"/>
          <w:b w:val="0"/>
          <w:color w:val="000000" w:themeColor="text1"/>
          <w:sz w:val="24"/>
          <w:szCs w:val="24"/>
        </w:rPr>
        <w:t>,</w:t>
      </w:r>
      <w:r w:rsidRPr="00DA258D">
        <w:rPr>
          <w:rStyle w:val="Strong"/>
          <w:rFonts w:ascii="Times New Roman" w:hAnsi="Times New Roman" w:cs="Times New Roman"/>
          <w:b w:val="0"/>
          <w:color w:val="000000" w:themeColor="text1"/>
          <w:sz w:val="24"/>
          <w:szCs w:val="24"/>
        </w:rPr>
        <w:t xml:space="preserve"> allows aggregation of transaction between these two coun</w:t>
      </w:r>
      <w:r w:rsidR="00497E1B">
        <w:rPr>
          <w:rStyle w:val="Strong"/>
          <w:rFonts w:ascii="Times New Roman" w:hAnsi="Times New Roman" w:cs="Times New Roman"/>
          <w:b w:val="0"/>
          <w:color w:val="000000" w:themeColor="text1"/>
          <w:sz w:val="24"/>
          <w:szCs w:val="24"/>
        </w:rPr>
        <w:t xml:space="preserve">terparties </w:t>
      </w:r>
      <w:r w:rsidRPr="00DA258D">
        <w:rPr>
          <w:rStyle w:val="Strong"/>
          <w:rFonts w:ascii="Times New Roman" w:hAnsi="Times New Roman" w:cs="Times New Roman"/>
          <w:b w:val="0"/>
          <w:color w:val="000000" w:themeColor="text1"/>
          <w:sz w:val="24"/>
          <w:szCs w:val="24"/>
        </w:rPr>
        <w:t>(B</w:t>
      </w:r>
      <w:r w:rsidR="00D84434">
        <w:rPr>
          <w:rStyle w:val="Strong"/>
          <w:rFonts w:ascii="Times New Roman" w:hAnsi="Times New Roman" w:cs="Times New Roman"/>
          <w:b w:val="0"/>
          <w:color w:val="000000" w:themeColor="text1"/>
          <w:sz w:val="24"/>
          <w:szCs w:val="24"/>
        </w:rPr>
        <w:t>ielecki, et al., 2011</w:t>
      </w:r>
      <w:r w:rsidR="00D01C4E" w:rsidRPr="00DA258D">
        <w:rPr>
          <w:rStyle w:val="Strong"/>
          <w:rFonts w:ascii="Times New Roman" w:hAnsi="Times New Roman" w:cs="Times New Roman"/>
          <w:b w:val="0"/>
          <w:color w:val="000000" w:themeColor="text1"/>
          <w:sz w:val="24"/>
          <w:szCs w:val="24"/>
        </w:rPr>
        <w:t>).</w:t>
      </w:r>
      <w:r w:rsidR="00497E1B">
        <w:rPr>
          <w:rStyle w:val="Strong"/>
          <w:rFonts w:ascii="Times New Roman" w:hAnsi="Times New Roman" w:cs="Times New Roman"/>
          <w:b w:val="0"/>
          <w:color w:val="000000" w:themeColor="text1"/>
          <w:sz w:val="24"/>
          <w:szCs w:val="24"/>
        </w:rPr>
        <w:t xml:space="preserve"> </w:t>
      </w:r>
      <w:r w:rsidR="00D9372F" w:rsidRPr="00DA258D">
        <w:rPr>
          <w:rStyle w:val="Strong"/>
          <w:rFonts w:ascii="Times New Roman" w:hAnsi="Times New Roman" w:cs="Times New Roman"/>
          <w:b w:val="0"/>
          <w:color w:val="000000" w:themeColor="text1"/>
          <w:sz w:val="24"/>
          <w:szCs w:val="24"/>
        </w:rPr>
        <w:t xml:space="preserve">Upon that, netting agreements nets the amounts to be exchanged between counterparties, which future credit exposure can be greatly reduced. </w:t>
      </w:r>
      <w:r w:rsidR="00D9372F" w:rsidRPr="00DA258D">
        <w:rPr>
          <w:rFonts w:ascii="Times New Roman" w:hAnsi="Times New Roman" w:cs="Times New Roman"/>
          <w:sz w:val="24"/>
          <w:szCs w:val="24"/>
        </w:rPr>
        <w:t>For banks, netting agreements are mostly applied to interbank transactions</w:t>
      </w:r>
      <w:r w:rsidR="00D33AFF" w:rsidRPr="00DA258D">
        <w:rPr>
          <w:rFonts w:ascii="Times New Roman" w:hAnsi="Times New Roman" w:cs="Times New Roman"/>
          <w:sz w:val="24"/>
          <w:szCs w:val="24"/>
        </w:rPr>
        <w:t>.</w:t>
      </w:r>
    </w:p>
    <w:p w:rsidR="002446D6" w:rsidRDefault="002446D6" w:rsidP="00FD6EED">
      <w:pPr>
        <w:shd w:val="clear" w:color="auto" w:fill="FFFFFF"/>
        <w:spacing w:line="360" w:lineRule="auto"/>
        <w:contextualSpacing/>
        <w:jc w:val="both"/>
        <w:rPr>
          <w:rStyle w:val="Strong"/>
          <w:rFonts w:ascii="Times New Roman" w:hAnsi="Times New Roman" w:cs="Times New Roman"/>
          <w:b w:val="0"/>
          <w:color w:val="000000" w:themeColor="text1"/>
          <w:sz w:val="24"/>
          <w:szCs w:val="24"/>
        </w:rPr>
      </w:pPr>
    </w:p>
    <w:p w:rsidR="00E272E1" w:rsidRPr="0023054A" w:rsidRDefault="003E71AA" w:rsidP="00FD6EED">
      <w:pPr>
        <w:shd w:val="clear" w:color="auto" w:fill="FFFFFF"/>
        <w:spacing w:line="360" w:lineRule="auto"/>
        <w:contextualSpacing/>
        <w:jc w:val="both"/>
        <w:rPr>
          <w:rStyle w:val="Strong"/>
          <w:rFonts w:ascii="Times New Roman" w:hAnsi="Times New Roman" w:cs="Times New Roman"/>
          <w:b w:val="0"/>
          <w:color w:val="000000" w:themeColor="text1"/>
          <w:sz w:val="24"/>
          <w:szCs w:val="24"/>
        </w:rPr>
      </w:pPr>
      <w:r w:rsidRPr="0023054A">
        <w:rPr>
          <w:rStyle w:val="Strong"/>
          <w:rFonts w:ascii="Times New Roman" w:hAnsi="Times New Roman" w:cs="Times New Roman"/>
          <w:color w:val="000000" w:themeColor="text1"/>
          <w:sz w:val="24"/>
          <w:szCs w:val="24"/>
        </w:rPr>
        <w:t>2.5.3 Newer Methods for Credit Risk Transfer</w:t>
      </w:r>
    </w:p>
    <w:p w:rsidR="00E07B63" w:rsidRPr="0023461D" w:rsidRDefault="0043160F" w:rsidP="0023461D">
      <w:pPr>
        <w:autoSpaceDE w:val="0"/>
        <w:autoSpaceDN w:val="0"/>
        <w:adjustRightInd w:val="0"/>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The last two decades have witnessed the development of </w:t>
      </w:r>
      <w:r w:rsidR="00A03526" w:rsidRPr="00DA258D">
        <w:rPr>
          <w:rFonts w:asciiTheme="majorBidi" w:hAnsiTheme="majorBidi" w:cstheme="majorBidi"/>
          <w:sz w:val="24"/>
          <w:szCs w:val="24"/>
        </w:rPr>
        <w:t>new</w:t>
      </w:r>
      <w:r w:rsidR="00AA15E1">
        <w:rPr>
          <w:rFonts w:asciiTheme="majorBidi" w:hAnsiTheme="majorBidi" w:cstheme="majorBidi"/>
          <w:sz w:val="24"/>
          <w:szCs w:val="24"/>
        </w:rPr>
        <w:t xml:space="preserve"> efficient</w:t>
      </w:r>
      <w:r w:rsidR="00A03526" w:rsidRPr="00DA258D">
        <w:rPr>
          <w:rFonts w:asciiTheme="majorBidi" w:hAnsiTheme="majorBidi" w:cstheme="majorBidi"/>
          <w:sz w:val="24"/>
          <w:szCs w:val="24"/>
        </w:rPr>
        <w:t xml:space="preserve"> methods</w:t>
      </w:r>
      <w:r w:rsidRPr="00DA258D">
        <w:rPr>
          <w:rFonts w:asciiTheme="majorBidi" w:hAnsiTheme="majorBidi" w:cstheme="majorBidi"/>
          <w:sz w:val="24"/>
          <w:szCs w:val="24"/>
        </w:rPr>
        <w:t xml:space="preserve"> and less costly financial instruments</w:t>
      </w:r>
      <w:r w:rsidR="00E07B63">
        <w:rPr>
          <w:rFonts w:asciiTheme="majorBidi" w:hAnsiTheme="majorBidi" w:cstheme="majorBidi"/>
          <w:sz w:val="24"/>
          <w:szCs w:val="24"/>
        </w:rPr>
        <w:t>,</w:t>
      </w:r>
      <w:r w:rsidRPr="00DA258D">
        <w:rPr>
          <w:rFonts w:asciiTheme="majorBidi" w:hAnsiTheme="majorBidi" w:cstheme="majorBidi"/>
          <w:sz w:val="24"/>
          <w:szCs w:val="24"/>
        </w:rPr>
        <w:t xml:space="preserve"> </w:t>
      </w:r>
      <w:r w:rsidR="00A03526" w:rsidRPr="00DA258D">
        <w:rPr>
          <w:rFonts w:asciiTheme="majorBidi" w:hAnsiTheme="majorBidi" w:cstheme="majorBidi"/>
          <w:sz w:val="24"/>
          <w:szCs w:val="24"/>
        </w:rPr>
        <w:t xml:space="preserve">to address risks </w:t>
      </w:r>
      <w:r w:rsidR="00C20EC6" w:rsidRPr="00DA258D">
        <w:rPr>
          <w:rFonts w:asciiTheme="majorBidi" w:hAnsiTheme="majorBidi" w:cstheme="majorBidi"/>
          <w:sz w:val="24"/>
          <w:szCs w:val="24"/>
        </w:rPr>
        <w:t xml:space="preserve">arise </w:t>
      </w:r>
      <w:r w:rsidR="00A03526" w:rsidRPr="00DA258D">
        <w:rPr>
          <w:rFonts w:asciiTheme="majorBidi" w:hAnsiTheme="majorBidi" w:cstheme="majorBidi"/>
          <w:sz w:val="24"/>
          <w:szCs w:val="24"/>
        </w:rPr>
        <w:t>from credit activity</w:t>
      </w:r>
      <w:r>
        <w:rPr>
          <w:rFonts w:asciiTheme="majorBidi" w:hAnsiTheme="majorBidi" w:cstheme="majorBidi"/>
          <w:sz w:val="24"/>
          <w:szCs w:val="24"/>
        </w:rPr>
        <w:t xml:space="preserve">, </w:t>
      </w:r>
      <w:r w:rsidRPr="00DA258D">
        <w:rPr>
          <w:rFonts w:asciiTheme="majorBidi" w:hAnsiTheme="majorBidi" w:cstheme="majorBidi"/>
          <w:sz w:val="24"/>
          <w:szCs w:val="24"/>
        </w:rPr>
        <w:t>which make credit risk more manageable</w:t>
      </w:r>
      <w:r w:rsidR="00E07B63">
        <w:rPr>
          <w:rFonts w:asciiTheme="majorBidi" w:hAnsiTheme="majorBidi" w:cstheme="majorBidi"/>
          <w:sz w:val="24"/>
          <w:szCs w:val="24"/>
        </w:rPr>
        <w:t xml:space="preserve">. </w:t>
      </w:r>
      <w:r w:rsidR="00124DA8" w:rsidRPr="00DA258D">
        <w:rPr>
          <w:rFonts w:asciiTheme="majorBidi" w:hAnsiTheme="majorBidi" w:cstheme="majorBidi"/>
          <w:sz w:val="24"/>
          <w:szCs w:val="24"/>
        </w:rPr>
        <w:t xml:space="preserve">An increasing number of banks became active in off-balance sheet (OBS) business to enhance their profitability. OBS instruments generate fee income and do not appear as assets or liabilities on the traditional bank balance sheet such as derivatives </w:t>
      </w:r>
      <w:r w:rsidR="00124DA8" w:rsidRPr="00DA258D">
        <w:rPr>
          <w:rFonts w:asciiTheme="majorBidi" w:hAnsiTheme="majorBidi" w:cstheme="majorBidi"/>
          <w:sz w:val="24"/>
          <w:szCs w:val="24"/>
        </w:rPr>
        <w:lastRenderedPageBreak/>
        <w:t xml:space="preserve">and </w:t>
      </w:r>
      <w:r w:rsidR="00A03526" w:rsidRPr="00DA258D">
        <w:rPr>
          <w:rFonts w:asciiTheme="majorBidi" w:hAnsiTheme="majorBidi" w:cstheme="majorBidi"/>
          <w:sz w:val="24"/>
          <w:szCs w:val="24"/>
        </w:rPr>
        <w:t>securitization and alternative risk transfer.</w:t>
      </w:r>
      <w:r w:rsidR="00CE285A" w:rsidRPr="00DA258D">
        <w:rPr>
          <w:rFonts w:asciiTheme="majorBidi" w:hAnsiTheme="majorBidi" w:cstheme="majorBidi"/>
          <w:sz w:val="24"/>
          <w:szCs w:val="24"/>
        </w:rPr>
        <w:t xml:space="preserve"> In the following part, those methods will be described individually.</w:t>
      </w:r>
    </w:p>
    <w:p w:rsidR="00D00C17" w:rsidRPr="00DA258D" w:rsidRDefault="007C0CC8" w:rsidP="0069064B">
      <w:pPr>
        <w:autoSpaceDE w:val="0"/>
        <w:autoSpaceDN w:val="0"/>
        <w:adjustRightInd w:val="0"/>
        <w:spacing w:after="0" w:line="360" w:lineRule="auto"/>
        <w:rPr>
          <w:rFonts w:asciiTheme="majorBidi" w:hAnsiTheme="majorBidi" w:cstheme="majorBidi"/>
          <w:b/>
          <w:sz w:val="24"/>
          <w:szCs w:val="24"/>
        </w:rPr>
      </w:pPr>
      <w:r w:rsidRPr="00DA258D">
        <w:rPr>
          <w:rFonts w:asciiTheme="majorBidi" w:hAnsiTheme="majorBidi" w:cstheme="majorBidi"/>
          <w:b/>
          <w:sz w:val="24"/>
          <w:szCs w:val="24"/>
        </w:rPr>
        <w:t>1) Asset</w:t>
      </w:r>
      <w:r w:rsidR="00E77283">
        <w:rPr>
          <w:rFonts w:asciiTheme="majorBidi" w:hAnsiTheme="majorBidi" w:cstheme="majorBidi"/>
          <w:b/>
          <w:sz w:val="24"/>
          <w:szCs w:val="24"/>
        </w:rPr>
        <w:t xml:space="preserve"> </w:t>
      </w:r>
      <w:r w:rsidRPr="00DA258D">
        <w:rPr>
          <w:rFonts w:asciiTheme="majorBidi" w:hAnsiTheme="majorBidi" w:cstheme="majorBidi"/>
          <w:b/>
          <w:sz w:val="24"/>
          <w:szCs w:val="24"/>
        </w:rPr>
        <w:t>Securitization</w:t>
      </w:r>
    </w:p>
    <w:p w:rsidR="0069064B" w:rsidRPr="0090781A" w:rsidRDefault="003B4DA4" w:rsidP="0090781A">
      <w:pPr>
        <w:autoSpaceDE w:val="0"/>
        <w:autoSpaceDN w:val="0"/>
        <w:adjustRightInd w:val="0"/>
        <w:spacing w:after="0" w:line="360" w:lineRule="auto"/>
        <w:jc w:val="both"/>
        <w:rPr>
          <w:rFonts w:ascii="Times New Roman" w:hAnsi="Times New Roman" w:cs="Times New Roman"/>
          <w:sz w:val="24"/>
          <w:szCs w:val="24"/>
        </w:rPr>
      </w:pPr>
      <w:r w:rsidRPr="003B4DA4">
        <w:rPr>
          <w:rFonts w:ascii="Times New Roman" w:hAnsi="Times New Roman" w:cs="Times New Roman"/>
          <w:sz w:val="24"/>
          <w:szCs w:val="24"/>
        </w:rPr>
        <w:t xml:space="preserve">Securitization is, </w:t>
      </w:r>
      <w:r w:rsidR="006556DE">
        <w:rPr>
          <w:rFonts w:ascii="Times New Roman" w:hAnsi="Times New Roman" w:cs="Times New Roman"/>
          <w:sz w:val="24"/>
          <w:szCs w:val="24"/>
        </w:rPr>
        <w:t>likely</w:t>
      </w:r>
      <w:r w:rsidR="00AA15E1">
        <w:rPr>
          <w:rFonts w:ascii="Times New Roman" w:hAnsi="Times New Roman" w:cs="Times New Roman"/>
          <w:sz w:val="24"/>
          <w:szCs w:val="24"/>
        </w:rPr>
        <w:t xml:space="preserve">, one of the most newly influential financial </w:t>
      </w:r>
      <w:r w:rsidR="002446D6">
        <w:rPr>
          <w:rFonts w:ascii="Times New Roman" w:hAnsi="Times New Roman" w:cs="Times New Roman"/>
          <w:sz w:val="24"/>
          <w:szCs w:val="24"/>
        </w:rPr>
        <w:t>instruments</w:t>
      </w:r>
      <w:r w:rsidRPr="003B4DA4">
        <w:rPr>
          <w:rFonts w:ascii="Times New Roman" w:hAnsi="Times New Roman" w:cs="Times New Roman"/>
          <w:sz w:val="24"/>
          <w:szCs w:val="24"/>
        </w:rPr>
        <w:t xml:space="preserve"> that happen in re</w:t>
      </w:r>
      <w:r w:rsidR="00AA15E1">
        <w:rPr>
          <w:rFonts w:ascii="Times New Roman" w:hAnsi="Times New Roman" w:cs="Times New Roman"/>
          <w:sz w:val="24"/>
          <w:szCs w:val="24"/>
        </w:rPr>
        <w:t>cent years</w:t>
      </w:r>
      <w:r w:rsidRPr="003B4DA4">
        <w:rPr>
          <w:rFonts w:ascii="Times New Roman" w:hAnsi="Times New Roman" w:cs="Times New Roman"/>
          <w:sz w:val="24"/>
          <w:szCs w:val="24"/>
        </w:rPr>
        <w:t xml:space="preserve"> and</w:t>
      </w:r>
      <w:r w:rsidR="00AA15E1">
        <w:rPr>
          <w:rFonts w:ascii="Times New Roman" w:hAnsi="Times New Roman" w:cs="Times New Roman"/>
          <w:sz w:val="24"/>
          <w:szCs w:val="24"/>
        </w:rPr>
        <w:t xml:space="preserve"> had</w:t>
      </w:r>
      <w:r w:rsidRPr="003B4DA4">
        <w:rPr>
          <w:rFonts w:ascii="Times New Roman" w:hAnsi="Times New Roman" w:cs="Times New Roman"/>
          <w:sz w:val="24"/>
          <w:szCs w:val="24"/>
        </w:rPr>
        <w:t xml:space="preserve"> </w:t>
      </w:r>
      <w:r w:rsidR="006556DE">
        <w:rPr>
          <w:rFonts w:ascii="Times New Roman" w:hAnsi="Times New Roman" w:cs="Times New Roman"/>
          <w:sz w:val="24"/>
          <w:szCs w:val="24"/>
        </w:rPr>
        <w:t xml:space="preserve">significant </w:t>
      </w:r>
      <w:r w:rsidRPr="003B4DA4">
        <w:rPr>
          <w:rFonts w:ascii="Times New Roman" w:hAnsi="Times New Roman" w:cs="Times New Roman"/>
          <w:sz w:val="24"/>
          <w:szCs w:val="24"/>
        </w:rPr>
        <w:t>change in</w:t>
      </w:r>
      <w:r w:rsidR="0003241A">
        <w:rPr>
          <w:rFonts w:ascii="Times New Roman" w:hAnsi="Times New Roman" w:cs="Times New Roman"/>
          <w:sz w:val="24"/>
          <w:szCs w:val="24"/>
        </w:rPr>
        <w:t xml:space="preserve"> the commercial banking industry</w:t>
      </w:r>
      <w:r w:rsidRPr="003B4DA4">
        <w:rPr>
          <w:rFonts w:ascii="Times New Roman" w:hAnsi="Times New Roman" w:cs="Times New Roman"/>
          <w:sz w:val="24"/>
          <w:szCs w:val="24"/>
        </w:rPr>
        <w:t>. It allows banks to ensure the continued flow of liquidity from transforming illiquid assets that could not be sold in the liquid markets into marketable securities. Securitization also is a risk management technique by which ownership and/or risks associated with the credit exposures of a bank are transferred to other parties. It is used to spread risk across diverse ‘baskets’ (not putting all one’s eggs in a single basket) and to enhance financial stability (Basel, 2006).</w:t>
      </w:r>
      <w:r w:rsidR="0090781A">
        <w:rPr>
          <w:rFonts w:ascii="Times New Roman" w:hAnsi="Times New Roman" w:cs="Times New Roman"/>
          <w:sz w:val="24"/>
          <w:szCs w:val="24"/>
        </w:rPr>
        <w:t xml:space="preserve"> </w:t>
      </w:r>
      <w:r w:rsidR="007C0CC8" w:rsidRPr="00DA258D">
        <w:rPr>
          <w:rFonts w:asciiTheme="majorBidi" w:hAnsiTheme="majorBidi" w:cstheme="majorBidi"/>
          <w:sz w:val="24"/>
          <w:szCs w:val="24"/>
        </w:rPr>
        <w:t>Asset securitization is about turning traditional, non-marketed balance sheet assets into marketable ones and moving them off balance sheet</w:t>
      </w:r>
      <w:r w:rsidR="007C2BE0" w:rsidRPr="00DA258D">
        <w:rPr>
          <w:rFonts w:asciiTheme="majorBidi" w:hAnsiTheme="majorBidi" w:cstheme="majorBidi"/>
          <w:sz w:val="24"/>
          <w:szCs w:val="24"/>
        </w:rPr>
        <w:t xml:space="preserve"> (Twinn, 1994</w:t>
      </w:r>
      <w:r w:rsidR="00351AFF" w:rsidRPr="00DA258D">
        <w:rPr>
          <w:rFonts w:asciiTheme="majorBidi" w:hAnsiTheme="majorBidi" w:cstheme="majorBidi"/>
          <w:sz w:val="24"/>
          <w:szCs w:val="24"/>
        </w:rPr>
        <w:t>).</w:t>
      </w:r>
    </w:p>
    <w:p w:rsidR="00351AFF" w:rsidRPr="00DA258D" w:rsidRDefault="00351AFF" w:rsidP="0003241A">
      <w:pPr>
        <w:autoSpaceDE w:val="0"/>
        <w:autoSpaceDN w:val="0"/>
        <w:adjustRightInd w:val="0"/>
        <w:spacing w:after="0" w:line="360" w:lineRule="auto"/>
        <w:jc w:val="both"/>
        <w:rPr>
          <w:rFonts w:asciiTheme="majorBidi" w:hAnsiTheme="majorBidi" w:cstheme="majorBidi"/>
          <w:sz w:val="24"/>
          <w:szCs w:val="24"/>
        </w:rPr>
      </w:pPr>
      <w:r w:rsidRPr="00DA258D">
        <w:rPr>
          <w:rFonts w:asciiTheme="majorBidi" w:hAnsiTheme="majorBidi" w:cstheme="majorBidi"/>
          <w:sz w:val="24"/>
          <w:szCs w:val="24"/>
        </w:rPr>
        <w:t xml:space="preserve">For a bank, securitization requires it to set aside a </w:t>
      </w:r>
      <w:r w:rsidR="008D53E9" w:rsidRPr="00DA258D">
        <w:rPr>
          <w:rFonts w:asciiTheme="majorBidi" w:hAnsiTheme="majorBidi" w:cstheme="majorBidi"/>
          <w:sz w:val="24"/>
          <w:szCs w:val="24"/>
        </w:rPr>
        <w:t xml:space="preserve">bundle </w:t>
      </w:r>
      <w:r w:rsidRPr="00DA258D">
        <w:rPr>
          <w:rFonts w:asciiTheme="majorBidi" w:hAnsiTheme="majorBidi" w:cstheme="majorBidi"/>
          <w:sz w:val="24"/>
          <w:szCs w:val="24"/>
        </w:rPr>
        <w:t xml:space="preserve">of incoming-earning assets and to sell securities </w:t>
      </w:r>
      <w:r w:rsidR="0003241A">
        <w:rPr>
          <w:rFonts w:asciiTheme="majorBidi" w:hAnsiTheme="majorBidi" w:cstheme="majorBidi"/>
          <w:sz w:val="24"/>
          <w:szCs w:val="24"/>
        </w:rPr>
        <w:t xml:space="preserve">versus </w:t>
      </w:r>
      <w:r w:rsidRPr="00DA258D">
        <w:rPr>
          <w:rFonts w:asciiTheme="majorBidi" w:hAnsiTheme="majorBidi" w:cstheme="majorBidi"/>
          <w:sz w:val="24"/>
          <w:szCs w:val="24"/>
        </w:rPr>
        <w:t>those assets in the open market, which means transforming loans into public traded securities in effect</w:t>
      </w:r>
      <w:r w:rsidR="00881333" w:rsidRPr="00DA258D">
        <w:rPr>
          <w:rFonts w:asciiTheme="majorBidi" w:hAnsiTheme="majorBidi" w:cstheme="majorBidi"/>
          <w:sz w:val="24"/>
          <w:szCs w:val="24"/>
        </w:rPr>
        <w:t xml:space="preserve">(such as bonds, commercial paper and asset- backed securities) </w:t>
      </w:r>
      <w:r w:rsidR="00BC4770">
        <w:rPr>
          <w:rFonts w:asciiTheme="majorBidi" w:hAnsiTheme="majorBidi" w:cstheme="majorBidi"/>
          <w:sz w:val="24"/>
          <w:szCs w:val="24"/>
        </w:rPr>
        <w:t xml:space="preserve"> (Rose and Hudgins 2008)</w:t>
      </w:r>
      <w:r w:rsidR="008D53E9" w:rsidRPr="00DA258D">
        <w:rPr>
          <w:rFonts w:asciiTheme="majorBidi" w:hAnsiTheme="majorBidi" w:cstheme="majorBidi"/>
          <w:sz w:val="24"/>
          <w:szCs w:val="24"/>
        </w:rPr>
        <w:t>.</w:t>
      </w:r>
    </w:p>
    <w:p w:rsidR="00574A18" w:rsidRPr="00DA258D" w:rsidRDefault="00BC4770" w:rsidP="008461C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S</w:t>
      </w:r>
      <w:r w:rsidR="00574A18" w:rsidRPr="00DA258D">
        <w:rPr>
          <w:rFonts w:asciiTheme="majorBidi" w:hAnsiTheme="majorBidi" w:cstheme="majorBidi"/>
          <w:sz w:val="24"/>
          <w:szCs w:val="24"/>
        </w:rPr>
        <w:t>ome studies point out that bank regula</w:t>
      </w:r>
      <w:r w:rsidR="0003241A">
        <w:rPr>
          <w:rFonts w:asciiTheme="majorBidi" w:hAnsiTheme="majorBidi" w:cstheme="majorBidi"/>
          <w:sz w:val="24"/>
          <w:szCs w:val="24"/>
        </w:rPr>
        <w:t xml:space="preserve">tion as one of the </w:t>
      </w:r>
      <w:r w:rsidR="00574A18" w:rsidRPr="00DA258D">
        <w:rPr>
          <w:rFonts w:asciiTheme="majorBidi" w:hAnsiTheme="majorBidi" w:cstheme="majorBidi"/>
          <w:sz w:val="24"/>
          <w:szCs w:val="24"/>
        </w:rPr>
        <w:t>motives to securitize. Se</w:t>
      </w:r>
      <w:r w:rsidR="004C1778" w:rsidRPr="00DA258D">
        <w:rPr>
          <w:rFonts w:asciiTheme="majorBidi" w:hAnsiTheme="majorBidi" w:cstheme="majorBidi"/>
          <w:sz w:val="24"/>
          <w:szCs w:val="24"/>
        </w:rPr>
        <w:t>curitization allow banks sell a part of its</w:t>
      </w:r>
      <w:r w:rsidR="00574A18" w:rsidRPr="00DA258D">
        <w:rPr>
          <w:rFonts w:asciiTheme="majorBidi" w:hAnsiTheme="majorBidi" w:cstheme="majorBidi"/>
          <w:sz w:val="24"/>
          <w:szCs w:val="24"/>
        </w:rPr>
        <w:t xml:space="preserve"> loans (in particular that of better quality) and with the proceeds, lend to riskier borrowers so as to increase the expected returns of their portfolio with no change in capital requirements.</w:t>
      </w:r>
      <w:r w:rsidR="004C1778" w:rsidRPr="00DA258D">
        <w:rPr>
          <w:rFonts w:asciiTheme="majorBidi" w:hAnsiTheme="majorBidi" w:cstheme="majorBidi"/>
          <w:sz w:val="24"/>
          <w:szCs w:val="24"/>
        </w:rPr>
        <w:t xml:space="preserve"> By this way securitization alleviates the regulatory burden (</w:t>
      </w:r>
      <w:r w:rsidR="00D84434">
        <w:rPr>
          <w:rFonts w:asciiTheme="majorBidi" w:hAnsiTheme="majorBidi" w:cstheme="majorBidi"/>
          <w:sz w:val="24"/>
          <w:szCs w:val="24"/>
        </w:rPr>
        <w:t>Ambrose, et al., 2005</w:t>
      </w:r>
      <w:r w:rsidR="00751250" w:rsidRPr="00DA258D">
        <w:rPr>
          <w:rFonts w:asciiTheme="majorBidi" w:hAnsiTheme="majorBidi" w:cstheme="majorBidi"/>
          <w:sz w:val="24"/>
          <w:szCs w:val="24"/>
        </w:rPr>
        <w:t>)</w:t>
      </w:r>
    </w:p>
    <w:p w:rsidR="00F91F34" w:rsidRPr="00DA258D" w:rsidRDefault="002446D6" w:rsidP="00F91F34">
      <w:pPr>
        <w:autoSpaceDE w:val="0"/>
        <w:autoSpaceDN w:val="0"/>
        <w:adjustRightInd w:val="0"/>
        <w:spacing w:after="0" w:line="360" w:lineRule="auto"/>
        <w:rPr>
          <w:rFonts w:asciiTheme="majorBidi" w:hAnsiTheme="majorBidi" w:cstheme="majorBidi"/>
          <w:b/>
          <w:sz w:val="24"/>
          <w:szCs w:val="24"/>
        </w:rPr>
      </w:pPr>
      <w:r>
        <w:rPr>
          <w:rFonts w:asciiTheme="majorBidi" w:hAnsiTheme="majorBidi" w:cstheme="majorBidi"/>
          <w:b/>
          <w:sz w:val="24"/>
          <w:szCs w:val="24"/>
        </w:rPr>
        <w:t>2</w:t>
      </w:r>
      <w:r w:rsidR="00F91F34" w:rsidRPr="00DA258D">
        <w:rPr>
          <w:rFonts w:asciiTheme="majorBidi" w:hAnsiTheme="majorBidi" w:cstheme="majorBidi"/>
          <w:b/>
          <w:sz w:val="24"/>
          <w:szCs w:val="24"/>
        </w:rPr>
        <w:t>) Loan Sales</w:t>
      </w:r>
    </w:p>
    <w:p w:rsidR="003A3362" w:rsidRPr="00DA258D" w:rsidRDefault="00BC3CCB" w:rsidP="00FD6EED">
      <w:pPr>
        <w:autoSpaceDE w:val="0"/>
        <w:autoSpaceDN w:val="0"/>
        <w:adjustRightInd w:val="0"/>
        <w:spacing w:after="0" w:line="360" w:lineRule="auto"/>
        <w:jc w:val="both"/>
        <w:rPr>
          <w:rFonts w:asciiTheme="majorBidi" w:hAnsiTheme="majorBidi" w:cstheme="majorBidi"/>
          <w:b/>
          <w:sz w:val="24"/>
          <w:szCs w:val="24"/>
        </w:rPr>
      </w:pPr>
      <w:r w:rsidRPr="00DA258D">
        <w:rPr>
          <w:rFonts w:asciiTheme="majorBidi" w:hAnsiTheme="majorBidi" w:cstheme="majorBidi"/>
          <w:sz w:val="24"/>
          <w:szCs w:val="24"/>
        </w:rPr>
        <w:t>Not only loans can be sold as</w:t>
      </w:r>
      <w:r w:rsidR="00F91F34" w:rsidRPr="00DA258D">
        <w:rPr>
          <w:rFonts w:asciiTheme="majorBidi" w:hAnsiTheme="majorBidi" w:cstheme="majorBidi"/>
          <w:sz w:val="24"/>
          <w:szCs w:val="24"/>
        </w:rPr>
        <w:t xml:space="preserve"> collateral in the securitization,</w:t>
      </w:r>
      <w:r w:rsidRPr="00DA258D">
        <w:rPr>
          <w:rFonts w:asciiTheme="majorBidi" w:hAnsiTheme="majorBidi" w:cstheme="majorBidi"/>
          <w:sz w:val="24"/>
          <w:szCs w:val="24"/>
        </w:rPr>
        <w:t xml:space="preserve"> but</w:t>
      </w:r>
      <w:r w:rsidR="00F91F34" w:rsidRPr="00DA258D">
        <w:rPr>
          <w:rFonts w:asciiTheme="majorBidi" w:hAnsiTheme="majorBidi" w:cstheme="majorBidi"/>
          <w:sz w:val="24"/>
          <w:szCs w:val="24"/>
        </w:rPr>
        <w:t xml:space="preserve"> bank loans themselves can be </w:t>
      </w:r>
      <w:r w:rsidRPr="00DA258D">
        <w:rPr>
          <w:rFonts w:asciiTheme="majorBidi" w:hAnsiTheme="majorBidi" w:cstheme="majorBidi"/>
          <w:sz w:val="24"/>
          <w:szCs w:val="24"/>
        </w:rPr>
        <w:t xml:space="preserve">sold in entirety to a new owner. Under loan sale, the bank originates and services the loan for </w:t>
      </w:r>
      <w:r w:rsidRPr="00DA258D">
        <w:rPr>
          <w:rFonts w:asciiTheme="majorBidi" w:hAnsiTheme="majorBidi" w:cstheme="majorBidi"/>
          <w:spacing w:val="12"/>
          <w:sz w:val="24"/>
          <w:szCs w:val="24"/>
        </w:rPr>
        <w:t>few years and then sells it to the buyer,</w:t>
      </w:r>
      <w:r w:rsidR="00F91F34" w:rsidRPr="00DA258D">
        <w:rPr>
          <w:rFonts w:asciiTheme="majorBidi" w:hAnsiTheme="majorBidi" w:cstheme="majorBidi"/>
          <w:sz w:val="24"/>
          <w:szCs w:val="24"/>
        </w:rPr>
        <w:t xml:space="preserve"> and such a bank loan sale occurs when a bank originates a loan and sells it either with or without recourse to an outside buyer (Saunders and Cornett</w:t>
      </w:r>
      <w:r w:rsidR="00E77283">
        <w:rPr>
          <w:rFonts w:asciiTheme="majorBidi" w:hAnsiTheme="majorBidi" w:cstheme="majorBidi"/>
          <w:sz w:val="24"/>
          <w:szCs w:val="24"/>
        </w:rPr>
        <w:t>,</w:t>
      </w:r>
      <w:r w:rsidR="00F91F34" w:rsidRPr="00DA258D">
        <w:rPr>
          <w:rFonts w:asciiTheme="majorBidi" w:hAnsiTheme="majorBidi" w:cstheme="majorBidi"/>
          <w:sz w:val="24"/>
          <w:szCs w:val="24"/>
        </w:rPr>
        <w:t xml:space="preserve"> 2006).</w:t>
      </w:r>
    </w:p>
    <w:p w:rsidR="00B94641" w:rsidRPr="00B94641" w:rsidRDefault="00892C93" w:rsidP="003B4DA4">
      <w:pPr>
        <w:spacing w:after="0" w:line="360" w:lineRule="auto"/>
        <w:jc w:val="both"/>
        <w:rPr>
          <w:rFonts w:asciiTheme="majorBidi" w:hAnsiTheme="majorBidi" w:cstheme="majorBidi"/>
          <w:sz w:val="24"/>
          <w:szCs w:val="24"/>
          <w:rtl/>
          <w:lang w:bidi="ar-JO"/>
        </w:rPr>
      </w:pPr>
      <w:r w:rsidRPr="00B94641">
        <w:rPr>
          <w:rFonts w:asciiTheme="majorBidi" w:hAnsiTheme="majorBidi" w:cstheme="majorBidi"/>
          <w:sz w:val="24"/>
          <w:szCs w:val="24"/>
        </w:rPr>
        <w:t>The popular type of loans sales is that the original contract between the bank and the borrower leftover the same, in which the bank remain</w:t>
      </w:r>
      <w:r w:rsidR="00B94641" w:rsidRPr="00B94641">
        <w:rPr>
          <w:rFonts w:asciiTheme="majorBidi" w:hAnsiTheme="majorBidi" w:cstheme="majorBidi"/>
          <w:sz w:val="24"/>
          <w:szCs w:val="24"/>
        </w:rPr>
        <w:t>s</w:t>
      </w:r>
      <w:r w:rsidRPr="00B94641">
        <w:rPr>
          <w:rFonts w:asciiTheme="majorBidi" w:hAnsiTheme="majorBidi" w:cstheme="majorBidi"/>
          <w:sz w:val="24"/>
          <w:szCs w:val="24"/>
        </w:rPr>
        <w:t xml:space="preserve"> to collect payments, monitor the </w:t>
      </w:r>
      <w:r w:rsidRPr="00B94641">
        <w:rPr>
          <w:rFonts w:asciiTheme="majorBidi" w:hAnsiTheme="majorBidi" w:cstheme="majorBidi"/>
          <w:sz w:val="24"/>
          <w:szCs w:val="24"/>
        </w:rPr>
        <w:lastRenderedPageBreak/>
        <w:t>collateral and</w:t>
      </w:r>
      <w:r w:rsidR="00B94641" w:rsidRPr="00B94641">
        <w:rPr>
          <w:rFonts w:asciiTheme="majorBidi" w:hAnsiTheme="majorBidi" w:cstheme="majorBidi"/>
          <w:sz w:val="24"/>
          <w:szCs w:val="24"/>
        </w:rPr>
        <w:t xml:space="preserve"> check the books</w:t>
      </w:r>
      <w:r w:rsidR="00227DE3" w:rsidRPr="00B94641">
        <w:rPr>
          <w:rFonts w:asciiTheme="majorBidi" w:hAnsiTheme="majorBidi" w:cstheme="majorBidi"/>
          <w:sz w:val="24"/>
          <w:szCs w:val="24"/>
        </w:rPr>
        <w:t xml:space="preserve">. </w:t>
      </w:r>
      <w:r w:rsidR="00B94641" w:rsidRPr="00B94641">
        <w:rPr>
          <w:rFonts w:asciiTheme="majorBidi" w:hAnsiTheme="majorBidi" w:cstheme="majorBidi"/>
          <w:sz w:val="24"/>
          <w:szCs w:val="24"/>
        </w:rPr>
        <w:t>In many cases the client or the borrower has no idea that his loan has been sold</w:t>
      </w:r>
      <w:r w:rsidR="00B94641" w:rsidRPr="00B94641">
        <w:rPr>
          <w:rFonts w:asciiTheme="majorBidi" w:hAnsiTheme="majorBidi" w:cstheme="majorBidi"/>
          <w:sz w:val="24"/>
          <w:szCs w:val="24"/>
          <w:lang w:bidi="ar-JO"/>
        </w:rPr>
        <w:t xml:space="preserve">. </w:t>
      </w:r>
      <w:r w:rsidR="00B94641" w:rsidRPr="00B94641">
        <w:rPr>
          <w:rFonts w:asciiTheme="majorBidi" w:hAnsiTheme="majorBidi" w:cstheme="majorBidi"/>
          <w:sz w:val="24"/>
          <w:szCs w:val="24"/>
        </w:rPr>
        <w:t>Another major type of loan sales, but less common than the prior type is the transfers of the bank- borrower relationship to new buyer, giving the buyer some rights to have some action against the borrower.</w:t>
      </w:r>
    </w:p>
    <w:p w:rsidR="0067758D" w:rsidRDefault="0067758D" w:rsidP="003B4DA4">
      <w:pPr>
        <w:autoSpaceDE w:val="0"/>
        <w:autoSpaceDN w:val="0"/>
        <w:adjustRightInd w:val="0"/>
        <w:spacing w:after="0" w:line="360" w:lineRule="auto"/>
        <w:jc w:val="both"/>
        <w:rPr>
          <w:rFonts w:asciiTheme="majorBidi" w:hAnsiTheme="majorBidi" w:cstheme="majorBidi"/>
          <w:sz w:val="24"/>
          <w:szCs w:val="24"/>
        </w:rPr>
      </w:pPr>
      <w:r w:rsidRPr="004C1ACC">
        <w:rPr>
          <w:rFonts w:asciiTheme="majorBidi" w:hAnsiTheme="majorBidi" w:cstheme="majorBidi"/>
          <w:sz w:val="24"/>
          <w:szCs w:val="24"/>
        </w:rPr>
        <w:t>Loan sales have existed for many years already and their use has been increasingly recognized as a</w:t>
      </w:r>
      <w:r w:rsidR="00D67F79" w:rsidRPr="004C1ACC">
        <w:rPr>
          <w:rFonts w:asciiTheme="majorBidi" w:hAnsiTheme="majorBidi" w:cstheme="majorBidi"/>
          <w:sz w:val="24"/>
          <w:szCs w:val="24"/>
        </w:rPr>
        <w:t>n</w:t>
      </w:r>
      <w:r w:rsidR="00721BF0">
        <w:rPr>
          <w:rFonts w:asciiTheme="majorBidi" w:hAnsiTheme="majorBidi" w:cstheme="majorBidi"/>
          <w:sz w:val="24"/>
          <w:szCs w:val="24"/>
        </w:rPr>
        <w:t xml:space="preserve"> </w:t>
      </w:r>
      <w:r w:rsidR="009232B0" w:rsidRPr="004C1ACC">
        <w:rPr>
          <w:rFonts w:asciiTheme="majorBidi" w:hAnsiTheme="majorBidi" w:cstheme="majorBidi"/>
          <w:sz w:val="24"/>
          <w:szCs w:val="24"/>
        </w:rPr>
        <w:t xml:space="preserve">important </w:t>
      </w:r>
      <w:r w:rsidRPr="004C1ACC">
        <w:rPr>
          <w:rFonts w:asciiTheme="majorBidi" w:hAnsiTheme="majorBidi" w:cstheme="majorBidi"/>
          <w:sz w:val="24"/>
          <w:szCs w:val="24"/>
        </w:rPr>
        <w:t>tool in a bank manager’s portfolio of credit risk management techniques, especially when</w:t>
      </w:r>
      <w:r w:rsidR="002802C7">
        <w:rPr>
          <w:rFonts w:asciiTheme="majorBidi" w:hAnsiTheme="majorBidi" w:cstheme="majorBidi"/>
          <w:sz w:val="24"/>
          <w:szCs w:val="24"/>
        </w:rPr>
        <w:t xml:space="preserve"> the secondary market for mortgage loan (loan sale) allows originator of a mortgage to easily sell them. It is also </w:t>
      </w:r>
      <w:r w:rsidR="008135C1">
        <w:rPr>
          <w:rFonts w:asciiTheme="majorBidi" w:hAnsiTheme="majorBidi" w:cstheme="majorBidi"/>
          <w:sz w:val="24"/>
          <w:szCs w:val="24"/>
        </w:rPr>
        <w:t>enabling</w:t>
      </w:r>
      <w:r w:rsidR="002802C7">
        <w:rPr>
          <w:rFonts w:asciiTheme="majorBidi" w:hAnsiTheme="majorBidi" w:cstheme="majorBidi"/>
          <w:sz w:val="24"/>
          <w:szCs w:val="24"/>
        </w:rPr>
        <w:t xml:space="preserve"> financial institutions to invest (buy) in mortgage</w:t>
      </w:r>
      <w:r w:rsidRPr="004C1ACC">
        <w:rPr>
          <w:rFonts w:asciiTheme="majorBidi" w:hAnsiTheme="majorBidi" w:cstheme="majorBidi"/>
          <w:sz w:val="24"/>
          <w:szCs w:val="24"/>
        </w:rPr>
        <w:t xml:space="preserve"> </w:t>
      </w:r>
      <w:r w:rsidR="002802C7">
        <w:rPr>
          <w:rFonts w:asciiTheme="majorBidi" w:hAnsiTheme="majorBidi" w:cstheme="majorBidi"/>
          <w:sz w:val="24"/>
          <w:szCs w:val="24"/>
        </w:rPr>
        <w:t>without necessary originating loans.</w:t>
      </w:r>
      <w:r w:rsidR="009232B0" w:rsidRPr="004C1ACC">
        <w:rPr>
          <w:rFonts w:asciiTheme="majorBidi" w:hAnsiTheme="majorBidi" w:cstheme="majorBidi"/>
          <w:sz w:val="24"/>
          <w:szCs w:val="24"/>
        </w:rPr>
        <w:t xml:space="preserve"> In addition, it allows buyer to liquidate them prior to maturities.</w:t>
      </w:r>
    </w:p>
    <w:p w:rsidR="00FA7402" w:rsidRPr="0023461D" w:rsidRDefault="0023461D" w:rsidP="003B4DA4">
      <w:pPr>
        <w:shd w:val="clear" w:color="auto" w:fill="FFFFFF"/>
        <w:spacing w:after="0" w:line="360" w:lineRule="auto"/>
        <w:jc w:val="both"/>
        <w:rPr>
          <w:rFonts w:asciiTheme="majorBidi" w:hAnsiTheme="majorBidi" w:cstheme="majorBidi"/>
          <w:b/>
          <w:sz w:val="24"/>
          <w:szCs w:val="24"/>
        </w:rPr>
      </w:pPr>
      <w:r>
        <w:rPr>
          <w:rFonts w:asciiTheme="majorBidi" w:hAnsiTheme="majorBidi" w:cstheme="majorBidi"/>
          <w:b/>
          <w:sz w:val="24"/>
          <w:szCs w:val="24"/>
        </w:rPr>
        <w:t>3)</w:t>
      </w:r>
      <w:r w:rsidR="003B4DA4">
        <w:rPr>
          <w:rFonts w:asciiTheme="majorBidi" w:hAnsiTheme="majorBidi" w:cstheme="majorBidi"/>
          <w:b/>
          <w:sz w:val="24"/>
          <w:szCs w:val="24"/>
        </w:rPr>
        <w:t xml:space="preserve"> </w:t>
      </w:r>
      <w:r>
        <w:rPr>
          <w:rFonts w:asciiTheme="majorBidi" w:hAnsiTheme="majorBidi" w:cstheme="majorBidi"/>
          <w:b/>
          <w:sz w:val="24"/>
          <w:szCs w:val="24"/>
        </w:rPr>
        <w:t>Credit Derivatives</w:t>
      </w:r>
    </w:p>
    <w:p w:rsidR="005C55D6" w:rsidRDefault="000809D6" w:rsidP="003B4DA4">
      <w:pPr>
        <w:shd w:val="clear" w:color="auto" w:fill="FFFFFF"/>
        <w:spacing w:after="0" w:line="360" w:lineRule="auto"/>
        <w:contextualSpacing/>
        <w:jc w:val="both"/>
        <w:rPr>
          <w:rFonts w:asciiTheme="majorBidi" w:hAnsiTheme="majorBidi" w:cstheme="majorBidi"/>
          <w:sz w:val="24"/>
          <w:szCs w:val="24"/>
        </w:rPr>
      </w:pPr>
      <w:r w:rsidRPr="00DA258D">
        <w:rPr>
          <w:rFonts w:asciiTheme="majorBidi" w:hAnsiTheme="majorBidi" w:cstheme="majorBidi"/>
          <w:sz w:val="24"/>
          <w:szCs w:val="24"/>
        </w:rPr>
        <w:t>The continuous development of credit risk transfer techniques brought credit derivatives</w:t>
      </w:r>
      <w:r w:rsidR="00A30977" w:rsidRPr="00DA258D">
        <w:rPr>
          <w:rFonts w:asciiTheme="majorBidi" w:hAnsiTheme="majorBidi" w:cstheme="majorBidi"/>
          <w:sz w:val="24"/>
          <w:szCs w:val="24"/>
        </w:rPr>
        <w:t xml:space="preserve"> to existence many</w:t>
      </w:r>
      <w:r w:rsidRPr="00DA258D">
        <w:rPr>
          <w:rFonts w:asciiTheme="majorBidi" w:hAnsiTheme="majorBidi" w:cstheme="majorBidi"/>
          <w:sz w:val="24"/>
          <w:szCs w:val="24"/>
        </w:rPr>
        <w:t xml:space="preserve"> years ago.</w:t>
      </w:r>
      <w:r w:rsidR="002802C7">
        <w:rPr>
          <w:rFonts w:asciiTheme="majorBidi" w:hAnsiTheme="majorBidi" w:cstheme="majorBidi"/>
          <w:sz w:val="24"/>
          <w:szCs w:val="24"/>
        </w:rPr>
        <w:t xml:space="preserve"> </w:t>
      </w:r>
      <w:r w:rsidR="0073748B" w:rsidRPr="00DA258D">
        <w:rPr>
          <w:rFonts w:asciiTheme="majorBidi" w:hAnsiTheme="majorBidi" w:cstheme="majorBidi"/>
          <w:sz w:val="24"/>
          <w:szCs w:val="24"/>
        </w:rPr>
        <w:t>Despite</w:t>
      </w:r>
      <w:r w:rsidR="003F473B" w:rsidRPr="00DA258D">
        <w:rPr>
          <w:rFonts w:asciiTheme="majorBidi" w:hAnsiTheme="majorBidi" w:cstheme="majorBidi"/>
          <w:sz w:val="24"/>
          <w:szCs w:val="24"/>
        </w:rPr>
        <w:t xml:space="preserve"> credit derivatives are relatively ne</w:t>
      </w:r>
      <w:r w:rsidR="00646BF9" w:rsidRPr="00DA258D">
        <w:rPr>
          <w:rFonts w:asciiTheme="majorBidi" w:hAnsiTheme="majorBidi" w:cstheme="majorBidi"/>
          <w:sz w:val="24"/>
          <w:szCs w:val="24"/>
        </w:rPr>
        <w:t>w compared to other derivatives (</w:t>
      </w:r>
      <w:r w:rsidR="003F473B" w:rsidRPr="00DA258D">
        <w:rPr>
          <w:rFonts w:asciiTheme="majorBidi" w:hAnsiTheme="majorBidi" w:cstheme="majorBidi"/>
          <w:sz w:val="24"/>
          <w:szCs w:val="24"/>
        </w:rPr>
        <w:t>having been develop</w:t>
      </w:r>
      <w:r w:rsidR="00646BF9" w:rsidRPr="00DA258D">
        <w:rPr>
          <w:rFonts w:asciiTheme="majorBidi" w:hAnsiTheme="majorBidi" w:cstheme="majorBidi"/>
          <w:sz w:val="24"/>
          <w:szCs w:val="24"/>
        </w:rPr>
        <w:t xml:space="preserve">ed as recently as the mid-1990s) </w:t>
      </w:r>
      <w:r w:rsidR="003F473B" w:rsidRPr="00DA258D">
        <w:rPr>
          <w:rFonts w:asciiTheme="majorBidi" w:hAnsiTheme="majorBidi" w:cstheme="majorBidi"/>
          <w:sz w:val="24"/>
          <w:szCs w:val="24"/>
        </w:rPr>
        <w:t>participation is already wi</w:t>
      </w:r>
      <w:r w:rsidR="0090781A">
        <w:rPr>
          <w:rFonts w:asciiTheme="majorBidi" w:hAnsiTheme="majorBidi" w:cstheme="majorBidi"/>
          <w:sz w:val="24"/>
          <w:szCs w:val="24"/>
        </w:rPr>
        <w:t>despread in higher</w:t>
      </w:r>
      <w:r w:rsidR="00E94C45">
        <w:rPr>
          <w:rFonts w:asciiTheme="majorBidi" w:hAnsiTheme="majorBidi" w:cstheme="majorBidi"/>
          <w:sz w:val="24"/>
          <w:szCs w:val="24"/>
        </w:rPr>
        <w:t xml:space="preserve"> growth rates.</w:t>
      </w:r>
    </w:p>
    <w:p w:rsidR="00B73838" w:rsidRPr="006556DE" w:rsidRDefault="00646BF9" w:rsidP="005A63D1">
      <w:pPr>
        <w:shd w:val="clear" w:color="auto" w:fill="FFFFFF"/>
        <w:spacing w:line="360" w:lineRule="auto"/>
        <w:contextualSpacing/>
        <w:jc w:val="both"/>
        <w:rPr>
          <w:rFonts w:asciiTheme="majorBidi" w:hAnsiTheme="majorBidi" w:cstheme="majorBidi"/>
          <w:sz w:val="24"/>
          <w:szCs w:val="24"/>
        </w:rPr>
      </w:pPr>
      <w:r w:rsidRPr="006556DE">
        <w:rPr>
          <w:rFonts w:asciiTheme="majorBidi" w:hAnsiTheme="majorBidi" w:cstheme="majorBidi"/>
          <w:sz w:val="24"/>
          <w:szCs w:val="24"/>
        </w:rPr>
        <w:t>A derivative instrument can</w:t>
      </w:r>
      <w:r w:rsidR="00B52413" w:rsidRPr="006556DE">
        <w:rPr>
          <w:rFonts w:asciiTheme="majorBidi" w:hAnsiTheme="majorBidi" w:cstheme="majorBidi"/>
          <w:sz w:val="24"/>
          <w:szCs w:val="24"/>
        </w:rPr>
        <w:t xml:space="preserve"> be</w:t>
      </w:r>
      <w:r w:rsidRPr="006556DE">
        <w:rPr>
          <w:rFonts w:asciiTheme="majorBidi" w:hAnsiTheme="majorBidi" w:cstheme="majorBidi"/>
          <w:sz w:val="24"/>
          <w:szCs w:val="24"/>
        </w:rPr>
        <w:t xml:space="preserve"> defined as a financial instrument which derives its value of some other fi</w:t>
      </w:r>
      <w:r w:rsidR="00DB511F" w:rsidRPr="006556DE">
        <w:rPr>
          <w:rFonts w:asciiTheme="majorBidi" w:hAnsiTheme="majorBidi" w:cstheme="majorBidi"/>
          <w:sz w:val="24"/>
          <w:szCs w:val="24"/>
        </w:rPr>
        <w:t xml:space="preserve">nancial instrument or variable. </w:t>
      </w:r>
      <w:r w:rsidR="0073748B" w:rsidRPr="006556DE">
        <w:rPr>
          <w:rFonts w:asciiTheme="majorBidi" w:hAnsiTheme="majorBidi" w:cstheme="majorBidi"/>
          <w:sz w:val="24"/>
          <w:szCs w:val="24"/>
        </w:rPr>
        <w:t>Credit derivatives are “bilateral (having two sides) financial contracts that transfer credit default risk from one counterparty to another</w:t>
      </w:r>
      <w:r w:rsidR="00526F1E" w:rsidRPr="006556DE">
        <w:rPr>
          <w:rFonts w:asciiTheme="majorBidi" w:hAnsiTheme="majorBidi" w:cstheme="majorBidi"/>
          <w:sz w:val="24"/>
          <w:szCs w:val="24"/>
        </w:rPr>
        <w:t>”</w:t>
      </w:r>
      <w:r w:rsidR="00F25FCC" w:rsidRPr="006556DE">
        <w:rPr>
          <w:rFonts w:asciiTheme="majorBidi" w:hAnsiTheme="majorBidi" w:cstheme="majorBidi"/>
          <w:sz w:val="24"/>
          <w:szCs w:val="24"/>
        </w:rPr>
        <w:t xml:space="preserve"> (Choudhry, 2004</w:t>
      </w:r>
      <w:r w:rsidR="0073748B" w:rsidRPr="006556DE">
        <w:rPr>
          <w:rFonts w:asciiTheme="majorBidi" w:hAnsiTheme="majorBidi" w:cstheme="majorBidi"/>
          <w:sz w:val="24"/>
          <w:szCs w:val="24"/>
        </w:rPr>
        <w:t>).</w:t>
      </w:r>
      <w:r w:rsidR="00E77283" w:rsidRPr="006556DE">
        <w:rPr>
          <w:rFonts w:asciiTheme="majorBidi" w:hAnsiTheme="majorBidi" w:cstheme="majorBidi"/>
          <w:sz w:val="24"/>
          <w:szCs w:val="24"/>
        </w:rPr>
        <w:t xml:space="preserve"> </w:t>
      </w:r>
      <w:r w:rsidR="00A30977" w:rsidRPr="006556DE">
        <w:rPr>
          <w:rFonts w:asciiTheme="majorBidi" w:hAnsiTheme="majorBidi" w:cstheme="majorBidi"/>
          <w:sz w:val="24"/>
          <w:szCs w:val="24"/>
        </w:rPr>
        <w:t xml:space="preserve">Its value is derived from the value of an underlying price, rate, index, or financial instrument. </w:t>
      </w:r>
    </w:p>
    <w:p w:rsidR="00403220" w:rsidRPr="0021691F" w:rsidRDefault="00603F59" w:rsidP="00A9451E">
      <w:pPr>
        <w:spacing w:line="360" w:lineRule="auto"/>
        <w:jc w:val="both"/>
        <w:rPr>
          <w:rFonts w:asciiTheme="majorBidi" w:hAnsiTheme="majorBidi" w:cstheme="majorBidi"/>
          <w:sz w:val="24"/>
          <w:szCs w:val="24"/>
          <w:lang w:bidi="ar-JO"/>
        </w:rPr>
      </w:pPr>
      <w:r w:rsidRPr="006556DE">
        <w:rPr>
          <w:rFonts w:asciiTheme="majorBidi" w:hAnsiTheme="majorBidi" w:cstheme="majorBidi"/>
          <w:sz w:val="24"/>
          <w:szCs w:val="24"/>
        </w:rPr>
        <w:t>The increasing demand for hedging and credit risk diversification by commercial banks and other financial institutions, credit derivatives arose in response with increasing pace</w:t>
      </w:r>
      <w:r w:rsidR="0021691F" w:rsidRPr="006556DE">
        <w:rPr>
          <w:rFonts w:asciiTheme="majorBidi" w:hAnsiTheme="majorBidi" w:cstheme="majorBidi"/>
          <w:sz w:val="24"/>
          <w:szCs w:val="24"/>
        </w:rPr>
        <w:t xml:space="preserve">. The result of </w:t>
      </w:r>
      <w:r w:rsidR="00E210E3" w:rsidRPr="006556DE">
        <w:rPr>
          <w:rFonts w:asciiTheme="majorBidi" w:hAnsiTheme="majorBidi" w:cstheme="majorBidi"/>
          <w:sz w:val="24"/>
          <w:szCs w:val="24"/>
        </w:rPr>
        <w:t>this</w:t>
      </w:r>
      <w:r w:rsidR="0021691F" w:rsidRPr="006556DE">
        <w:rPr>
          <w:rFonts w:asciiTheme="majorBidi" w:hAnsiTheme="majorBidi" w:cstheme="majorBidi"/>
          <w:sz w:val="24"/>
          <w:szCs w:val="24"/>
        </w:rPr>
        <w:t xml:space="preserve"> is that the form of credit has changed from illiquid risk that was not considered suitable for trading to a risk that can be traded much the same as others.</w:t>
      </w:r>
      <w:r w:rsidR="0021691F" w:rsidRPr="006556DE">
        <w:rPr>
          <w:rFonts w:asciiTheme="majorBidi" w:hAnsiTheme="majorBidi" w:cstheme="majorBidi"/>
          <w:sz w:val="24"/>
          <w:szCs w:val="24"/>
          <w:lang w:bidi="ar-JO"/>
        </w:rPr>
        <w:t xml:space="preserve"> </w:t>
      </w:r>
      <w:r w:rsidR="00403220" w:rsidRPr="006556DE">
        <w:rPr>
          <w:rFonts w:asciiTheme="majorBidi" w:hAnsiTheme="majorBidi" w:cstheme="majorBidi"/>
          <w:sz w:val="24"/>
          <w:szCs w:val="24"/>
        </w:rPr>
        <w:t>In other words credit derivatives can help banks to manage the credit risk by insuring against adverse movements in the credit quality of the</w:t>
      </w:r>
      <w:r w:rsidR="00403220" w:rsidRPr="00DA258D">
        <w:rPr>
          <w:rFonts w:asciiTheme="majorBidi" w:hAnsiTheme="majorBidi" w:cstheme="majorBidi"/>
          <w:sz w:val="24"/>
          <w:szCs w:val="24"/>
        </w:rPr>
        <w:t xml:space="preserve"> borrowers. The major types of credit derivatives are credit default swaps, credit </w:t>
      </w:r>
      <w:r w:rsidR="00684AF0" w:rsidRPr="00DA258D">
        <w:rPr>
          <w:rFonts w:asciiTheme="majorBidi" w:hAnsiTheme="majorBidi" w:cstheme="majorBidi"/>
          <w:sz w:val="24"/>
          <w:szCs w:val="24"/>
        </w:rPr>
        <w:t>options and credit-linked notes</w:t>
      </w:r>
      <w:r w:rsidR="006E74E0">
        <w:rPr>
          <w:rFonts w:asciiTheme="majorBidi" w:hAnsiTheme="majorBidi" w:cstheme="majorBidi"/>
          <w:sz w:val="24"/>
          <w:szCs w:val="24"/>
          <w:lang w:bidi="ar-JO"/>
        </w:rPr>
        <w:t>.</w:t>
      </w:r>
    </w:p>
    <w:p w:rsidR="00684AF0" w:rsidRPr="00DA258D" w:rsidRDefault="00684AF0" w:rsidP="005A63D1">
      <w:pPr>
        <w:pStyle w:val="Default"/>
        <w:spacing w:line="360" w:lineRule="auto"/>
        <w:jc w:val="both"/>
        <w:rPr>
          <w:rFonts w:asciiTheme="majorBidi" w:hAnsiTheme="majorBidi" w:cstheme="majorBidi"/>
        </w:rPr>
      </w:pPr>
      <w:r w:rsidRPr="00DA258D">
        <w:rPr>
          <w:rFonts w:asciiTheme="majorBidi" w:hAnsiTheme="majorBidi" w:cstheme="majorBidi"/>
        </w:rPr>
        <w:t xml:space="preserve">To conclude, Risk-taking is an </w:t>
      </w:r>
      <w:r w:rsidR="0021691F">
        <w:rPr>
          <w:rFonts w:asciiTheme="majorBidi" w:hAnsiTheme="majorBidi" w:cstheme="majorBidi"/>
        </w:rPr>
        <w:t xml:space="preserve">inherent element of banking and cannot be completely avoided. </w:t>
      </w:r>
      <w:r w:rsidRPr="00DA258D">
        <w:rPr>
          <w:rFonts w:asciiTheme="majorBidi" w:hAnsiTheme="majorBidi" w:cstheme="majorBidi"/>
        </w:rPr>
        <w:t xml:space="preserve"> </w:t>
      </w:r>
      <w:r w:rsidR="0021691F">
        <w:rPr>
          <w:rFonts w:asciiTheme="majorBidi" w:hAnsiTheme="majorBidi" w:cstheme="majorBidi"/>
        </w:rPr>
        <w:t>A</w:t>
      </w:r>
      <w:r w:rsidR="002A7B51" w:rsidRPr="00DA258D">
        <w:rPr>
          <w:rFonts w:asciiTheme="majorBidi" w:hAnsiTheme="majorBidi" w:cstheme="majorBidi"/>
        </w:rPr>
        <w:t>ctually</w:t>
      </w:r>
      <w:r w:rsidRPr="00DA258D">
        <w:rPr>
          <w:rFonts w:asciiTheme="majorBidi" w:hAnsiTheme="majorBidi" w:cstheme="majorBidi"/>
        </w:rPr>
        <w:t xml:space="preserve">, profits are in part the </w:t>
      </w:r>
      <w:r w:rsidR="0021691F">
        <w:rPr>
          <w:rFonts w:asciiTheme="majorBidi" w:hAnsiTheme="majorBidi" w:cstheme="majorBidi"/>
        </w:rPr>
        <w:t xml:space="preserve">payoff </w:t>
      </w:r>
      <w:r w:rsidRPr="00DA258D">
        <w:rPr>
          <w:rFonts w:asciiTheme="majorBidi" w:hAnsiTheme="majorBidi" w:cstheme="majorBidi"/>
        </w:rPr>
        <w:t>for successful</w:t>
      </w:r>
      <w:r w:rsidR="0021691F">
        <w:rPr>
          <w:rFonts w:asciiTheme="majorBidi" w:hAnsiTheme="majorBidi" w:cstheme="majorBidi"/>
        </w:rPr>
        <w:t xml:space="preserve"> and effective </w:t>
      </w:r>
      <w:r w:rsidRPr="00DA258D">
        <w:rPr>
          <w:rFonts w:asciiTheme="majorBidi" w:hAnsiTheme="majorBidi" w:cstheme="majorBidi"/>
        </w:rPr>
        <w:t>risk taki</w:t>
      </w:r>
      <w:r w:rsidR="0021691F">
        <w:rPr>
          <w:rFonts w:asciiTheme="majorBidi" w:hAnsiTheme="majorBidi" w:cstheme="majorBidi"/>
        </w:rPr>
        <w:t xml:space="preserve">ng in </w:t>
      </w:r>
      <w:r w:rsidR="0021691F">
        <w:rPr>
          <w:rFonts w:asciiTheme="majorBidi" w:hAnsiTheme="majorBidi" w:cstheme="majorBidi"/>
        </w:rPr>
        <w:lastRenderedPageBreak/>
        <w:t>banks</w:t>
      </w:r>
      <w:r w:rsidRPr="00DA258D">
        <w:rPr>
          <w:rFonts w:asciiTheme="majorBidi" w:hAnsiTheme="majorBidi" w:cstheme="majorBidi"/>
        </w:rPr>
        <w:t xml:space="preserve">. </w:t>
      </w:r>
      <w:r w:rsidR="008852B5" w:rsidRPr="00DA258D">
        <w:rPr>
          <w:rFonts w:asciiTheme="majorBidi" w:hAnsiTheme="majorBidi" w:cstheme="majorBidi"/>
        </w:rPr>
        <w:t>Also it should be mentioned that the series of financial crisis has resulted in discovering and developing new techniques for mitigation of credit ri</w:t>
      </w:r>
      <w:r w:rsidR="00D67A71" w:rsidRPr="00DA258D">
        <w:rPr>
          <w:rFonts w:asciiTheme="majorBidi" w:hAnsiTheme="majorBidi" w:cstheme="majorBidi"/>
        </w:rPr>
        <w:t>sk.</w:t>
      </w:r>
      <w:r w:rsidR="008852B5" w:rsidRPr="00DA258D">
        <w:rPr>
          <w:rFonts w:asciiTheme="majorBidi" w:hAnsiTheme="majorBidi" w:cstheme="majorBidi"/>
        </w:rPr>
        <w:t xml:space="preserve"> The reliability of much of these techniques like securitization (collateralized debt obligations) and some credit derivatives (asset put options, total- return swaps, credit-linked notes) used for credit risk assessment and </w:t>
      </w:r>
      <w:r w:rsidR="00D67A71" w:rsidRPr="00DA258D">
        <w:rPr>
          <w:rFonts w:asciiTheme="majorBidi" w:hAnsiTheme="majorBidi" w:cstheme="majorBidi"/>
        </w:rPr>
        <w:t xml:space="preserve">transfer have become suspicious and made the financial word more complex and even not transparent </w:t>
      </w:r>
      <w:r w:rsidR="008852B5" w:rsidRPr="00DA258D">
        <w:rPr>
          <w:rFonts w:asciiTheme="majorBidi" w:hAnsiTheme="majorBidi" w:cstheme="majorBidi"/>
        </w:rPr>
        <w:t>(</w:t>
      </w:r>
      <w:r w:rsidR="002361B2" w:rsidRPr="00DA258D">
        <w:rPr>
          <w:rFonts w:asciiTheme="majorBidi" w:hAnsiTheme="majorBidi" w:cstheme="majorBidi"/>
        </w:rPr>
        <w:t>Angkinand</w:t>
      </w:r>
      <w:r w:rsidR="00D67A71" w:rsidRPr="00DA258D">
        <w:rPr>
          <w:rFonts w:asciiTheme="majorBidi" w:hAnsiTheme="majorBidi" w:cstheme="majorBidi"/>
        </w:rPr>
        <w:t xml:space="preserve"> et al., </w:t>
      </w:r>
      <w:r w:rsidR="00F25FCC">
        <w:rPr>
          <w:rFonts w:asciiTheme="majorBidi" w:hAnsiTheme="majorBidi" w:cstheme="majorBidi"/>
        </w:rPr>
        <w:t>2010</w:t>
      </w:r>
      <w:r w:rsidR="00D67A71" w:rsidRPr="00DA258D">
        <w:rPr>
          <w:rFonts w:asciiTheme="majorBidi" w:hAnsiTheme="majorBidi" w:cstheme="majorBidi"/>
        </w:rPr>
        <w:t>)</w:t>
      </w:r>
      <w:r w:rsidR="00D36BE3">
        <w:rPr>
          <w:rFonts w:asciiTheme="majorBidi" w:hAnsiTheme="majorBidi" w:cstheme="majorBidi"/>
        </w:rPr>
        <w:t>.</w:t>
      </w:r>
    </w:p>
    <w:p w:rsidR="00733735" w:rsidRPr="00DA258D" w:rsidRDefault="00A03FA5" w:rsidP="00A9451E">
      <w:pPr>
        <w:pStyle w:val="Default"/>
        <w:spacing w:line="360" w:lineRule="auto"/>
        <w:jc w:val="both"/>
        <w:rPr>
          <w:rFonts w:asciiTheme="majorBidi" w:hAnsiTheme="majorBidi" w:cstheme="majorBidi"/>
        </w:rPr>
      </w:pPr>
      <w:r w:rsidRPr="00DA258D">
        <w:rPr>
          <w:rFonts w:asciiTheme="majorBidi" w:hAnsiTheme="majorBidi" w:cstheme="majorBidi"/>
        </w:rPr>
        <w:t xml:space="preserve"> C</w:t>
      </w:r>
      <w:r w:rsidR="002361B2" w:rsidRPr="00DA258D">
        <w:rPr>
          <w:rFonts w:asciiTheme="majorBidi" w:hAnsiTheme="majorBidi" w:cstheme="majorBidi"/>
        </w:rPr>
        <w:t>redit risk does not tend to be systematic in the banking system.</w:t>
      </w:r>
      <w:r w:rsidRPr="00DA258D">
        <w:rPr>
          <w:rFonts w:asciiTheme="majorBidi" w:hAnsiTheme="majorBidi" w:cstheme="majorBidi"/>
        </w:rPr>
        <w:t xml:space="preserve"> The failure of one bank will drive other banks to the</w:t>
      </w:r>
      <w:r w:rsidR="00D2509E">
        <w:rPr>
          <w:rFonts w:asciiTheme="majorBidi" w:hAnsiTheme="majorBidi" w:cstheme="majorBidi"/>
        </w:rPr>
        <w:t xml:space="preserve"> end</w:t>
      </w:r>
      <w:r w:rsidRPr="00DA258D">
        <w:rPr>
          <w:rFonts w:asciiTheme="majorBidi" w:hAnsiTheme="majorBidi" w:cstheme="majorBidi"/>
        </w:rPr>
        <w:t xml:space="preserve">, through reputation effects and </w:t>
      </w:r>
      <w:r w:rsidR="0023461D">
        <w:rPr>
          <w:rFonts w:asciiTheme="majorBidi" w:hAnsiTheme="majorBidi" w:cstheme="majorBidi"/>
        </w:rPr>
        <w:t>connection with each other</w:t>
      </w:r>
      <w:r w:rsidRPr="00DA258D">
        <w:rPr>
          <w:rFonts w:asciiTheme="majorBidi" w:hAnsiTheme="majorBidi" w:cstheme="majorBidi"/>
        </w:rPr>
        <w:t xml:space="preserve">. </w:t>
      </w:r>
    </w:p>
    <w:p w:rsidR="000C316D" w:rsidRPr="007E1362" w:rsidRDefault="00FB593F" w:rsidP="007E1362">
      <w:pPr>
        <w:spacing w:line="360" w:lineRule="auto"/>
        <w:jc w:val="both"/>
        <w:rPr>
          <w:rFonts w:asciiTheme="majorBidi" w:hAnsiTheme="majorBidi" w:cstheme="majorBidi"/>
          <w:sz w:val="24"/>
          <w:szCs w:val="24"/>
        </w:rPr>
      </w:pPr>
      <w:r>
        <w:rPr>
          <w:rFonts w:asciiTheme="majorBidi" w:hAnsiTheme="majorBidi" w:cstheme="majorBidi"/>
          <w:sz w:val="24"/>
          <w:szCs w:val="24"/>
        </w:rPr>
        <w:t>To promote the achievement of bank's strategic goals, banks must adopt and implement strong and healthy risk mitigation measures and techniques. In other words, banks management should develop</w:t>
      </w:r>
      <w:r w:rsidR="00A9451E">
        <w:rPr>
          <w:rFonts w:asciiTheme="majorBidi" w:hAnsiTheme="majorBidi" w:cstheme="majorBidi"/>
          <w:sz w:val="24"/>
          <w:szCs w:val="24"/>
        </w:rPr>
        <w:t xml:space="preserve"> and</w:t>
      </w:r>
      <w:r>
        <w:rPr>
          <w:rFonts w:asciiTheme="majorBidi" w:hAnsiTheme="majorBidi" w:cstheme="majorBidi"/>
          <w:sz w:val="24"/>
          <w:szCs w:val="24"/>
        </w:rPr>
        <w:t xml:space="preserve"> implement an effective credit risk management strategy, which is fundamental for long-term success.</w:t>
      </w:r>
    </w:p>
    <w:p w:rsidR="00497E1B" w:rsidRDefault="00497E1B" w:rsidP="00C30EE8">
      <w:pPr>
        <w:spacing w:line="360" w:lineRule="auto"/>
        <w:jc w:val="center"/>
        <w:rPr>
          <w:rFonts w:asciiTheme="majorBidi" w:hAnsiTheme="majorBidi" w:cstheme="majorBidi"/>
          <w:b/>
          <w:bCs/>
          <w:sz w:val="24"/>
          <w:szCs w:val="24"/>
          <w:lang w:bidi="ar-JO"/>
        </w:rPr>
      </w:pPr>
    </w:p>
    <w:p w:rsidR="00A9451E" w:rsidRDefault="00A9451E" w:rsidP="00C30EE8">
      <w:pPr>
        <w:spacing w:line="360" w:lineRule="auto"/>
        <w:jc w:val="center"/>
        <w:rPr>
          <w:rFonts w:asciiTheme="majorBidi" w:hAnsiTheme="majorBidi" w:cstheme="majorBidi"/>
          <w:b/>
          <w:bCs/>
          <w:sz w:val="24"/>
          <w:szCs w:val="24"/>
          <w:lang w:bidi="ar-JO"/>
        </w:rPr>
      </w:pPr>
    </w:p>
    <w:p w:rsidR="00A9451E" w:rsidRDefault="00A9451E" w:rsidP="00C30EE8">
      <w:pPr>
        <w:spacing w:line="360" w:lineRule="auto"/>
        <w:jc w:val="center"/>
        <w:rPr>
          <w:rFonts w:asciiTheme="majorBidi" w:hAnsiTheme="majorBidi" w:cstheme="majorBidi"/>
          <w:b/>
          <w:bCs/>
          <w:sz w:val="24"/>
          <w:szCs w:val="24"/>
          <w:lang w:bidi="ar-JO"/>
        </w:rPr>
      </w:pPr>
    </w:p>
    <w:p w:rsidR="00A9451E" w:rsidRDefault="00A9451E"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2446D6" w:rsidRDefault="002446D6" w:rsidP="00C30EE8">
      <w:pPr>
        <w:spacing w:line="360" w:lineRule="auto"/>
        <w:jc w:val="center"/>
        <w:rPr>
          <w:rFonts w:asciiTheme="majorBidi" w:hAnsiTheme="majorBidi" w:cstheme="majorBidi"/>
          <w:b/>
          <w:bCs/>
          <w:sz w:val="24"/>
          <w:szCs w:val="24"/>
          <w:lang w:bidi="ar-JO"/>
        </w:rPr>
      </w:pPr>
    </w:p>
    <w:p w:rsidR="00B26274" w:rsidRPr="00C30EE8" w:rsidRDefault="00766771" w:rsidP="00C30EE8">
      <w:pPr>
        <w:spacing w:line="360" w:lineRule="auto"/>
        <w:jc w:val="center"/>
        <w:rPr>
          <w:rFonts w:asciiTheme="majorBidi" w:hAnsiTheme="majorBidi" w:cstheme="majorBidi"/>
          <w:sz w:val="24"/>
          <w:szCs w:val="24"/>
        </w:rPr>
      </w:pPr>
      <w:r w:rsidRPr="00926FFF">
        <w:rPr>
          <w:rFonts w:asciiTheme="majorBidi" w:hAnsiTheme="majorBidi" w:cstheme="majorBidi"/>
          <w:b/>
          <w:bCs/>
          <w:sz w:val="24"/>
          <w:szCs w:val="24"/>
          <w:lang w:bidi="ar-JO"/>
        </w:rPr>
        <w:lastRenderedPageBreak/>
        <w:t>SECTION SIX</w:t>
      </w:r>
    </w:p>
    <w:p w:rsidR="00F11058" w:rsidRDefault="00766771" w:rsidP="008F617A">
      <w:pPr>
        <w:spacing w:line="360" w:lineRule="auto"/>
        <w:jc w:val="center"/>
        <w:rPr>
          <w:rFonts w:asciiTheme="majorBidi" w:hAnsiTheme="majorBidi" w:cstheme="majorBidi"/>
          <w:b/>
          <w:bCs/>
          <w:sz w:val="24"/>
          <w:szCs w:val="24"/>
          <w:lang w:bidi="ar-JO"/>
        </w:rPr>
      </w:pPr>
      <w:r w:rsidRPr="00926FFF">
        <w:rPr>
          <w:rFonts w:asciiTheme="majorBidi" w:hAnsiTheme="majorBidi" w:cstheme="majorBidi"/>
          <w:b/>
          <w:bCs/>
          <w:sz w:val="24"/>
          <w:szCs w:val="24"/>
          <w:lang w:bidi="ar-JO"/>
        </w:rPr>
        <w:t>CREDIT POLICY AND CONTROLS THAT GOVERN THE PERFORMANCE</w:t>
      </w:r>
      <w:r w:rsidR="006710F9" w:rsidRPr="00926FFF">
        <w:rPr>
          <w:rFonts w:asciiTheme="majorBidi" w:hAnsiTheme="majorBidi" w:cstheme="majorBidi"/>
          <w:b/>
          <w:bCs/>
          <w:sz w:val="24"/>
          <w:szCs w:val="24"/>
          <w:lang w:bidi="ar-JO"/>
        </w:rPr>
        <w:t xml:space="preserve"> OF PALESTINIAN BANKING SYSTEM</w:t>
      </w:r>
    </w:p>
    <w:p w:rsidR="008F617A" w:rsidRDefault="008F617A" w:rsidP="008F617A">
      <w:pPr>
        <w:spacing w:line="360" w:lineRule="auto"/>
        <w:jc w:val="center"/>
        <w:rPr>
          <w:rFonts w:asciiTheme="majorBidi" w:hAnsiTheme="majorBidi" w:cstheme="majorBidi"/>
          <w:b/>
          <w:bCs/>
          <w:sz w:val="24"/>
          <w:szCs w:val="24"/>
          <w:lang w:bidi="ar-JO"/>
        </w:rPr>
      </w:pPr>
    </w:p>
    <w:p w:rsidR="008F617A" w:rsidRPr="008F617A" w:rsidRDefault="008F617A" w:rsidP="008F617A">
      <w:pPr>
        <w:spacing w:line="360" w:lineRule="auto"/>
        <w:jc w:val="center"/>
        <w:rPr>
          <w:rFonts w:asciiTheme="majorBidi" w:hAnsiTheme="majorBidi" w:cstheme="majorBidi"/>
          <w:b/>
          <w:bCs/>
          <w:sz w:val="24"/>
          <w:szCs w:val="24"/>
          <w:lang w:bidi="ar-JO"/>
        </w:rPr>
      </w:pPr>
    </w:p>
    <w:p w:rsidR="003B4DA4" w:rsidRPr="0023054A" w:rsidRDefault="00926FFF" w:rsidP="003B4DA4">
      <w:pPr>
        <w:spacing w:after="0" w:line="360" w:lineRule="auto"/>
        <w:rPr>
          <w:rFonts w:asciiTheme="majorBidi" w:hAnsiTheme="majorBidi" w:cstheme="majorBidi"/>
          <w:b/>
          <w:bCs/>
          <w:sz w:val="24"/>
          <w:szCs w:val="24"/>
          <w:rtl/>
          <w:lang w:bidi="ar-JO"/>
        </w:rPr>
      </w:pPr>
      <w:r>
        <w:rPr>
          <w:rFonts w:asciiTheme="majorBidi" w:hAnsiTheme="majorBidi" w:cstheme="majorBidi"/>
          <w:b/>
          <w:bCs/>
          <w:sz w:val="24"/>
          <w:szCs w:val="24"/>
          <w:lang w:bidi="ar-JO"/>
        </w:rPr>
        <w:t>2.6 Credit Policy and Controls that G</w:t>
      </w:r>
      <w:r w:rsidR="00B26274" w:rsidRPr="0023054A">
        <w:rPr>
          <w:rFonts w:asciiTheme="majorBidi" w:hAnsiTheme="majorBidi" w:cstheme="majorBidi"/>
          <w:b/>
          <w:bCs/>
          <w:sz w:val="24"/>
          <w:szCs w:val="24"/>
          <w:lang w:bidi="ar-JO"/>
        </w:rPr>
        <w:t xml:space="preserve">overn </w:t>
      </w:r>
      <w:r>
        <w:rPr>
          <w:rFonts w:asciiTheme="majorBidi" w:hAnsiTheme="majorBidi" w:cstheme="majorBidi"/>
          <w:b/>
          <w:bCs/>
          <w:sz w:val="24"/>
          <w:szCs w:val="24"/>
          <w:lang w:bidi="ar-JO"/>
        </w:rPr>
        <w:t>the Performance of Palestinian Banking S</w:t>
      </w:r>
      <w:r w:rsidR="00B26274" w:rsidRPr="0023054A">
        <w:rPr>
          <w:rFonts w:asciiTheme="majorBidi" w:hAnsiTheme="majorBidi" w:cstheme="majorBidi"/>
          <w:b/>
          <w:bCs/>
          <w:sz w:val="24"/>
          <w:szCs w:val="24"/>
          <w:lang w:bidi="ar-JO"/>
        </w:rPr>
        <w:t>ystem</w:t>
      </w:r>
    </w:p>
    <w:p w:rsidR="00B26274" w:rsidRPr="00D126EB" w:rsidRDefault="00B26274" w:rsidP="003B4DA4">
      <w:pPr>
        <w:spacing w:after="0" w:line="360" w:lineRule="auto"/>
        <w:rPr>
          <w:rFonts w:asciiTheme="majorBidi" w:hAnsiTheme="majorBidi" w:cstheme="majorBidi"/>
          <w:b/>
          <w:bCs/>
          <w:sz w:val="28"/>
          <w:szCs w:val="28"/>
          <w:rtl/>
          <w:lang w:bidi="ar-JO"/>
        </w:rPr>
      </w:pPr>
      <w:r w:rsidRPr="0023054A">
        <w:rPr>
          <w:rFonts w:asciiTheme="majorBidi" w:hAnsiTheme="majorBidi" w:cstheme="majorBidi"/>
          <w:b/>
          <w:bCs/>
          <w:sz w:val="24"/>
          <w:szCs w:val="24"/>
          <w:lang w:bidi="ar-JO"/>
        </w:rPr>
        <w:t>2.6.1 Introduction</w:t>
      </w:r>
    </w:p>
    <w:p w:rsidR="00B24FA8" w:rsidRDefault="00B26274" w:rsidP="00006011">
      <w:pPr>
        <w:spacing w:line="360" w:lineRule="auto"/>
        <w:contextualSpacing/>
        <w:jc w:val="both"/>
        <w:rPr>
          <w:rFonts w:asciiTheme="majorBidi" w:hAnsiTheme="majorBidi" w:cstheme="majorBidi"/>
          <w:sz w:val="24"/>
          <w:szCs w:val="24"/>
          <w:lang w:bidi="ar-JO"/>
        </w:rPr>
      </w:pPr>
      <w:r>
        <w:rPr>
          <w:rFonts w:asciiTheme="majorBidi" w:hAnsiTheme="majorBidi" w:cstheme="majorBidi"/>
          <w:sz w:val="24"/>
          <w:szCs w:val="24"/>
          <w:lang w:bidi="ar-JO"/>
        </w:rPr>
        <w:t>The credit policy of any commercial bank should include standards and general trends, which credit departments must work within the framework, regardless of its regulatory level, with the need for a consensus and consistency with the offshore banking environment in terms of consistency with the rest of bank's internal policies. Taking into account, that these policies different from one bank to another, depending on the banks long term strategic objectives, organizational structure, and bank's capital size.</w:t>
      </w:r>
    </w:p>
    <w:p w:rsidR="005F0491" w:rsidRDefault="00B26274" w:rsidP="00502966">
      <w:pPr>
        <w:spacing w:line="360" w:lineRule="auto"/>
        <w:contextualSpacing/>
        <w:jc w:val="both"/>
        <w:rPr>
          <w:rFonts w:asciiTheme="majorBidi" w:hAnsiTheme="majorBidi" w:cstheme="majorBidi"/>
          <w:sz w:val="24"/>
          <w:szCs w:val="24"/>
          <w:lang w:bidi="ar-JO"/>
        </w:rPr>
      </w:pPr>
      <w:r>
        <w:rPr>
          <w:rFonts w:asciiTheme="majorBidi" w:hAnsiTheme="majorBidi" w:cstheme="majorBidi"/>
          <w:sz w:val="24"/>
          <w:szCs w:val="24"/>
          <w:lang w:bidi="ar-JO"/>
        </w:rPr>
        <w:t>To study the reality and trends of commercial banks credit policy, we should analyzed deposit attracting policies from one side, and the policy of granting credit facilities adopted by Palestinian commercial banks from the other side. In the fact, that credit policy is reflected in these indicators, and thus, can be used as primary indicators to large extent, in measuring the impact of credit policy on the performance of the banking sector</w:t>
      </w:r>
      <w:r w:rsidR="007B4030">
        <w:rPr>
          <w:rFonts w:asciiTheme="majorBidi" w:hAnsiTheme="majorBidi" w:cstheme="majorBidi"/>
          <w:sz w:val="24"/>
          <w:szCs w:val="24"/>
          <w:lang w:bidi="ar-JO"/>
        </w:rPr>
        <w:t>. Each commercial bank aims</w:t>
      </w:r>
      <w:r w:rsidR="00230776">
        <w:rPr>
          <w:rFonts w:asciiTheme="majorBidi" w:hAnsiTheme="majorBidi" w:cstheme="majorBidi"/>
          <w:sz w:val="24"/>
          <w:szCs w:val="24"/>
          <w:lang w:bidi="ar-JO"/>
        </w:rPr>
        <w:t xml:space="preserve"> to find the best possible ways for the optimal use of its available resources to support its competitiveness and raise the level of the performance of its operational efficiency, when establishing and placing its credit policies. Through these policies the bank is working to meet the market credit needs, taking into account, the economic conditions at the sectoral levels and/ or geographical where bank's activities are concentrated and thus, this policy will have a clear impact in type, size and maturity of credit facility.</w:t>
      </w:r>
      <w:r w:rsidR="007B4030">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The Palestinian banking environment, where Palestinian banks operate is unfavorable and unnatural environment like other environments in other countries </w:t>
      </w:r>
      <w:r>
        <w:rPr>
          <w:rFonts w:asciiTheme="majorBidi" w:hAnsiTheme="majorBidi" w:cstheme="majorBidi"/>
          <w:sz w:val="24"/>
          <w:szCs w:val="24"/>
          <w:lang w:bidi="ar-JO"/>
        </w:rPr>
        <w:lastRenderedPageBreak/>
        <w:t>surrounding banking business. This situation is due to the lack of political and economical stability surrounding Palestine, which raises investments risks levels.</w:t>
      </w:r>
    </w:p>
    <w:p w:rsidR="00F406EB" w:rsidRPr="00502966" w:rsidRDefault="00F406EB" w:rsidP="00502966">
      <w:pPr>
        <w:spacing w:line="360" w:lineRule="auto"/>
        <w:contextualSpacing/>
        <w:jc w:val="both"/>
        <w:rPr>
          <w:rFonts w:asciiTheme="majorBidi" w:hAnsiTheme="majorBidi" w:cstheme="majorBidi"/>
          <w:sz w:val="24"/>
          <w:szCs w:val="24"/>
          <w:lang w:bidi="ar-JO"/>
        </w:rPr>
      </w:pPr>
    </w:p>
    <w:p w:rsidR="00B26274" w:rsidRPr="0023054A" w:rsidRDefault="00B26274" w:rsidP="00FD6EED">
      <w:pPr>
        <w:spacing w:line="360" w:lineRule="auto"/>
        <w:contextualSpacing/>
        <w:rPr>
          <w:rFonts w:ascii="Times New Roman" w:hAnsi="Times New Roman" w:cs="Times New Roman"/>
          <w:b/>
          <w:sz w:val="24"/>
          <w:szCs w:val="24"/>
        </w:rPr>
      </w:pPr>
      <w:r w:rsidRPr="0023054A">
        <w:rPr>
          <w:rFonts w:ascii="Times New Roman" w:hAnsi="Times New Roman" w:cs="Times New Roman"/>
          <w:b/>
          <w:sz w:val="24"/>
          <w:szCs w:val="24"/>
        </w:rPr>
        <w:t>2.6.2 Overview of the Palestinian Banking Sector</w:t>
      </w:r>
    </w:p>
    <w:p w:rsidR="00B26274" w:rsidRPr="00C64975" w:rsidRDefault="00B26274" w:rsidP="00EA2328">
      <w:pPr>
        <w:autoSpaceDE w:val="0"/>
        <w:autoSpaceDN w:val="0"/>
        <w:adjustRightInd w:val="0"/>
        <w:spacing w:line="360" w:lineRule="auto"/>
        <w:contextualSpacing/>
        <w:jc w:val="both"/>
        <w:rPr>
          <w:rFonts w:ascii="Times New Roman" w:hAnsi="Times New Roman" w:cs="Times New Roman"/>
          <w:color w:val="000000" w:themeColor="text1"/>
          <w:sz w:val="24"/>
          <w:szCs w:val="24"/>
        </w:rPr>
      </w:pPr>
      <w:r w:rsidRPr="00C64975">
        <w:rPr>
          <w:rFonts w:ascii="Times New Roman" w:hAnsi="Times New Roman" w:cs="Times New Roman"/>
          <w:color w:val="000000" w:themeColor="text1"/>
          <w:sz w:val="24"/>
          <w:szCs w:val="24"/>
        </w:rPr>
        <w:t>The banking sector is one of the most important components of the Palestine Financial system and the most influential factor in financial stability in general, as it is the major funding channel for the private and public sector. Therefore, the changes witnessed by the banking sector have direct and indirect impact on the overall economic activity.</w:t>
      </w:r>
    </w:p>
    <w:p w:rsidR="00661678" w:rsidRPr="00661678" w:rsidRDefault="00661678" w:rsidP="00EA2328">
      <w:pPr>
        <w:spacing w:line="360" w:lineRule="auto"/>
        <w:contextualSpacing/>
        <w:jc w:val="both"/>
        <w:rPr>
          <w:rFonts w:asciiTheme="majorBidi" w:hAnsiTheme="majorBidi" w:cstheme="majorBidi"/>
          <w:sz w:val="24"/>
          <w:szCs w:val="24"/>
          <w:lang w:bidi="ar-JO"/>
        </w:rPr>
      </w:pPr>
      <w:r>
        <w:rPr>
          <w:rFonts w:asciiTheme="majorBidi" w:hAnsiTheme="majorBidi" w:cstheme="majorBidi"/>
          <w:sz w:val="24"/>
          <w:szCs w:val="24"/>
          <w:lang w:bidi="ar-JO"/>
        </w:rPr>
        <w:t>The Pales</w:t>
      </w:r>
      <w:r w:rsidR="00D36BE3">
        <w:rPr>
          <w:rFonts w:asciiTheme="majorBidi" w:hAnsiTheme="majorBidi" w:cstheme="majorBidi"/>
          <w:sz w:val="24"/>
          <w:szCs w:val="24"/>
          <w:lang w:bidi="ar-JO"/>
        </w:rPr>
        <w:t xml:space="preserve">tinian financial sector faced </w:t>
      </w:r>
      <w:r w:rsidRPr="00AF02AF">
        <w:rPr>
          <w:rFonts w:asciiTheme="majorBidi" w:hAnsiTheme="majorBidi" w:cstheme="majorBidi"/>
          <w:sz w:val="24"/>
          <w:szCs w:val="24"/>
          <w:lang w:bidi="ar-JO"/>
        </w:rPr>
        <w:t>systematic destruction of its infrastructure</w:t>
      </w:r>
      <w:r>
        <w:rPr>
          <w:rFonts w:asciiTheme="majorBidi" w:hAnsiTheme="majorBidi" w:cstheme="majorBidi"/>
          <w:sz w:val="24"/>
          <w:szCs w:val="24"/>
          <w:lang w:bidi="ar-JO"/>
        </w:rPr>
        <w:t xml:space="preserve"> as</w:t>
      </w:r>
      <w:r w:rsidR="00E04FD0">
        <w:rPr>
          <w:rFonts w:asciiTheme="majorBidi" w:hAnsiTheme="majorBidi" w:cstheme="majorBidi"/>
          <w:sz w:val="24"/>
          <w:szCs w:val="24"/>
          <w:lang w:bidi="ar-JO"/>
        </w:rPr>
        <w:t xml:space="preserve"> all other </w:t>
      </w:r>
      <w:r>
        <w:rPr>
          <w:rFonts w:asciiTheme="majorBidi" w:hAnsiTheme="majorBidi" w:cstheme="majorBidi"/>
          <w:sz w:val="24"/>
          <w:szCs w:val="24"/>
          <w:lang w:bidi="ar-JO"/>
        </w:rPr>
        <w:t xml:space="preserve">sectors, after the Israeli occupation to the Palestinian territories in 1967. Under the Military Order </w:t>
      </w:r>
      <w:r>
        <w:rPr>
          <w:rFonts w:ascii="Times New Roman" w:hAnsi="Times New Roman" w:cs="Times New Roman"/>
          <w:sz w:val="24"/>
          <w:szCs w:val="24"/>
        </w:rPr>
        <w:t>(MO #7</w:t>
      </w:r>
      <w:r w:rsidRPr="00C64975">
        <w:rPr>
          <w:rFonts w:ascii="Times New Roman" w:hAnsi="Times New Roman" w:cs="Times New Roman"/>
          <w:sz w:val="24"/>
          <w:szCs w:val="24"/>
        </w:rPr>
        <w:t>)</w:t>
      </w:r>
      <w:r w:rsidR="00D36BE3">
        <w:rPr>
          <w:rFonts w:ascii="Times New Roman" w:hAnsi="Times New Roman" w:cs="Times New Roman"/>
          <w:sz w:val="24"/>
          <w:szCs w:val="24"/>
        </w:rPr>
        <w:t xml:space="preserve">, </w:t>
      </w:r>
      <w:r w:rsidR="00D36BE3">
        <w:rPr>
          <w:rFonts w:asciiTheme="majorBidi" w:hAnsiTheme="majorBidi" w:cstheme="majorBidi"/>
          <w:sz w:val="24"/>
          <w:szCs w:val="24"/>
          <w:lang w:bidi="ar-JO"/>
        </w:rPr>
        <w:t>Israel</w:t>
      </w:r>
      <w:r>
        <w:rPr>
          <w:rFonts w:asciiTheme="majorBidi" w:hAnsiTheme="majorBidi" w:cstheme="majorBidi"/>
          <w:sz w:val="24"/>
          <w:szCs w:val="24"/>
          <w:lang w:bidi="ar-JO"/>
        </w:rPr>
        <w:t xml:space="preserve"> closed all the bank's branches operate in West bank and Gaza Strip, frozen and </w:t>
      </w:r>
      <w:r w:rsidRPr="00CE060D">
        <w:rPr>
          <w:rFonts w:asciiTheme="majorBidi" w:hAnsiTheme="majorBidi" w:cstheme="majorBidi"/>
          <w:sz w:val="24"/>
          <w:szCs w:val="24"/>
          <w:lang w:bidi="ar-JO"/>
        </w:rPr>
        <w:t>transferred all accounts to the</w:t>
      </w:r>
      <w:r>
        <w:rPr>
          <w:rFonts w:asciiTheme="majorBidi" w:hAnsiTheme="majorBidi" w:cstheme="majorBidi"/>
          <w:sz w:val="24"/>
          <w:szCs w:val="24"/>
          <w:lang w:bidi="ar-JO"/>
        </w:rPr>
        <w:t xml:space="preserve"> Israeli</w:t>
      </w:r>
      <w:r w:rsidRPr="00CE060D">
        <w:rPr>
          <w:rFonts w:asciiTheme="majorBidi" w:hAnsiTheme="majorBidi" w:cstheme="majorBidi"/>
          <w:sz w:val="24"/>
          <w:szCs w:val="24"/>
          <w:lang w:bidi="ar-JO"/>
        </w:rPr>
        <w:t xml:space="preserve"> Central Bank</w:t>
      </w:r>
      <w:r>
        <w:rPr>
          <w:rFonts w:asciiTheme="majorBidi" w:hAnsiTheme="majorBidi" w:cstheme="majorBidi"/>
          <w:sz w:val="24"/>
          <w:szCs w:val="24"/>
          <w:lang w:bidi="ar-JO"/>
        </w:rPr>
        <w:t xml:space="preserve">. In 1967, there were 38 Jordanian, Egyptian and foreign banks operate in West bank and Gaza Strip. The banking law in </w:t>
      </w:r>
      <w:r w:rsidRPr="00C64975">
        <w:rPr>
          <w:rFonts w:ascii="Times New Roman" w:hAnsi="Times New Roman" w:cs="Times New Roman"/>
          <w:sz w:val="24"/>
          <w:szCs w:val="24"/>
        </w:rPr>
        <w:t xml:space="preserve">the Palestinian </w:t>
      </w:r>
      <w:r w:rsidR="00E04FD0" w:rsidRPr="00C64975">
        <w:rPr>
          <w:rFonts w:ascii="Times New Roman" w:hAnsi="Times New Roman" w:cs="Times New Roman"/>
          <w:sz w:val="24"/>
          <w:szCs w:val="24"/>
        </w:rPr>
        <w:t>territories</w:t>
      </w:r>
      <w:r w:rsidR="00E04FD0">
        <w:rPr>
          <w:rFonts w:asciiTheme="majorBidi" w:hAnsiTheme="majorBidi" w:cstheme="majorBidi"/>
          <w:sz w:val="24"/>
          <w:szCs w:val="24"/>
          <w:lang w:bidi="ar-JO"/>
        </w:rPr>
        <w:t xml:space="preserve"> has</w:t>
      </w:r>
      <w:r>
        <w:rPr>
          <w:rFonts w:asciiTheme="majorBidi" w:hAnsiTheme="majorBidi" w:cstheme="majorBidi"/>
          <w:sz w:val="24"/>
          <w:szCs w:val="24"/>
          <w:lang w:bidi="ar-JO"/>
        </w:rPr>
        <w:t xml:space="preserve"> been changed under many Israeli</w:t>
      </w:r>
      <w:r w:rsidR="00D11023">
        <w:rPr>
          <w:rFonts w:asciiTheme="majorBidi" w:hAnsiTheme="majorBidi" w:cstheme="majorBidi"/>
          <w:sz w:val="24"/>
          <w:szCs w:val="24"/>
          <w:lang w:bidi="ar-JO"/>
        </w:rPr>
        <w:t>’s</w:t>
      </w:r>
      <w:r>
        <w:rPr>
          <w:rFonts w:asciiTheme="majorBidi" w:hAnsiTheme="majorBidi" w:cstheme="majorBidi"/>
          <w:sz w:val="24"/>
          <w:szCs w:val="24"/>
          <w:lang w:bidi="ar-JO"/>
        </w:rPr>
        <w:t xml:space="preserve"> MO's. The </w:t>
      </w:r>
      <w:r w:rsidR="00E04FD0">
        <w:rPr>
          <w:rFonts w:asciiTheme="majorBidi" w:hAnsiTheme="majorBidi" w:cstheme="majorBidi"/>
          <w:sz w:val="24"/>
          <w:szCs w:val="24"/>
          <w:lang w:bidi="ar-JO"/>
        </w:rPr>
        <w:t>closure of Arab banks operates</w:t>
      </w:r>
      <w:r>
        <w:rPr>
          <w:rFonts w:asciiTheme="majorBidi" w:hAnsiTheme="majorBidi" w:cstheme="majorBidi"/>
          <w:sz w:val="24"/>
          <w:szCs w:val="24"/>
          <w:lang w:bidi="ar-JO"/>
        </w:rPr>
        <w:t xml:space="preserve"> in Palestine cut the direct financial relationship with Arab countries. As a result, Israeli currency was declared to be the legal currency in West Bank and Gaza Strip.</w:t>
      </w:r>
    </w:p>
    <w:p w:rsidR="00EA2328" w:rsidRDefault="00EA2328" w:rsidP="00EA2328">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After</w:t>
      </w:r>
      <w:r w:rsidRPr="00006011">
        <w:rPr>
          <w:rFonts w:asciiTheme="majorBidi" w:hAnsiTheme="majorBidi" w:cstheme="majorBidi"/>
          <w:sz w:val="24"/>
          <w:szCs w:val="24"/>
        </w:rPr>
        <w:t xml:space="preserve"> the PNA’s (Palestinian National Authority) creation in 1994,</w:t>
      </w:r>
      <w:r>
        <w:rPr>
          <w:rFonts w:asciiTheme="majorBidi" w:hAnsiTheme="majorBidi" w:cstheme="majorBidi"/>
          <w:sz w:val="24"/>
          <w:szCs w:val="24"/>
        </w:rPr>
        <w:t xml:space="preserve"> after Oslo peace agreement between Israel and Palestinian Liberation Organization, many economic laws has been established and formulated with the objective of organizing the operations of various economic sectors and the financial sector including the banking sector.</w:t>
      </w:r>
    </w:p>
    <w:p w:rsidR="000A2918" w:rsidRPr="006E74E0" w:rsidRDefault="00B26274" w:rsidP="006E74E0">
      <w:pPr>
        <w:spacing w:line="360" w:lineRule="auto"/>
        <w:contextualSpacing/>
        <w:jc w:val="both"/>
        <w:rPr>
          <w:rFonts w:asciiTheme="majorBidi" w:hAnsiTheme="majorBidi" w:cstheme="majorBidi"/>
          <w:sz w:val="24"/>
          <w:szCs w:val="24"/>
          <w:shd w:val="clear" w:color="auto" w:fill="FFFFFF"/>
        </w:rPr>
      </w:pPr>
      <w:r w:rsidRPr="00006011">
        <w:rPr>
          <w:rFonts w:asciiTheme="majorBidi" w:hAnsiTheme="majorBidi" w:cstheme="majorBidi"/>
          <w:sz w:val="24"/>
          <w:szCs w:val="24"/>
        </w:rPr>
        <w:t xml:space="preserve">The Palestinian Monetary Authority (PMA) act as the central bank of Palestine, in which established </w:t>
      </w:r>
      <w:r w:rsidRPr="00006011">
        <w:rPr>
          <w:rStyle w:val="apple-converted-space"/>
          <w:rFonts w:asciiTheme="majorBidi" w:hAnsiTheme="majorBidi" w:cstheme="majorBidi"/>
          <w:sz w:val="24"/>
          <w:szCs w:val="24"/>
          <w:shd w:val="clear" w:color="auto" w:fill="FFFFFF"/>
        </w:rPr>
        <w:t>by</w:t>
      </w:r>
      <w:r w:rsidRPr="00006011">
        <w:rPr>
          <w:rFonts w:asciiTheme="majorBidi" w:hAnsiTheme="majorBidi" w:cstheme="majorBidi"/>
          <w:sz w:val="24"/>
          <w:szCs w:val="24"/>
          <w:shd w:val="clear" w:color="auto" w:fill="FFFFFF"/>
        </w:rPr>
        <w:t xml:space="preserve"> presidential decree in 1994 following the Oslo </w:t>
      </w:r>
      <w:r w:rsidR="007B4030" w:rsidRPr="00006011">
        <w:rPr>
          <w:rFonts w:asciiTheme="majorBidi" w:hAnsiTheme="majorBidi" w:cstheme="majorBidi"/>
          <w:sz w:val="24"/>
          <w:szCs w:val="24"/>
          <w:shd w:val="clear" w:color="auto" w:fill="FFFFFF"/>
        </w:rPr>
        <w:t>Agreement</w:t>
      </w:r>
      <w:r w:rsidR="007B4030">
        <w:rPr>
          <w:rFonts w:asciiTheme="majorBidi" w:hAnsiTheme="majorBidi" w:cstheme="majorBidi"/>
          <w:sz w:val="24"/>
          <w:szCs w:val="24"/>
          <w:shd w:val="clear" w:color="auto" w:fill="FFFFFF"/>
        </w:rPr>
        <w:t>.</w:t>
      </w:r>
      <w:r w:rsidR="007B4030" w:rsidRPr="00006011">
        <w:rPr>
          <w:rFonts w:asciiTheme="majorBidi" w:hAnsiTheme="majorBidi" w:cstheme="majorBidi"/>
          <w:bCs/>
          <w:sz w:val="24"/>
          <w:szCs w:val="24"/>
        </w:rPr>
        <w:t xml:space="preserve"> The</w:t>
      </w:r>
      <w:r w:rsidRPr="00006011">
        <w:rPr>
          <w:rFonts w:asciiTheme="majorBidi" w:hAnsiTheme="majorBidi" w:cstheme="majorBidi"/>
          <w:bCs/>
          <w:sz w:val="24"/>
          <w:szCs w:val="24"/>
        </w:rPr>
        <w:t xml:space="preserve"> PMA has been able to operate in a difficult environment that uses multiple currencies, establishing a financial sector that offers most services, such as banking,</w:t>
      </w:r>
      <w:r w:rsidRPr="00006011">
        <w:rPr>
          <w:rFonts w:asciiTheme="majorBidi" w:hAnsiTheme="majorBidi" w:cstheme="majorBidi"/>
          <w:sz w:val="24"/>
          <w:szCs w:val="24"/>
        </w:rPr>
        <w:t xml:space="preserve"> a</w:t>
      </w:r>
      <w:r w:rsidRPr="00006011">
        <w:rPr>
          <w:rFonts w:asciiTheme="majorBidi" w:hAnsiTheme="majorBidi" w:cstheme="majorBidi"/>
          <w:bCs/>
          <w:sz w:val="24"/>
          <w:szCs w:val="24"/>
        </w:rPr>
        <w:t xml:space="preserve"> securities market, and insurance. </w:t>
      </w:r>
      <w:r w:rsidR="00006011" w:rsidRPr="00006011">
        <w:rPr>
          <w:rFonts w:asciiTheme="majorBidi" w:hAnsiTheme="majorBidi" w:cstheme="majorBidi"/>
          <w:bCs/>
          <w:sz w:val="24"/>
          <w:szCs w:val="24"/>
        </w:rPr>
        <w:t xml:space="preserve"> </w:t>
      </w:r>
      <w:r w:rsidR="00303FB5" w:rsidRPr="00006011">
        <w:rPr>
          <w:rFonts w:asciiTheme="majorBidi" w:hAnsiTheme="majorBidi" w:cstheme="majorBidi"/>
          <w:color w:val="000000" w:themeColor="text1"/>
          <w:sz w:val="24"/>
          <w:szCs w:val="24"/>
        </w:rPr>
        <w:t>Seventeen banks</w:t>
      </w:r>
      <w:r w:rsidRPr="00006011">
        <w:rPr>
          <w:rFonts w:asciiTheme="majorBidi" w:hAnsiTheme="majorBidi" w:cstheme="majorBidi"/>
          <w:color w:val="000000" w:themeColor="text1"/>
          <w:sz w:val="24"/>
          <w:szCs w:val="24"/>
        </w:rPr>
        <w:t xml:space="preserve"> operated</w:t>
      </w:r>
      <w:r w:rsidR="00303FB5" w:rsidRPr="00006011">
        <w:rPr>
          <w:rFonts w:asciiTheme="majorBidi" w:hAnsiTheme="majorBidi" w:cstheme="majorBidi"/>
          <w:color w:val="000000" w:themeColor="text1"/>
          <w:sz w:val="24"/>
          <w:szCs w:val="24"/>
        </w:rPr>
        <w:t xml:space="preserve"> in Palestine at the end of 2012 with a total of 230</w:t>
      </w:r>
      <w:r w:rsidRPr="00006011">
        <w:rPr>
          <w:rFonts w:asciiTheme="majorBidi" w:hAnsiTheme="majorBidi" w:cstheme="majorBidi"/>
          <w:color w:val="000000" w:themeColor="text1"/>
          <w:sz w:val="24"/>
          <w:szCs w:val="24"/>
        </w:rPr>
        <w:t xml:space="preserve"> branches and offices, 170 in the West Bank</w:t>
      </w:r>
      <w:r w:rsidR="00303FB5" w:rsidRPr="00006011">
        <w:rPr>
          <w:rFonts w:asciiTheme="majorBidi" w:hAnsiTheme="majorBidi" w:cstheme="majorBidi"/>
          <w:color w:val="000000" w:themeColor="text1"/>
          <w:sz w:val="24"/>
          <w:szCs w:val="24"/>
        </w:rPr>
        <w:t xml:space="preserve"> and 42 in the Gaza Strip. Seven banks</w:t>
      </w:r>
      <w:r w:rsidRPr="00006011">
        <w:rPr>
          <w:rFonts w:asciiTheme="majorBidi" w:hAnsiTheme="majorBidi" w:cstheme="majorBidi"/>
          <w:color w:val="000000" w:themeColor="text1"/>
          <w:sz w:val="24"/>
          <w:szCs w:val="24"/>
        </w:rPr>
        <w:t xml:space="preserve"> are locally owned (seven of which are listed</w:t>
      </w:r>
      <w:r w:rsidR="00303FB5" w:rsidRPr="00006011">
        <w:rPr>
          <w:rFonts w:asciiTheme="majorBidi" w:hAnsiTheme="majorBidi" w:cstheme="majorBidi"/>
          <w:color w:val="000000" w:themeColor="text1"/>
          <w:sz w:val="24"/>
          <w:szCs w:val="24"/>
        </w:rPr>
        <w:t xml:space="preserve"> on the Palestine Exchange, five</w:t>
      </w:r>
      <w:r w:rsidRPr="00006011">
        <w:rPr>
          <w:rFonts w:asciiTheme="majorBidi" w:hAnsiTheme="majorBidi" w:cstheme="majorBidi"/>
          <w:color w:val="000000" w:themeColor="text1"/>
          <w:sz w:val="24"/>
          <w:szCs w:val="24"/>
        </w:rPr>
        <w:t xml:space="preserve"> are commercial banks, the other two are</w:t>
      </w:r>
      <w:r w:rsidR="00303FB5" w:rsidRPr="00006011">
        <w:rPr>
          <w:rFonts w:asciiTheme="majorBidi" w:hAnsiTheme="majorBidi" w:cstheme="majorBidi"/>
          <w:color w:val="000000" w:themeColor="text1"/>
          <w:sz w:val="24"/>
          <w:szCs w:val="24"/>
        </w:rPr>
        <w:t xml:space="preserve"> Islamic banks.) and operate 121</w:t>
      </w:r>
      <w:r w:rsidRPr="00006011">
        <w:rPr>
          <w:rFonts w:asciiTheme="majorBidi" w:hAnsiTheme="majorBidi" w:cstheme="majorBidi"/>
          <w:color w:val="000000" w:themeColor="text1"/>
          <w:sz w:val="24"/>
          <w:szCs w:val="24"/>
        </w:rPr>
        <w:t xml:space="preserve"> branches and offices</w:t>
      </w:r>
      <w:r w:rsidR="00303FB5" w:rsidRPr="00006011">
        <w:rPr>
          <w:rFonts w:asciiTheme="majorBidi" w:hAnsiTheme="majorBidi" w:cstheme="majorBidi"/>
          <w:color w:val="000000" w:themeColor="text1"/>
          <w:sz w:val="24"/>
          <w:szCs w:val="24"/>
        </w:rPr>
        <w:t xml:space="preserve">. Ten foreign </w:t>
      </w:r>
      <w:r w:rsidR="00303FB5" w:rsidRPr="00006011">
        <w:rPr>
          <w:rFonts w:asciiTheme="majorBidi" w:hAnsiTheme="majorBidi" w:cstheme="majorBidi"/>
          <w:color w:val="000000" w:themeColor="text1"/>
          <w:sz w:val="24"/>
          <w:szCs w:val="24"/>
        </w:rPr>
        <w:lastRenderedPageBreak/>
        <w:t>banks maintain 109</w:t>
      </w:r>
      <w:r w:rsidRPr="00006011">
        <w:rPr>
          <w:rFonts w:asciiTheme="majorBidi" w:hAnsiTheme="majorBidi" w:cstheme="majorBidi"/>
          <w:color w:val="000000" w:themeColor="text1"/>
          <w:sz w:val="24"/>
          <w:szCs w:val="24"/>
        </w:rPr>
        <w:t xml:space="preserve"> branches. The banking sector employed 4,679 staff, 2,331 in local banks and 2,348 in foreign banks, with </w:t>
      </w:r>
      <w:r w:rsidR="00A9751E" w:rsidRPr="00006011">
        <w:rPr>
          <w:rFonts w:asciiTheme="majorBidi" w:hAnsiTheme="majorBidi" w:cstheme="majorBidi"/>
          <w:color w:val="000000" w:themeColor="text1"/>
          <w:sz w:val="24"/>
          <w:szCs w:val="24"/>
        </w:rPr>
        <w:t>total assets reaching USD 10,051.9 million, deposits of US$ 7.5 b</w:t>
      </w:r>
      <w:r w:rsidRPr="00006011">
        <w:rPr>
          <w:rFonts w:asciiTheme="majorBidi" w:hAnsiTheme="majorBidi" w:cstheme="majorBidi"/>
          <w:color w:val="000000" w:themeColor="text1"/>
          <w:sz w:val="24"/>
          <w:szCs w:val="24"/>
        </w:rPr>
        <w:t>illion and credit</w:t>
      </w:r>
      <w:r w:rsidR="00A9751E" w:rsidRPr="00006011">
        <w:rPr>
          <w:rFonts w:asciiTheme="majorBidi" w:hAnsiTheme="majorBidi" w:cstheme="majorBidi"/>
          <w:color w:val="000000" w:themeColor="text1"/>
          <w:sz w:val="24"/>
          <w:szCs w:val="24"/>
        </w:rPr>
        <w:t xml:space="preserve"> facilities of US$4.2 b</w:t>
      </w:r>
      <w:r w:rsidRPr="00006011">
        <w:rPr>
          <w:rFonts w:asciiTheme="majorBidi" w:hAnsiTheme="majorBidi" w:cstheme="majorBidi"/>
          <w:color w:val="000000" w:themeColor="text1"/>
          <w:sz w:val="24"/>
          <w:szCs w:val="24"/>
        </w:rPr>
        <w:t>illion</w:t>
      </w:r>
      <w:r w:rsidR="00A9751E" w:rsidRPr="00006011">
        <w:rPr>
          <w:rFonts w:asciiTheme="majorBidi" w:hAnsiTheme="majorBidi" w:cstheme="majorBidi"/>
          <w:color w:val="000000" w:themeColor="text1"/>
          <w:sz w:val="24"/>
          <w:szCs w:val="24"/>
        </w:rPr>
        <w:t xml:space="preserve"> at the end of year 2012</w:t>
      </w:r>
      <w:r w:rsidR="00EA2328">
        <w:rPr>
          <w:rFonts w:asciiTheme="majorBidi" w:hAnsiTheme="majorBidi" w:cstheme="majorBidi"/>
          <w:color w:val="000000" w:themeColor="text1"/>
          <w:sz w:val="24"/>
          <w:szCs w:val="24"/>
        </w:rPr>
        <w:t xml:space="preserve"> (PMA, 2012</w:t>
      </w:r>
      <w:r w:rsidRPr="00006011">
        <w:rPr>
          <w:rFonts w:asciiTheme="majorBidi" w:hAnsiTheme="majorBidi" w:cstheme="majorBidi"/>
          <w:color w:val="000000" w:themeColor="text1"/>
          <w:sz w:val="24"/>
          <w:szCs w:val="24"/>
        </w:rPr>
        <w:t>).</w:t>
      </w:r>
    </w:p>
    <w:p w:rsidR="00B26274" w:rsidRPr="00926FFF" w:rsidRDefault="00237994" w:rsidP="00230776">
      <w:pPr>
        <w:pStyle w:val="Default"/>
        <w:spacing w:line="360" w:lineRule="auto"/>
        <w:jc w:val="center"/>
        <w:rPr>
          <w:b/>
          <w:bCs/>
          <w:sz w:val="22"/>
          <w:szCs w:val="22"/>
        </w:rPr>
      </w:pPr>
      <w:r w:rsidRPr="00926FFF">
        <w:rPr>
          <w:b/>
          <w:bCs/>
          <w:sz w:val="22"/>
          <w:szCs w:val="22"/>
        </w:rPr>
        <w:t>Figure 2. 9</w:t>
      </w:r>
      <w:r w:rsidR="008C7567" w:rsidRPr="00926FFF">
        <w:rPr>
          <w:b/>
          <w:bCs/>
          <w:sz w:val="22"/>
          <w:szCs w:val="22"/>
        </w:rPr>
        <w:t>: Local banks in the</w:t>
      </w:r>
      <w:r w:rsidR="00B26274" w:rsidRPr="00926FFF">
        <w:rPr>
          <w:b/>
          <w:bCs/>
          <w:sz w:val="22"/>
          <w:szCs w:val="22"/>
        </w:rPr>
        <w:t xml:space="preserve"> Palesti</w:t>
      </w:r>
      <w:r w:rsidR="00230776">
        <w:rPr>
          <w:b/>
          <w:bCs/>
          <w:sz w:val="22"/>
          <w:szCs w:val="22"/>
        </w:rPr>
        <w:t>nian banking s</w:t>
      </w:r>
      <w:r w:rsidR="008C7567" w:rsidRPr="00926FFF">
        <w:rPr>
          <w:b/>
          <w:bCs/>
          <w:sz w:val="22"/>
          <w:szCs w:val="22"/>
        </w:rPr>
        <w:t>ector, end of 2011</w:t>
      </w:r>
    </w:p>
    <w:p w:rsidR="008C7567" w:rsidRDefault="00230776" w:rsidP="00230776">
      <w:pPr>
        <w:pStyle w:val="Default"/>
        <w:jc w:val="center"/>
        <w:rPr>
          <w:sz w:val="23"/>
          <w:szCs w:val="23"/>
        </w:rPr>
      </w:pPr>
      <w:r>
        <w:rPr>
          <w:b/>
          <w:bCs/>
          <w:sz w:val="23"/>
          <w:szCs w:val="23"/>
        </w:rPr>
        <w:t xml:space="preserve">    </w:t>
      </w:r>
      <w:r w:rsidR="008C7567" w:rsidRPr="007C0D60">
        <w:rPr>
          <w:b/>
          <w:bCs/>
          <w:sz w:val="23"/>
          <w:szCs w:val="23"/>
        </w:rPr>
        <w:t xml:space="preserve">Founded </w:t>
      </w:r>
      <w:r>
        <w:rPr>
          <w:b/>
          <w:bCs/>
          <w:sz w:val="23"/>
          <w:szCs w:val="23"/>
        </w:rPr>
        <w:t xml:space="preserve">                                                                            </w:t>
      </w:r>
      <w:r w:rsidR="008C7567" w:rsidRPr="007C0D60">
        <w:rPr>
          <w:b/>
          <w:bCs/>
          <w:sz w:val="23"/>
          <w:szCs w:val="23"/>
        </w:rPr>
        <w:t>No. of branches</w:t>
      </w:r>
    </w:p>
    <w:p w:rsidR="008C7567" w:rsidRPr="008C7567" w:rsidRDefault="008C7567" w:rsidP="008C7567">
      <w:pPr>
        <w:pStyle w:val="Default"/>
        <w:rPr>
          <w:sz w:val="23"/>
          <w:szCs w:val="23"/>
        </w:rPr>
      </w:pPr>
    </w:p>
    <w:p w:rsidR="00B26274" w:rsidRPr="006E1F73" w:rsidRDefault="008C7567" w:rsidP="008C7567">
      <w:pPr>
        <w:autoSpaceDE w:val="0"/>
        <w:autoSpaceDN w:val="0"/>
        <w:adjustRightInd w:val="0"/>
        <w:spacing w:after="0" w:line="360" w:lineRule="auto"/>
        <w:jc w:val="center"/>
        <w:rPr>
          <w:rFonts w:ascii="Times New Roman" w:hAnsi="Times New Roman" w:cs="Times New Roman"/>
          <w:bCs/>
          <w:color w:val="000000"/>
          <w:sz w:val="28"/>
          <w:szCs w:val="28"/>
        </w:rPr>
      </w:pPr>
      <w:r w:rsidRPr="008C7567">
        <w:rPr>
          <w:rFonts w:ascii="Times New Roman" w:hAnsi="Times New Roman" w:cs="Times New Roman"/>
          <w:bCs/>
          <w:noProof/>
          <w:color w:val="000000"/>
          <w:sz w:val="28"/>
          <w:szCs w:val="28"/>
        </w:rPr>
        <w:drawing>
          <wp:inline distT="0" distB="0" distL="0" distR="0">
            <wp:extent cx="4454006" cy="1657350"/>
            <wp:effectExtent l="19050" t="0" r="3694"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duotone>
                        <a:prstClr val="black"/>
                        <a:schemeClr val="accent1">
                          <a:tint val="45000"/>
                          <a:satMod val="400000"/>
                        </a:schemeClr>
                      </a:duotone>
                    </a:blip>
                    <a:srcRect/>
                    <a:stretch>
                      <a:fillRect/>
                    </a:stretch>
                  </pic:blipFill>
                  <pic:spPr bwMode="auto">
                    <a:xfrm>
                      <a:off x="0" y="0"/>
                      <a:ext cx="4455421" cy="1657877"/>
                    </a:xfrm>
                    <a:prstGeom prst="rect">
                      <a:avLst/>
                    </a:prstGeom>
                    <a:noFill/>
                    <a:ln w="9525">
                      <a:noFill/>
                      <a:miter lim="800000"/>
                      <a:headEnd/>
                      <a:tailEnd/>
                    </a:ln>
                  </pic:spPr>
                </pic:pic>
              </a:graphicData>
            </a:graphic>
          </wp:inline>
        </w:drawing>
      </w:r>
    </w:p>
    <w:p w:rsidR="00224B73" w:rsidRPr="000A2918" w:rsidRDefault="00B26274" w:rsidP="00E04FD0">
      <w:pPr>
        <w:autoSpaceDE w:val="0"/>
        <w:autoSpaceDN w:val="0"/>
        <w:adjustRightInd w:val="0"/>
        <w:spacing w:after="0" w:line="360" w:lineRule="auto"/>
        <w:jc w:val="center"/>
        <w:rPr>
          <w:rFonts w:ascii="Times New Roman" w:hAnsi="Times New Roman" w:cs="Times New Roman"/>
          <w:color w:val="000000"/>
          <w:sz w:val="20"/>
          <w:szCs w:val="20"/>
          <w:lang w:bidi="ar-JO"/>
        </w:rPr>
      </w:pPr>
      <w:r w:rsidRPr="00C12167">
        <w:rPr>
          <w:rFonts w:ascii="Times New Roman" w:hAnsi="Times New Roman" w:cs="Times New Roman"/>
          <w:color w:val="000000"/>
          <w:sz w:val="20"/>
          <w:szCs w:val="20"/>
        </w:rPr>
        <w:t>Source: Palestinian monetary Authority (PMA), 2011</w:t>
      </w:r>
      <w:r w:rsidR="000A2918">
        <w:rPr>
          <w:rFonts w:ascii="Times New Roman" w:hAnsi="Times New Roman" w:cs="Times New Roman"/>
          <w:color w:val="000000"/>
          <w:sz w:val="20"/>
          <w:szCs w:val="20"/>
          <w:lang w:bidi="ar-JO"/>
        </w:rPr>
        <w:t>.</w:t>
      </w:r>
    </w:p>
    <w:p w:rsidR="00224B73" w:rsidRDefault="00224B73" w:rsidP="00006011">
      <w:pPr>
        <w:autoSpaceDE w:val="0"/>
        <w:autoSpaceDN w:val="0"/>
        <w:adjustRightInd w:val="0"/>
        <w:spacing w:after="0" w:line="360" w:lineRule="auto"/>
        <w:jc w:val="center"/>
        <w:rPr>
          <w:rFonts w:ascii="Times New Roman" w:hAnsi="Times New Roman" w:cs="Times New Roman"/>
          <w:b/>
          <w:bCs/>
        </w:rPr>
      </w:pPr>
    </w:p>
    <w:p w:rsidR="00B26274" w:rsidRPr="00926FFF" w:rsidRDefault="0073541E" w:rsidP="00006011">
      <w:pPr>
        <w:autoSpaceDE w:val="0"/>
        <w:autoSpaceDN w:val="0"/>
        <w:adjustRightInd w:val="0"/>
        <w:spacing w:after="0" w:line="360" w:lineRule="auto"/>
        <w:jc w:val="center"/>
        <w:rPr>
          <w:rFonts w:ascii="Times New Roman" w:hAnsi="Times New Roman" w:cs="Times New Roman"/>
          <w:b/>
          <w:bCs/>
          <w:color w:val="000000"/>
          <w:lang w:bidi="ar-JO"/>
        </w:rPr>
      </w:pPr>
      <w:r w:rsidRPr="00926FFF">
        <w:rPr>
          <w:rFonts w:ascii="Times New Roman" w:hAnsi="Times New Roman" w:cs="Times New Roman"/>
          <w:b/>
          <w:bCs/>
        </w:rPr>
        <w:t>Figure 2.</w:t>
      </w:r>
      <w:r w:rsidR="00237994" w:rsidRPr="00926FFF">
        <w:rPr>
          <w:rFonts w:ascii="Times New Roman" w:hAnsi="Times New Roman" w:cs="Times New Roman"/>
          <w:b/>
          <w:bCs/>
        </w:rPr>
        <w:t>10</w:t>
      </w:r>
      <w:r w:rsidR="00B26274" w:rsidRPr="00926FFF">
        <w:rPr>
          <w:rFonts w:ascii="Times New Roman" w:hAnsi="Times New Roman" w:cs="Times New Roman"/>
          <w:b/>
          <w:bCs/>
        </w:rPr>
        <w:t>: Banking assets during 2009-2010</w:t>
      </w:r>
    </w:p>
    <w:p w:rsidR="00F72FB3" w:rsidRDefault="00B26274" w:rsidP="00E214F9">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sz w:val="32"/>
          <w:szCs w:val="32"/>
        </w:rPr>
        <w:drawing>
          <wp:inline distT="0" distB="0" distL="0" distR="0">
            <wp:extent cx="4629149" cy="895350"/>
            <wp:effectExtent l="19050" t="0" r="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duotone>
                        <a:prstClr val="black"/>
                        <a:schemeClr val="accent1">
                          <a:tint val="45000"/>
                          <a:satMod val="400000"/>
                        </a:schemeClr>
                      </a:duotone>
                    </a:blip>
                    <a:srcRect/>
                    <a:stretch>
                      <a:fillRect/>
                    </a:stretch>
                  </pic:blipFill>
                  <pic:spPr bwMode="auto">
                    <a:xfrm>
                      <a:off x="0" y="0"/>
                      <a:ext cx="4629839" cy="895483"/>
                    </a:xfrm>
                    <a:prstGeom prst="rect">
                      <a:avLst/>
                    </a:prstGeom>
                    <a:noFill/>
                    <a:ln w="9525">
                      <a:noFill/>
                      <a:miter lim="800000"/>
                      <a:headEnd/>
                      <a:tailEnd/>
                    </a:ln>
                  </pic:spPr>
                </pic:pic>
              </a:graphicData>
            </a:graphic>
          </wp:inline>
        </w:drawing>
      </w:r>
    </w:p>
    <w:p w:rsidR="00B26274" w:rsidRPr="00C12167" w:rsidRDefault="00B26274" w:rsidP="00E04FD0">
      <w:pPr>
        <w:autoSpaceDE w:val="0"/>
        <w:autoSpaceDN w:val="0"/>
        <w:adjustRightInd w:val="0"/>
        <w:spacing w:after="0" w:line="360" w:lineRule="auto"/>
        <w:jc w:val="center"/>
        <w:rPr>
          <w:rFonts w:ascii="Times New Roman" w:hAnsi="Times New Roman" w:cs="Times New Roman"/>
          <w:sz w:val="20"/>
          <w:szCs w:val="20"/>
        </w:rPr>
      </w:pPr>
      <w:r w:rsidRPr="00C12167">
        <w:rPr>
          <w:rFonts w:ascii="Times New Roman" w:hAnsi="Times New Roman" w:cs="Times New Roman"/>
          <w:color w:val="000000"/>
          <w:sz w:val="20"/>
          <w:szCs w:val="20"/>
        </w:rPr>
        <w:t>Source: Palestinian Monetary Authority (PMA), 201</w:t>
      </w:r>
      <w:r w:rsidR="000A2918">
        <w:rPr>
          <w:rFonts w:ascii="Times New Roman" w:hAnsi="Times New Roman" w:cs="Times New Roman"/>
          <w:color w:val="000000"/>
          <w:sz w:val="20"/>
          <w:szCs w:val="20"/>
        </w:rPr>
        <w:t>1.</w:t>
      </w:r>
    </w:p>
    <w:p w:rsidR="005C55D6" w:rsidRDefault="005C55D6" w:rsidP="006710F9">
      <w:pPr>
        <w:autoSpaceDE w:val="0"/>
        <w:autoSpaceDN w:val="0"/>
        <w:adjustRightInd w:val="0"/>
        <w:spacing w:after="0" w:line="360" w:lineRule="auto"/>
        <w:jc w:val="both"/>
        <w:rPr>
          <w:rFonts w:ascii="Times New Roman" w:hAnsi="Times New Roman" w:cs="Times New Roman"/>
          <w:sz w:val="24"/>
          <w:szCs w:val="24"/>
        </w:rPr>
      </w:pPr>
    </w:p>
    <w:p w:rsidR="00B26274" w:rsidRDefault="00B26274" w:rsidP="006710F9">
      <w:pPr>
        <w:autoSpaceDE w:val="0"/>
        <w:autoSpaceDN w:val="0"/>
        <w:adjustRightInd w:val="0"/>
        <w:spacing w:after="0" w:line="360" w:lineRule="auto"/>
        <w:jc w:val="both"/>
        <w:rPr>
          <w:rFonts w:ascii="Times New Roman" w:hAnsi="Times New Roman" w:cs="Times New Roman"/>
          <w:color w:val="000000"/>
          <w:sz w:val="24"/>
          <w:szCs w:val="24"/>
        </w:rPr>
      </w:pPr>
      <w:r w:rsidRPr="00C64975">
        <w:rPr>
          <w:rFonts w:ascii="Times New Roman" w:hAnsi="Times New Roman" w:cs="Times New Roman"/>
          <w:sz w:val="24"/>
          <w:szCs w:val="24"/>
        </w:rPr>
        <w:t>Equity is the main source of internal funds, which represent the first line of defense against any shocks that banks may face. Thus, any improvements in equity, whether through increasing profits or strengthening capital, are considered crucial for enhancing banking</w:t>
      </w:r>
      <w:r w:rsidR="00721BF0">
        <w:rPr>
          <w:rFonts w:ascii="Times New Roman" w:hAnsi="Times New Roman" w:cs="Times New Roman"/>
          <w:sz w:val="24"/>
          <w:szCs w:val="24"/>
        </w:rPr>
        <w:t xml:space="preserve"> </w:t>
      </w:r>
      <w:r w:rsidRPr="00C64975">
        <w:rPr>
          <w:rFonts w:ascii="Times New Roman" w:hAnsi="Times New Roman" w:cs="Times New Roman"/>
          <w:sz w:val="24"/>
          <w:szCs w:val="24"/>
        </w:rPr>
        <w:t>stability and an indication of its progress. At the end of 2011 the paid-up capital reached US$ 1184.5 million</w:t>
      </w:r>
      <w:r>
        <w:rPr>
          <w:rFonts w:ascii="Times New Roman" w:hAnsi="Times New Roman" w:cs="Times New Roman"/>
          <w:sz w:val="24"/>
          <w:szCs w:val="24"/>
        </w:rPr>
        <w:t xml:space="preserve"> at the end of year2011.</w:t>
      </w:r>
    </w:p>
    <w:p w:rsidR="00502966" w:rsidRDefault="00502966" w:rsidP="00A6283A">
      <w:pPr>
        <w:autoSpaceDE w:val="0"/>
        <w:autoSpaceDN w:val="0"/>
        <w:adjustRightInd w:val="0"/>
        <w:spacing w:after="0" w:line="360" w:lineRule="auto"/>
        <w:jc w:val="center"/>
        <w:rPr>
          <w:rFonts w:ascii="Times New Roman" w:hAnsi="Times New Roman" w:cs="Times New Roman"/>
          <w:b/>
          <w:color w:val="000000"/>
        </w:rPr>
      </w:pPr>
    </w:p>
    <w:p w:rsidR="00F406EB" w:rsidRDefault="00F406EB" w:rsidP="00A6283A">
      <w:pPr>
        <w:autoSpaceDE w:val="0"/>
        <w:autoSpaceDN w:val="0"/>
        <w:adjustRightInd w:val="0"/>
        <w:spacing w:after="0" w:line="360" w:lineRule="auto"/>
        <w:jc w:val="center"/>
        <w:rPr>
          <w:rFonts w:ascii="Times New Roman" w:hAnsi="Times New Roman" w:cs="Times New Roman"/>
          <w:b/>
          <w:color w:val="000000"/>
        </w:rPr>
      </w:pPr>
    </w:p>
    <w:p w:rsidR="008F617A" w:rsidRDefault="008F617A" w:rsidP="00A6283A">
      <w:pPr>
        <w:autoSpaceDE w:val="0"/>
        <w:autoSpaceDN w:val="0"/>
        <w:adjustRightInd w:val="0"/>
        <w:spacing w:after="0" w:line="360" w:lineRule="auto"/>
        <w:jc w:val="center"/>
        <w:rPr>
          <w:rFonts w:ascii="Times New Roman" w:hAnsi="Times New Roman" w:cs="Times New Roman"/>
          <w:b/>
          <w:color w:val="000000"/>
        </w:rPr>
      </w:pPr>
    </w:p>
    <w:p w:rsidR="00B26274" w:rsidRPr="00926FFF" w:rsidRDefault="00D11023" w:rsidP="00A6283A">
      <w:pPr>
        <w:autoSpaceDE w:val="0"/>
        <w:autoSpaceDN w:val="0"/>
        <w:adjustRightInd w:val="0"/>
        <w:spacing w:after="0" w:line="360" w:lineRule="auto"/>
        <w:jc w:val="center"/>
        <w:rPr>
          <w:rFonts w:ascii="Times New Roman" w:hAnsi="Times New Roman" w:cs="Times New Roman"/>
          <w:b/>
          <w:color w:val="000000"/>
        </w:rPr>
      </w:pPr>
      <w:r>
        <w:rPr>
          <w:rFonts w:ascii="Times New Roman" w:hAnsi="Times New Roman" w:cs="Times New Roman"/>
          <w:b/>
          <w:color w:val="000000"/>
        </w:rPr>
        <w:lastRenderedPageBreak/>
        <w:t>Figure 2. 11:</w:t>
      </w:r>
      <w:r w:rsidR="002A2E7B" w:rsidRPr="00926FFF">
        <w:rPr>
          <w:rFonts w:ascii="Times New Roman" w:hAnsi="Times New Roman" w:cs="Times New Roman"/>
          <w:b/>
          <w:color w:val="000000"/>
        </w:rPr>
        <w:t xml:space="preserve"> Banks (net) equity during 2007-2011</w:t>
      </w:r>
    </w:p>
    <w:p w:rsidR="00345EB6" w:rsidRDefault="00345EB6" w:rsidP="00E214F9">
      <w:pPr>
        <w:autoSpaceDE w:val="0"/>
        <w:autoSpaceDN w:val="0"/>
        <w:adjustRightInd w:val="0"/>
        <w:spacing w:after="0" w:line="360" w:lineRule="auto"/>
        <w:jc w:val="center"/>
        <w:rPr>
          <w:rFonts w:ascii="Times New Roman" w:hAnsi="Times New Roman" w:cs="Times New Roman"/>
          <w:color w:val="000000"/>
          <w:sz w:val="24"/>
          <w:szCs w:val="24"/>
        </w:rPr>
      </w:pPr>
      <w:r w:rsidRPr="00345EB6">
        <w:rPr>
          <w:rFonts w:ascii="Times New Roman" w:hAnsi="Times New Roman" w:cs="Times New Roman"/>
          <w:noProof/>
          <w:color w:val="000000"/>
          <w:sz w:val="24"/>
          <w:szCs w:val="24"/>
        </w:rPr>
        <w:drawing>
          <wp:inline distT="0" distB="0" distL="0" distR="0">
            <wp:extent cx="4552950" cy="1302302"/>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duotone>
                        <a:prstClr val="black"/>
                        <a:schemeClr val="accent1">
                          <a:tint val="45000"/>
                          <a:satMod val="400000"/>
                        </a:schemeClr>
                      </a:duotone>
                    </a:blip>
                    <a:srcRect/>
                    <a:stretch>
                      <a:fillRect/>
                    </a:stretch>
                  </pic:blipFill>
                  <pic:spPr bwMode="auto">
                    <a:xfrm>
                      <a:off x="0" y="0"/>
                      <a:ext cx="4562119" cy="1304925"/>
                    </a:xfrm>
                    <a:prstGeom prst="rect">
                      <a:avLst/>
                    </a:prstGeom>
                    <a:noFill/>
                    <a:ln w="9525">
                      <a:noFill/>
                      <a:miter lim="800000"/>
                      <a:headEnd/>
                      <a:tailEnd/>
                    </a:ln>
                  </pic:spPr>
                </pic:pic>
              </a:graphicData>
            </a:graphic>
          </wp:inline>
        </w:drawing>
      </w:r>
    </w:p>
    <w:p w:rsidR="00B24FA8" w:rsidRPr="00C12167" w:rsidRDefault="00B26274" w:rsidP="00E04FD0">
      <w:pPr>
        <w:autoSpaceDE w:val="0"/>
        <w:autoSpaceDN w:val="0"/>
        <w:adjustRightInd w:val="0"/>
        <w:spacing w:after="0" w:line="360" w:lineRule="auto"/>
        <w:jc w:val="center"/>
        <w:rPr>
          <w:rFonts w:ascii="Times New Roman" w:hAnsi="Times New Roman" w:cs="Times New Roman"/>
          <w:color w:val="000000"/>
          <w:sz w:val="20"/>
          <w:szCs w:val="20"/>
        </w:rPr>
      </w:pPr>
      <w:r w:rsidRPr="00C12167">
        <w:rPr>
          <w:rFonts w:ascii="Times New Roman" w:hAnsi="Times New Roman" w:cs="Times New Roman"/>
          <w:color w:val="000000"/>
          <w:sz w:val="20"/>
          <w:szCs w:val="20"/>
        </w:rPr>
        <w:t>Source: Palestinian Monetary Authority (PMA), 201</w:t>
      </w:r>
      <w:r w:rsidR="00345EB6" w:rsidRPr="00C12167">
        <w:rPr>
          <w:rFonts w:ascii="Times New Roman" w:hAnsi="Times New Roman" w:cs="Times New Roman"/>
          <w:color w:val="000000"/>
          <w:sz w:val="20"/>
          <w:szCs w:val="20"/>
        </w:rPr>
        <w:t>2</w:t>
      </w:r>
      <w:r w:rsidR="000A2918">
        <w:rPr>
          <w:rFonts w:ascii="Times New Roman" w:hAnsi="Times New Roman" w:cs="Times New Roman"/>
          <w:color w:val="000000"/>
          <w:sz w:val="20"/>
          <w:szCs w:val="20"/>
        </w:rPr>
        <w:t>.</w:t>
      </w:r>
    </w:p>
    <w:p w:rsidR="000A35BD" w:rsidRDefault="000A35BD" w:rsidP="00FD6EED">
      <w:pPr>
        <w:spacing w:line="360" w:lineRule="auto"/>
        <w:contextualSpacing/>
        <w:rPr>
          <w:rFonts w:asciiTheme="majorBidi" w:hAnsiTheme="majorBidi" w:cstheme="majorBidi"/>
          <w:b/>
          <w:bCs/>
          <w:sz w:val="24"/>
          <w:szCs w:val="24"/>
          <w:lang w:bidi="ar-JO"/>
        </w:rPr>
      </w:pPr>
    </w:p>
    <w:p w:rsidR="003C1835" w:rsidRDefault="00926FFF" w:rsidP="00FD6EED">
      <w:pPr>
        <w:spacing w:line="360" w:lineRule="auto"/>
        <w:contextualSpacing/>
        <w:rPr>
          <w:rFonts w:asciiTheme="majorBidi" w:hAnsiTheme="majorBidi" w:cstheme="majorBidi"/>
          <w:b/>
          <w:bCs/>
          <w:sz w:val="24"/>
          <w:szCs w:val="24"/>
          <w:lang w:bidi="ar-JO"/>
        </w:rPr>
      </w:pPr>
      <w:r>
        <w:rPr>
          <w:rFonts w:asciiTheme="majorBidi" w:hAnsiTheme="majorBidi" w:cstheme="majorBidi"/>
          <w:b/>
          <w:bCs/>
          <w:sz w:val="24"/>
          <w:szCs w:val="24"/>
          <w:lang w:bidi="ar-JO"/>
        </w:rPr>
        <w:t>2.6.3 C</w:t>
      </w:r>
      <w:r w:rsidR="00F873C9">
        <w:rPr>
          <w:rFonts w:asciiTheme="majorBidi" w:hAnsiTheme="majorBidi" w:cstheme="majorBidi"/>
          <w:b/>
          <w:bCs/>
          <w:sz w:val="24"/>
          <w:szCs w:val="24"/>
          <w:lang w:bidi="ar-JO"/>
        </w:rPr>
        <w:t>redit Policy and Controls that G</w:t>
      </w:r>
      <w:r>
        <w:rPr>
          <w:rFonts w:asciiTheme="majorBidi" w:hAnsiTheme="majorBidi" w:cstheme="majorBidi"/>
          <w:b/>
          <w:bCs/>
          <w:sz w:val="24"/>
          <w:szCs w:val="24"/>
          <w:lang w:bidi="ar-JO"/>
        </w:rPr>
        <w:t>overn the P</w:t>
      </w:r>
      <w:r w:rsidR="004673CA" w:rsidRPr="0023054A">
        <w:rPr>
          <w:rFonts w:asciiTheme="majorBidi" w:hAnsiTheme="majorBidi" w:cstheme="majorBidi"/>
          <w:b/>
          <w:bCs/>
          <w:sz w:val="24"/>
          <w:szCs w:val="24"/>
          <w:lang w:bidi="ar-JO"/>
        </w:rPr>
        <w:t>erfo</w:t>
      </w:r>
      <w:r>
        <w:rPr>
          <w:rFonts w:asciiTheme="majorBidi" w:hAnsiTheme="majorBidi" w:cstheme="majorBidi"/>
          <w:b/>
          <w:bCs/>
          <w:sz w:val="24"/>
          <w:szCs w:val="24"/>
          <w:lang w:bidi="ar-JO"/>
        </w:rPr>
        <w:t>rmance of the Banking S</w:t>
      </w:r>
      <w:r w:rsidR="004673CA" w:rsidRPr="0023054A">
        <w:rPr>
          <w:rFonts w:asciiTheme="majorBidi" w:hAnsiTheme="majorBidi" w:cstheme="majorBidi"/>
          <w:b/>
          <w:bCs/>
          <w:sz w:val="24"/>
          <w:szCs w:val="24"/>
          <w:lang w:bidi="ar-JO"/>
        </w:rPr>
        <w:t>ystem in Palestine</w:t>
      </w:r>
    </w:p>
    <w:p w:rsidR="002B5A72" w:rsidRDefault="001609C2" w:rsidP="008135C1">
      <w:pPr>
        <w:spacing w:line="360" w:lineRule="auto"/>
        <w:contextualSpacing/>
        <w:jc w:val="both"/>
        <w:rPr>
          <w:rFonts w:asciiTheme="majorBidi" w:hAnsiTheme="majorBidi" w:cstheme="majorBidi"/>
          <w:sz w:val="24"/>
          <w:szCs w:val="24"/>
        </w:rPr>
      </w:pPr>
      <w:r w:rsidRPr="009D5D10">
        <w:rPr>
          <w:rFonts w:asciiTheme="majorBidi" w:hAnsiTheme="majorBidi" w:cstheme="majorBidi"/>
          <w:sz w:val="24"/>
          <w:szCs w:val="24"/>
        </w:rPr>
        <w:t>As it has been mentioned before, the means and control tools of credit supply, determine the framework of the credit policy since it considered the mirror That explain the reality and performance trends in the areas of banking credit to attract the one hand, and the policy of granting credit facilities on the other hand</w:t>
      </w:r>
      <w:r>
        <w:rPr>
          <w:rFonts w:asciiTheme="majorBidi" w:hAnsiTheme="majorBidi" w:cstheme="majorBidi"/>
          <w:sz w:val="24"/>
          <w:szCs w:val="24"/>
        </w:rPr>
        <w:t>.</w:t>
      </w:r>
    </w:p>
    <w:p w:rsidR="00F406EB" w:rsidRPr="00502966" w:rsidRDefault="00F406EB" w:rsidP="008135C1">
      <w:pPr>
        <w:spacing w:line="360" w:lineRule="auto"/>
        <w:contextualSpacing/>
        <w:jc w:val="both"/>
        <w:rPr>
          <w:rFonts w:asciiTheme="majorBidi" w:hAnsiTheme="majorBidi" w:cstheme="majorBidi"/>
          <w:sz w:val="24"/>
          <w:szCs w:val="24"/>
        </w:rPr>
      </w:pPr>
    </w:p>
    <w:p w:rsidR="0094023E" w:rsidRPr="0023054A" w:rsidRDefault="00926FFF" w:rsidP="00FD6EED">
      <w:pPr>
        <w:spacing w:line="360" w:lineRule="auto"/>
        <w:contextualSpacing/>
        <w:jc w:val="both"/>
        <w:rPr>
          <w:rFonts w:asciiTheme="majorBidi" w:hAnsiTheme="majorBidi" w:cstheme="majorBidi"/>
          <w:b/>
          <w:bCs/>
          <w:sz w:val="24"/>
          <w:szCs w:val="24"/>
          <w:lang w:bidi="ar-JO"/>
        </w:rPr>
      </w:pPr>
      <w:r>
        <w:rPr>
          <w:rFonts w:asciiTheme="majorBidi" w:hAnsiTheme="majorBidi" w:cstheme="majorBidi"/>
          <w:b/>
          <w:bCs/>
          <w:sz w:val="24"/>
          <w:szCs w:val="24"/>
          <w:lang w:bidi="ar-JO"/>
        </w:rPr>
        <w:t>2.6.3.1 Risks and Controls Governing Credit P</w:t>
      </w:r>
      <w:r w:rsidR="004673CA" w:rsidRPr="0023054A">
        <w:rPr>
          <w:rFonts w:asciiTheme="majorBidi" w:hAnsiTheme="majorBidi" w:cstheme="majorBidi"/>
          <w:b/>
          <w:bCs/>
          <w:sz w:val="24"/>
          <w:szCs w:val="24"/>
          <w:lang w:bidi="ar-JO"/>
        </w:rPr>
        <w:t>olicy</w:t>
      </w:r>
    </w:p>
    <w:p w:rsidR="001609C2" w:rsidRPr="0094023E" w:rsidRDefault="001609C2" w:rsidP="00FD6EED">
      <w:pPr>
        <w:spacing w:line="360" w:lineRule="auto"/>
        <w:contextualSpacing/>
        <w:jc w:val="both"/>
        <w:rPr>
          <w:rFonts w:asciiTheme="majorBidi" w:hAnsiTheme="majorBidi" w:cstheme="majorBidi"/>
          <w:b/>
          <w:bCs/>
          <w:sz w:val="28"/>
          <w:szCs w:val="28"/>
          <w:lang w:bidi="ar-JO"/>
        </w:rPr>
      </w:pPr>
      <w:r w:rsidRPr="00BA2907">
        <w:rPr>
          <w:rFonts w:asciiTheme="majorBidi" w:hAnsiTheme="majorBidi" w:cstheme="majorBidi"/>
          <w:sz w:val="24"/>
          <w:szCs w:val="24"/>
        </w:rPr>
        <w:t>When talking about the credit policy and the scope</w:t>
      </w:r>
      <w:r w:rsidR="007B4030">
        <w:rPr>
          <w:rFonts w:asciiTheme="majorBidi" w:hAnsiTheme="majorBidi" w:cstheme="majorBidi"/>
          <w:sz w:val="24"/>
          <w:szCs w:val="24"/>
        </w:rPr>
        <w:t xml:space="preserve"> of credit in the banking sector</w:t>
      </w:r>
      <w:r w:rsidRPr="00BA2907">
        <w:rPr>
          <w:rFonts w:asciiTheme="majorBidi" w:hAnsiTheme="majorBidi" w:cstheme="majorBidi"/>
          <w:sz w:val="24"/>
          <w:szCs w:val="24"/>
        </w:rPr>
        <w:t xml:space="preserve"> in Palestine, we note</w:t>
      </w:r>
      <w:r w:rsidR="007B4030">
        <w:rPr>
          <w:rFonts w:asciiTheme="majorBidi" w:hAnsiTheme="majorBidi" w:cstheme="majorBidi"/>
          <w:sz w:val="24"/>
          <w:szCs w:val="24"/>
        </w:rPr>
        <w:t>,</w:t>
      </w:r>
      <w:r w:rsidRPr="00BA2907">
        <w:rPr>
          <w:rFonts w:asciiTheme="majorBidi" w:hAnsiTheme="majorBidi" w:cstheme="majorBidi"/>
          <w:sz w:val="24"/>
          <w:szCs w:val="24"/>
        </w:rPr>
        <w:t xml:space="preserve"> the fact that this policy is influenced by the level of risk and uncertainty, which imposes on the banking system to diversify its facilities, services</w:t>
      </w:r>
      <w:r w:rsidR="007B4030">
        <w:rPr>
          <w:rFonts w:asciiTheme="majorBidi" w:hAnsiTheme="majorBidi" w:cstheme="majorBidi"/>
          <w:sz w:val="24"/>
          <w:szCs w:val="24"/>
        </w:rPr>
        <w:t xml:space="preserve"> and banking activities</w:t>
      </w:r>
      <w:r w:rsidRPr="00BA2907">
        <w:rPr>
          <w:rFonts w:asciiTheme="majorBidi" w:hAnsiTheme="majorBidi" w:cstheme="majorBidi"/>
          <w:sz w:val="24"/>
          <w:szCs w:val="24"/>
        </w:rPr>
        <w:t xml:space="preserve"> making each credit represents</w:t>
      </w:r>
      <w:r w:rsidR="007B4030">
        <w:rPr>
          <w:rFonts w:asciiTheme="majorBidi" w:hAnsiTheme="majorBidi" w:cstheme="majorBidi"/>
          <w:sz w:val="24"/>
          <w:szCs w:val="24"/>
        </w:rPr>
        <w:t xml:space="preserve"> a stand-alone operation. Credit</w:t>
      </w:r>
      <w:r w:rsidRPr="00BA2907">
        <w:rPr>
          <w:rFonts w:asciiTheme="majorBidi" w:hAnsiTheme="majorBidi" w:cstheme="majorBidi"/>
          <w:sz w:val="24"/>
          <w:szCs w:val="24"/>
        </w:rPr>
        <w:t xml:space="preserve"> risks are considered one of the most important risks a among all kind of risks because of </w:t>
      </w:r>
      <w:r w:rsidR="0023054A" w:rsidRPr="00BA2907">
        <w:rPr>
          <w:rFonts w:asciiTheme="majorBidi" w:hAnsiTheme="majorBidi" w:cstheme="majorBidi"/>
          <w:sz w:val="24"/>
          <w:szCs w:val="24"/>
        </w:rPr>
        <w:t>the economic</w:t>
      </w:r>
      <w:r w:rsidRPr="00BA2907">
        <w:rPr>
          <w:rFonts w:asciiTheme="majorBidi" w:hAnsiTheme="majorBidi" w:cstheme="majorBidi"/>
          <w:sz w:val="24"/>
          <w:szCs w:val="24"/>
        </w:rPr>
        <w:t>, political, social and legal conditions that limit the supply of bank credit in Palestine, due to the Fluctuations of the economic implications of the limited potentials, following the Israeli economy and its inability to build bridges of complementary or interoperability with neighboring markets or foreign market for objective reasons.</w:t>
      </w:r>
    </w:p>
    <w:p w:rsidR="00FD6EED" w:rsidRDefault="001609C2" w:rsidP="007B4030">
      <w:pPr>
        <w:spacing w:line="360" w:lineRule="auto"/>
        <w:contextualSpacing/>
        <w:jc w:val="both"/>
        <w:rPr>
          <w:rFonts w:asciiTheme="majorBidi" w:hAnsiTheme="majorBidi" w:cstheme="majorBidi"/>
          <w:sz w:val="24"/>
          <w:szCs w:val="24"/>
        </w:rPr>
      </w:pPr>
      <w:r w:rsidRPr="00D51FC6">
        <w:rPr>
          <w:rFonts w:asciiTheme="majorBidi" w:hAnsiTheme="majorBidi" w:cstheme="majorBidi"/>
          <w:sz w:val="24"/>
          <w:szCs w:val="24"/>
        </w:rPr>
        <w:t xml:space="preserve">Not to mention the political instability and weak legal structures and legislative, whether to the lack of legislation and laws that can meet the requirements of modernity and future, and even to be found, there is a lack of capacity and / or safety of the application and implementation. With regard to the risks </w:t>
      </w:r>
      <w:r>
        <w:rPr>
          <w:rFonts w:asciiTheme="majorBidi" w:hAnsiTheme="majorBidi" w:cstheme="majorBidi"/>
          <w:sz w:val="24"/>
          <w:szCs w:val="24"/>
        </w:rPr>
        <w:t>associated with the</w:t>
      </w:r>
      <w:r w:rsidRPr="00D51FC6">
        <w:rPr>
          <w:rFonts w:asciiTheme="majorBidi" w:hAnsiTheme="majorBidi" w:cstheme="majorBidi"/>
          <w:sz w:val="24"/>
          <w:szCs w:val="24"/>
        </w:rPr>
        <w:t xml:space="preserve"> borrower</w:t>
      </w:r>
      <w:r>
        <w:rPr>
          <w:rFonts w:asciiTheme="majorBidi" w:hAnsiTheme="majorBidi" w:cstheme="majorBidi"/>
          <w:sz w:val="24"/>
          <w:szCs w:val="24"/>
        </w:rPr>
        <w:t xml:space="preserve"> activity whether </w:t>
      </w:r>
      <w:r w:rsidR="0023054A">
        <w:rPr>
          <w:rFonts w:asciiTheme="majorBidi" w:hAnsiTheme="majorBidi" w:cstheme="majorBidi"/>
          <w:sz w:val="24"/>
          <w:szCs w:val="24"/>
        </w:rPr>
        <w:t xml:space="preserve">its </w:t>
      </w:r>
      <w:r w:rsidR="0023054A" w:rsidRPr="00D51FC6">
        <w:rPr>
          <w:rFonts w:asciiTheme="majorBidi" w:hAnsiTheme="majorBidi" w:cstheme="majorBidi"/>
          <w:sz w:val="24"/>
          <w:szCs w:val="24"/>
        </w:rPr>
        <w:lastRenderedPageBreak/>
        <w:t>productivity</w:t>
      </w:r>
      <w:r>
        <w:rPr>
          <w:rFonts w:asciiTheme="majorBidi" w:hAnsiTheme="majorBidi" w:cstheme="majorBidi"/>
          <w:sz w:val="24"/>
          <w:szCs w:val="24"/>
        </w:rPr>
        <w:t xml:space="preserve"> - technical or marketing risks,</w:t>
      </w:r>
      <w:r w:rsidRPr="00D51FC6">
        <w:rPr>
          <w:rFonts w:asciiTheme="majorBidi" w:hAnsiTheme="majorBidi" w:cstheme="majorBidi"/>
          <w:sz w:val="24"/>
          <w:szCs w:val="24"/>
        </w:rPr>
        <w:t xml:space="preserve"> it is clear and evident</w:t>
      </w:r>
      <w:r>
        <w:rPr>
          <w:rFonts w:asciiTheme="majorBidi" w:hAnsiTheme="majorBidi" w:cstheme="majorBidi"/>
          <w:sz w:val="24"/>
          <w:szCs w:val="24"/>
        </w:rPr>
        <w:t xml:space="preserve"> in the inability of the</w:t>
      </w:r>
      <w:r w:rsidRPr="00D51FC6">
        <w:rPr>
          <w:rFonts w:asciiTheme="majorBidi" w:hAnsiTheme="majorBidi" w:cstheme="majorBidi"/>
          <w:sz w:val="24"/>
          <w:szCs w:val="24"/>
        </w:rPr>
        <w:t xml:space="preserve"> Palestinian</w:t>
      </w:r>
      <w:r w:rsidR="00526F96">
        <w:rPr>
          <w:rFonts w:asciiTheme="majorBidi" w:hAnsiTheme="majorBidi" w:cstheme="majorBidi"/>
          <w:sz w:val="24"/>
          <w:szCs w:val="24"/>
        </w:rPr>
        <w:t xml:space="preserve"> </w:t>
      </w:r>
      <w:r w:rsidR="0023054A">
        <w:rPr>
          <w:rFonts w:asciiTheme="majorBidi" w:hAnsiTheme="majorBidi" w:cstheme="majorBidi"/>
          <w:sz w:val="24"/>
          <w:szCs w:val="24"/>
        </w:rPr>
        <w:t>product to</w:t>
      </w:r>
      <w:r>
        <w:rPr>
          <w:rFonts w:asciiTheme="majorBidi" w:hAnsiTheme="majorBidi" w:cstheme="majorBidi"/>
          <w:sz w:val="24"/>
          <w:szCs w:val="24"/>
        </w:rPr>
        <w:t xml:space="preserve"> develop</w:t>
      </w:r>
      <w:r w:rsidRPr="00D51FC6">
        <w:rPr>
          <w:rFonts w:asciiTheme="majorBidi" w:hAnsiTheme="majorBidi" w:cstheme="majorBidi"/>
          <w:sz w:val="24"/>
          <w:szCs w:val="24"/>
        </w:rPr>
        <w:t xml:space="preserve"> its relations</w:t>
      </w:r>
      <w:r>
        <w:rPr>
          <w:rFonts w:asciiTheme="majorBidi" w:hAnsiTheme="majorBidi" w:cstheme="majorBidi"/>
          <w:sz w:val="24"/>
          <w:szCs w:val="24"/>
        </w:rPr>
        <w:t xml:space="preserve"> with foreign markets which enhance</w:t>
      </w:r>
      <w:r w:rsidRPr="00D51FC6">
        <w:rPr>
          <w:rFonts w:asciiTheme="majorBidi" w:hAnsiTheme="majorBidi" w:cstheme="majorBidi"/>
          <w:sz w:val="24"/>
          <w:szCs w:val="24"/>
        </w:rPr>
        <w:t xml:space="preserve"> its competitiveness while it is difficult to ope</w:t>
      </w:r>
      <w:r>
        <w:rPr>
          <w:rFonts w:asciiTheme="majorBidi" w:hAnsiTheme="majorBidi" w:cstheme="majorBidi"/>
          <w:sz w:val="24"/>
          <w:szCs w:val="24"/>
        </w:rPr>
        <w:t>rate freely in the local market.</w:t>
      </w:r>
      <w:r w:rsidRPr="00D51FC6">
        <w:rPr>
          <w:rFonts w:asciiTheme="majorBidi" w:hAnsiTheme="majorBidi" w:cstheme="majorBidi"/>
          <w:sz w:val="24"/>
          <w:szCs w:val="24"/>
        </w:rPr>
        <w:t xml:space="preserve"> Th</w:t>
      </w:r>
      <w:r>
        <w:rPr>
          <w:rFonts w:asciiTheme="majorBidi" w:hAnsiTheme="majorBidi" w:cstheme="majorBidi"/>
          <w:sz w:val="24"/>
          <w:szCs w:val="24"/>
        </w:rPr>
        <w:t>is will raise</w:t>
      </w:r>
      <w:r w:rsidRPr="00D51FC6">
        <w:rPr>
          <w:rFonts w:asciiTheme="majorBidi" w:hAnsiTheme="majorBidi" w:cstheme="majorBidi"/>
          <w:sz w:val="24"/>
          <w:szCs w:val="24"/>
        </w:rPr>
        <w:t xml:space="preserve"> the</w:t>
      </w:r>
      <w:r w:rsidR="00526F96">
        <w:rPr>
          <w:rFonts w:asciiTheme="majorBidi" w:hAnsiTheme="majorBidi" w:cstheme="majorBidi"/>
          <w:sz w:val="24"/>
          <w:szCs w:val="24"/>
        </w:rPr>
        <w:t xml:space="preserve"> </w:t>
      </w:r>
      <w:r w:rsidRPr="00D51FC6">
        <w:rPr>
          <w:rFonts w:asciiTheme="majorBidi" w:hAnsiTheme="majorBidi" w:cstheme="majorBidi"/>
          <w:sz w:val="24"/>
          <w:szCs w:val="24"/>
        </w:rPr>
        <w:t>production costs or lead to the freezing of capital in the form of goods</w:t>
      </w:r>
      <w:r>
        <w:rPr>
          <w:rFonts w:asciiTheme="majorBidi" w:hAnsiTheme="majorBidi" w:cstheme="majorBidi"/>
          <w:sz w:val="24"/>
          <w:szCs w:val="24"/>
        </w:rPr>
        <w:t xml:space="preserve"> that</w:t>
      </w:r>
      <w:r w:rsidRPr="00D51FC6">
        <w:rPr>
          <w:rFonts w:asciiTheme="majorBidi" w:hAnsiTheme="majorBidi" w:cstheme="majorBidi"/>
          <w:sz w:val="24"/>
          <w:szCs w:val="24"/>
        </w:rPr>
        <w:t xml:space="preserve"> is not realizable, which led many institutions to shift </w:t>
      </w:r>
      <w:r w:rsidR="0023054A" w:rsidRPr="00D51FC6">
        <w:rPr>
          <w:rFonts w:asciiTheme="majorBidi" w:hAnsiTheme="majorBidi" w:cstheme="majorBidi"/>
          <w:sz w:val="24"/>
          <w:szCs w:val="24"/>
        </w:rPr>
        <w:t xml:space="preserve">to </w:t>
      </w:r>
      <w:r w:rsidR="0023054A">
        <w:rPr>
          <w:rFonts w:asciiTheme="majorBidi" w:hAnsiTheme="majorBidi" w:cstheme="majorBidi"/>
          <w:sz w:val="24"/>
          <w:szCs w:val="24"/>
        </w:rPr>
        <w:t>commercial</w:t>
      </w:r>
      <w:r>
        <w:rPr>
          <w:rFonts w:asciiTheme="majorBidi" w:hAnsiTheme="majorBidi" w:cstheme="majorBidi"/>
          <w:sz w:val="24"/>
          <w:szCs w:val="24"/>
        </w:rPr>
        <w:t xml:space="preserve"> sectors</w:t>
      </w:r>
      <w:r w:rsidRPr="00D51FC6">
        <w:rPr>
          <w:rFonts w:asciiTheme="majorBidi" w:hAnsiTheme="majorBidi" w:cstheme="majorBidi"/>
          <w:sz w:val="24"/>
          <w:szCs w:val="24"/>
        </w:rPr>
        <w:t xml:space="preserve"> or rea</w:t>
      </w:r>
      <w:r>
        <w:rPr>
          <w:rFonts w:asciiTheme="majorBidi" w:hAnsiTheme="majorBidi" w:cstheme="majorBidi"/>
          <w:sz w:val="24"/>
          <w:szCs w:val="24"/>
        </w:rPr>
        <w:t>l estate, or close their doors. These conditions led banks to</w:t>
      </w:r>
      <w:r w:rsidRPr="00D51FC6">
        <w:rPr>
          <w:rFonts w:asciiTheme="majorBidi" w:hAnsiTheme="majorBidi" w:cstheme="majorBidi"/>
          <w:sz w:val="24"/>
          <w:szCs w:val="24"/>
        </w:rPr>
        <w:t xml:space="preserve"> increased</w:t>
      </w:r>
      <w:r w:rsidR="00526F96">
        <w:rPr>
          <w:rFonts w:asciiTheme="majorBidi" w:hAnsiTheme="majorBidi" w:cstheme="majorBidi"/>
          <w:sz w:val="24"/>
          <w:szCs w:val="24"/>
        </w:rPr>
        <w:t xml:space="preserve"> </w:t>
      </w:r>
      <w:r w:rsidR="0023054A" w:rsidRPr="00D51FC6">
        <w:rPr>
          <w:rFonts w:asciiTheme="majorBidi" w:hAnsiTheme="majorBidi" w:cstheme="majorBidi"/>
          <w:sz w:val="24"/>
          <w:szCs w:val="24"/>
        </w:rPr>
        <w:t>cautious</w:t>
      </w:r>
      <w:r w:rsidR="00526F96">
        <w:rPr>
          <w:rFonts w:asciiTheme="majorBidi" w:hAnsiTheme="majorBidi" w:cstheme="majorBidi"/>
          <w:sz w:val="24"/>
          <w:szCs w:val="24"/>
        </w:rPr>
        <w:t xml:space="preserve"> </w:t>
      </w:r>
      <w:r w:rsidR="0023054A" w:rsidRPr="00D51FC6">
        <w:rPr>
          <w:rFonts w:asciiTheme="majorBidi" w:hAnsiTheme="majorBidi" w:cstheme="majorBidi"/>
          <w:sz w:val="24"/>
          <w:szCs w:val="24"/>
        </w:rPr>
        <w:t>policies</w:t>
      </w:r>
      <w:r w:rsidR="00526F96">
        <w:rPr>
          <w:rFonts w:asciiTheme="majorBidi" w:hAnsiTheme="majorBidi" w:cstheme="majorBidi"/>
          <w:sz w:val="24"/>
          <w:szCs w:val="24"/>
        </w:rPr>
        <w:t xml:space="preserve"> </w:t>
      </w:r>
      <w:r>
        <w:rPr>
          <w:rFonts w:asciiTheme="majorBidi" w:hAnsiTheme="majorBidi" w:cstheme="majorBidi"/>
          <w:sz w:val="24"/>
          <w:szCs w:val="24"/>
        </w:rPr>
        <w:t>when</w:t>
      </w:r>
      <w:r w:rsidRPr="00D51FC6">
        <w:rPr>
          <w:rFonts w:asciiTheme="majorBidi" w:hAnsiTheme="majorBidi" w:cstheme="majorBidi"/>
          <w:sz w:val="24"/>
          <w:szCs w:val="24"/>
        </w:rPr>
        <w:t xml:space="preserve"> dealing with such institutions, which would</w:t>
      </w:r>
      <w:r w:rsidR="00526F96">
        <w:rPr>
          <w:rFonts w:asciiTheme="majorBidi" w:hAnsiTheme="majorBidi" w:cstheme="majorBidi"/>
          <w:sz w:val="24"/>
          <w:szCs w:val="24"/>
        </w:rPr>
        <w:t xml:space="preserve"> </w:t>
      </w:r>
      <w:r w:rsidRPr="00D51FC6">
        <w:rPr>
          <w:rFonts w:asciiTheme="majorBidi" w:hAnsiTheme="majorBidi" w:cstheme="majorBidi"/>
          <w:sz w:val="24"/>
          <w:szCs w:val="24"/>
        </w:rPr>
        <w:t>deepen the credit risk related to the financial situation of the client</w:t>
      </w:r>
      <w:r>
        <w:rPr>
          <w:rFonts w:asciiTheme="majorBidi" w:hAnsiTheme="majorBidi" w:cstheme="majorBidi"/>
          <w:sz w:val="24"/>
          <w:szCs w:val="24"/>
        </w:rPr>
        <w:t>.</w:t>
      </w:r>
    </w:p>
    <w:p w:rsidR="002B5A72" w:rsidRDefault="001609C2" w:rsidP="00B24FA8">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Due to</w:t>
      </w:r>
      <w:r w:rsidRPr="00F95BAB">
        <w:rPr>
          <w:rFonts w:asciiTheme="majorBidi" w:hAnsiTheme="majorBidi" w:cstheme="majorBidi"/>
          <w:sz w:val="24"/>
          <w:szCs w:val="24"/>
        </w:rPr>
        <w:t xml:space="preserve"> the novelty of the Palestinian bankin</w:t>
      </w:r>
      <w:r>
        <w:rPr>
          <w:rFonts w:asciiTheme="majorBidi" w:hAnsiTheme="majorBidi" w:cstheme="majorBidi"/>
          <w:sz w:val="24"/>
          <w:szCs w:val="24"/>
        </w:rPr>
        <w:t>g system and the weakness of</w:t>
      </w:r>
      <w:r w:rsidRPr="00F95BAB">
        <w:rPr>
          <w:rFonts w:asciiTheme="majorBidi" w:hAnsiTheme="majorBidi" w:cstheme="majorBidi"/>
          <w:sz w:val="24"/>
          <w:szCs w:val="24"/>
        </w:rPr>
        <w:t xml:space="preserve"> experience and expertise in the Palestinian market</w:t>
      </w:r>
      <w:r>
        <w:rPr>
          <w:rFonts w:asciiTheme="majorBidi" w:hAnsiTheme="majorBidi" w:cstheme="majorBidi"/>
          <w:sz w:val="24"/>
          <w:szCs w:val="24"/>
        </w:rPr>
        <w:t>, some banks</w:t>
      </w:r>
      <w:r w:rsidRPr="00F95BAB">
        <w:rPr>
          <w:rFonts w:asciiTheme="majorBidi" w:hAnsiTheme="majorBidi" w:cstheme="majorBidi"/>
          <w:sz w:val="24"/>
          <w:szCs w:val="24"/>
        </w:rPr>
        <w:t xml:space="preserve"> especially the National</w:t>
      </w:r>
      <w:r>
        <w:rPr>
          <w:rFonts w:asciiTheme="majorBidi" w:hAnsiTheme="majorBidi" w:cstheme="majorBidi"/>
          <w:sz w:val="24"/>
          <w:szCs w:val="24"/>
        </w:rPr>
        <w:t xml:space="preserve"> one </w:t>
      </w:r>
      <w:r w:rsidRPr="00F95BAB">
        <w:rPr>
          <w:rFonts w:asciiTheme="majorBidi" w:hAnsiTheme="majorBidi" w:cstheme="majorBidi"/>
          <w:sz w:val="24"/>
          <w:szCs w:val="24"/>
        </w:rPr>
        <w:t>has fa</w:t>
      </w:r>
      <w:r>
        <w:rPr>
          <w:rFonts w:asciiTheme="majorBidi" w:hAnsiTheme="majorBidi" w:cstheme="majorBidi"/>
          <w:sz w:val="24"/>
          <w:szCs w:val="24"/>
        </w:rPr>
        <w:t xml:space="preserve">ced </w:t>
      </w:r>
      <w:r w:rsidRPr="00F95BAB">
        <w:rPr>
          <w:rFonts w:asciiTheme="majorBidi" w:hAnsiTheme="majorBidi" w:cstheme="majorBidi"/>
          <w:sz w:val="24"/>
          <w:szCs w:val="24"/>
        </w:rPr>
        <w:t xml:space="preserve"> in the early stages</w:t>
      </w:r>
      <w:r w:rsidR="007B4030">
        <w:rPr>
          <w:rFonts w:asciiTheme="majorBidi" w:hAnsiTheme="majorBidi" w:cstheme="majorBidi"/>
          <w:sz w:val="24"/>
          <w:szCs w:val="24"/>
        </w:rPr>
        <w:t xml:space="preserve"> high degree </w:t>
      </w:r>
      <w:r w:rsidRPr="00F95BAB">
        <w:rPr>
          <w:rFonts w:asciiTheme="majorBidi" w:hAnsiTheme="majorBidi" w:cstheme="majorBidi"/>
          <w:sz w:val="24"/>
          <w:szCs w:val="24"/>
        </w:rPr>
        <w:t>of operational risks arising from</w:t>
      </w:r>
      <w:r>
        <w:rPr>
          <w:rFonts w:asciiTheme="majorBidi" w:hAnsiTheme="majorBidi" w:cstheme="majorBidi"/>
          <w:sz w:val="24"/>
          <w:szCs w:val="24"/>
        </w:rPr>
        <w:t xml:space="preserve"> bank’s errors</w:t>
      </w:r>
      <w:r w:rsidRPr="00F95BAB">
        <w:rPr>
          <w:rFonts w:asciiTheme="majorBidi" w:hAnsiTheme="majorBidi" w:cstheme="majorBidi"/>
          <w:sz w:val="24"/>
          <w:szCs w:val="24"/>
        </w:rPr>
        <w:t xml:space="preserve"> and non-compliance with the standards and</w:t>
      </w:r>
      <w:r>
        <w:rPr>
          <w:rFonts w:asciiTheme="majorBidi" w:hAnsiTheme="majorBidi" w:cstheme="majorBidi"/>
          <w:sz w:val="24"/>
          <w:szCs w:val="24"/>
        </w:rPr>
        <w:t xml:space="preserve"> banking norms but due to</w:t>
      </w:r>
      <w:r w:rsidRPr="00F95BAB">
        <w:rPr>
          <w:rFonts w:asciiTheme="majorBidi" w:hAnsiTheme="majorBidi" w:cstheme="majorBidi"/>
          <w:sz w:val="24"/>
          <w:szCs w:val="24"/>
        </w:rPr>
        <w:t xml:space="preserve"> the control and supervision</w:t>
      </w:r>
      <w:r w:rsidR="00526F96">
        <w:rPr>
          <w:rFonts w:asciiTheme="majorBidi" w:hAnsiTheme="majorBidi" w:cstheme="majorBidi"/>
          <w:sz w:val="24"/>
          <w:szCs w:val="24"/>
        </w:rPr>
        <w:t xml:space="preserve"> tools by Palestinian Monetary A</w:t>
      </w:r>
      <w:r>
        <w:rPr>
          <w:rFonts w:asciiTheme="majorBidi" w:hAnsiTheme="majorBidi" w:cstheme="majorBidi"/>
          <w:sz w:val="24"/>
          <w:szCs w:val="24"/>
        </w:rPr>
        <w:t>uthorities</w:t>
      </w:r>
      <w:r w:rsidRPr="00F95BAB">
        <w:rPr>
          <w:rFonts w:asciiTheme="majorBidi" w:hAnsiTheme="majorBidi" w:cstheme="majorBidi"/>
          <w:sz w:val="24"/>
          <w:szCs w:val="24"/>
        </w:rPr>
        <w:t xml:space="preserve"> led to the improvement of the level of control</w:t>
      </w:r>
      <w:r w:rsidR="008135C1">
        <w:rPr>
          <w:rFonts w:asciiTheme="majorBidi" w:hAnsiTheme="majorBidi" w:cstheme="majorBidi"/>
          <w:sz w:val="24"/>
          <w:szCs w:val="24"/>
        </w:rPr>
        <w:t xml:space="preserve"> </w:t>
      </w:r>
      <w:r w:rsidRPr="00F95BAB">
        <w:rPr>
          <w:rFonts w:asciiTheme="majorBidi" w:hAnsiTheme="majorBidi" w:cstheme="majorBidi"/>
          <w:sz w:val="24"/>
          <w:szCs w:val="24"/>
        </w:rPr>
        <w:t>on these risks,</w:t>
      </w:r>
      <w:r>
        <w:rPr>
          <w:rFonts w:asciiTheme="majorBidi" w:hAnsiTheme="majorBidi" w:cstheme="majorBidi"/>
          <w:sz w:val="24"/>
          <w:szCs w:val="24"/>
        </w:rPr>
        <w:t xml:space="preserve"> through the developments and </w:t>
      </w:r>
      <w:r w:rsidRPr="00F95BAB">
        <w:rPr>
          <w:rFonts w:asciiTheme="majorBidi" w:hAnsiTheme="majorBidi" w:cstheme="majorBidi"/>
          <w:sz w:val="24"/>
          <w:szCs w:val="24"/>
        </w:rPr>
        <w:t xml:space="preserve"> strengthen internal and external controls of the credit.</w:t>
      </w:r>
    </w:p>
    <w:p w:rsidR="00F406EB" w:rsidRPr="00B24FA8" w:rsidRDefault="00F406EB" w:rsidP="00B24FA8">
      <w:pPr>
        <w:spacing w:line="360" w:lineRule="auto"/>
        <w:contextualSpacing/>
        <w:jc w:val="both"/>
        <w:rPr>
          <w:rFonts w:asciiTheme="majorBidi" w:hAnsiTheme="majorBidi" w:cstheme="majorBidi"/>
          <w:sz w:val="24"/>
          <w:szCs w:val="24"/>
        </w:rPr>
      </w:pPr>
    </w:p>
    <w:p w:rsidR="001609C2" w:rsidRDefault="001609C2" w:rsidP="00FD6EED">
      <w:pPr>
        <w:spacing w:line="360" w:lineRule="auto"/>
        <w:contextualSpacing/>
        <w:rPr>
          <w:rFonts w:asciiTheme="majorBidi" w:hAnsiTheme="majorBidi" w:cstheme="majorBidi"/>
          <w:b/>
          <w:bCs/>
          <w:sz w:val="24"/>
          <w:szCs w:val="24"/>
        </w:rPr>
      </w:pPr>
      <w:r>
        <w:rPr>
          <w:rFonts w:asciiTheme="majorBidi" w:hAnsiTheme="majorBidi" w:cstheme="majorBidi"/>
          <w:b/>
          <w:bCs/>
          <w:sz w:val="24"/>
          <w:szCs w:val="24"/>
        </w:rPr>
        <w:t xml:space="preserve">2.6.3.1.1 </w:t>
      </w:r>
      <w:r w:rsidRPr="007E7D26">
        <w:rPr>
          <w:rFonts w:asciiTheme="majorBidi" w:hAnsiTheme="majorBidi" w:cstheme="majorBidi"/>
          <w:b/>
          <w:bCs/>
          <w:sz w:val="24"/>
          <w:szCs w:val="24"/>
        </w:rPr>
        <w:t>External</w:t>
      </w:r>
      <w:r w:rsidR="00926FFF">
        <w:rPr>
          <w:rFonts w:asciiTheme="majorBidi" w:hAnsiTheme="majorBidi" w:cstheme="majorBidi"/>
          <w:b/>
          <w:bCs/>
          <w:sz w:val="24"/>
          <w:szCs w:val="24"/>
        </w:rPr>
        <w:t xml:space="preserve"> C</w:t>
      </w:r>
      <w:r>
        <w:rPr>
          <w:rFonts w:asciiTheme="majorBidi" w:hAnsiTheme="majorBidi" w:cstheme="majorBidi"/>
          <w:b/>
          <w:bCs/>
          <w:sz w:val="24"/>
          <w:szCs w:val="24"/>
        </w:rPr>
        <w:t>redit</w:t>
      </w:r>
      <w:r w:rsidR="00926FFF">
        <w:rPr>
          <w:rFonts w:asciiTheme="majorBidi" w:hAnsiTheme="majorBidi" w:cstheme="majorBidi"/>
          <w:b/>
          <w:bCs/>
          <w:sz w:val="24"/>
          <w:szCs w:val="24"/>
        </w:rPr>
        <w:t xml:space="preserve"> C</w:t>
      </w:r>
      <w:r w:rsidRPr="007E7D26">
        <w:rPr>
          <w:rFonts w:asciiTheme="majorBidi" w:hAnsiTheme="majorBidi" w:cstheme="majorBidi"/>
          <w:b/>
          <w:bCs/>
          <w:sz w:val="24"/>
          <w:szCs w:val="24"/>
        </w:rPr>
        <w:t>ontrols</w:t>
      </w:r>
    </w:p>
    <w:p w:rsidR="001609C2" w:rsidRDefault="001609C2" w:rsidP="00FD6EED">
      <w:pPr>
        <w:spacing w:line="360" w:lineRule="auto"/>
        <w:contextualSpacing/>
        <w:jc w:val="both"/>
        <w:rPr>
          <w:rFonts w:asciiTheme="majorBidi" w:hAnsiTheme="majorBidi" w:cstheme="majorBidi"/>
          <w:sz w:val="24"/>
          <w:szCs w:val="24"/>
        </w:rPr>
      </w:pPr>
      <w:r w:rsidRPr="007E7D26">
        <w:rPr>
          <w:rFonts w:asciiTheme="majorBidi" w:hAnsiTheme="majorBidi" w:cstheme="majorBidi"/>
          <w:sz w:val="24"/>
          <w:szCs w:val="24"/>
        </w:rPr>
        <w:t>External Credit controls</w:t>
      </w:r>
      <w:r w:rsidR="00454BA7">
        <w:rPr>
          <w:rFonts w:asciiTheme="majorBidi" w:hAnsiTheme="majorBidi" w:cstheme="majorBidi"/>
          <w:sz w:val="24"/>
          <w:szCs w:val="24"/>
        </w:rPr>
        <w:t xml:space="preserve"> can be defined as </w:t>
      </w:r>
      <w:r w:rsidRPr="007E7D26">
        <w:rPr>
          <w:rFonts w:asciiTheme="majorBidi" w:hAnsiTheme="majorBidi" w:cstheme="majorBidi"/>
          <w:sz w:val="24"/>
          <w:szCs w:val="24"/>
        </w:rPr>
        <w:t>those supposedly controls</w:t>
      </w:r>
      <w:r>
        <w:rPr>
          <w:rFonts w:asciiTheme="majorBidi" w:hAnsiTheme="majorBidi" w:cstheme="majorBidi"/>
          <w:sz w:val="24"/>
          <w:szCs w:val="24"/>
        </w:rPr>
        <w:t xml:space="preserve"> that must </w:t>
      </w:r>
      <w:r w:rsidR="00425C35">
        <w:rPr>
          <w:rFonts w:asciiTheme="majorBidi" w:hAnsiTheme="majorBidi" w:cstheme="majorBidi"/>
          <w:sz w:val="24"/>
          <w:szCs w:val="24"/>
        </w:rPr>
        <w:t>be commitment</w:t>
      </w:r>
      <w:r>
        <w:rPr>
          <w:rFonts w:asciiTheme="majorBidi" w:hAnsiTheme="majorBidi" w:cstheme="majorBidi"/>
          <w:sz w:val="24"/>
          <w:szCs w:val="24"/>
        </w:rPr>
        <w:t xml:space="preserve"> and compliance by</w:t>
      </w:r>
      <w:r w:rsidRPr="007E7D26">
        <w:rPr>
          <w:rFonts w:asciiTheme="majorBidi" w:hAnsiTheme="majorBidi" w:cstheme="majorBidi"/>
          <w:sz w:val="24"/>
          <w:szCs w:val="24"/>
        </w:rPr>
        <w:t xml:space="preserve"> the </w:t>
      </w:r>
      <w:r>
        <w:rPr>
          <w:rFonts w:asciiTheme="majorBidi" w:hAnsiTheme="majorBidi" w:cstheme="majorBidi"/>
          <w:sz w:val="24"/>
          <w:szCs w:val="24"/>
        </w:rPr>
        <w:t>banking system</w:t>
      </w:r>
      <w:r w:rsidRPr="007E7D26">
        <w:rPr>
          <w:rFonts w:asciiTheme="majorBidi" w:hAnsiTheme="majorBidi" w:cstheme="majorBidi"/>
          <w:sz w:val="24"/>
          <w:szCs w:val="24"/>
        </w:rPr>
        <w:t xml:space="preserve"> whether</w:t>
      </w:r>
      <w:r>
        <w:rPr>
          <w:rFonts w:asciiTheme="majorBidi" w:hAnsiTheme="majorBidi" w:cstheme="majorBidi"/>
          <w:sz w:val="24"/>
          <w:szCs w:val="24"/>
        </w:rPr>
        <w:t xml:space="preserve"> it</w:t>
      </w:r>
      <w:r w:rsidRPr="007E7D26">
        <w:rPr>
          <w:rFonts w:asciiTheme="majorBidi" w:hAnsiTheme="majorBidi" w:cstheme="majorBidi"/>
          <w:sz w:val="24"/>
          <w:szCs w:val="24"/>
        </w:rPr>
        <w:t xml:space="preserve"> represented by banking norms and standa</w:t>
      </w:r>
      <w:r>
        <w:rPr>
          <w:rFonts w:asciiTheme="majorBidi" w:hAnsiTheme="majorBidi" w:cstheme="majorBidi"/>
          <w:sz w:val="24"/>
          <w:szCs w:val="24"/>
        </w:rPr>
        <w:t>rds accepted or were</w:t>
      </w:r>
      <w:r w:rsidRPr="007E7D26">
        <w:rPr>
          <w:rFonts w:asciiTheme="majorBidi" w:hAnsiTheme="majorBidi" w:cstheme="majorBidi"/>
          <w:sz w:val="24"/>
          <w:szCs w:val="24"/>
        </w:rPr>
        <w:t xml:space="preserve"> regulations and instructions imposed by the regulatory authorities or the concerned author</w:t>
      </w:r>
      <w:r>
        <w:rPr>
          <w:rFonts w:asciiTheme="majorBidi" w:hAnsiTheme="majorBidi" w:cstheme="majorBidi"/>
          <w:sz w:val="24"/>
          <w:szCs w:val="24"/>
        </w:rPr>
        <w:t>ities regarding organizing</w:t>
      </w:r>
      <w:r w:rsidRPr="007E7D26">
        <w:rPr>
          <w:rFonts w:asciiTheme="majorBidi" w:hAnsiTheme="majorBidi" w:cstheme="majorBidi"/>
          <w:sz w:val="24"/>
          <w:szCs w:val="24"/>
        </w:rPr>
        <w:t xml:space="preserve"> and control</w:t>
      </w:r>
      <w:r>
        <w:rPr>
          <w:rFonts w:asciiTheme="majorBidi" w:hAnsiTheme="majorBidi" w:cstheme="majorBidi"/>
          <w:sz w:val="24"/>
          <w:szCs w:val="24"/>
        </w:rPr>
        <w:t>ling</w:t>
      </w:r>
      <w:r w:rsidRPr="007E7D26">
        <w:rPr>
          <w:rFonts w:asciiTheme="majorBidi" w:hAnsiTheme="majorBidi" w:cstheme="majorBidi"/>
          <w:sz w:val="24"/>
          <w:szCs w:val="24"/>
        </w:rPr>
        <w:t xml:space="preserve"> of the banking business</w:t>
      </w:r>
      <w:r>
        <w:rPr>
          <w:rFonts w:asciiTheme="majorBidi" w:hAnsiTheme="majorBidi" w:cstheme="majorBidi"/>
          <w:sz w:val="24"/>
          <w:szCs w:val="24"/>
        </w:rPr>
        <w:t xml:space="preserve"> </w:t>
      </w:r>
      <w:r w:rsidR="00D11023">
        <w:rPr>
          <w:rFonts w:asciiTheme="majorBidi" w:hAnsiTheme="majorBidi" w:cstheme="majorBidi"/>
          <w:sz w:val="24"/>
          <w:szCs w:val="24"/>
        </w:rPr>
        <w:t>(</w:t>
      </w:r>
      <w:r>
        <w:rPr>
          <w:rFonts w:asciiTheme="majorBidi" w:hAnsiTheme="majorBidi" w:cstheme="majorBidi"/>
          <w:sz w:val="24"/>
          <w:szCs w:val="24"/>
        </w:rPr>
        <w:t>Alhamzawi, 1997). This definition</w:t>
      </w:r>
      <w:r w:rsidRPr="00B80D4C">
        <w:rPr>
          <w:rFonts w:asciiTheme="majorBidi" w:hAnsiTheme="majorBidi" w:cstheme="majorBidi"/>
          <w:sz w:val="24"/>
          <w:szCs w:val="24"/>
        </w:rPr>
        <w:t xml:space="preserve"> ref</w:t>
      </w:r>
      <w:r>
        <w:rPr>
          <w:rFonts w:asciiTheme="majorBidi" w:hAnsiTheme="majorBidi" w:cstheme="majorBidi"/>
          <w:sz w:val="24"/>
          <w:szCs w:val="24"/>
        </w:rPr>
        <w:t>lects</w:t>
      </w:r>
      <w:r w:rsidRPr="00B80D4C">
        <w:rPr>
          <w:rFonts w:asciiTheme="majorBidi" w:hAnsiTheme="majorBidi" w:cstheme="majorBidi"/>
          <w:sz w:val="24"/>
          <w:szCs w:val="24"/>
        </w:rPr>
        <w:t xml:space="preserve"> the role of this type of controls in</w:t>
      </w:r>
      <w:r>
        <w:rPr>
          <w:rFonts w:asciiTheme="majorBidi" w:hAnsiTheme="majorBidi" w:cstheme="majorBidi"/>
          <w:sz w:val="24"/>
          <w:szCs w:val="24"/>
        </w:rPr>
        <w:t xml:space="preserve"> shaping the determinants of credit supply</w:t>
      </w:r>
      <w:r w:rsidRPr="00B80D4C">
        <w:rPr>
          <w:rFonts w:asciiTheme="majorBidi" w:hAnsiTheme="majorBidi" w:cstheme="majorBidi"/>
          <w:sz w:val="24"/>
          <w:szCs w:val="24"/>
        </w:rPr>
        <w:t xml:space="preserve"> and the main factors that control its size and trends</w:t>
      </w:r>
      <w:r>
        <w:rPr>
          <w:rFonts w:asciiTheme="majorBidi" w:hAnsiTheme="majorBidi" w:cstheme="majorBidi"/>
          <w:sz w:val="24"/>
          <w:szCs w:val="24"/>
        </w:rPr>
        <w:t>, such as</w:t>
      </w:r>
      <w:r w:rsidRPr="00B80D4C">
        <w:rPr>
          <w:rFonts w:asciiTheme="majorBidi" w:hAnsiTheme="majorBidi" w:cstheme="majorBidi"/>
          <w:sz w:val="24"/>
          <w:szCs w:val="24"/>
        </w:rPr>
        <w:t xml:space="preserve"> the general rules of credit, regulations and procedures audit carried out by the supervisory authority, and the extent of their ability to achieve consistency between monetary and credit policy</w:t>
      </w:r>
      <w:r w:rsidR="00721BF0">
        <w:rPr>
          <w:rFonts w:asciiTheme="majorBidi" w:hAnsiTheme="majorBidi" w:cstheme="majorBidi"/>
          <w:sz w:val="24"/>
          <w:szCs w:val="24"/>
        </w:rPr>
        <w:t xml:space="preserve"> </w:t>
      </w:r>
      <w:r w:rsidRPr="00B80D4C">
        <w:rPr>
          <w:rFonts w:asciiTheme="majorBidi" w:hAnsiTheme="majorBidi" w:cstheme="majorBidi"/>
          <w:sz w:val="24"/>
          <w:szCs w:val="24"/>
        </w:rPr>
        <w:t>with the rest of the tools of economic policy on the one hand and between the instruments of monetary policy and credit used by the mone</w:t>
      </w:r>
      <w:r>
        <w:rPr>
          <w:rFonts w:asciiTheme="majorBidi" w:hAnsiTheme="majorBidi" w:cstheme="majorBidi"/>
          <w:sz w:val="24"/>
          <w:szCs w:val="24"/>
        </w:rPr>
        <w:t>tary authorities and regulators. T</w:t>
      </w:r>
      <w:r w:rsidRPr="00B80D4C">
        <w:rPr>
          <w:rFonts w:asciiTheme="majorBidi" w:hAnsiTheme="majorBidi" w:cstheme="majorBidi"/>
          <w:sz w:val="24"/>
          <w:szCs w:val="24"/>
        </w:rPr>
        <w:t>o ach</w:t>
      </w:r>
      <w:r w:rsidR="00D11023">
        <w:rPr>
          <w:rFonts w:asciiTheme="majorBidi" w:hAnsiTheme="majorBidi" w:cstheme="majorBidi"/>
          <w:sz w:val="24"/>
          <w:szCs w:val="24"/>
        </w:rPr>
        <w:t xml:space="preserve">ieve its objectives, </w:t>
      </w:r>
      <w:r>
        <w:rPr>
          <w:rFonts w:asciiTheme="majorBidi" w:hAnsiTheme="majorBidi" w:cstheme="majorBidi"/>
          <w:sz w:val="24"/>
          <w:szCs w:val="24"/>
        </w:rPr>
        <w:t xml:space="preserve">it </w:t>
      </w:r>
      <w:r w:rsidR="00D11023">
        <w:rPr>
          <w:rFonts w:asciiTheme="majorBidi" w:hAnsiTheme="majorBidi" w:cstheme="majorBidi"/>
          <w:sz w:val="24"/>
          <w:szCs w:val="24"/>
        </w:rPr>
        <w:t>uses</w:t>
      </w:r>
      <w:r w:rsidRPr="00B80D4C">
        <w:rPr>
          <w:rFonts w:asciiTheme="majorBidi" w:hAnsiTheme="majorBidi" w:cstheme="majorBidi"/>
          <w:sz w:val="24"/>
          <w:szCs w:val="24"/>
        </w:rPr>
        <w:t xml:space="preserve"> varie</w:t>
      </w:r>
      <w:r>
        <w:rPr>
          <w:rFonts w:asciiTheme="majorBidi" w:hAnsiTheme="majorBidi" w:cstheme="majorBidi"/>
          <w:sz w:val="24"/>
          <w:szCs w:val="24"/>
        </w:rPr>
        <w:t xml:space="preserve">ty of quantitative and </w:t>
      </w:r>
      <w:r>
        <w:rPr>
          <w:rFonts w:asciiTheme="majorBidi" w:hAnsiTheme="majorBidi" w:cstheme="majorBidi"/>
          <w:sz w:val="24"/>
          <w:szCs w:val="24"/>
        </w:rPr>
        <w:lastRenderedPageBreak/>
        <w:t>qualitative tools and methods</w:t>
      </w:r>
      <w:r w:rsidRPr="00B80D4C">
        <w:rPr>
          <w:rFonts w:asciiTheme="majorBidi" w:hAnsiTheme="majorBidi" w:cstheme="majorBidi"/>
          <w:sz w:val="24"/>
          <w:szCs w:val="24"/>
        </w:rPr>
        <w:t xml:space="preserve"> which have without doubt a significant impact on the display size and trends of credit.</w:t>
      </w:r>
    </w:p>
    <w:p w:rsidR="001609C2" w:rsidRDefault="001609C2" w:rsidP="00FD6EED">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One of the most important task</w:t>
      </w:r>
      <w:r w:rsidRPr="006F1927">
        <w:rPr>
          <w:rFonts w:asciiTheme="majorBidi" w:hAnsiTheme="majorBidi" w:cstheme="majorBidi"/>
          <w:sz w:val="24"/>
          <w:szCs w:val="24"/>
        </w:rPr>
        <w:t xml:space="preserve"> undertaken by the</w:t>
      </w:r>
      <w:r>
        <w:rPr>
          <w:rFonts w:asciiTheme="majorBidi" w:hAnsiTheme="majorBidi" w:cstheme="majorBidi"/>
          <w:sz w:val="24"/>
          <w:szCs w:val="24"/>
        </w:rPr>
        <w:t xml:space="preserve"> Palestinian Monetary </w:t>
      </w:r>
      <w:r w:rsidR="0023054A">
        <w:rPr>
          <w:rFonts w:asciiTheme="majorBidi" w:hAnsiTheme="majorBidi" w:cstheme="majorBidi"/>
          <w:sz w:val="24"/>
          <w:szCs w:val="24"/>
        </w:rPr>
        <w:t>Authority (</w:t>
      </w:r>
      <w:r>
        <w:rPr>
          <w:rFonts w:asciiTheme="majorBidi" w:hAnsiTheme="majorBidi" w:cstheme="majorBidi"/>
          <w:sz w:val="24"/>
          <w:szCs w:val="24"/>
        </w:rPr>
        <w:t xml:space="preserve">PMA), </w:t>
      </w:r>
      <w:r w:rsidR="00454BA7">
        <w:rPr>
          <w:rFonts w:asciiTheme="majorBidi" w:hAnsiTheme="majorBidi" w:cstheme="majorBidi"/>
          <w:sz w:val="24"/>
          <w:szCs w:val="24"/>
        </w:rPr>
        <w:t xml:space="preserve">is </w:t>
      </w:r>
      <w:r>
        <w:rPr>
          <w:rFonts w:asciiTheme="majorBidi" w:hAnsiTheme="majorBidi" w:cstheme="majorBidi"/>
          <w:sz w:val="24"/>
          <w:szCs w:val="24"/>
        </w:rPr>
        <w:t>the task of supervisory and</w:t>
      </w:r>
      <w:r w:rsidR="00721BF0">
        <w:rPr>
          <w:rFonts w:asciiTheme="majorBidi" w:hAnsiTheme="majorBidi" w:cstheme="majorBidi"/>
          <w:sz w:val="24"/>
          <w:szCs w:val="24"/>
        </w:rPr>
        <w:t xml:space="preserve"> </w:t>
      </w:r>
      <w:r>
        <w:rPr>
          <w:rFonts w:asciiTheme="majorBidi" w:hAnsiTheme="majorBidi" w:cstheme="majorBidi"/>
          <w:sz w:val="24"/>
          <w:szCs w:val="24"/>
        </w:rPr>
        <w:t>regulatory of banks, since the other traditional functions</w:t>
      </w:r>
      <w:r w:rsidRPr="006F1927">
        <w:rPr>
          <w:rFonts w:asciiTheme="majorBidi" w:hAnsiTheme="majorBidi" w:cstheme="majorBidi"/>
          <w:sz w:val="24"/>
          <w:szCs w:val="24"/>
        </w:rPr>
        <w:t xml:space="preserve"> did not fall within t</w:t>
      </w:r>
      <w:r>
        <w:rPr>
          <w:rFonts w:asciiTheme="majorBidi" w:hAnsiTheme="majorBidi" w:cstheme="majorBidi"/>
          <w:sz w:val="24"/>
          <w:szCs w:val="24"/>
        </w:rPr>
        <w:t>he scope of its functions</w:t>
      </w:r>
      <w:r w:rsidRPr="006F1927">
        <w:rPr>
          <w:rFonts w:asciiTheme="majorBidi" w:hAnsiTheme="majorBidi" w:cstheme="majorBidi"/>
          <w:sz w:val="24"/>
          <w:szCs w:val="24"/>
        </w:rPr>
        <w:t xml:space="preserve"> because of the</w:t>
      </w:r>
      <w:r>
        <w:rPr>
          <w:rFonts w:asciiTheme="majorBidi" w:hAnsiTheme="majorBidi" w:cstheme="majorBidi"/>
          <w:sz w:val="24"/>
          <w:szCs w:val="24"/>
        </w:rPr>
        <w:t xml:space="preserve"> Palestinian</w:t>
      </w:r>
      <w:r w:rsidRPr="006F1927">
        <w:rPr>
          <w:rFonts w:asciiTheme="majorBidi" w:hAnsiTheme="majorBidi" w:cstheme="majorBidi"/>
          <w:sz w:val="24"/>
          <w:szCs w:val="24"/>
        </w:rPr>
        <w:t xml:space="preserve"> conditions and</w:t>
      </w:r>
      <w:r>
        <w:rPr>
          <w:rFonts w:asciiTheme="majorBidi" w:hAnsiTheme="majorBidi" w:cstheme="majorBidi"/>
          <w:sz w:val="24"/>
          <w:szCs w:val="24"/>
        </w:rPr>
        <w:t xml:space="preserve"> circumstances</w:t>
      </w:r>
      <w:r w:rsidRPr="006F1927">
        <w:rPr>
          <w:rFonts w:asciiTheme="majorBidi" w:hAnsiTheme="majorBidi" w:cstheme="majorBidi"/>
          <w:sz w:val="24"/>
          <w:szCs w:val="24"/>
        </w:rPr>
        <w:t xml:space="preserve"> which has hampered the </w:t>
      </w:r>
      <w:r>
        <w:rPr>
          <w:rFonts w:asciiTheme="majorBidi" w:hAnsiTheme="majorBidi" w:cstheme="majorBidi"/>
          <w:sz w:val="24"/>
          <w:szCs w:val="24"/>
        </w:rPr>
        <w:t>efforts that aim to take the PMA</w:t>
      </w:r>
      <w:r w:rsidRPr="006F1927">
        <w:rPr>
          <w:rFonts w:asciiTheme="majorBidi" w:hAnsiTheme="majorBidi" w:cstheme="majorBidi"/>
          <w:sz w:val="24"/>
          <w:szCs w:val="24"/>
        </w:rPr>
        <w:t xml:space="preserve"> intention of the functi</w:t>
      </w:r>
      <w:r>
        <w:rPr>
          <w:rFonts w:asciiTheme="majorBidi" w:hAnsiTheme="majorBidi" w:cstheme="majorBidi"/>
          <w:sz w:val="24"/>
          <w:szCs w:val="24"/>
        </w:rPr>
        <w:t>ons of the Central Bank in full.</w:t>
      </w:r>
      <w:r w:rsidR="00D36BE3">
        <w:rPr>
          <w:rFonts w:asciiTheme="majorBidi" w:hAnsiTheme="majorBidi" w:cstheme="majorBidi"/>
          <w:sz w:val="24"/>
          <w:szCs w:val="24"/>
        </w:rPr>
        <w:t xml:space="preserve"> C</w:t>
      </w:r>
      <w:r w:rsidRPr="006F1927">
        <w:rPr>
          <w:rFonts w:asciiTheme="majorBidi" w:hAnsiTheme="majorBidi" w:cstheme="majorBidi"/>
          <w:sz w:val="24"/>
          <w:szCs w:val="24"/>
        </w:rPr>
        <w:t>entered policies</w:t>
      </w:r>
      <w:r w:rsidR="00721BF0">
        <w:rPr>
          <w:rFonts w:asciiTheme="majorBidi" w:hAnsiTheme="majorBidi" w:cstheme="majorBidi"/>
          <w:sz w:val="24"/>
          <w:szCs w:val="24"/>
        </w:rPr>
        <w:t xml:space="preserve"> </w:t>
      </w:r>
      <w:r w:rsidRPr="006F1927">
        <w:rPr>
          <w:rFonts w:asciiTheme="majorBidi" w:hAnsiTheme="majorBidi" w:cstheme="majorBidi"/>
          <w:sz w:val="24"/>
          <w:szCs w:val="24"/>
        </w:rPr>
        <w:t>and t</w:t>
      </w:r>
      <w:r>
        <w:rPr>
          <w:rFonts w:asciiTheme="majorBidi" w:hAnsiTheme="majorBidi" w:cstheme="majorBidi"/>
          <w:sz w:val="24"/>
          <w:szCs w:val="24"/>
        </w:rPr>
        <w:t>ools that are adopted by</w:t>
      </w:r>
      <w:r w:rsidRPr="006F1927">
        <w:rPr>
          <w:rFonts w:asciiTheme="majorBidi" w:hAnsiTheme="majorBidi" w:cstheme="majorBidi"/>
          <w:sz w:val="24"/>
          <w:szCs w:val="24"/>
        </w:rPr>
        <w:t xml:space="preserve"> Monetary</w:t>
      </w:r>
      <w:r w:rsidR="008135C1">
        <w:rPr>
          <w:rFonts w:asciiTheme="majorBidi" w:hAnsiTheme="majorBidi" w:cstheme="majorBidi"/>
          <w:sz w:val="24"/>
          <w:szCs w:val="24"/>
        </w:rPr>
        <w:t xml:space="preserve"> A</w:t>
      </w:r>
      <w:r w:rsidR="00B81761">
        <w:rPr>
          <w:rFonts w:asciiTheme="majorBidi" w:hAnsiTheme="majorBidi" w:cstheme="majorBidi"/>
          <w:sz w:val="24"/>
          <w:szCs w:val="24"/>
        </w:rPr>
        <w:t>uthority</w:t>
      </w:r>
      <w:r w:rsidR="00E210E3">
        <w:rPr>
          <w:rFonts w:asciiTheme="majorBidi" w:hAnsiTheme="majorBidi" w:cstheme="majorBidi"/>
          <w:sz w:val="24"/>
          <w:szCs w:val="24"/>
        </w:rPr>
        <w:t xml:space="preserve"> including </w:t>
      </w:r>
      <w:r w:rsidR="00E210E3" w:rsidRPr="006F1927">
        <w:rPr>
          <w:rFonts w:asciiTheme="majorBidi" w:hAnsiTheme="majorBidi" w:cstheme="majorBidi"/>
          <w:sz w:val="24"/>
          <w:szCs w:val="24"/>
        </w:rPr>
        <w:t>reserve</w:t>
      </w:r>
      <w:r w:rsidRPr="006F1927">
        <w:rPr>
          <w:rFonts w:asciiTheme="majorBidi" w:hAnsiTheme="majorBidi" w:cstheme="majorBidi"/>
          <w:sz w:val="24"/>
          <w:szCs w:val="24"/>
        </w:rPr>
        <w:t xml:space="preserve"> requirement policies, licensing policies and other activities to do the </w:t>
      </w:r>
      <w:r w:rsidR="00D36BE3">
        <w:rPr>
          <w:rFonts w:asciiTheme="majorBidi" w:hAnsiTheme="majorBidi" w:cstheme="majorBidi"/>
          <w:sz w:val="24"/>
          <w:szCs w:val="24"/>
        </w:rPr>
        <w:t>job,</w:t>
      </w:r>
      <w:r>
        <w:rPr>
          <w:rFonts w:asciiTheme="majorBidi" w:hAnsiTheme="majorBidi" w:cstheme="majorBidi"/>
          <w:sz w:val="24"/>
          <w:szCs w:val="24"/>
        </w:rPr>
        <w:t xml:space="preserve"> is the basis for solid future</w:t>
      </w:r>
      <w:r w:rsidRPr="006F1927">
        <w:rPr>
          <w:rFonts w:asciiTheme="majorBidi" w:hAnsiTheme="majorBidi" w:cstheme="majorBidi"/>
          <w:sz w:val="24"/>
          <w:szCs w:val="24"/>
        </w:rPr>
        <w:t xml:space="preserve"> sound banki</w:t>
      </w:r>
      <w:r>
        <w:rPr>
          <w:rFonts w:asciiTheme="majorBidi" w:hAnsiTheme="majorBidi" w:cstheme="majorBidi"/>
          <w:sz w:val="24"/>
          <w:szCs w:val="24"/>
        </w:rPr>
        <w:t>ng system.</w:t>
      </w:r>
    </w:p>
    <w:p w:rsidR="001609C2" w:rsidRDefault="001609C2" w:rsidP="00FD6EED">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These tasks directly related</w:t>
      </w:r>
      <w:r w:rsidRPr="000A7F54">
        <w:rPr>
          <w:rFonts w:asciiTheme="majorBidi" w:hAnsiTheme="majorBidi" w:cstheme="majorBidi"/>
          <w:sz w:val="24"/>
          <w:szCs w:val="24"/>
        </w:rPr>
        <w:t xml:space="preserve"> to the credit policy and influence t</w:t>
      </w:r>
      <w:r>
        <w:rPr>
          <w:rFonts w:asciiTheme="majorBidi" w:hAnsiTheme="majorBidi" w:cstheme="majorBidi"/>
          <w:sz w:val="24"/>
          <w:szCs w:val="24"/>
        </w:rPr>
        <w:t>hrough its implementation</w:t>
      </w:r>
      <w:r w:rsidRPr="000A7F54">
        <w:rPr>
          <w:rFonts w:asciiTheme="majorBidi" w:hAnsiTheme="majorBidi" w:cstheme="majorBidi"/>
          <w:sz w:val="24"/>
          <w:szCs w:val="24"/>
        </w:rPr>
        <w:t xml:space="preserve"> directly and indirectly on the size and direction of credit facilities in accordance with the contents of the terms of the authority of law: the Palestini</w:t>
      </w:r>
      <w:r>
        <w:rPr>
          <w:rFonts w:asciiTheme="majorBidi" w:hAnsiTheme="majorBidi" w:cstheme="majorBidi"/>
          <w:sz w:val="24"/>
          <w:szCs w:val="24"/>
        </w:rPr>
        <w:t>an Monetary No. (2),</w:t>
      </w:r>
      <w:r w:rsidRPr="000A7F54">
        <w:rPr>
          <w:rFonts w:asciiTheme="majorBidi" w:hAnsiTheme="majorBidi" w:cstheme="majorBidi"/>
          <w:sz w:val="24"/>
          <w:szCs w:val="24"/>
        </w:rPr>
        <w:t xml:space="preserve"> 1997</w:t>
      </w:r>
      <w:r>
        <w:rPr>
          <w:rFonts w:asciiTheme="majorBidi" w:hAnsiTheme="majorBidi" w:cstheme="majorBidi"/>
          <w:sz w:val="24"/>
          <w:szCs w:val="24"/>
        </w:rPr>
        <w:t>:</w:t>
      </w:r>
    </w:p>
    <w:p w:rsidR="001609C2" w:rsidRDefault="001609C2" w:rsidP="00F873C9">
      <w:pPr>
        <w:pStyle w:val="ListParagraph"/>
        <w:numPr>
          <w:ilvl w:val="0"/>
          <w:numId w:val="25"/>
        </w:numPr>
        <w:spacing w:line="360" w:lineRule="auto"/>
        <w:jc w:val="both"/>
        <w:rPr>
          <w:rFonts w:asciiTheme="majorBidi" w:hAnsiTheme="majorBidi" w:cstheme="majorBidi"/>
          <w:sz w:val="24"/>
          <w:szCs w:val="24"/>
        </w:rPr>
      </w:pPr>
      <w:r w:rsidRPr="000A7F54">
        <w:rPr>
          <w:rFonts w:asciiTheme="majorBidi" w:hAnsiTheme="majorBidi" w:cstheme="majorBidi"/>
          <w:sz w:val="24"/>
          <w:szCs w:val="24"/>
        </w:rPr>
        <w:t>Re</w:t>
      </w:r>
      <w:r>
        <w:rPr>
          <w:rFonts w:asciiTheme="majorBidi" w:hAnsiTheme="majorBidi" w:cstheme="majorBidi"/>
          <w:sz w:val="24"/>
          <w:szCs w:val="24"/>
        </w:rPr>
        <w:t>gulating banking activities,</w:t>
      </w:r>
      <w:r w:rsidRPr="000A7F54">
        <w:rPr>
          <w:rFonts w:asciiTheme="majorBidi" w:hAnsiTheme="majorBidi" w:cstheme="majorBidi"/>
          <w:sz w:val="24"/>
          <w:szCs w:val="24"/>
        </w:rPr>
        <w:t xml:space="preserve"> issuance and cancellation of licenses o</w:t>
      </w:r>
      <w:r>
        <w:rPr>
          <w:rFonts w:asciiTheme="majorBidi" w:hAnsiTheme="majorBidi" w:cstheme="majorBidi"/>
          <w:sz w:val="24"/>
          <w:szCs w:val="24"/>
        </w:rPr>
        <w:t>f banks and financial companies and</w:t>
      </w:r>
      <w:r w:rsidRPr="000A7F54">
        <w:rPr>
          <w:rFonts w:asciiTheme="majorBidi" w:hAnsiTheme="majorBidi" w:cstheme="majorBidi"/>
          <w:sz w:val="24"/>
          <w:szCs w:val="24"/>
        </w:rPr>
        <w:t xml:space="preserve"> control and supervision</w:t>
      </w:r>
      <w:r>
        <w:rPr>
          <w:rFonts w:asciiTheme="majorBidi" w:hAnsiTheme="majorBidi" w:cstheme="majorBidi"/>
          <w:sz w:val="24"/>
          <w:szCs w:val="24"/>
        </w:rPr>
        <w:t>.</w:t>
      </w:r>
    </w:p>
    <w:p w:rsidR="001609C2" w:rsidRPr="008019D3" w:rsidRDefault="001609C2" w:rsidP="00F873C9">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D</w:t>
      </w:r>
      <w:r w:rsidRPr="008019D3">
        <w:rPr>
          <w:rFonts w:asciiTheme="majorBidi" w:hAnsiTheme="majorBidi" w:cstheme="majorBidi"/>
          <w:sz w:val="24"/>
          <w:szCs w:val="24"/>
        </w:rPr>
        <w:t>evelopment, organizing and implementation of monetary and credit policies, and policies for dealing in foreign currency and in accordance with the provisions of the laws and regulating that.</w:t>
      </w:r>
    </w:p>
    <w:p w:rsidR="001609C2" w:rsidRDefault="001609C2" w:rsidP="00F873C9">
      <w:pPr>
        <w:pStyle w:val="ListParagraph"/>
        <w:numPr>
          <w:ilvl w:val="0"/>
          <w:numId w:val="25"/>
        </w:numPr>
        <w:spacing w:line="360" w:lineRule="auto"/>
        <w:jc w:val="both"/>
        <w:rPr>
          <w:rFonts w:asciiTheme="majorBidi" w:hAnsiTheme="majorBidi" w:cstheme="majorBidi"/>
          <w:sz w:val="24"/>
          <w:szCs w:val="24"/>
        </w:rPr>
      </w:pPr>
      <w:r w:rsidRPr="008019D3">
        <w:rPr>
          <w:rFonts w:asciiTheme="majorBidi" w:hAnsiTheme="majorBidi" w:cstheme="majorBidi"/>
          <w:sz w:val="24"/>
          <w:szCs w:val="24"/>
        </w:rPr>
        <w:t>Development and i</w:t>
      </w:r>
      <w:r>
        <w:rPr>
          <w:rFonts w:asciiTheme="majorBidi" w:hAnsiTheme="majorBidi" w:cstheme="majorBidi"/>
          <w:sz w:val="24"/>
          <w:szCs w:val="24"/>
        </w:rPr>
        <w:t>mplementation of regulations,</w:t>
      </w:r>
      <w:r w:rsidRPr="008019D3">
        <w:rPr>
          <w:rFonts w:asciiTheme="majorBidi" w:hAnsiTheme="majorBidi" w:cstheme="majorBidi"/>
          <w:sz w:val="24"/>
          <w:szCs w:val="24"/>
        </w:rPr>
        <w:t xml:space="preserve"> decisions and instruc</w:t>
      </w:r>
      <w:r>
        <w:rPr>
          <w:rFonts w:asciiTheme="majorBidi" w:hAnsiTheme="majorBidi" w:cstheme="majorBidi"/>
          <w:sz w:val="24"/>
          <w:szCs w:val="24"/>
        </w:rPr>
        <w:t>tions to ensure</w:t>
      </w:r>
      <w:r w:rsidRPr="008019D3">
        <w:rPr>
          <w:rFonts w:asciiTheme="majorBidi" w:hAnsiTheme="majorBidi" w:cstheme="majorBidi"/>
          <w:sz w:val="24"/>
          <w:szCs w:val="24"/>
        </w:rPr>
        <w:t xml:space="preserve"> an effective</w:t>
      </w:r>
      <w:r>
        <w:rPr>
          <w:rFonts w:asciiTheme="majorBidi" w:hAnsiTheme="majorBidi" w:cstheme="majorBidi"/>
          <w:sz w:val="24"/>
          <w:szCs w:val="24"/>
        </w:rPr>
        <w:t>, safe and sound</w:t>
      </w:r>
      <w:r w:rsidRPr="008019D3">
        <w:rPr>
          <w:rFonts w:asciiTheme="majorBidi" w:hAnsiTheme="majorBidi" w:cstheme="majorBidi"/>
          <w:sz w:val="24"/>
          <w:szCs w:val="24"/>
        </w:rPr>
        <w:t xml:space="preserve"> banking system</w:t>
      </w:r>
      <w:r>
        <w:rPr>
          <w:rFonts w:asciiTheme="majorBidi" w:hAnsiTheme="majorBidi" w:cstheme="majorBidi"/>
          <w:sz w:val="24"/>
          <w:szCs w:val="24"/>
        </w:rPr>
        <w:t xml:space="preserve">. </w:t>
      </w:r>
      <w:r w:rsidR="00C15B70">
        <w:rPr>
          <w:rFonts w:asciiTheme="majorBidi" w:hAnsiTheme="majorBidi" w:cstheme="majorBidi"/>
          <w:sz w:val="24"/>
          <w:szCs w:val="24"/>
        </w:rPr>
        <w:t>Also</w:t>
      </w:r>
      <w:r>
        <w:rPr>
          <w:rFonts w:asciiTheme="majorBidi" w:hAnsiTheme="majorBidi" w:cstheme="majorBidi"/>
          <w:sz w:val="24"/>
          <w:szCs w:val="24"/>
        </w:rPr>
        <w:t xml:space="preserve"> monitoring</w:t>
      </w:r>
      <w:r w:rsidRPr="008019D3">
        <w:rPr>
          <w:rFonts w:asciiTheme="majorBidi" w:hAnsiTheme="majorBidi" w:cstheme="majorBidi"/>
          <w:sz w:val="24"/>
          <w:szCs w:val="24"/>
        </w:rPr>
        <w:t xml:space="preserve"> and control</w:t>
      </w:r>
      <w:r>
        <w:rPr>
          <w:rFonts w:asciiTheme="majorBidi" w:hAnsiTheme="majorBidi" w:cstheme="majorBidi"/>
          <w:sz w:val="24"/>
          <w:szCs w:val="24"/>
        </w:rPr>
        <w:t>ling</w:t>
      </w:r>
      <w:r w:rsidRPr="008019D3">
        <w:rPr>
          <w:rFonts w:asciiTheme="majorBidi" w:hAnsiTheme="majorBidi" w:cstheme="majorBidi"/>
          <w:sz w:val="24"/>
          <w:szCs w:val="24"/>
        </w:rPr>
        <w:t xml:space="preserve"> of banks in order to ensure the safety of its financial position and protect the rights of depositors</w:t>
      </w:r>
      <w:r>
        <w:rPr>
          <w:rFonts w:asciiTheme="majorBidi" w:hAnsiTheme="majorBidi" w:cstheme="majorBidi"/>
          <w:sz w:val="24"/>
          <w:szCs w:val="24"/>
        </w:rPr>
        <w:t>.</w:t>
      </w:r>
    </w:p>
    <w:p w:rsidR="00E210E3" w:rsidRDefault="001609C2" w:rsidP="00F873C9">
      <w:pPr>
        <w:pStyle w:val="ListParagraph"/>
        <w:numPr>
          <w:ilvl w:val="0"/>
          <w:numId w:val="25"/>
        </w:numPr>
        <w:spacing w:after="0" w:line="360" w:lineRule="auto"/>
        <w:jc w:val="both"/>
        <w:rPr>
          <w:rFonts w:asciiTheme="majorBidi" w:hAnsiTheme="majorBidi" w:cstheme="majorBidi"/>
          <w:sz w:val="24"/>
          <w:szCs w:val="24"/>
        </w:rPr>
      </w:pPr>
      <w:r w:rsidRPr="008019D3">
        <w:rPr>
          <w:rFonts w:asciiTheme="majorBidi" w:hAnsiTheme="majorBidi" w:cstheme="majorBidi"/>
          <w:sz w:val="24"/>
          <w:szCs w:val="24"/>
        </w:rPr>
        <w:t>Regulate the amount</w:t>
      </w:r>
      <w:r>
        <w:rPr>
          <w:rFonts w:asciiTheme="majorBidi" w:hAnsiTheme="majorBidi" w:cstheme="majorBidi"/>
          <w:sz w:val="24"/>
          <w:szCs w:val="24"/>
        </w:rPr>
        <w:t xml:space="preserve">, quality and cost of credit, to </w:t>
      </w:r>
      <w:r w:rsidRPr="008019D3">
        <w:rPr>
          <w:rFonts w:asciiTheme="majorBidi" w:hAnsiTheme="majorBidi" w:cstheme="majorBidi"/>
          <w:sz w:val="24"/>
          <w:szCs w:val="24"/>
        </w:rPr>
        <w:t>respond to the requirements of economic growth and monetary stability in accordance with the</w:t>
      </w:r>
      <w:r>
        <w:rPr>
          <w:rFonts w:asciiTheme="majorBidi" w:hAnsiTheme="majorBidi" w:cstheme="majorBidi"/>
          <w:sz w:val="24"/>
          <w:szCs w:val="24"/>
        </w:rPr>
        <w:t xml:space="preserve"> banking provisions and laws banking. So</w:t>
      </w:r>
      <w:r w:rsidR="007B4030">
        <w:rPr>
          <w:rFonts w:asciiTheme="majorBidi" w:hAnsiTheme="majorBidi" w:cstheme="majorBidi"/>
          <w:sz w:val="24"/>
          <w:szCs w:val="24"/>
        </w:rPr>
        <w:t xml:space="preserve"> PMA</w:t>
      </w:r>
      <w:r w:rsidRPr="008019D3">
        <w:rPr>
          <w:rFonts w:asciiTheme="majorBidi" w:hAnsiTheme="majorBidi" w:cstheme="majorBidi"/>
          <w:sz w:val="24"/>
          <w:szCs w:val="24"/>
        </w:rPr>
        <w:t xml:space="preserve"> like other monetary authorities and central</w:t>
      </w:r>
      <w:r>
        <w:rPr>
          <w:rFonts w:asciiTheme="majorBidi" w:hAnsiTheme="majorBidi" w:cstheme="majorBidi"/>
          <w:sz w:val="24"/>
          <w:szCs w:val="24"/>
        </w:rPr>
        <w:t xml:space="preserve"> banks are adopting </w:t>
      </w:r>
      <w:r w:rsidRPr="008019D3">
        <w:rPr>
          <w:rFonts w:asciiTheme="majorBidi" w:hAnsiTheme="majorBidi" w:cstheme="majorBidi"/>
          <w:sz w:val="24"/>
          <w:szCs w:val="24"/>
        </w:rPr>
        <w:t>quantity and quality</w:t>
      </w:r>
      <w:r w:rsidR="00721BF0">
        <w:rPr>
          <w:rFonts w:asciiTheme="majorBidi" w:hAnsiTheme="majorBidi" w:cstheme="majorBidi"/>
          <w:sz w:val="24"/>
          <w:szCs w:val="24"/>
        </w:rPr>
        <w:t xml:space="preserve"> </w:t>
      </w:r>
      <w:r w:rsidRPr="008019D3">
        <w:rPr>
          <w:rFonts w:asciiTheme="majorBidi" w:hAnsiTheme="majorBidi" w:cstheme="majorBidi"/>
          <w:sz w:val="24"/>
          <w:szCs w:val="24"/>
        </w:rPr>
        <w:t>surveillance methods</w:t>
      </w:r>
      <w:r>
        <w:rPr>
          <w:rFonts w:asciiTheme="majorBidi" w:hAnsiTheme="majorBidi" w:cstheme="majorBidi"/>
          <w:sz w:val="24"/>
          <w:szCs w:val="24"/>
        </w:rPr>
        <w:t xml:space="preserve"> and tools within its policy framework</w:t>
      </w:r>
      <w:r w:rsidRPr="008019D3">
        <w:rPr>
          <w:rFonts w:asciiTheme="majorBidi" w:hAnsiTheme="majorBidi" w:cstheme="majorBidi"/>
          <w:sz w:val="24"/>
          <w:szCs w:val="24"/>
        </w:rPr>
        <w:t xml:space="preserve"> towards the achievement of its</w:t>
      </w:r>
      <w:r w:rsidR="00721BF0">
        <w:rPr>
          <w:rFonts w:asciiTheme="majorBidi" w:hAnsiTheme="majorBidi" w:cstheme="majorBidi"/>
          <w:sz w:val="24"/>
          <w:szCs w:val="24"/>
        </w:rPr>
        <w:t xml:space="preserve"> </w:t>
      </w:r>
      <w:r w:rsidRPr="008019D3">
        <w:rPr>
          <w:rFonts w:asciiTheme="majorBidi" w:hAnsiTheme="majorBidi" w:cstheme="majorBidi"/>
          <w:sz w:val="24"/>
          <w:szCs w:val="24"/>
        </w:rPr>
        <w:t xml:space="preserve">various </w:t>
      </w:r>
      <w:r>
        <w:rPr>
          <w:rFonts w:asciiTheme="majorBidi" w:hAnsiTheme="majorBidi" w:cstheme="majorBidi"/>
          <w:sz w:val="24"/>
          <w:szCs w:val="24"/>
        </w:rPr>
        <w:t>objectives and functions.</w:t>
      </w:r>
    </w:p>
    <w:p w:rsidR="00F406EB" w:rsidRDefault="00F406EB" w:rsidP="00F406EB">
      <w:pPr>
        <w:spacing w:after="0" w:line="360" w:lineRule="auto"/>
        <w:jc w:val="both"/>
        <w:rPr>
          <w:rFonts w:asciiTheme="majorBidi" w:hAnsiTheme="majorBidi" w:cstheme="majorBidi"/>
          <w:sz w:val="24"/>
          <w:szCs w:val="24"/>
        </w:rPr>
      </w:pPr>
    </w:p>
    <w:p w:rsidR="00F406EB" w:rsidRPr="00F406EB" w:rsidRDefault="00F406EB" w:rsidP="00F406EB">
      <w:pPr>
        <w:spacing w:after="0" w:line="360" w:lineRule="auto"/>
        <w:jc w:val="both"/>
        <w:rPr>
          <w:rFonts w:asciiTheme="majorBidi" w:hAnsiTheme="majorBidi" w:cstheme="majorBidi"/>
          <w:sz w:val="24"/>
          <w:szCs w:val="24"/>
        </w:rPr>
      </w:pPr>
    </w:p>
    <w:p w:rsidR="001609C2" w:rsidRPr="001609C2" w:rsidRDefault="00926FFF" w:rsidP="002B5A72">
      <w:pPr>
        <w:spacing w:after="0" w:line="360" w:lineRule="auto"/>
        <w:contextualSpacing/>
        <w:rPr>
          <w:rFonts w:asciiTheme="majorBidi" w:hAnsiTheme="majorBidi" w:cstheme="majorBidi"/>
          <w:b/>
          <w:bCs/>
          <w:sz w:val="24"/>
          <w:szCs w:val="24"/>
        </w:rPr>
      </w:pPr>
      <w:r>
        <w:rPr>
          <w:rFonts w:asciiTheme="majorBidi" w:hAnsiTheme="majorBidi" w:cstheme="majorBidi"/>
          <w:b/>
          <w:bCs/>
          <w:sz w:val="24"/>
          <w:szCs w:val="24"/>
        </w:rPr>
        <w:lastRenderedPageBreak/>
        <w:t>2.6.3.1.2 Most Important Interna</w:t>
      </w:r>
      <w:r w:rsidR="005D7187">
        <w:rPr>
          <w:rFonts w:asciiTheme="majorBidi" w:hAnsiTheme="majorBidi" w:cstheme="majorBidi"/>
          <w:b/>
          <w:bCs/>
          <w:sz w:val="24"/>
          <w:szCs w:val="24"/>
        </w:rPr>
        <w:t>tional Quantitative Monitoring T</w:t>
      </w:r>
      <w:r>
        <w:rPr>
          <w:rFonts w:asciiTheme="majorBidi" w:hAnsiTheme="majorBidi" w:cstheme="majorBidi"/>
          <w:b/>
          <w:bCs/>
          <w:sz w:val="24"/>
          <w:szCs w:val="24"/>
        </w:rPr>
        <w:t>ools and the Extent of their A</w:t>
      </w:r>
      <w:r w:rsidR="001609C2" w:rsidRPr="001609C2">
        <w:rPr>
          <w:rFonts w:asciiTheme="majorBidi" w:hAnsiTheme="majorBidi" w:cstheme="majorBidi"/>
          <w:b/>
          <w:bCs/>
          <w:sz w:val="24"/>
          <w:szCs w:val="24"/>
        </w:rPr>
        <w:t>pplication in Palestine</w:t>
      </w:r>
    </w:p>
    <w:p w:rsidR="001609C2" w:rsidRDefault="001609C2" w:rsidP="00FD6EED">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The changing policy of</w:t>
      </w:r>
      <w:r w:rsidRPr="004125B0">
        <w:rPr>
          <w:rFonts w:asciiTheme="majorBidi" w:hAnsiTheme="majorBidi" w:cstheme="majorBidi"/>
          <w:sz w:val="24"/>
          <w:szCs w:val="24"/>
        </w:rPr>
        <w:t xml:space="preserve"> the of reserve requirements</w:t>
      </w:r>
      <w:r w:rsidR="003C1835">
        <w:rPr>
          <w:rFonts w:asciiTheme="majorBidi" w:hAnsiTheme="majorBidi" w:cstheme="majorBidi"/>
          <w:sz w:val="24"/>
          <w:szCs w:val="24"/>
        </w:rPr>
        <w:t xml:space="preserve"> </w:t>
      </w:r>
      <w:r w:rsidRPr="004125B0">
        <w:rPr>
          <w:rFonts w:asciiTheme="majorBidi" w:hAnsiTheme="majorBidi" w:cstheme="majorBidi"/>
          <w:sz w:val="24"/>
          <w:szCs w:val="24"/>
        </w:rPr>
        <w:t>ratio</w:t>
      </w:r>
      <w:r>
        <w:rPr>
          <w:rFonts w:asciiTheme="majorBidi" w:hAnsiTheme="majorBidi" w:cstheme="majorBidi"/>
          <w:sz w:val="24"/>
          <w:szCs w:val="24"/>
        </w:rPr>
        <w:t>,</w:t>
      </w:r>
      <w:r w:rsidRPr="004125B0">
        <w:rPr>
          <w:rFonts w:asciiTheme="majorBidi" w:hAnsiTheme="majorBidi" w:cstheme="majorBidi"/>
          <w:sz w:val="24"/>
          <w:szCs w:val="24"/>
        </w:rPr>
        <w:t xml:space="preserve"> liquidity ratios and ceilings credit actually used by the Palestinian Monetary Authority, which have a real</w:t>
      </w:r>
      <w:r>
        <w:rPr>
          <w:rFonts w:asciiTheme="majorBidi" w:hAnsiTheme="majorBidi" w:cstheme="majorBidi"/>
          <w:sz w:val="24"/>
          <w:szCs w:val="24"/>
        </w:rPr>
        <w:t xml:space="preserve"> direct and indirect impact </w:t>
      </w:r>
      <w:r w:rsidRPr="004125B0">
        <w:rPr>
          <w:rFonts w:asciiTheme="majorBidi" w:hAnsiTheme="majorBidi" w:cstheme="majorBidi"/>
          <w:sz w:val="24"/>
          <w:szCs w:val="24"/>
        </w:rPr>
        <w:t>on the size and trends of the credit facilities, which are levied features of the credit policies of commercial banks operating in Palestine</w:t>
      </w:r>
      <w:r>
        <w:rPr>
          <w:rFonts w:asciiTheme="majorBidi" w:hAnsiTheme="majorBidi" w:cstheme="majorBidi"/>
          <w:sz w:val="24"/>
          <w:szCs w:val="24"/>
        </w:rPr>
        <w:t>:</w:t>
      </w:r>
    </w:p>
    <w:p w:rsidR="001609C2" w:rsidRPr="00B24FA8" w:rsidRDefault="001609C2" w:rsidP="00B24FA8">
      <w:pPr>
        <w:spacing w:line="360" w:lineRule="auto"/>
        <w:contextualSpacing/>
        <w:jc w:val="both"/>
        <w:rPr>
          <w:rFonts w:asciiTheme="majorBidi" w:hAnsiTheme="majorBidi" w:cstheme="majorBidi"/>
          <w:sz w:val="24"/>
          <w:szCs w:val="24"/>
        </w:rPr>
      </w:pPr>
      <w:r w:rsidRPr="00007175">
        <w:rPr>
          <w:rFonts w:asciiTheme="majorBidi" w:hAnsiTheme="majorBidi" w:cstheme="majorBidi"/>
          <w:sz w:val="24"/>
          <w:szCs w:val="24"/>
        </w:rPr>
        <w:t xml:space="preserve">The policy that change the ratio of mandatory cash reserve is an important tool used by the central banks in directing and developing its monetary and credit policies and considered one of the appropriate tools to developed countries which is characterized by shortness of securities markets and the limited effect of discount rates as is the case in Palestine. According to this policy, commercial banks are required under banking legislation to keep a certain percentage </w:t>
      </w:r>
      <w:r w:rsidR="00861B0A" w:rsidRPr="00007175">
        <w:rPr>
          <w:rFonts w:asciiTheme="majorBidi" w:hAnsiTheme="majorBidi" w:cstheme="majorBidi"/>
          <w:sz w:val="24"/>
          <w:szCs w:val="24"/>
        </w:rPr>
        <w:t>of cash</w:t>
      </w:r>
      <w:r w:rsidRPr="00007175">
        <w:rPr>
          <w:rFonts w:asciiTheme="majorBidi" w:hAnsiTheme="majorBidi" w:cstheme="majorBidi"/>
          <w:sz w:val="24"/>
          <w:szCs w:val="24"/>
        </w:rPr>
        <w:t xml:space="preserve"> balance at the central bank as a p</w:t>
      </w:r>
      <w:r w:rsidR="00861B0A">
        <w:rPr>
          <w:rFonts w:asciiTheme="majorBidi" w:hAnsiTheme="majorBidi" w:cstheme="majorBidi"/>
          <w:sz w:val="24"/>
          <w:szCs w:val="24"/>
        </w:rPr>
        <w:t xml:space="preserve">ercentage of its deposits. The </w:t>
      </w:r>
      <w:r w:rsidR="00BA5021">
        <w:rPr>
          <w:rFonts w:asciiTheme="majorBidi" w:hAnsiTheme="majorBidi" w:cstheme="majorBidi"/>
          <w:sz w:val="24"/>
          <w:szCs w:val="24"/>
        </w:rPr>
        <w:t>a</w:t>
      </w:r>
      <w:r w:rsidRPr="00007175">
        <w:rPr>
          <w:rFonts w:asciiTheme="majorBidi" w:hAnsiTheme="majorBidi" w:cstheme="majorBidi"/>
          <w:sz w:val="24"/>
          <w:szCs w:val="24"/>
        </w:rPr>
        <w:t>rticle</w:t>
      </w:r>
      <w:r w:rsidR="00861B0A">
        <w:rPr>
          <w:rFonts w:asciiTheme="majorBidi" w:hAnsiTheme="majorBidi" w:cstheme="majorBidi"/>
          <w:sz w:val="24"/>
          <w:szCs w:val="24"/>
        </w:rPr>
        <w:t xml:space="preserve"> (</w:t>
      </w:r>
      <w:r w:rsidR="00BA5021">
        <w:rPr>
          <w:rFonts w:asciiTheme="majorBidi" w:hAnsiTheme="majorBidi" w:cstheme="majorBidi"/>
          <w:sz w:val="24"/>
          <w:szCs w:val="24"/>
        </w:rPr>
        <w:t>37) of the Palestinian Banking a</w:t>
      </w:r>
      <w:r w:rsidRPr="00007175">
        <w:rPr>
          <w:rFonts w:asciiTheme="majorBidi" w:hAnsiTheme="majorBidi" w:cstheme="majorBidi"/>
          <w:sz w:val="24"/>
          <w:szCs w:val="24"/>
        </w:rPr>
        <w:t xml:space="preserve">ct </w:t>
      </w:r>
      <w:r w:rsidR="00BA5021" w:rsidRPr="00007175">
        <w:rPr>
          <w:rFonts w:asciiTheme="majorBidi" w:hAnsiTheme="majorBidi" w:cstheme="majorBidi"/>
          <w:sz w:val="24"/>
          <w:szCs w:val="24"/>
        </w:rPr>
        <w:t>no</w:t>
      </w:r>
      <w:r w:rsidRPr="00007175">
        <w:rPr>
          <w:rFonts w:asciiTheme="majorBidi" w:hAnsiTheme="majorBidi" w:cstheme="majorBidi"/>
          <w:sz w:val="24"/>
          <w:szCs w:val="24"/>
        </w:rPr>
        <w:t>. (2), 2002 stipulated on the right of the Monetary Authority in determining the</w:t>
      </w:r>
      <w:r w:rsidR="00B24FA8">
        <w:rPr>
          <w:rFonts w:asciiTheme="majorBidi" w:hAnsiTheme="majorBidi" w:cstheme="majorBidi"/>
          <w:sz w:val="24"/>
          <w:szCs w:val="24"/>
        </w:rPr>
        <w:t xml:space="preserve"> </w:t>
      </w:r>
      <w:r w:rsidRPr="00007175">
        <w:rPr>
          <w:rFonts w:asciiTheme="majorBidi" w:hAnsiTheme="majorBidi" w:cstheme="majorBidi"/>
          <w:sz w:val="24"/>
          <w:szCs w:val="24"/>
        </w:rPr>
        <w:t xml:space="preserve">reserve requirements for banks and deposit these funds with the Monetary Authority in accordance with the instructions issued for this purpose. </w:t>
      </w:r>
    </w:p>
    <w:p w:rsidR="001609C2" w:rsidRPr="00007175" w:rsidRDefault="001609C2" w:rsidP="00B24FA8">
      <w:pPr>
        <w:spacing w:line="360" w:lineRule="auto"/>
        <w:contextualSpacing/>
        <w:jc w:val="both"/>
        <w:rPr>
          <w:rFonts w:asciiTheme="majorBidi" w:hAnsiTheme="majorBidi" w:cstheme="majorBidi"/>
          <w:sz w:val="24"/>
          <w:szCs w:val="24"/>
        </w:rPr>
      </w:pPr>
      <w:r w:rsidRPr="00007175">
        <w:rPr>
          <w:rFonts w:asciiTheme="majorBidi" w:hAnsiTheme="majorBidi" w:cstheme="majorBidi"/>
          <w:sz w:val="24"/>
          <w:szCs w:val="24"/>
        </w:rPr>
        <w:t>The Palestinian Monetary Authority headed to use the liquidity policy ratios and ceilings credit following the example</w:t>
      </w:r>
      <w:r w:rsidR="00526F96">
        <w:rPr>
          <w:rFonts w:asciiTheme="majorBidi" w:hAnsiTheme="majorBidi" w:cstheme="majorBidi"/>
          <w:sz w:val="24"/>
          <w:szCs w:val="24"/>
        </w:rPr>
        <w:t xml:space="preserve"> of other central banks that they</w:t>
      </w:r>
      <w:r w:rsidRPr="00007175">
        <w:rPr>
          <w:rFonts w:asciiTheme="majorBidi" w:hAnsiTheme="majorBidi" w:cstheme="majorBidi"/>
          <w:sz w:val="24"/>
          <w:szCs w:val="24"/>
        </w:rPr>
        <w:t xml:space="preserve"> use, as a tool for the control and adjusting bank credit, and thus control credit supply. According to the article of (34) of the Palestinian banks Act (2) for the year 2002:</w:t>
      </w:r>
    </w:p>
    <w:p w:rsidR="001609C2" w:rsidRDefault="001609C2" w:rsidP="00B24FA8">
      <w:pPr>
        <w:spacing w:line="360" w:lineRule="auto"/>
        <w:contextualSpacing/>
        <w:jc w:val="both"/>
        <w:rPr>
          <w:rFonts w:asciiTheme="majorBidi" w:hAnsiTheme="majorBidi" w:cstheme="majorBidi"/>
          <w:sz w:val="24"/>
          <w:szCs w:val="24"/>
        </w:rPr>
      </w:pPr>
      <w:r w:rsidRPr="00007175">
        <w:rPr>
          <w:rFonts w:asciiTheme="majorBidi" w:hAnsiTheme="majorBidi" w:cstheme="majorBidi"/>
          <w:sz w:val="24"/>
          <w:szCs w:val="24"/>
        </w:rPr>
        <w:t>Entitled to PMA</w:t>
      </w:r>
      <w:r w:rsidR="00D04E18">
        <w:rPr>
          <w:rFonts w:asciiTheme="majorBidi" w:hAnsiTheme="majorBidi" w:cstheme="majorBidi"/>
          <w:sz w:val="24"/>
          <w:szCs w:val="24"/>
        </w:rPr>
        <w:t>,</w:t>
      </w:r>
      <w:r w:rsidR="00454BA7">
        <w:rPr>
          <w:rFonts w:asciiTheme="majorBidi" w:hAnsiTheme="majorBidi" w:cstheme="majorBidi"/>
          <w:sz w:val="24"/>
          <w:szCs w:val="24"/>
        </w:rPr>
        <w:t xml:space="preserve"> determining</w:t>
      </w:r>
      <w:r w:rsidRPr="00007175">
        <w:rPr>
          <w:rFonts w:asciiTheme="majorBidi" w:hAnsiTheme="majorBidi" w:cstheme="majorBidi"/>
          <w:sz w:val="24"/>
          <w:szCs w:val="24"/>
        </w:rPr>
        <w:t xml:space="preserve"> the rules of calculating </w:t>
      </w:r>
      <w:r w:rsidR="00D04E18">
        <w:rPr>
          <w:rFonts w:asciiTheme="majorBidi" w:hAnsiTheme="majorBidi" w:cstheme="majorBidi"/>
          <w:sz w:val="24"/>
          <w:szCs w:val="24"/>
        </w:rPr>
        <w:t xml:space="preserve">ratios and other criteria of </w:t>
      </w:r>
      <w:r w:rsidRPr="00007175">
        <w:rPr>
          <w:rFonts w:asciiTheme="majorBidi" w:hAnsiTheme="majorBidi" w:cstheme="majorBidi"/>
          <w:sz w:val="24"/>
          <w:szCs w:val="24"/>
        </w:rPr>
        <w:t xml:space="preserve"> risks to be on each bank observed</w:t>
      </w:r>
      <w:r w:rsidR="00454BA7">
        <w:rPr>
          <w:rFonts w:asciiTheme="majorBidi" w:hAnsiTheme="majorBidi" w:cstheme="majorBidi"/>
          <w:sz w:val="24"/>
          <w:szCs w:val="24"/>
        </w:rPr>
        <w:t>,</w:t>
      </w:r>
      <w:r w:rsidRPr="00007175">
        <w:rPr>
          <w:rFonts w:asciiTheme="majorBidi" w:hAnsiTheme="majorBidi" w:cstheme="majorBidi"/>
          <w:sz w:val="24"/>
          <w:szCs w:val="24"/>
        </w:rPr>
        <w:t xml:space="preserve"> with respect t</w:t>
      </w:r>
      <w:r w:rsidR="00D04E18">
        <w:rPr>
          <w:rFonts w:asciiTheme="majorBidi" w:hAnsiTheme="majorBidi" w:cstheme="majorBidi"/>
          <w:sz w:val="24"/>
          <w:szCs w:val="24"/>
        </w:rPr>
        <w:t>o capital, assets, liquidity,</w:t>
      </w:r>
      <w:r w:rsidRPr="00007175">
        <w:rPr>
          <w:rFonts w:asciiTheme="majorBidi" w:hAnsiTheme="majorBidi" w:cstheme="majorBidi"/>
          <w:sz w:val="24"/>
          <w:szCs w:val="24"/>
        </w:rPr>
        <w:t xml:space="preserve"> the components of capital and provisions to be retained in the light of the circumstances of each bank and the discretion of the authority of the risks inherent in its banking operations. A</w:t>
      </w:r>
      <w:r>
        <w:rPr>
          <w:rFonts w:asciiTheme="majorBidi" w:hAnsiTheme="majorBidi" w:cstheme="majorBidi"/>
          <w:sz w:val="24"/>
          <w:szCs w:val="24"/>
        </w:rPr>
        <w:t>s given by the Article</w:t>
      </w:r>
      <w:r w:rsidRPr="00007175">
        <w:rPr>
          <w:rFonts w:asciiTheme="majorBidi" w:hAnsiTheme="majorBidi" w:cstheme="majorBidi"/>
          <w:sz w:val="24"/>
          <w:szCs w:val="24"/>
        </w:rPr>
        <w:t xml:space="preserve"> (35</w:t>
      </w:r>
      <w:r w:rsidR="00AB7A94" w:rsidRPr="00007175">
        <w:rPr>
          <w:rFonts w:asciiTheme="majorBidi" w:hAnsiTheme="majorBidi" w:cstheme="majorBidi"/>
          <w:sz w:val="24"/>
          <w:szCs w:val="24"/>
        </w:rPr>
        <w:t>) of</w:t>
      </w:r>
      <w:r w:rsidR="00D04E18">
        <w:rPr>
          <w:rFonts w:asciiTheme="majorBidi" w:hAnsiTheme="majorBidi" w:cstheme="majorBidi"/>
          <w:sz w:val="24"/>
          <w:szCs w:val="24"/>
        </w:rPr>
        <w:t xml:space="preserve"> the same law, PMA has the</w:t>
      </w:r>
      <w:r w:rsidRPr="00007175">
        <w:rPr>
          <w:rFonts w:asciiTheme="majorBidi" w:hAnsiTheme="majorBidi" w:cstheme="majorBidi"/>
          <w:sz w:val="24"/>
          <w:szCs w:val="24"/>
        </w:rPr>
        <w:t xml:space="preserve"> right to determine appropriate rules relating to ceilings</w:t>
      </w:r>
      <w:r>
        <w:rPr>
          <w:rFonts w:asciiTheme="majorBidi" w:hAnsiTheme="majorBidi" w:cstheme="majorBidi"/>
          <w:sz w:val="24"/>
          <w:szCs w:val="24"/>
        </w:rPr>
        <w:t xml:space="preserve"> and credit </w:t>
      </w:r>
      <w:r w:rsidR="00721BF0">
        <w:rPr>
          <w:rFonts w:asciiTheme="majorBidi" w:hAnsiTheme="majorBidi" w:cstheme="majorBidi"/>
          <w:sz w:val="24"/>
          <w:szCs w:val="24"/>
        </w:rPr>
        <w:t>costs.</w:t>
      </w:r>
      <w:r w:rsidR="00721BF0" w:rsidRPr="00007175">
        <w:rPr>
          <w:rFonts w:asciiTheme="majorBidi" w:hAnsiTheme="majorBidi" w:cstheme="majorBidi"/>
          <w:sz w:val="24"/>
          <w:szCs w:val="24"/>
        </w:rPr>
        <w:t xml:space="preserve"> With</w:t>
      </w:r>
      <w:r>
        <w:rPr>
          <w:rFonts w:asciiTheme="majorBidi" w:hAnsiTheme="majorBidi" w:cstheme="majorBidi"/>
          <w:sz w:val="24"/>
          <w:szCs w:val="24"/>
        </w:rPr>
        <w:t xml:space="preserve"> respect to liquidity, the article</w:t>
      </w:r>
      <w:r w:rsidRPr="00007175">
        <w:rPr>
          <w:rFonts w:asciiTheme="majorBidi" w:hAnsiTheme="majorBidi" w:cstheme="majorBidi"/>
          <w:sz w:val="24"/>
          <w:szCs w:val="24"/>
        </w:rPr>
        <w:t xml:space="preserve"> (36) of the Act referred to the right to specify percentages related to the extent of liquidity in line with the activities carried out by the bank with the</w:t>
      </w:r>
      <w:r>
        <w:rPr>
          <w:rFonts w:asciiTheme="majorBidi" w:hAnsiTheme="majorBidi" w:cstheme="majorBidi"/>
          <w:sz w:val="24"/>
          <w:szCs w:val="24"/>
        </w:rPr>
        <w:t xml:space="preserve"> determination of</w:t>
      </w:r>
      <w:r w:rsidRPr="00007175">
        <w:rPr>
          <w:rFonts w:asciiTheme="majorBidi" w:hAnsiTheme="majorBidi" w:cstheme="majorBidi"/>
          <w:sz w:val="24"/>
          <w:szCs w:val="24"/>
        </w:rPr>
        <w:t xml:space="preserve"> the minimum liquid assets or</w:t>
      </w:r>
      <w:r w:rsidR="00D04E18">
        <w:rPr>
          <w:rFonts w:asciiTheme="majorBidi" w:hAnsiTheme="majorBidi" w:cstheme="majorBidi"/>
          <w:sz w:val="24"/>
          <w:szCs w:val="24"/>
        </w:rPr>
        <w:t xml:space="preserve"> </w:t>
      </w:r>
      <w:r w:rsidRPr="00007175">
        <w:rPr>
          <w:rFonts w:asciiTheme="majorBidi" w:hAnsiTheme="majorBidi" w:cstheme="majorBidi"/>
          <w:sz w:val="24"/>
          <w:szCs w:val="24"/>
        </w:rPr>
        <w:t>categories specified there</w:t>
      </w:r>
      <w:r w:rsidR="00D04E18">
        <w:rPr>
          <w:rFonts w:asciiTheme="majorBidi" w:hAnsiTheme="majorBidi" w:cstheme="majorBidi"/>
          <w:sz w:val="24"/>
          <w:szCs w:val="24"/>
        </w:rPr>
        <w:t xml:space="preserve"> </w:t>
      </w:r>
      <w:r w:rsidRPr="00007175">
        <w:rPr>
          <w:rFonts w:asciiTheme="majorBidi" w:hAnsiTheme="majorBidi" w:cstheme="majorBidi"/>
          <w:sz w:val="24"/>
          <w:szCs w:val="24"/>
        </w:rPr>
        <w:t>in and the method of calculating the liquidity ratio</w:t>
      </w:r>
      <w:r>
        <w:rPr>
          <w:rFonts w:asciiTheme="majorBidi" w:hAnsiTheme="majorBidi" w:cstheme="majorBidi"/>
          <w:sz w:val="24"/>
          <w:szCs w:val="24"/>
        </w:rPr>
        <w:t xml:space="preserve">. </w:t>
      </w:r>
    </w:p>
    <w:p w:rsidR="001609C2" w:rsidRDefault="001609C2" w:rsidP="00A153A5">
      <w:pPr>
        <w:spacing w:line="360" w:lineRule="auto"/>
        <w:contextualSpacing/>
        <w:jc w:val="both"/>
        <w:rPr>
          <w:rFonts w:asciiTheme="majorBidi" w:hAnsiTheme="majorBidi" w:cstheme="majorBidi"/>
          <w:sz w:val="24"/>
          <w:szCs w:val="24"/>
        </w:rPr>
      </w:pPr>
      <w:r w:rsidRPr="00405BDD">
        <w:rPr>
          <w:rFonts w:asciiTheme="majorBidi" w:hAnsiTheme="majorBidi" w:cstheme="majorBidi"/>
          <w:sz w:val="24"/>
          <w:szCs w:val="24"/>
        </w:rPr>
        <w:lastRenderedPageBreak/>
        <w:t>These cei</w:t>
      </w:r>
      <w:r>
        <w:rPr>
          <w:rFonts w:asciiTheme="majorBidi" w:hAnsiTheme="majorBidi" w:cstheme="majorBidi"/>
          <w:sz w:val="24"/>
          <w:szCs w:val="24"/>
        </w:rPr>
        <w:t>lings</w:t>
      </w:r>
      <w:r w:rsidRPr="00405BDD">
        <w:rPr>
          <w:rFonts w:asciiTheme="majorBidi" w:hAnsiTheme="majorBidi" w:cstheme="majorBidi"/>
          <w:sz w:val="24"/>
          <w:szCs w:val="24"/>
        </w:rPr>
        <w:t xml:space="preserve"> are usually done on the basis of comparative measurement of the credit </w:t>
      </w:r>
      <w:r>
        <w:rPr>
          <w:rFonts w:asciiTheme="majorBidi" w:hAnsiTheme="majorBidi" w:cstheme="majorBidi"/>
          <w:sz w:val="24"/>
          <w:szCs w:val="24"/>
        </w:rPr>
        <w:t xml:space="preserve"> ratio</w:t>
      </w:r>
      <w:r w:rsidR="00721BF0">
        <w:rPr>
          <w:rFonts w:asciiTheme="majorBidi" w:hAnsiTheme="majorBidi" w:cstheme="majorBidi"/>
          <w:sz w:val="24"/>
          <w:szCs w:val="24"/>
        </w:rPr>
        <w:t xml:space="preserve"> </w:t>
      </w:r>
      <w:r>
        <w:rPr>
          <w:rFonts w:asciiTheme="majorBidi" w:hAnsiTheme="majorBidi" w:cstheme="majorBidi"/>
          <w:sz w:val="24"/>
          <w:szCs w:val="24"/>
        </w:rPr>
        <w:t>to one banking variable</w:t>
      </w:r>
      <w:r w:rsidRPr="00405BDD">
        <w:rPr>
          <w:rFonts w:asciiTheme="majorBidi" w:hAnsiTheme="majorBidi" w:cstheme="majorBidi"/>
          <w:sz w:val="24"/>
          <w:szCs w:val="24"/>
        </w:rPr>
        <w:t xml:space="preserve"> as the size of deposits, assets or capital, and is sometimes used as an </w:t>
      </w:r>
      <w:r>
        <w:rPr>
          <w:rFonts w:asciiTheme="majorBidi" w:hAnsiTheme="majorBidi" w:cstheme="majorBidi"/>
          <w:sz w:val="24"/>
          <w:szCs w:val="24"/>
        </w:rPr>
        <w:t>absolute credit ceilings as</w:t>
      </w:r>
      <w:r w:rsidRPr="00405BDD">
        <w:rPr>
          <w:rFonts w:asciiTheme="majorBidi" w:hAnsiTheme="majorBidi" w:cstheme="majorBidi"/>
          <w:sz w:val="24"/>
          <w:szCs w:val="24"/>
        </w:rPr>
        <w:t xml:space="preserve"> maximum or minimum limit should not skip</w:t>
      </w:r>
      <w:r>
        <w:rPr>
          <w:rFonts w:asciiTheme="majorBidi" w:hAnsiTheme="majorBidi" w:cstheme="majorBidi"/>
          <w:sz w:val="24"/>
          <w:szCs w:val="24"/>
        </w:rPr>
        <w:t>, including:</w:t>
      </w:r>
    </w:p>
    <w:p w:rsidR="005C55D6" w:rsidRPr="005C55D6" w:rsidRDefault="005C55D6" w:rsidP="00A153A5">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1-</w:t>
      </w:r>
      <w:r w:rsidR="00454BA7">
        <w:rPr>
          <w:rFonts w:asciiTheme="majorBidi" w:hAnsiTheme="majorBidi" w:cstheme="majorBidi"/>
          <w:sz w:val="24"/>
          <w:szCs w:val="24"/>
        </w:rPr>
        <w:t>Capital A</w:t>
      </w:r>
      <w:r w:rsidR="001609C2" w:rsidRPr="005C55D6">
        <w:rPr>
          <w:rFonts w:asciiTheme="majorBidi" w:hAnsiTheme="majorBidi" w:cstheme="majorBidi"/>
          <w:sz w:val="24"/>
          <w:szCs w:val="24"/>
        </w:rPr>
        <w:t xml:space="preserve">dequacy: it represent one of the requirements banks must follow and committed to, by demanding to keep </w:t>
      </w:r>
      <w:r w:rsidR="0023054A" w:rsidRPr="005C55D6">
        <w:rPr>
          <w:rFonts w:asciiTheme="majorBidi" w:hAnsiTheme="majorBidi" w:cstheme="majorBidi"/>
          <w:sz w:val="24"/>
          <w:szCs w:val="24"/>
        </w:rPr>
        <w:t>enough level</w:t>
      </w:r>
      <w:r w:rsidR="001609C2" w:rsidRPr="005C55D6">
        <w:rPr>
          <w:rFonts w:asciiTheme="majorBidi" w:hAnsiTheme="majorBidi" w:cstheme="majorBidi"/>
          <w:sz w:val="24"/>
          <w:szCs w:val="24"/>
        </w:rPr>
        <w:t xml:space="preserve"> of its</w:t>
      </w:r>
      <w:r w:rsidR="00721BF0" w:rsidRPr="005C55D6">
        <w:rPr>
          <w:rFonts w:asciiTheme="majorBidi" w:hAnsiTheme="majorBidi" w:cstheme="majorBidi"/>
          <w:sz w:val="24"/>
          <w:szCs w:val="24"/>
        </w:rPr>
        <w:t xml:space="preserve"> </w:t>
      </w:r>
      <w:r w:rsidR="001609C2" w:rsidRPr="005C55D6">
        <w:rPr>
          <w:rFonts w:asciiTheme="majorBidi" w:hAnsiTheme="majorBidi" w:cstheme="majorBidi"/>
          <w:sz w:val="24"/>
          <w:szCs w:val="24"/>
        </w:rPr>
        <w:t xml:space="preserve">private capital, to protect depositors from losses and meet the growth in bank assets, by </w:t>
      </w:r>
      <w:r w:rsidR="0023054A" w:rsidRPr="005C55D6">
        <w:rPr>
          <w:rFonts w:asciiTheme="majorBidi" w:hAnsiTheme="majorBidi" w:cstheme="majorBidi"/>
          <w:sz w:val="24"/>
          <w:szCs w:val="24"/>
        </w:rPr>
        <w:t>forcing banks</w:t>
      </w:r>
      <w:r w:rsidR="001609C2" w:rsidRPr="005C55D6">
        <w:rPr>
          <w:rFonts w:asciiTheme="majorBidi" w:hAnsiTheme="majorBidi" w:cstheme="majorBidi"/>
          <w:sz w:val="24"/>
          <w:szCs w:val="24"/>
        </w:rPr>
        <w:t xml:space="preserve"> to follow credit policy based on the diversification of assets and distributed according to the weighted risk, or raise the level of capital to maintain a minimum capital adequacy ratio which is reflected on the quality and quantity of credit facilities.</w:t>
      </w:r>
    </w:p>
    <w:p w:rsidR="001609C2" w:rsidRPr="005C55D6" w:rsidRDefault="001609C2" w:rsidP="00A153A5">
      <w:pPr>
        <w:spacing w:line="360" w:lineRule="auto"/>
        <w:contextualSpacing/>
        <w:jc w:val="both"/>
        <w:rPr>
          <w:rFonts w:asciiTheme="majorBidi" w:hAnsiTheme="majorBidi" w:cstheme="majorBidi"/>
          <w:sz w:val="24"/>
          <w:szCs w:val="24"/>
        </w:rPr>
      </w:pPr>
      <w:r w:rsidRPr="005C55D6">
        <w:rPr>
          <w:rFonts w:asciiTheme="majorBidi" w:hAnsiTheme="majorBidi" w:cstheme="majorBidi"/>
          <w:sz w:val="24"/>
          <w:szCs w:val="24"/>
        </w:rPr>
        <w:t>As instructed by the PMA, capital adequacy ratio</w:t>
      </w:r>
      <w:r w:rsidR="00721BF0" w:rsidRPr="005C55D6">
        <w:rPr>
          <w:rFonts w:asciiTheme="majorBidi" w:hAnsiTheme="majorBidi" w:cstheme="majorBidi"/>
          <w:sz w:val="24"/>
          <w:szCs w:val="24"/>
        </w:rPr>
        <w:t xml:space="preserve"> </w:t>
      </w:r>
      <w:r w:rsidRPr="005C55D6">
        <w:rPr>
          <w:rFonts w:asciiTheme="majorBidi" w:hAnsiTheme="majorBidi" w:cstheme="majorBidi"/>
          <w:sz w:val="24"/>
          <w:szCs w:val="24"/>
        </w:rPr>
        <w:t xml:space="preserve">shall not be less than10% for commercial banks and 12% for other banks (They ratios exceed the requirements </w:t>
      </w:r>
      <w:r w:rsidR="0023054A" w:rsidRPr="005C55D6">
        <w:rPr>
          <w:rFonts w:asciiTheme="majorBidi" w:hAnsiTheme="majorBidi" w:cstheme="majorBidi"/>
          <w:sz w:val="24"/>
          <w:szCs w:val="24"/>
        </w:rPr>
        <w:t>of Basel</w:t>
      </w:r>
      <w:r w:rsidRPr="005C55D6">
        <w:rPr>
          <w:rFonts w:asciiTheme="majorBidi" w:hAnsiTheme="majorBidi" w:cstheme="majorBidi"/>
          <w:sz w:val="24"/>
          <w:szCs w:val="24"/>
        </w:rPr>
        <w:t xml:space="preserve"> I which recommended a minimum of at least 8%, while it is consistent with the recommendations of the Basel II identified by 12% for the developed countries that experiencing its banking and financial instability low level of </w:t>
      </w:r>
      <w:r w:rsidR="008135C1" w:rsidRPr="005C55D6">
        <w:rPr>
          <w:rFonts w:asciiTheme="majorBidi" w:hAnsiTheme="majorBidi" w:cstheme="majorBidi"/>
          <w:sz w:val="24"/>
          <w:szCs w:val="24"/>
        </w:rPr>
        <w:t>development</w:t>
      </w:r>
      <w:r w:rsidR="008135C1" w:rsidRPr="005C55D6">
        <w:rPr>
          <w:rFonts w:asciiTheme="majorBidi" w:hAnsiTheme="majorBidi" w:cstheme="majorBidi"/>
          <w:color w:val="000000" w:themeColor="text1"/>
          <w:sz w:val="24"/>
          <w:szCs w:val="24"/>
        </w:rPr>
        <w:t xml:space="preserve"> (</w:t>
      </w:r>
      <w:r w:rsidRPr="005C55D6">
        <w:rPr>
          <w:rFonts w:asciiTheme="majorBidi" w:hAnsiTheme="majorBidi" w:cstheme="majorBidi"/>
          <w:color w:val="000000" w:themeColor="text1"/>
          <w:sz w:val="24"/>
          <w:szCs w:val="24"/>
        </w:rPr>
        <w:t>Altony</w:t>
      </w:r>
      <w:r w:rsidR="0023054A" w:rsidRPr="005C55D6">
        <w:rPr>
          <w:rFonts w:asciiTheme="majorBidi" w:hAnsiTheme="majorBidi" w:cstheme="majorBidi"/>
          <w:color w:val="000000" w:themeColor="text1"/>
          <w:sz w:val="24"/>
          <w:szCs w:val="24"/>
        </w:rPr>
        <w:t>, 2003</w:t>
      </w:r>
      <w:r w:rsidRPr="005C55D6">
        <w:rPr>
          <w:rFonts w:asciiTheme="majorBidi" w:hAnsiTheme="majorBidi" w:cstheme="majorBidi"/>
          <w:color w:val="000000" w:themeColor="text1"/>
          <w:sz w:val="24"/>
          <w:szCs w:val="24"/>
        </w:rPr>
        <w:t>)</w:t>
      </w:r>
      <w:r w:rsidR="00D11023">
        <w:rPr>
          <w:rFonts w:asciiTheme="majorBidi" w:hAnsiTheme="majorBidi" w:cstheme="majorBidi"/>
          <w:color w:val="000000" w:themeColor="text1"/>
          <w:sz w:val="24"/>
          <w:szCs w:val="24"/>
        </w:rPr>
        <w:t xml:space="preserve">. </w:t>
      </w:r>
    </w:p>
    <w:p w:rsidR="001609C2" w:rsidRPr="00A153A5" w:rsidRDefault="00A153A5" w:rsidP="00A153A5">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2-</w:t>
      </w:r>
      <w:r w:rsidR="000A2918">
        <w:rPr>
          <w:rFonts w:asciiTheme="majorBidi" w:hAnsiTheme="majorBidi" w:cstheme="majorBidi"/>
          <w:sz w:val="24"/>
          <w:szCs w:val="24"/>
        </w:rPr>
        <w:t>Liquidity:</w:t>
      </w:r>
      <w:r w:rsidR="001609C2" w:rsidRPr="00A153A5">
        <w:rPr>
          <w:rFonts w:asciiTheme="majorBidi" w:hAnsiTheme="majorBidi" w:cstheme="majorBidi"/>
          <w:sz w:val="24"/>
          <w:szCs w:val="24"/>
        </w:rPr>
        <w:t xml:space="preserve"> Whether the bank has excess liquidity or lack of liquidity, it should make balance between them, </w:t>
      </w:r>
      <w:r w:rsidR="0023054A" w:rsidRPr="00A153A5">
        <w:rPr>
          <w:rFonts w:asciiTheme="majorBidi" w:hAnsiTheme="majorBidi" w:cstheme="majorBidi"/>
          <w:sz w:val="24"/>
          <w:szCs w:val="24"/>
        </w:rPr>
        <w:t>since Liquidity</w:t>
      </w:r>
      <w:r w:rsidR="001609C2" w:rsidRPr="00A153A5">
        <w:rPr>
          <w:rFonts w:asciiTheme="majorBidi" w:hAnsiTheme="majorBidi" w:cstheme="majorBidi"/>
          <w:sz w:val="24"/>
          <w:szCs w:val="24"/>
        </w:rPr>
        <w:t xml:space="preserve"> has a direct and indirect impact on the quantity of bank’s credit facilities offered. Under instructions issued by PMA has committed banks to have </w:t>
      </w:r>
      <w:r w:rsidR="007C0D60" w:rsidRPr="00A153A5">
        <w:rPr>
          <w:rFonts w:asciiTheme="majorBidi" w:hAnsiTheme="majorBidi" w:cstheme="majorBidi"/>
          <w:sz w:val="24"/>
          <w:szCs w:val="24"/>
        </w:rPr>
        <w:t>at least</w:t>
      </w:r>
      <w:r w:rsidR="001609C2" w:rsidRPr="00A153A5">
        <w:rPr>
          <w:rFonts w:asciiTheme="majorBidi" w:hAnsiTheme="majorBidi" w:cstheme="majorBidi"/>
          <w:sz w:val="24"/>
          <w:szCs w:val="24"/>
        </w:rPr>
        <w:t>4% of cash in its vaults as a percentage from its total</w:t>
      </w:r>
      <w:r w:rsidR="003C1835" w:rsidRPr="00A153A5">
        <w:rPr>
          <w:rFonts w:asciiTheme="majorBidi" w:hAnsiTheme="majorBidi" w:cstheme="majorBidi"/>
          <w:sz w:val="24"/>
          <w:szCs w:val="24"/>
        </w:rPr>
        <w:t xml:space="preserve"> </w:t>
      </w:r>
      <w:r w:rsidR="001609C2" w:rsidRPr="00A153A5">
        <w:rPr>
          <w:rFonts w:asciiTheme="majorBidi" w:hAnsiTheme="majorBidi" w:cstheme="majorBidi"/>
          <w:sz w:val="24"/>
          <w:szCs w:val="24"/>
        </w:rPr>
        <w:t>liquid</w:t>
      </w:r>
      <w:r w:rsidR="003C1835" w:rsidRPr="00A153A5">
        <w:rPr>
          <w:rFonts w:asciiTheme="majorBidi" w:hAnsiTheme="majorBidi" w:cstheme="majorBidi"/>
          <w:sz w:val="24"/>
          <w:szCs w:val="24"/>
        </w:rPr>
        <w:t xml:space="preserve"> </w:t>
      </w:r>
      <w:r w:rsidR="001609C2" w:rsidRPr="00A153A5">
        <w:rPr>
          <w:rFonts w:asciiTheme="majorBidi" w:hAnsiTheme="majorBidi" w:cstheme="majorBidi"/>
          <w:sz w:val="24"/>
          <w:szCs w:val="24"/>
        </w:rPr>
        <w:t xml:space="preserve">commitments, as well as it demanded the banks to have no less </w:t>
      </w:r>
      <w:r w:rsidR="007C0D60" w:rsidRPr="00A153A5">
        <w:rPr>
          <w:rFonts w:asciiTheme="majorBidi" w:hAnsiTheme="majorBidi" w:cstheme="majorBidi"/>
          <w:sz w:val="24"/>
          <w:szCs w:val="24"/>
        </w:rPr>
        <w:t>than25</w:t>
      </w:r>
      <w:r w:rsidR="001609C2" w:rsidRPr="00A153A5">
        <w:rPr>
          <w:rFonts w:asciiTheme="majorBidi" w:hAnsiTheme="majorBidi" w:cstheme="majorBidi"/>
          <w:sz w:val="24"/>
          <w:szCs w:val="24"/>
        </w:rPr>
        <w:t>% of</w:t>
      </w:r>
      <w:r w:rsidR="003C1835" w:rsidRPr="00A153A5">
        <w:rPr>
          <w:rFonts w:asciiTheme="majorBidi" w:hAnsiTheme="majorBidi" w:cstheme="majorBidi"/>
          <w:sz w:val="24"/>
          <w:szCs w:val="24"/>
        </w:rPr>
        <w:t xml:space="preserve"> </w:t>
      </w:r>
      <w:r w:rsidR="001609C2" w:rsidRPr="00A153A5">
        <w:rPr>
          <w:rFonts w:asciiTheme="majorBidi" w:hAnsiTheme="majorBidi" w:cstheme="majorBidi"/>
          <w:sz w:val="24"/>
          <w:szCs w:val="24"/>
        </w:rPr>
        <w:t>total liquid assets as a percentage from its total</w:t>
      </w:r>
      <w:r w:rsidR="003C1835" w:rsidRPr="00A153A5">
        <w:rPr>
          <w:rFonts w:asciiTheme="majorBidi" w:hAnsiTheme="majorBidi" w:cstheme="majorBidi"/>
          <w:sz w:val="24"/>
          <w:szCs w:val="24"/>
        </w:rPr>
        <w:t xml:space="preserve"> </w:t>
      </w:r>
      <w:r w:rsidR="001609C2" w:rsidRPr="00A153A5">
        <w:rPr>
          <w:rFonts w:asciiTheme="majorBidi" w:hAnsiTheme="majorBidi" w:cstheme="majorBidi"/>
          <w:sz w:val="24"/>
          <w:szCs w:val="24"/>
        </w:rPr>
        <w:t>liquid</w:t>
      </w:r>
      <w:r w:rsidR="003C1835" w:rsidRPr="00A153A5">
        <w:rPr>
          <w:rFonts w:asciiTheme="majorBidi" w:hAnsiTheme="majorBidi" w:cstheme="majorBidi"/>
          <w:sz w:val="24"/>
          <w:szCs w:val="24"/>
        </w:rPr>
        <w:t xml:space="preserve"> </w:t>
      </w:r>
      <w:r w:rsidR="001609C2" w:rsidRPr="00A153A5">
        <w:rPr>
          <w:rFonts w:asciiTheme="majorBidi" w:hAnsiTheme="majorBidi" w:cstheme="majorBidi"/>
          <w:sz w:val="24"/>
          <w:szCs w:val="24"/>
        </w:rPr>
        <w:t>commitments. The ratio was in Jordan, 30% of the total deposits, in Egypt, 20% on local currency deposits and 25% on foreign currency deposits.</w:t>
      </w:r>
    </w:p>
    <w:p w:rsidR="00F406EB" w:rsidRPr="00F873C9" w:rsidRDefault="00F873C9" w:rsidP="00F873C9">
      <w:pPr>
        <w:spacing w:line="360" w:lineRule="auto"/>
        <w:jc w:val="both"/>
        <w:rPr>
          <w:rFonts w:asciiTheme="majorBidi" w:hAnsiTheme="majorBidi" w:cstheme="majorBidi"/>
          <w:sz w:val="24"/>
          <w:szCs w:val="24"/>
        </w:rPr>
      </w:pPr>
      <w:r>
        <w:rPr>
          <w:rFonts w:asciiTheme="majorBidi" w:hAnsiTheme="majorBidi" w:cstheme="majorBidi"/>
          <w:sz w:val="24"/>
          <w:szCs w:val="24"/>
        </w:rPr>
        <w:t>3-</w:t>
      </w:r>
      <w:r w:rsidR="00454BA7">
        <w:rPr>
          <w:rFonts w:asciiTheme="majorBidi" w:hAnsiTheme="majorBidi" w:cstheme="majorBidi"/>
          <w:sz w:val="24"/>
          <w:szCs w:val="24"/>
        </w:rPr>
        <w:t>Credit C</w:t>
      </w:r>
      <w:r w:rsidR="001609C2" w:rsidRPr="00F873C9">
        <w:rPr>
          <w:rFonts w:asciiTheme="majorBidi" w:hAnsiTheme="majorBidi" w:cstheme="majorBidi"/>
          <w:sz w:val="24"/>
          <w:szCs w:val="24"/>
        </w:rPr>
        <w:t>on</w:t>
      </w:r>
      <w:r w:rsidR="000A2918" w:rsidRPr="00F873C9">
        <w:rPr>
          <w:rFonts w:asciiTheme="majorBidi" w:hAnsiTheme="majorBidi" w:cstheme="majorBidi"/>
          <w:sz w:val="24"/>
          <w:szCs w:val="24"/>
        </w:rPr>
        <w:t>centrations:</w:t>
      </w:r>
      <w:r w:rsidR="001609C2" w:rsidRPr="00F873C9">
        <w:rPr>
          <w:rFonts w:asciiTheme="majorBidi" w:hAnsiTheme="majorBidi" w:cstheme="majorBidi"/>
          <w:sz w:val="24"/>
          <w:szCs w:val="24"/>
        </w:rPr>
        <w:t xml:space="preserve"> This concept can be defined as, to what extent bank’s credit portfolio  focused in particular sectors or</w:t>
      </w:r>
      <w:r w:rsidR="003C1835" w:rsidRPr="00F873C9">
        <w:rPr>
          <w:rFonts w:asciiTheme="majorBidi" w:hAnsiTheme="majorBidi" w:cstheme="majorBidi"/>
          <w:sz w:val="24"/>
          <w:szCs w:val="24"/>
        </w:rPr>
        <w:t xml:space="preserve"> </w:t>
      </w:r>
      <w:r w:rsidR="001609C2" w:rsidRPr="00F873C9">
        <w:rPr>
          <w:rFonts w:asciiTheme="majorBidi" w:hAnsiTheme="majorBidi" w:cstheme="majorBidi"/>
          <w:sz w:val="24"/>
          <w:szCs w:val="24"/>
        </w:rPr>
        <w:t>limited individuals, which may lead to exposing the portfolio to risk in the event of failure or a setback in one of these sectors or individuals,  therefore the credit policy should move towards</w:t>
      </w:r>
      <w:r w:rsidR="003C1835" w:rsidRPr="00F873C9">
        <w:rPr>
          <w:rFonts w:asciiTheme="majorBidi" w:hAnsiTheme="majorBidi" w:cstheme="majorBidi"/>
          <w:sz w:val="24"/>
          <w:szCs w:val="24"/>
        </w:rPr>
        <w:t xml:space="preserve"> </w:t>
      </w:r>
      <w:r w:rsidR="001609C2" w:rsidRPr="00F873C9">
        <w:rPr>
          <w:rFonts w:asciiTheme="majorBidi" w:hAnsiTheme="majorBidi" w:cstheme="majorBidi"/>
          <w:sz w:val="24"/>
          <w:szCs w:val="24"/>
        </w:rPr>
        <w:t xml:space="preserve">risk diversification, which gives the opportunity for different sectors and individuals concerned with equal access to opportunities to obtain credit facilities on equal terms without discrimination or misuse of depositors' money and more importantly, mitigation of risk that may be exposed to the </w:t>
      </w:r>
      <w:r w:rsidR="001609C2" w:rsidRPr="00F873C9">
        <w:rPr>
          <w:rFonts w:asciiTheme="majorBidi" w:hAnsiTheme="majorBidi" w:cstheme="majorBidi"/>
          <w:sz w:val="24"/>
          <w:szCs w:val="24"/>
        </w:rPr>
        <w:lastRenderedPageBreak/>
        <w:t>bank. Under the Article (16) of the Banking Act No. (2) for the year 2002, obliging</w:t>
      </w:r>
      <w:r w:rsidR="000A2918" w:rsidRPr="00F873C9">
        <w:rPr>
          <w:rFonts w:asciiTheme="majorBidi" w:hAnsiTheme="majorBidi" w:cstheme="majorBidi"/>
          <w:sz w:val="24"/>
          <w:szCs w:val="24"/>
        </w:rPr>
        <w:t xml:space="preserve"> b</w:t>
      </w:r>
      <w:r w:rsidR="001609C2" w:rsidRPr="00F873C9">
        <w:rPr>
          <w:rFonts w:asciiTheme="majorBidi" w:hAnsiTheme="majorBidi" w:cstheme="majorBidi"/>
          <w:sz w:val="24"/>
          <w:szCs w:val="24"/>
        </w:rPr>
        <w:t>anks not to extend credit to a person or group of persons, including mo</w:t>
      </w:r>
      <w:r w:rsidR="000A2918" w:rsidRPr="00F873C9">
        <w:rPr>
          <w:rFonts w:asciiTheme="majorBidi" w:hAnsiTheme="majorBidi" w:cstheme="majorBidi"/>
          <w:sz w:val="24"/>
          <w:szCs w:val="24"/>
        </w:rPr>
        <w:t xml:space="preserve">re than 10% </w:t>
      </w:r>
      <w:r w:rsidR="001609C2" w:rsidRPr="00F873C9">
        <w:rPr>
          <w:rFonts w:asciiTheme="majorBidi" w:hAnsiTheme="majorBidi" w:cstheme="majorBidi"/>
          <w:sz w:val="24"/>
          <w:szCs w:val="24"/>
        </w:rPr>
        <w:t>of the</w:t>
      </w:r>
      <w:r w:rsidR="003C1835" w:rsidRPr="00F873C9">
        <w:rPr>
          <w:rFonts w:asciiTheme="majorBidi" w:hAnsiTheme="majorBidi" w:cstheme="majorBidi"/>
          <w:sz w:val="24"/>
          <w:szCs w:val="24"/>
        </w:rPr>
        <w:t xml:space="preserve"> </w:t>
      </w:r>
      <w:r w:rsidR="001609C2" w:rsidRPr="00F873C9">
        <w:rPr>
          <w:rFonts w:asciiTheme="majorBidi" w:hAnsiTheme="majorBidi" w:cstheme="majorBidi"/>
          <w:sz w:val="24"/>
          <w:szCs w:val="24"/>
        </w:rPr>
        <w:t>bank’s ca</w:t>
      </w:r>
      <w:r w:rsidR="000A2918" w:rsidRPr="00F873C9">
        <w:rPr>
          <w:rFonts w:asciiTheme="majorBidi" w:hAnsiTheme="majorBidi" w:cstheme="majorBidi"/>
          <w:sz w:val="24"/>
          <w:szCs w:val="24"/>
        </w:rPr>
        <w:t>pital base without obtaining a</w:t>
      </w:r>
      <w:r w:rsidR="001609C2" w:rsidRPr="00F873C9">
        <w:rPr>
          <w:rFonts w:asciiTheme="majorBidi" w:hAnsiTheme="majorBidi" w:cstheme="majorBidi"/>
          <w:sz w:val="24"/>
          <w:szCs w:val="24"/>
        </w:rPr>
        <w:t xml:space="preserve"> prior written approval by the Palestinian Monetary Authority, in all cases,</w:t>
      </w:r>
      <w:r w:rsidR="000A2918" w:rsidRPr="00F873C9">
        <w:rPr>
          <w:rFonts w:asciiTheme="majorBidi" w:hAnsiTheme="majorBidi" w:cstheme="majorBidi"/>
          <w:sz w:val="24"/>
          <w:szCs w:val="24"/>
        </w:rPr>
        <w:t xml:space="preserve"> </w:t>
      </w:r>
      <w:r w:rsidR="002A15DF" w:rsidRPr="00F873C9">
        <w:rPr>
          <w:rFonts w:asciiTheme="majorBidi" w:hAnsiTheme="majorBidi" w:cstheme="majorBidi"/>
          <w:sz w:val="24"/>
          <w:szCs w:val="24"/>
        </w:rPr>
        <w:t xml:space="preserve">the value </w:t>
      </w:r>
      <w:r w:rsidR="000A2918" w:rsidRPr="00F873C9">
        <w:rPr>
          <w:rFonts w:asciiTheme="majorBidi" w:hAnsiTheme="majorBidi" w:cstheme="majorBidi"/>
          <w:sz w:val="24"/>
          <w:szCs w:val="24"/>
        </w:rPr>
        <w:t xml:space="preserve">credit granted </w:t>
      </w:r>
      <w:r w:rsidR="001609C2" w:rsidRPr="00F873C9">
        <w:rPr>
          <w:rFonts w:asciiTheme="majorBidi" w:hAnsiTheme="majorBidi" w:cstheme="majorBidi"/>
          <w:sz w:val="24"/>
          <w:szCs w:val="24"/>
        </w:rPr>
        <w:t>must not exceed</w:t>
      </w:r>
      <w:r w:rsidR="000A2918" w:rsidRPr="00F873C9">
        <w:rPr>
          <w:rFonts w:asciiTheme="majorBidi" w:hAnsiTheme="majorBidi" w:cstheme="majorBidi"/>
          <w:sz w:val="24"/>
          <w:szCs w:val="24"/>
        </w:rPr>
        <w:t xml:space="preserve"> of </w:t>
      </w:r>
      <w:r w:rsidR="001609C2" w:rsidRPr="00F873C9">
        <w:rPr>
          <w:rFonts w:asciiTheme="majorBidi" w:hAnsiTheme="majorBidi" w:cstheme="majorBidi"/>
          <w:sz w:val="24"/>
          <w:szCs w:val="24"/>
        </w:rPr>
        <w:t xml:space="preserve"> 25% of the</w:t>
      </w:r>
      <w:r w:rsidR="003C1835" w:rsidRPr="00F873C9">
        <w:rPr>
          <w:rFonts w:asciiTheme="majorBidi" w:hAnsiTheme="majorBidi" w:cstheme="majorBidi"/>
          <w:sz w:val="24"/>
          <w:szCs w:val="24"/>
        </w:rPr>
        <w:t xml:space="preserve"> b</w:t>
      </w:r>
      <w:r w:rsidR="001609C2" w:rsidRPr="00F873C9">
        <w:rPr>
          <w:rFonts w:asciiTheme="majorBidi" w:hAnsiTheme="majorBidi" w:cstheme="majorBidi"/>
          <w:sz w:val="24"/>
          <w:szCs w:val="24"/>
        </w:rPr>
        <w:t>ank’s capital is not subject to any obligations. In addition to the restrictions on the provision of credit facilities to customers who have a direct or indirect rela</w:t>
      </w:r>
      <w:r w:rsidR="002A15DF" w:rsidRPr="00F873C9">
        <w:rPr>
          <w:rFonts w:asciiTheme="majorBidi" w:hAnsiTheme="majorBidi" w:cstheme="majorBidi"/>
          <w:sz w:val="24"/>
          <w:szCs w:val="24"/>
        </w:rPr>
        <w:t>tionship with the bank, who has</w:t>
      </w:r>
      <w:r w:rsidR="001609C2" w:rsidRPr="00F873C9">
        <w:rPr>
          <w:rFonts w:asciiTheme="majorBidi" w:hAnsiTheme="majorBidi" w:cstheme="majorBidi"/>
          <w:sz w:val="24"/>
          <w:szCs w:val="24"/>
        </w:rPr>
        <w:t xml:space="preserve"> business interests, financial or own 5% of the bank's capital or 10% for a person or group of persons who work together or to any legal person have a stake in the bank capital to relevant and influential in the management of the bank.</w:t>
      </w:r>
    </w:p>
    <w:p w:rsidR="00F406EB" w:rsidRDefault="00F406EB" w:rsidP="00F406EB">
      <w:pPr>
        <w:spacing w:line="240" w:lineRule="auto"/>
        <w:contextualSpacing/>
        <w:rPr>
          <w:rFonts w:asciiTheme="majorBidi" w:hAnsiTheme="majorBidi" w:cstheme="majorBidi"/>
          <w:b/>
          <w:bCs/>
          <w:sz w:val="24"/>
          <w:szCs w:val="24"/>
        </w:rPr>
      </w:pPr>
    </w:p>
    <w:p w:rsidR="00194634" w:rsidRPr="00D04E18" w:rsidRDefault="00010ED3" w:rsidP="00D9760A">
      <w:pPr>
        <w:spacing w:line="360" w:lineRule="auto"/>
        <w:contextualSpacing/>
        <w:rPr>
          <w:rFonts w:asciiTheme="majorBidi" w:hAnsiTheme="majorBidi" w:cstheme="majorBidi"/>
          <w:b/>
          <w:bCs/>
          <w:sz w:val="24"/>
          <w:szCs w:val="24"/>
        </w:rPr>
      </w:pPr>
      <w:r>
        <w:rPr>
          <w:rFonts w:asciiTheme="majorBidi" w:hAnsiTheme="majorBidi" w:cstheme="majorBidi"/>
          <w:b/>
          <w:bCs/>
          <w:sz w:val="24"/>
          <w:szCs w:val="24"/>
        </w:rPr>
        <w:t>2.6.3.1.3</w:t>
      </w:r>
      <w:r w:rsidR="00926FFF" w:rsidRPr="00D04E18">
        <w:rPr>
          <w:rFonts w:asciiTheme="majorBidi" w:hAnsiTheme="majorBidi" w:cstheme="majorBidi"/>
          <w:b/>
          <w:bCs/>
          <w:sz w:val="24"/>
          <w:szCs w:val="24"/>
        </w:rPr>
        <w:t xml:space="preserve"> Internal Credit C</w:t>
      </w:r>
      <w:r w:rsidR="00194634" w:rsidRPr="00D04E18">
        <w:rPr>
          <w:rFonts w:asciiTheme="majorBidi" w:hAnsiTheme="majorBidi" w:cstheme="majorBidi"/>
          <w:b/>
          <w:bCs/>
          <w:sz w:val="24"/>
          <w:szCs w:val="24"/>
        </w:rPr>
        <w:t>ontrols</w:t>
      </w:r>
    </w:p>
    <w:p w:rsidR="00194634" w:rsidRPr="00D04E18" w:rsidRDefault="00194634" w:rsidP="00D9760A">
      <w:pPr>
        <w:spacing w:line="360" w:lineRule="auto"/>
        <w:contextualSpacing/>
        <w:jc w:val="both"/>
        <w:rPr>
          <w:rFonts w:asciiTheme="majorBidi" w:hAnsiTheme="majorBidi" w:cstheme="majorBidi"/>
          <w:sz w:val="24"/>
          <w:szCs w:val="24"/>
        </w:rPr>
      </w:pPr>
      <w:r w:rsidRPr="00D04E18">
        <w:rPr>
          <w:rFonts w:asciiTheme="majorBidi" w:hAnsiTheme="majorBidi" w:cstheme="majorBidi"/>
          <w:sz w:val="24"/>
          <w:szCs w:val="24"/>
        </w:rPr>
        <w:t xml:space="preserve">The internal </w:t>
      </w:r>
      <w:r w:rsidR="0094023E" w:rsidRPr="00D04E18">
        <w:rPr>
          <w:rFonts w:asciiTheme="majorBidi" w:hAnsiTheme="majorBidi" w:cstheme="majorBidi"/>
          <w:sz w:val="24"/>
          <w:szCs w:val="24"/>
        </w:rPr>
        <w:t>policy of commercial banks plays</w:t>
      </w:r>
      <w:r w:rsidRPr="00D04E18">
        <w:rPr>
          <w:rFonts w:asciiTheme="majorBidi" w:hAnsiTheme="majorBidi" w:cstheme="majorBidi"/>
          <w:sz w:val="24"/>
          <w:szCs w:val="24"/>
        </w:rPr>
        <w:t xml:space="preserve"> an important role in determining the size and trends of credit facilities of both qualitative and quantitative terms. It draws its credit strategy and operational policies according to the change in economic conditions and in line with the general economic objectives through the alignment between potential and existing and projected needs.</w:t>
      </w:r>
      <w:r w:rsidR="00A153A5">
        <w:rPr>
          <w:rFonts w:asciiTheme="majorBidi" w:hAnsiTheme="majorBidi" w:cstheme="majorBidi"/>
          <w:sz w:val="24"/>
          <w:szCs w:val="24"/>
        </w:rPr>
        <w:t xml:space="preserve"> </w:t>
      </w:r>
      <w:r w:rsidRPr="00D04E18">
        <w:rPr>
          <w:rFonts w:asciiTheme="majorBidi" w:hAnsiTheme="majorBidi" w:cstheme="majorBidi"/>
          <w:sz w:val="24"/>
          <w:szCs w:val="24"/>
        </w:rPr>
        <w:t>Confirming that, the</w:t>
      </w:r>
      <w:r w:rsidR="00D04E18">
        <w:rPr>
          <w:rFonts w:asciiTheme="majorBidi" w:hAnsiTheme="majorBidi" w:cstheme="majorBidi"/>
          <w:sz w:val="24"/>
          <w:szCs w:val="24"/>
        </w:rPr>
        <w:t xml:space="preserve"> </w:t>
      </w:r>
      <w:r w:rsidRPr="00D04E18">
        <w:rPr>
          <w:rFonts w:asciiTheme="majorBidi" w:hAnsiTheme="majorBidi" w:cstheme="majorBidi"/>
          <w:sz w:val="24"/>
          <w:szCs w:val="24"/>
        </w:rPr>
        <w:t xml:space="preserve">Palestinian Banking Act No. (2) for the year 2002 in Article (21) of item (3) pointed to the need </w:t>
      </w:r>
      <w:r w:rsidR="007C0D60" w:rsidRPr="00D04E18">
        <w:rPr>
          <w:rFonts w:asciiTheme="majorBidi" w:hAnsiTheme="majorBidi" w:cstheme="majorBidi"/>
          <w:sz w:val="24"/>
          <w:szCs w:val="24"/>
        </w:rPr>
        <w:t>“each</w:t>
      </w:r>
      <w:r w:rsidRPr="00D04E18">
        <w:rPr>
          <w:rFonts w:asciiTheme="majorBidi" w:hAnsiTheme="majorBidi" w:cstheme="majorBidi"/>
          <w:sz w:val="24"/>
          <w:szCs w:val="24"/>
        </w:rPr>
        <w:t xml:space="preserve"> bank should develop its internal systems that ensure the proper functioning, but inconsistent with the contract inception and its statute, so that senior management represented by the board of directors issued the general instructions and the plan fiduciary and technical instructions for the banking</w:t>
      </w:r>
      <w:r w:rsidR="003C1835">
        <w:rPr>
          <w:rFonts w:asciiTheme="majorBidi" w:hAnsiTheme="majorBidi" w:cstheme="majorBidi"/>
          <w:sz w:val="24"/>
          <w:szCs w:val="24"/>
        </w:rPr>
        <w:t xml:space="preserve"> </w:t>
      </w:r>
      <w:r w:rsidRPr="00D04E18">
        <w:rPr>
          <w:rFonts w:asciiTheme="majorBidi" w:hAnsiTheme="majorBidi" w:cstheme="majorBidi"/>
          <w:sz w:val="24"/>
          <w:szCs w:val="24"/>
        </w:rPr>
        <w:t xml:space="preserve">activity and foremost credit policy. The Palestinian Banking Act determine the role of the Board of Directors of licensed banks, to develop policies, regulations and control over the activities of the Bank in accordance with laws and regulations and instructions in force as well as the responsibilities entrusted to him under the internal regulations of the Bank, with an emphasis on the necessity of forming the Committee on Internal Audit of the members of the Council, which is essential in risk management and credit according to the principles of sound and technology professional management in order to ensure that there is to exercise control over the operations, management, control and oversight audit and ensure that there are regulations for loan classification. Article of </w:t>
      </w:r>
      <w:r w:rsidRPr="00D04E18">
        <w:rPr>
          <w:rFonts w:asciiTheme="majorBidi" w:hAnsiTheme="majorBidi" w:cstheme="majorBidi"/>
          <w:sz w:val="24"/>
          <w:szCs w:val="24"/>
        </w:rPr>
        <w:lastRenderedPageBreak/>
        <w:t>41 of the above-mentioned law, banks appoint committee Review from the members of the Board of Directors to review the financial reports and recommendations of internal and external auditors to determine the level of performance of the executive management and the extent of restriction laws and regulations and internal policies that constitute the framework and internal controls for the activities of the bank, including credit activity.</w:t>
      </w:r>
    </w:p>
    <w:p w:rsidR="00194634" w:rsidRPr="00D04E18" w:rsidRDefault="00194634" w:rsidP="000A35BD">
      <w:pPr>
        <w:spacing w:line="360" w:lineRule="auto"/>
        <w:contextualSpacing/>
        <w:jc w:val="both"/>
        <w:rPr>
          <w:rFonts w:asciiTheme="majorBidi" w:hAnsiTheme="majorBidi" w:cstheme="majorBidi"/>
          <w:sz w:val="24"/>
          <w:szCs w:val="24"/>
        </w:rPr>
      </w:pPr>
      <w:r w:rsidRPr="00D04E18">
        <w:rPr>
          <w:rFonts w:asciiTheme="majorBidi" w:hAnsiTheme="majorBidi" w:cstheme="majorBidi"/>
          <w:sz w:val="24"/>
          <w:szCs w:val="24"/>
        </w:rPr>
        <w:t xml:space="preserve">Upon that, the extent of the integrity of internal controls at the bank determines the efficiency of banks use to financial resources and using them to achieve a balance between business profitability and social development, through the rational allocation of bank’s </w:t>
      </w:r>
      <w:r w:rsidR="0023054A" w:rsidRPr="00D04E18">
        <w:rPr>
          <w:rFonts w:asciiTheme="majorBidi" w:hAnsiTheme="majorBidi" w:cstheme="majorBidi"/>
          <w:sz w:val="24"/>
          <w:szCs w:val="24"/>
        </w:rPr>
        <w:t>resources by</w:t>
      </w:r>
      <w:r w:rsidRPr="00D04E18">
        <w:rPr>
          <w:rFonts w:asciiTheme="majorBidi" w:hAnsiTheme="majorBidi" w:cstheme="majorBidi"/>
          <w:sz w:val="24"/>
          <w:szCs w:val="24"/>
        </w:rPr>
        <w:t xml:space="preserve"> achieving the highest</w:t>
      </w:r>
      <w:r w:rsidR="003C1835">
        <w:rPr>
          <w:rFonts w:asciiTheme="majorBidi" w:hAnsiTheme="majorBidi" w:cstheme="majorBidi"/>
          <w:sz w:val="24"/>
          <w:szCs w:val="24"/>
        </w:rPr>
        <w:t xml:space="preserve"> </w:t>
      </w:r>
      <w:r w:rsidRPr="00D04E18">
        <w:rPr>
          <w:rFonts w:asciiTheme="majorBidi" w:hAnsiTheme="majorBidi" w:cstheme="majorBidi"/>
          <w:sz w:val="24"/>
          <w:szCs w:val="24"/>
        </w:rPr>
        <w:t>possible efficiency at the level of management information systems developed and customization and effective operation of credit management. Where it was noted that each stage of the credit decision-making affected by three sets of factors, to varying degrees, and even get to the stage of deciding on</w:t>
      </w:r>
      <w:r w:rsidR="003C1835">
        <w:rPr>
          <w:rFonts w:asciiTheme="majorBidi" w:hAnsiTheme="majorBidi" w:cstheme="majorBidi"/>
          <w:sz w:val="24"/>
          <w:szCs w:val="24"/>
        </w:rPr>
        <w:t xml:space="preserve"> </w:t>
      </w:r>
      <w:r w:rsidRPr="00D04E18">
        <w:rPr>
          <w:rFonts w:asciiTheme="majorBidi" w:hAnsiTheme="majorBidi" w:cstheme="majorBidi"/>
          <w:sz w:val="24"/>
          <w:szCs w:val="24"/>
        </w:rPr>
        <w:t>loan application either acceptance or rejection:</w:t>
      </w:r>
    </w:p>
    <w:p w:rsidR="00194634" w:rsidRPr="000A35BD" w:rsidRDefault="00194634" w:rsidP="000A35BD">
      <w:pPr>
        <w:spacing w:line="360" w:lineRule="auto"/>
        <w:contextualSpacing/>
        <w:jc w:val="both"/>
        <w:rPr>
          <w:rFonts w:asciiTheme="majorBidi" w:hAnsiTheme="majorBidi" w:cstheme="majorBidi"/>
          <w:sz w:val="24"/>
          <w:szCs w:val="24"/>
        </w:rPr>
      </w:pPr>
      <w:r w:rsidRPr="000A35BD">
        <w:rPr>
          <w:rFonts w:asciiTheme="majorBidi" w:hAnsiTheme="majorBidi" w:cstheme="majorBidi"/>
          <w:sz w:val="24"/>
          <w:szCs w:val="24"/>
        </w:rPr>
        <w:t>The general rules in the granting credit.</w:t>
      </w:r>
    </w:p>
    <w:p w:rsidR="00194634" w:rsidRPr="000A35BD" w:rsidRDefault="000A35BD" w:rsidP="000A35BD">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00194634" w:rsidRPr="000A35BD">
        <w:rPr>
          <w:rFonts w:asciiTheme="majorBidi" w:hAnsiTheme="majorBidi" w:cstheme="majorBidi"/>
          <w:sz w:val="24"/>
          <w:szCs w:val="24"/>
        </w:rPr>
        <w:t>Factors related to the bank:  this include,</w:t>
      </w:r>
      <w:r w:rsidR="00454BA7">
        <w:rPr>
          <w:rFonts w:asciiTheme="majorBidi" w:hAnsiTheme="majorBidi" w:cstheme="majorBidi"/>
          <w:sz w:val="24"/>
          <w:szCs w:val="24"/>
        </w:rPr>
        <w:t xml:space="preserve"> objectives of the bank, nature of its activities, </w:t>
      </w:r>
      <w:r w:rsidR="00194634" w:rsidRPr="000A35BD">
        <w:rPr>
          <w:rFonts w:asciiTheme="majorBidi" w:hAnsiTheme="majorBidi" w:cstheme="majorBidi"/>
          <w:sz w:val="24"/>
          <w:szCs w:val="24"/>
        </w:rPr>
        <w:t xml:space="preserve">quality of </w:t>
      </w:r>
      <w:r w:rsidR="00454BA7">
        <w:rPr>
          <w:rFonts w:asciiTheme="majorBidi" w:hAnsiTheme="majorBidi" w:cstheme="majorBidi"/>
          <w:sz w:val="24"/>
          <w:szCs w:val="24"/>
        </w:rPr>
        <w:t xml:space="preserve">banking services practiced, </w:t>
      </w:r>
      <w:r w:rsidR="00194634" w:rsidRPr="000A35BD">
        <w:rPr>
          <w:rFonts w:asciiTheme="majorBidi" w:hAnsiTheme="majorBidi" w:cstheme="majorBidi"/>
          <w:sz w:val="24"/>
          <w:szCs w:val="24"/>
        </w:rPr>
        <w:t>credit policy and its potential physical, human, technical, contribution rate of the bank in the ban</w:t>
      </w:r>
      <w:r w:rsidR="00454BA7">
        <w:rPr>
          <w:rFonts w:asciiTheme="majorBidi" w:hAnsiTheme="majorBidi" w:cstheme="majorBidi"/>
          <w:sz w:val="24"/>
          <w:szCs w:val="24"/>
        </w:rPr>
        <w:t>king market, competitiveness</w:t>
      </w:r>
      <w:r w:rsidR="00194634" w:rsidRPr="000A35BD">
        <w:rPr>
          <w:rFonts w:asciiTheme="majorBidi" w:hAnsiTheme="majorBidi" w:cstheme="majorBidi"/>
          <w:sz w:val="24"/>
          <w:szCs w:val="24"/>
        </w:rPr>
        <w:t xml:space="preserve"> strategic espoused by this regard and considerations of liquidity.</w:t>
      </w:r>
    </w:p>
    <w:p w:rsidR="00194634" w:rsidRPr="000A35BD" w:rsidRDefault="000A35BD" w:rsidP="000A35BD">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00194634" w:rsidRPr="000A35BD">
        <w:rPr>
          <w:rFonts w:asciiTheme="majorBidi" w:hAnsiTheme="majorBidi" w:cstheme="majorBidi"/>
          <w:sz w:val="24"/>
          <w:szCs w:val="24"/>
        </w:rPr>
        <w:t>Factors related to the quality of credit facilities provided: They relate to the purpose of the credit, credit size, style, source of repayment, its compatibility with the credit policy and the nature of the risks that entails, and then the balance between revenue and costs.</w:t>
      </w:r>
    </w:p>
    <w:p w:rsidR="002B5A72" w:rsidRDefault="00194634" w:rsidP="000A35BD">
      <w:pPr>
        <w:spacing w:line="360" w:lineRule="auto"/>
        <w:contextualSpacing/>
        <w:jc w:val="both"/>
        <w:rPr>
          <w:rFonts w:asciiTheme="majorBidi" w:hAnsiTheme="majorBidi" w:cstheme="majorBidi"/>
          <w:sz w:val="24"/>
          <w:szCs w:val="24"/>
        </w:rPr>
      </w:pPr>
      <w:r w:rsidRPr="0023054A">
        <w:rPr>
          <w:rFonts w:asciiTheme="majorBidi" w:hAnsiTheme="majorBidi" w:cstheme="majorBidi"/>
          <w:sz w:val="24"/>
          <w:szCs w:val="24"/>
        </w:rPr>
        <w:t xml:space="preserve">Finally, one can say for sure that the size and quality of credit supply is determined mainly on how decision-making based on credit standards and general guidelines laid down by </w:t>
      </w:r>
      <w:r w:rsidR="0023054A" w:rsidRPr="0023054A">
        <w:rPr>
          <w:rFonts w:asciiTheme="majorBidi" w:hAnsiTheme="majorBidi" w:cstheme="majorBidi"/>
          <w:sz w:val="24"/>
          <w:szCs w:val="24"/>
        </w:rPr>
        <w:t>the bank’s</w:t>
      </w:r>
      <w:r w:rsidRPr="0023054A">
        <w:rPr>
          <w:rFonts w:asciiTheme="majorBidi" w:hAnsiTheme="majorBidi" w:cstheme="majorBidi"/>
          <w:sz w:val="24"/>
          <w:szCs w:val="24"/>
        </w:rPr>
        <w:t xml:space="preserve"> credit policy.</w:t>
      </w:r>
    </w:p>
    <w:p w:rsidR="00F406EB" w:rsidRDefault="00F406EB" w:rsidP="000A35BD">
      <w:pPr>
        <w:spacing w:line="360" w:lineRule="auto"/>
        <w:contextualSpacing/>
        <w:jc w:val="both"/>
        <w:rPr>
          <w:rFonts w:asciiTheme="majorBidi" w:hAnsiTheme="majorBidi" w:cstheme="majorBidi"/>
          <w:sz w:val="24"/>
          <w:szCs w:val="24"/>
        </w:rPr>
      </w:pPr>
    </w:p>
    <w:p w:rsidR="00B14B0B" w:rsidRPr="00D6442B" w:rsidRDefault="004673CA" w:rsidP="00D9760A">
      <w:pPr>
        <w:spacing w:line="360" w:lineRule="auto"/>
        <w:contextualSpacing/>
        <w:jc w:val="both"/>
        <w:rPr>
          <w:rFonts w:asciiTheme="majorBidi" w:hAnsiTheme="majorBidi" w:cstheme="majorBidi"/>
          <w:sz w:val="24"/>
          <w:szCs w:val="24"/>
        </w:rPr>
      </w:pPr>
      <w:r w:rsidRPr="0023054A">
        <w:rPr>
          <w:rFonts w:asciiTheme="majorBidi" w:hAnsiTheme="majorBidi" w:cstheme="majorBidi"/>
          <w:b/>
          <w:bCs/>
          <w:sz w:val="24"/>
          <w:szCs w:val="24"/>
          <w:lang w:bidi="ar-JO"/>
        </w:rPr>
        <w:t>2.6.4</w:t>
      </w:r>
      <w:r w:rsidR="00B26274" w:rsidRPr="0023054A">
        <w:rPr>
          <w:rFonts w:asciiTheme="majorBidi" w:hAnsiTheme="majorBidi" w:cstheme="majorBidi"/>
          <w:b/>
          <w:bCs/>
          <w:sz w:val="24"/>
          <w:szCs w:val="24"/>
          <w:lang w:bidi="ar-JO"/>
        </w:rPr>
        <w:t xml:space="preserve"> Credit Facilities in the Palestinian Banking System</w:t>
      </w:r>
    </w:p>
    <w:p w:rsidR="00502966" w:rsidRPr="00F406EB" w:rsidRDefault="00DC3290" w:rsidP="00F406EB">
      <w:pPr>
        <w:spacing w:line="360" w:lineRule="auto"/>
        <w:jc w:val="both"/>
        <w:rPr>
          <w:rFonts w:ascii="Times New Roman" w:hAnsi="Times New Roman" w:cs="Times New Roman"/>
        </w:rPr>
      </w:pPr>
      <w:r w:rsidRPr="00DC3290">
        <w:rPr>
          <w:rFonts w:ascii="Times New Roman" w:hAnsi="Times New Roman" w:cs="Times New Roman"/>
          <w:sz w:val="24"/>
          <w:szCs w:val="24"/>
        </w:rPr>
        <w:t>The role of Palestinian banking system still weak in financing various economic sectors, compare to other developing countries. This is due the instability of both econ</w:t>
      </w:r>
      <w:r w:rsidR="002A15DF">
        <w:rPr>
          <w:rFonts w:ascii="Times New Roman" w:hAnsi="Times New Roman" w:cs="Times New Roman"/>
          <w:sz w:val="24"/>
          <w:szCs w:val="24"/>
        </w:rPr>
        <w:t xml:space="preserve">omic and </w:t>
      </w:r>
      <w:r w:rsidR="002A15DF">
        <w:rPr>
          <w:rFonts w:ascii="Times New Roman" w:hAnsi="Times New Roman" w:cs="Times New Roman"/>
          <w:sz w:val="24"/>
          <w:szCs w:val="24"/>
        </w:rPr>
        <w:lastRenderedPageBreak/>
        <w:t>political environment.</w:t>
      </w:r>
      <w:r w:rsidR="002A15DF" w:rsidRPr="00DC3290">
        <w:rPr>
          <w:rFonts w:ascii="Times New Roman" w:hAnsi="Times New Roman" w:cs="Times New Roman"/>
          <w:sz w:val="24"/>
          <w:szCs w:val="24"/>
        </w:rPr>
        <w:t xml:space="preserve"> The</w:t>
      </w:r>
      <w:r w:rsidR="00B26274" w:rsidRPr="00DC3290">
        <w:rPr>
          <w:rFonts w:ascii="Times New Roman" w:hAnsi="Times New Roman" w:cs="Times New Roman"/>
          <w:sz w:val="24"/>
          <w:szCs w:val="24"/>
        </w:rPr>
        <w:t xml:space="preserve"> percentage of facilities granted to private and public sector has been remarkably impro</w:t>
      </w:r>
      <w:r w:rsidR="00345EB6" w:rsidRPr="00DC3290">
        <w:rPr>
          <w:rFonts w:ascii="Times New Roman" w:hAnsi="Times New Roman" w:cs="Times New Roman"/>
          <w:sz w:val="24"/>
          <w:szCs w:val="24"/>
        </w:rPr>
        <w:t>ved during the period 2005-2011 as shown in figure</w:t>
      </w:r>
      <w:r w:rsidR="002A2E7B" w:rsidRPr="00DC3290">
        <w:rPr>
          <w:rFonts w:ascii="Times New Roman" w:hAnsi="Times New Roman" w:cs="Times New Roman"/>
          <w:sz w:val="24"/>
          <w:szCs w:val="24"/>
        </w:rPr>
        <w:t xml:space="preserve"> 2.13 </w:t>
      </w:r>
      <w:r w:rsidR="00345EB6" w:rsidRPr="00DC3290">
        <w:rPr>
          <w:rFonts w:ascii="Times New Roman" w:hAnsi="Times New Roman" w:cs="Times New Roman"/>
          <w:sz w:val="24"/>
          <w:szCs w:val="24"/>
        </w:rPr>
        <w:t>below</w:t>
      </w:r>
      <w:r w:rsidR="002A15DF">
        <w:rPr>
          <w:rFonts w:ascii="Times New Roman" w:hAnsi="Times New Roman" w:cs="Times New Roman"/>
          <w:sz w:val="24"/>
          <w:szCs w:val="24"/>
        </w:rPr>
        <w:t>.</w:t>
      </w:r>
    </w:p>
    <w:p w:rsidR="00EA25AA" w:rsidRPr="00926FFF" w:rsidRDefault="00237994" w:rsidP="00194634">
      <w:pPr>
        <w:pStyle w:val="Default"/>
        <w:spacing w:line="360" w:lineRule="auto"/>
        <w:jc w:val="center"/>
        <w:rPr>
          <w:rFonts w:asciiTheme="majorBidi" w:hAnsiTheme="majorBidi" w:cstheme="majorBidi"/>
          <w:b/>
          <w:bCs/>
          <w:sz w:val="22"/>
          <w:szCs w:val="22"/>
        </w:rPr>
      </w:pPr>
      <w:r w:rsidRPr="00926FFF">
        <w:rPr>
          <w:rFonts w:asciiTheme="majorBidi" w:hAnsiTheme="majorBidi" w:cstheme="majorBidi"/>
          <w:b/>
          <w:bCs/>
          <w:sz w:val="22"/>
          <w:szCs w:val="22"/>
        </w:rPr>
        <w:t>Figure 2.12</w:t>
      </w:r>
      <w:r w:rsidR="00EA25AA" w:rsidRPr="00926FFF">
        <w:rPr>
          <w:rFonts w:asciiTheme="majorBidi" w:hAnsiTheme="majorBidi" w:cstheme="majorBidi"/>
          <w:b/>
          <w:bCs/>
          <w:sz w:val="22"/>
          <w:szCs w:val="22"/>
        </w:rPr>
        <w:t>: Direct credit facilities, 2007-2011</w:t>
      </w:r>
    </w:p>
    <w:p w:rsidR="00345EB6" w:rsidRDefault="00345EB6" w:rsidP="00A56772">
      <w:pPr>
        <w:pStyle w:val="Default"/>
        <w:spacing w:line="360" w:lineRule="auto"/>
        <w:jc w:val="center"/>
        <w:rPr>
          <w:rFonts w:asciiTheme="majorBidi" w:hAnsiTheme="majorBidi" w:cstheme="majorBidi"/>
        </w:rPr>
      </w:pPr>
      <w:r w:rsidRPr="00345EB6">
        <w:rPr>
          <w:rFonts w:asciiTheme="majorBidi" w:hAnsiTheme="majorBidi" w:cstheme="majorBidi"/>
          <w:noProof/>
        </w:rPr>
        <w:drawing>
          <wp:inline distT="0" distB="0" distL="0" distR="0">
            <wp:extent cx="4194505" cy="135225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duotone>
                        <a:prstClr val="black"/>
                        <a:schemeClr val="accent1">
                          <a:tint val="45000"/>
                          <a:satMod val="400000"/>
                        </a:schemeClr>
                      </a:duotone>
                    </a:blip>
                    <a:srcRect/>
                    <a:stretch>
                      <a:fillRect/>
                    </a:stretch>
                  </pic:blipFill>
                  <pic:spPr bwMode="auto">
                    <a:xfrm>
                      <a:off x="0" y="0"/>
                      <a:ext cx="4195424" cy="1352550"/>
                    </a:xfrm>
                    <a:prstGeom prst="rect">
                      <a:avLst/>
                    </a:prstGeom>
                    <a:solidFill>
                      <a:schemeClr val="tx2"/>
                    </a:solidFill>
                    <a:ln w="9525">
                      <a:noFill/>
                      <a:miter lim="800000"/>
                      <a:headEnd/>
                      <a:tailEnd/>
                    </a:ln>
                  </pic:spPr>
                </pic:pic>
              </a:graphicData>
            </a:graphic>
          </wp:inline>
        </w:drawing>
      </w:r>
    </w:p>
    <w:p w:rsidR="00345EB6" w:rsidRPr="00C12167" w:rsidRDefault="00C12167" w:rsidP="00E04FD0">
      <w:pPr>
        <w:pStyle w:val="Default"/>
        <w:spacing w:line="360" w:lineRule="auto"/>
        <w:jc w:val="center"/>
        <w:rPr>
          <w:rFonts w:asciiTheme="majorBidi" w:hAnsiTheme="majorBidi" w:cstheme="majorBidi"/>
          <w:sz w:val="20"/>
          <w:szCs w:val="20"/>
        </w:rPr>
      </w:pPr>
      <w:r>
        <w:rPr>
          <w:rFonts w:asciiTheme="majorBidi" w:hAnsiTheme="majorBidi" w:cstheme="majorBidi"/>
          <w:sz w:val="20"/>
          <w:szCs w:val="20"/>
        </w:rPr>
        <w:t>Source: PMA's financial Stability re</w:t>
      </w:r>
      <w:r w:rsidR="00D36BE3">
        <w:rPr>
          <w:rFonts w:asciiTheme="majorBidi" w:hAnsiTheme="majorBidi" w:cstheme="majorBidi"/>
          <w:sz w:val="20"/>
          <w:szCs w:val="20"/>
        </w:rPr>
        <w:t>p</w:t>
      </w:r>
      <w:r>
        <w:rPr>
          <w:rFonts w:asciiTheme="majorBidi" w:hAnsiTheme="majorBidi" w:cstheme="majorBidi"/>
          <w:sz w:val="20"/>
          <w:szCs w:val="20"/>
        </w:rPr>
        <w:t>ort,</w:t>
      </w:r>
      <w:r w:rsidR="00EA25AA" w:rsidRPr="00C12167">
        <w:rPr>
          <w:rFonts w:asciiTheme="majorBidi" w:hAnsiTheme="majorBidi" w:cstheme="majorBidi"/>
          <w:sz w:val="20"/>
          <w:szCs w:val="20"/>
        </w:rPr>
        <w:t xml:space="preserve"> 2012</w:t>
      </w:r>
    </w:p>
    <w:p w:rsidR="006E74E0" w:rsidRDefault="006E74E0" w:rsidP="008135C1">
      <w:pPr>
        <w:pStyle w:val="Default"/>
        <w:spacing w:line="360" w:lineRule="auto"/>
        <w:jc w:val="both"/>
        <w:rPr>
          <w:rFonts w:asciiTheme="majorBidi" w:hAnsiTheme="majorBidi" w:cstheme="majorBidi"/>
        </w:rPr>
      </w:pPr>
    </w:p>
    <w:p w:rsidR="00D9760A" w:rsidRDefault="00E76293" w:rsidP="008135C1">
      <w:pPr>
        <w:pStyle w:val="Default"/>
        <w:spacing w:line="360" w:lineRule="auto"/>
        <w:jc w:val="both"/>
        <w:rPr>
          <w:rFonts w:asciiTheme="majorBidi" w:hAnsiTheme="majorBidi" w:cstheme="majorBidi"/>
          <w:color w:val="FF0000"/>
        </w:rPr>
      </w:pPr>
      <w:r>
        <w:rPr>
          <w:rFonts w:asciiTheme="majorBidi" w:hAnsiTheme="majorBidi" w:cstheme="majorBidi"/>
        </w:rPr>
        <w:t xml:space="preserve"> In 2005 credit facilities</w:t>
      </w:r>
      <w:r w:rsidR="005D7187">
        <w:rPr>
          <w:rFonts w:asciiTheme="majorBidi" w:hAnsiTheme="majorBidi" w:cstheme="majorBidi"/>
        </w:rPr>
        <w:t xml:space="preserve"> </w:t>
      </w:r>
      <w:r w:rsidR="00B26274" w:rsidRPr="00C64975">
        <w:rPr>
          <w:rFonts w:asciiTheme="majorBidi" w:hAnsiTheme="majorBidi" w:cstheme="majorBidi"/>
        </w:rPr>
        <w:t>was</w:t>
      </w:r>
      <w:r w:rsidR="00B26274">
        <w:rPr>
          <w:rFonts w:asciiTheme="majorBidi" w:hAnsiTheme="majorBidi" w:cstheme="majorBidi"/>
          <w:bCs/>
        </w:rPr>
        <w:t>USD</w:t>
      </w:r>
      <w:r w:rsidR="00B26274" w:rsidRPr="00C64975">
        <w:rPr>
          <w:rFonts w:asciiTheme="majorBidi" w:hAnsiTheme="majorBidi" w:cstheme="majorBidi"/>
        </w:rPr>
        <w:t>1790.3</w:t>
      </w:r>
      <w:r w:rsidR="00B26274">
        <w:rPr>
          <w:rFonts w:asciiTheme="majorBidi" w:hAnsiTheme="majorBidi" w:cstheme="majorBidi"/>
          <w:bCs/>
        </w:rPr>
        <w:t xml:space="preserve"> million</w:t>
      </w:r>
      <w:r w:rsidR="00B26274">
        <w:rPr>
          <w:rFonts w:asciiTheme="majorBidi" w:hAnsiTheme="majorBidi" w:cstheme="majorBidi"/>
        </w:rPr>
        <w:t xml:space="preserve"> then increased </w:t>
      </w:r>
      <w:r w:rsidR="00345EB6">
        <w:rPr>
          <w:rFonts w:asciiTheme="majorBidi" w:hAnsiTheme="majorBidi" w:cstheme="majorBidi"/>
        </w:rPr>
        <w:t>gradually</w:t>
      </w:r>
      <w:r w:rsidR="00B26274">
        <w:rPr>
          <w:rFonts w:asciiTheme="majorBidi" w:hAnsiTheme="majorBidi" w:cstheme="majorBidi"/>
        </w:rPr>
        <w:t xml:space="preserve"> until it reached USD 3490.1 million</w:t>
      </w:r>
      <w:r w:rsidR="00B26274" w:rsidRPr="00C64975">
        <w:rPr>
          <w:rFonts w:asciiTheme="majorBidi" w:hAnsiTheme="majorBidi" w:cstheme="majorBidi"/>
        </w:rPr>
        <w:t xml:space="preserve"> at the end of 2011</w:t>
      </w:r>
      <w:r w:rsidR="008135C1">
        <w:rPr>
          <w:rFonts w:asciiTheme="majorBidi" w:hAnsiTheme="majorBidi" w:cstheme="majorBidi"/>
        </w:rPr>
        <w:t>,</w:t>
      </w:r>
      <w:r w:rsidR="008135C1" w:rsidRPr="00076836">
        <w:rPr>
          <w:rFonts w:asciiTheme="majorBidi" w:hAnsiTheme="majorBidi" w:cstheme="majorBidi"/>
          <w:color w:val="000000" w:themeColor="text1"/>
        </w:rPr>
        <w:t xml:space="preserve"> as</w:t>
      </w:r>
      <w:r w:rsidR="00B26274" w:rsidRPr="00076836">
        <w:rPr>
          <w:rFonts w:asciiTheme="majorBidi" w:hAnsiTheme="majorBidi" w:cstheme="majorBidi"/>
          <w:color w:val="000000" w:themeColor="text1"/>
        </w:rPr>
        <w:t xml:space="preserve"> shown in table </w:t>
      </w:r>
      <w:r w:rsidR="00A6283A" w:rsidRPr="00076836">
        <w:rPr>
          <w:rFonts w:asciiTheme="majorBidi" w:hAnsiTheme="majorBidi" w:cstheme="majorBidi"/>
          <w:color w:val="000000" w:themeColor="text1"/>
        </w:rPr>
        <w:t>2.7</w:t>
      </w:r>
      <w:r w:rsidR="008C7567">
        <w:rPr>
          <w:rFonts w:asciiTheme="majorBidi" w:hAnsiTheme="majorBidi" w:cstheme="majorBidi"/>
          <w:color w:val="000000" w:themeColor="text1"/>
        </w:rPr>
        <w:t>.</w:t>
      </w:r>
    </w:p>
    <w:p w:rsidR="006E74E0" w:rsidRPr="008135C1" w:rsidRDefault="006E74E0" w:rsidP="008135C1">
      <w:pPr>
        <w:pStyle w:val="Default"/>
        <w:spacing w:line="360" w:lineRule="auto"/>
        <w:jc w:val="both"/>
        <w:rPr>
          <w:rFonts w:asciiTheme="majorBidi" w:hAnsiTheme="majorBidi" w:cstheme="majorBidi"/>
          <w:color w:val="FF0000"/>
        </w:rPr>
      </w:pPr>
    </w:p>
    <w:p w:rsidR="00076836" w:rsidRDefault="00076836" w:rsidP="00D36BE3">
      <w:pPr>
        <w:pStyle w:val="Default"/>
        <w:jc w:val="center"/>
        <w:rPr>
          <w:rFonts w:asciiTheme="majorBidi" w:hAnsiTheme="majorBidi" w:cstheme="majorBidi"/>
          <w:b/>
          <w:bCs/>
          <w:sz w:val="22"/>
          <w:szCs w:val="22"/>
        </w:rPr>
      </w:pPr>
      <w:r w:rsidRPr="00926FFF">
        <w:rPr>
          <w:rFonts w:asciiTheme="majorBidi" w:hAnsiTheme="majorBidi" w:cstheme="majorBidi"/>
          <w:b/>
          <w:bCs/>
          <w:sz w:val="22"/>
          <w:szCs w:val="22"/>
        </w:rPr>
        <w:t>Table 2.7: Credit facilities in the Palestinian banking system during 2005-2011</w:t>
      </w:r>
    </w:p>
    <w:p w:rsidR="00D36BE3" w:rsidRPr="00926FFF" w:rsidRDefault="00D36BE3" w:rsidP="00D36BE3">
      <w:pPr>
        <w:pStyle w:val="Default"/>
        <w:jc w:val="center"/>
        <w:rPr>
          <w:rFonts w:asciiTheme="majorBidi" w:hAnsiTheme="majorBidi" w:cstheme="majorBidi"/>
          <w:b/>
          <w:bCs/>
          <w:sz w:val="22"/>
          <w:szCs w:val="22"/>
        </w:rPr>
      </w:pPr>
    </w:p>
    <w:tbl>
      <w:tblPr>
        <w:bidiVisual/>
        <w:tblW w:w="8460" w:type="dxa"/>
        <w:tblInd w:w="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ayout w:type="fixed"/>
        <w:tblLook w:val="0000"/>
      </w:tblPr>
      <w:tblGrid>
        <w:gridCol w:w="990"/>
        <w:gridCol w:w="832"/>
        <w:gridCol w:w="1134"/>
        <w:gridCol w:w="851"/>
        <w:gridCol w:w="850"/>
        <w:gridCol w:w="851"/>
        <w:gridCol w:w="992"/>
        <w:gridCol w:w="1960"/>
      </w:tblGrid>
      <w:tr w:rsidR="00076836" w:rsidRPr="005C0783" w:rsidTr="005D7187">
        <w:trPr>
          <w:trHeight w:val="530"/>
        </w:trPr>
        <w:tc>
          <w:tcPr>
            <w:tcW w:w="990"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lang w:bidi="ar-JO"/>
              </w:rPr>
            </w:pPr>
            <w:r w:rsidRPr="005C0783">
              <w:rPr>
                <w:rFonts w:asciiTheme="majorBidi" w:hAnsiTheme="majorBidi" w:cstheme="majorBidi"/>
                <w:b/>
                <w:bCs/>
                <w:lang w:bidi="ar-JO"/>
              </w:rPr>
              <w:t>2011</w:t>
            </w:r>
          </w:p>
        </w:tc>
        <w:tc>
          <w:tcPr>
            <w:tcW w:w="832"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lang w:bidi="ar-JO"/>
              </w:rPr>
            </w:pPr>
            <w:r w:rsidRPr="005C0783">
              <w:rPr>
                <w:rFonts w:asciiTheme="majorBidi" w:hAnsiTheme="majorBidi" w:cstheme="majorBidi"/>
                <w:b/>
                <w:bCs/>
                <w:lang w:bidi="ar-JO"/>
              </w:rPr>
              <w:t>2010</w:t>
            </w:r>
          </w:p>
        </w:tc>
        <w:tc>
          <w:tcPr>
            <w:tcW w:w="1134"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lang w:bidi="ar-JO"/>
              </w:rPr>
            </w:pPr>
            <w:r w:rsidRPr="005C0783">
              <w:rPr>
                <w:rFonts w:asciiTheme="majorBidi" w:hAnsiTheme="majorBidi" w:cstheme="majorBidi"/>
                <w:b/>
                <w:bCs/>
                <w:lang w:bidi="ar-JO"/>
              </w:rPr>
              <w:t>2009</w:t>
            </w:r>
          </w:p>
        </w:tc>
        <w:tc>
          <w:tcPr>
            <w:tcW w:w="851"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rtl/>
                <w:lang w:bidi="ar-JO"/>
              </w:rPr>
            </w:pPr>
            <w:r w:rsidRPr="005C0783">
              <w:rPr>
                <w:rFonts w:asciiTheme="majorBidi" w:hAnsiTheme="majorBidi" w:cstheme="majorBidi"/>
                <w:b/>
                <w:bCs/>
                <w:lang w:bidi="ar-JO"/>
              </w:rPr>
              <w:t>2008</w:t>
            </w:r>
          </w:p>
        </w:tc>
        <w:tc>
          <w:tcPr>
            <w:tcW w:w="850"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rtl/>
                <w:lang w:bidi="ar-JO"/>
              </w:rPr>
            </w:pPr>
            <w:r w:rsidRPr="005C0783">
              <w:rPr>
                <w:rFonts w:asciiTheme="majorBidi" w:hAnsiTheme="majorBidi" w:cstheme="majorBidi"/>
                <w:b/>
                <w:bCs/>
                <w:lang w:bidi="ar-JO"/>
              </w:rPr>
              <w:t>2007</w:t>
            </w:r>
          </w:p>
        </w:tc>
        <w:tc>
          <w:tcPr>
            <w:tcW w:w="851"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lang w:bidi="ar-JO"/>
              </w:rPr>
            </w:pPr>
            <w:r w:rsidRPr="005C0783">
              <w:rPr>
                <w:rFonts w:asciiTheme="majorBidi" w:hAnsiTheme="majorBidi" w:cstheme="majorBidi"/>
                <w:b/>
                <w:bCs/>
                <w:lang w:bidi="ar-JO"/>
              </w:rPr>
              <w:t>2006</w:t>
            </w:r>
          </w:p>
        </w:tc>
        <w:tc>
          <w:tcPr>
            <w:tcW w:w="992"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rtl/>
                <w:lang w:bidi="ar-JO"/>
              </w:rPr>
            </w:pPr>
            <w:r w:rsidRPr="005C0783">
              <w:rPr>
                <w:rFonts w:asciiTheme="majorBidi" w:hAnsiTheme="majorBidi" w:cstheme="majorBidi"/>
                <w:b/>
                <w:bCs/>
                <w:lang w:bidi="ar-JO"/>
              </w:rPr>
              <w:t>2005</w:t>
            </w:r>
          </w:p>
        </w:tc>
        <w:tc>
          <w:tcPr>
            <w:tcW w:w="1960" w:type="dxa"/>
            <w:shd w:val="clear" w:color="auto" w:fill="F2F2F2" w:themeFill="background1" w:themeFillShade="F2"/>
          </w:tcPr>
          <w:p w:rsidR="00076836" w:rsidRPr="005C0783" w:rsidRDefault="00076836" w:rsidP="00D36BE3">
            <w:pPr>
              <w:spacing w:after="0" w:line="240" w:lineRule="auto"/>
              <w:jc w:val="center"/>
              <w:rPr>
                <w:rFonts w:asciiTheme="majorBidi" w:hAnsiTheme="majorBidi" w:cstheme="majorBidi"/>
                <w:b/>
                <w:bCs/>
                <w:rtl/>
                <w:lang w:bidi="ar-JO"/>
              </w:rPr>
            </w:pPr>
            <w:r w:rsidRPr="005C0783">
              <w:rPr>
                <w:rFonts w:asciiTheme="majorBidi" w:hAnsiTheme="majorBidi" w:cstheme="majorBidi"/>
                <w:b/>
                <w:bCs/>
                <w:lang w:bidi="ar-JO"/>
              </w:rPr>
              <w:t xml:space="preserve">Credit Facility </w:t>
            </w:r>
            <w:r w:rsidRPr="005C0783">
              <w:rPr>
                <w:rFonts w:asciiTheme="majorBidi" w:hAnsiTheme="majorBidi" w:cstheme="majorBidi"/>
                <w:b/>
                <w:bCs/>
                <w:sz w:val="16"/>
                <w:szCs w:val="16"/>
                <w:lang w:bidi="ar-JO"/>
              </w:rPr>
              <w:t>(USD millions)</w:t>
            </w:r>
          </w:p>
        </w:tc>
      </w:tr>
      <w:tr w:rsidR="00076836" w:rsidRPr="005C0783" w:rsidTr="005D7187">
        <w:trPr>
          <w:trHeight w:val="394"/>
        </w:trPr>
        <w:tc>
          <w:tcPr>
            <w:tcW w:w="99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1220.1</w:t>
            </w:r>
          </w:p>
        </w:tc>
        <w:tc>
          <w:tcPr>
            <w:tcW w:w="83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931.9</w:t>
            </w:r>
          </w:p>
        </w:tc>
        <w:tc>
          <w:tcPr>
            <w:tcW w:w="1134"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623.5</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521.9</w:t>
            </w:r>
          </w:p>
        </w:tc>
        <w:tc>
          <w:tcPr>
            <w:tcW w:w="85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408.8</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408.05</w:t>
            </w:r>
          </w:p>
        </w:tc>
        <w:tc>
          <w:tcPr>
            <w:tcW w:w="99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352.3</w:t>
            </w:r>
          </w:p>
        </w:tc>
        <w:tc>
          <w:tcPr>
            <w:tcW w:w="1960" w:type="dxa"/>
            <w:vMerge w:val="restart"/>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 xml:space="preserve">Palestinian Banks </w:t>
            </w:r>
            <w:r w:rsidRPr="005C0783">
              <w:rPr>
                <w:rFonts w:asciiTheme="majorBidi" w:hAnsiTheme="majorBidi" w:cstheme="majorBidi"/>
                <w:b/>
                <w:bCs/>
                <w:sz w:val="16"/>
                <w:szCs w:val="16"/>
                <w:lang w:bidi="ar-JO"/>
              </w:rPr>
              <w:t>(study sample)</w:t>
            </w:r>
          </w:p>
        </w:tc>
      </w:tr>
      <w:tr w:rsidR="00076836" w:rsidRPr="005C0783" w:rsidTr="005D7187">
        <w:trPr>
          <w:trHeight w:val="368"/>
        </w:trPr>
        <w:tc>
          <w:tcPr>
            <w:tcW w:w="99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34.9%</w:t>
            </w:r>
          </w:p>
        </w:tc>
        <w:tc>
          <w:tcPr>
            <w:tcW w:w="83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33.1</w:t>
            </w:r>
            <w:r w:rsidR="005D7187">
              <w:rPr>
                <w:rFonts w:asciiTheme="majorBidi" w:hAnsiTheme="majorBidi" w:cstheme="majorBidi"/>
                <w:b/>
                <w:bCs/>
                <w:lang w:bidi="ar-JO"/>
              </w:rPr>
              <w:t>%</w:t>
            </w:r>
          </w:p>
        </w:tc>
        <w:tc>
          <w:tcPr>
            <w:tcW w:w="1134"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28.9</w:t>
            </w:r>
            <w:r w:rsidR="005D7187">
              <w:rPr>
                <w:rFonts w:asciiTheme="majorBidi" w:hAnsiTheme="majorBidi" w:cstheme="majorBidi"/>
                <w:b/>
                <w:bCs/>
                <w:lang w:bidi="ar-JO"/>
              </w:rPr>
              <w:t>%</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30.5</w:t>
            </w:r>
            <w:r w:rsidR="005D7187">
              <w:rPr>
                <w:rFonts w:asciiTheme="majorBidi" w:hAnsiTheme="majorBidi" w:cstheme="majorBidi"/>
                <w:b/>
                <w:bCs/>
                <w:lang w:bidi="ar-JO"/>
              </w:rPr>
              <w:t>%</w:t>
            </w:r>
          </w:p>
        </w:tc>
        <w:tc>
          <w:tcPr>
            <w:tcW w:w="85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27.1</w:t>
            </w:r>
            <w:r w:rsidR="005D7187">
              <w:rPr>
                <w:rFonts w:asciiTheme="majorBidi" w:hAnsiTheme="majorBidi" w:cstheme="majorBidi"/>
                <w:b/>
                <w:bCs/>
                <w:lang w:bidi="ar-JO"/>
              </w:rPr>
              <w:t>%</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21.4</w:t>
            </w:r>
            <w:r w:rsidR="005D7187">
              <w:rPr>
                <w:rFonts w:asciiTheme="majorBidi" w:hAnsiTheme="majorBidi" w:cstheme="majorBidi"/>
                <w:b/>
                <w:bCs/>
                <w:lang w:bidi="ar-JO"/>
              </w:rPr>
              <w:t>%</w:t>
            </w:r>
          </w:p>
        </w:tc>
        <w:tc>
          <w:tcPr>
            <w:tcW w:w="99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19.68</w:t>
            </w:r>
            <w:r w:rsidR="005D7187">
              <w:rPr>
                <w:rFonts w:asciiTheme="majorBidi" w:hAnsiTheme="majorBidi" w:cstheme="majorBidi"/>
                <w:b/>
                <w:bCs/>
                <w:lang w:bidi="ar-JO"/>
              </w:rPr>
              <w:t>%</w:t>
            </w:r>
          </w:p>
        </w:tc>
        <w:tc>
          <w:tcPr>
            <w:tcW w:w="1960" w:type="dxa"/>
            <w:vMerge/>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p>
        </w:tc>
      </w:tr>
      <w:tr w:rsidR="00076836" w:rsidRPr="005C0783" w:rsidTr="005D7187">
        <w:trPr>
          <w:trHeight w:val="374"/>
        </w:trPr>
        <w:tc>
          <w:tcPr>
            <w:tcW w:w="99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2270.8</w:t>
            </w:r>
          </w:p>
        </w:tc>
        <w:tc>
          <w:tcPr>
            <w:tcW w:w="83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1891.9</w:t>
            </w:r>
          </w:p>
        </w:tc>
        <w:tc>
          <w:tcPr>
            <w:tcW w:w="1134"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1534.6</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1194.7</w:t>
            </w:r>
          </w:p>
        </w:tc>
        <w:tc>
          <w:tcPr>
            <w:tcW w:w="85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1103.9</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1495.2</w:t>
            </w:r>
          </w:p>
        </w:tc>
        <w:tc>
          <w:tcPr>
            <w:tcW w:w="99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1437.99</w:t>
            </w:r>
          </w:p>
        </w:tc>
        <w:tc>
          <w:tcPr>
            <w:tcW w:w="1960" w:type="dxa"/>
            <w:vMerge w:val="restart"/>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Foreign Banks</w:t>
            </w:r>
          </w:p>
        </w:tc>
      </w:tr>
      <w:tr w:rsidR="00076836" w:rsidRPr="005C0783" w:rsidTr="005D7187">
        <w:trPr>
          <w:trHeight w:val="298"/>
        </w:trPr>
        <w:tc>
          <w:tcPr>
            <w:tcW w:w="99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65.1%</w:t>
            </w:r>
          </w:p>
        </w:tc>
        <w:tc>
          <w:tcPr>
            <w:tcW w:w="83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66.9%</w:t>
            </w:r>
          </w:p>
        </w:tc>
        <w:tc>
          <w:tcPr>
            <w:tcW w:w="1134"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71.1%</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69.5%</w:t>
            </w:r>
          </w:p>
        </w:tc>
        <w:tc>
          <w:tcPr>
            <w:tcW w:w="85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72.9%</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78.6%</w:t>
            </w:r>
          </w:p>
        </w:tc>
        <w:tc>
          <w:tcPr>
            <w:tcW w:w="99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80.02%</w:t>
            </w:r>
          </w:p>
        </w:tc>
        <w:tc>
          <w:tcPr>
            <w:tcW w:w="1960" w:type="dxa"/>
            <w:vMerge/>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p>
        </w:tc>
      </w:tr>
      <w:tr w:rsidR="00076836" w:rsidRPr="005C0783" w:rsidTr="005D7187">
        <w:trPr>
          <w:trHeight w:val="392"/>
        </w:trPr>
        <w:tc>
          <w:tcPr>
            <w:tcW w:w="99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rtl/>
                <w:lang w:bidi="ar-JO"/>
              </w:rPr>
            </w:pPr>
            <w:r w:rsidRPr="005C0783">
              <w:rPr>
                <w:rFonts w:asciiTheme="majorBidi" w:hAnsiTheme="majorBidi" w:cstheme="majorBidi"/>
                <w:b/>
                <w:bCs/>
                <w:lang w:bidi="ar-JO"/>
              </w:rPr>
              <w:t>3490.9</w:t>
            </w:r>
          </w:p>
        </w:tc>
        <w:tc>
          <w:tcPr>
            <w:tcW w:w="83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2823.6</w:t>
            </w:r>
          </w:p>
        </w:tc>
        <w:tc>
          <w:tcPr>
            <w:tcW w:w="1134"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2158.1</w:t>
            </w:r>
          </w:p>
        </w:tc>
        <w:tc>
          <w:tcPr>
            <w:tcW w:w="851"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1716.6</w:t>
            </w:r>
          </w:p>
        </w:tc>
        <w:tc>
          <w:tcPr>
            <w:tcW w:w="85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1512.7</w:t>
            </w:r>
          </w:p>
        </w:tc>
        <w:tc>
          <w:tcPr>
            <w:tcW w:w="851" w:type="dxa"/>
            <w:shd w:val="clear" w:color="auto" w:fill="F2F2F2" w:themeFill="background1" w:themeFillShade="F2"/>
          </w:tcPr>
          <w:p w:rsidR="00076836" w:rsidRPr="005C0783" w:rsidRDefault="005D7187" w:rsidP="008461CA">
            <w:pPr>
              <w:spacing w:after="0"/>
              <w:jc w:val="center"/>
              <w:rPr>
                <w:rFonts w:asciiTheme="majorBidi" w:hAnsiTheme="majorBidi" w:cstheme="majorBidi"/>
                <w:b/>
                <w:bCs/>
                <w:lang w:bidi="ar-JO"/>
              </w:rPr>
            </w:pPr>
            <w:r>
              <w:rPr>
                <w:rFonts w:asciiTheme="majorBidi" w:hAnsiTheme="majorBidi" w:cstheme="majorBidi"/>
                <w:b/>
                <w:bCs/>
                <w:lang w:bidi="ar-JO"/>
              </w:rPr>
              <w:t>1903.2</w:t>
            </w:r>
          </w:p>
        </w:tc>
        <w:tc>
          <w:tcPr>
            <w:tcW w:w="992"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1790.36</w:t>
            </w:r>
          </w:p>
        </w:tc>
        <w:tc>
          <w:tcPr>
            <w:tcW w:w="1960" w:type="dxa"/>
            <w:shd w:val="clear" w:color="auto" w:fill="F2F2F2" w:themeFill="background1" w:themeFillShade="F2"/>
          </w:tcPr>
          <w:p w:rsidR="00076836" w:rsidRPr="005C0783" w:rsidRDefault="00076836" w:rsidP="008461CA">
            <w:pPr>
              <w:spacing w:after="0"/>
              <w:jc w:val="center"/>
              <w:rPr>
                <w:rFonts w:asciiTheme="majorBidi" w:hAnsiTheme="majorBidi" w:cstheme="majorBidi"/>
                <w:b/>
                <w:bCs/>
                <w:lang w:bidi="ar-JO"/>
              </w:rPr>
            </w:pPr>
            <w:r w:rsidRPr="005C0783">
              <w:rPr>
                <w:rFonts w:asciiTheme="majorBidi" w:hAnsiTheme="majorBidi" w:cstheme="majorBidi"/>
                <w:b/>
                <w:bCs/>
                <w:lang w:bidi="ar-JO"/>
              </w:rPr>
              <w:t>Total</w:t>
            </w:r>
          </w:p>
        </w:tc>
      </w:tr>
    </w:tbl>
    <w:p w:rsidR="006E74E0" w:rsidRPr="00940356" w:rsidRDefault="006E74E0" w:rsidP="00467D12">
      <w:pPr>
        <w:pStyle w:val="Default"/>
        <w:spacing w:line="360" w:lineRule="auto"/>
        <w:jc w:val="both"/>
        <w:rPr>
          <w:rFonts w:asciiTheme="majorBidi" w:hAnsiTheme="majorBidi" w:cstheme="majorBidi"/>
          <w:color w:val="000000" w:themeColor="text1"/>
          <w:sz w:val="10"/>
          <w:szCs w:val="10"/>
        </w:rPr>
      </w:pPr>
    </w:p>
    <w:p w:rsidR="00F406EB" w:rsidRPr="00C12167" w:rsidRDefault="00F406EB" w:rsidP="00F406EB">
      <w:pPr>
        <w:pStyle w:val="Default"/>
        <w:spacing w:line="360" w:lineRule="auto"/>
        <w:jc w:val="center"/>
        <w:rPr>
          <w:rFonts w:asciiTheme="majorBidi" w:hAnsiTheme="majorBidi" w:cstheme="majorBidi"/>
          <w:sz w:val="20"/>
          <w:szCs w:val="20"/>
        </w:rPr>
      </w:pPr>
      <w:r w:rsidRPr="00940356">
        <w:rPr>
          <w:rFonts w:asciiTheme="majorBidi" w:hAnsiTheme="majorBidi" w:cstheme="majorBidi"/>
          <w:sz w:val="16"/>
          <w:szCs w:val="16"/>
        </w:rPr>
        <w:t>So</w:t>
      </w:r>
      <w:r>
        <w:rPr>
          <w:rFonts w:asciiTheme="majorBidi" w:hAnsiTheme="majorBidi" w:cstheme="majorBidi"/>
          <w:sz w:val="20"/>
          <w:szCs w:val="20"/>
        </w:rPr>
        <w:t>urce: Palestinian Bank's</w:t>
      </w:r>
      <w:r w:rsidRPr="00C12167">
        <w:rPr>
          <w:rFonts w:asciiTheme="majorBidi" w:hAnsiTheme="majorBidi" w:cstheme="majorBidi"/>
          <w:sz w:val="20"/>
          <w:szCs w:val="20"/>
        </w:rPr>
        <w:t xml:space="preserve"> Annual Reports, 2012</w:t>
      </w:r>
    </w:p>
    <w:p w:rsidR="00F406EB" w:rsidRDefault="00F406EB" w:rsidP="00467D12">
      <w:pPr>
        <w:pStyle w:val="Default"/>
        <w:spacing w:line="360" w:lineRule="auto"/>
        <w:jc w:val="both"/>
        <w:rPr>
          <w:rFonts w:asciiTheme="majorBidi" w:hAnsiTheme="majorBidi" w:cstheme="majorBidi"/>
          <w:color w:val="000000" w:themeColor="text1"/>
        </w:rPr>
      </w:pPr>
    </w:p>
    <w:p w:rsidR="00B26274" w:rsidRPr="002E3756" w:rsidRDefault="0094023E" w:rsidP="00467D12">
      <w:pPr>
        <w:pStyle w:val="Default"/>
        <w:spacing w:line="360" w:lineRule="auto"/>
        <w:jc w:val="both"/>
        <w:rPr>
          <w:rFonts w:asciiTheme="majorBidi" w:hAnsiTheme="majorBidi" w:cstheme="majorBidi"/>
        </w:rPr>
      </w:pPr>
      <w:r>
        <w:rPr>
          <w:rFonts w:asciiTheme="majorBidi" w:hAnsiTheme="majorBidi" w:cstheme="majorBidi"/>
          <w:color w:val="000000" w:themeColor="text1"/>
        </w:rPr>
        <w:t>T</w:t>
      </w:r>
      <w:r w:rsidR="00B26274" w:rsidRPr="00FC78A0">
        <w:rPr>
          <w:rFonts w:asciiTheme="majorBidi" w:hAnsiTheme="majorBidi" w:cstheme="majorBidi"/>
          <w:color w:val="000000" w:themeColor="text1"/>
        </w:rPr>
        <w:t>able</w:t>
      </w:r>
      <w:r w:rsidR="00FC78A0" w:rsidRPr="00FC78A0">
        <w:rPr>
          <w:rFonts w:asciiTheme="majorBidi" w:hAnsiTheme="majorBidi" w:cstheme="majorBidi"/>
          <w:color w:val="000000" w:themeColor="text1"/>
        </w:rPr>
        <w:t xml:space="preserve"> 2.7</w:t>
      </w:r>
      <w:r>
        <w:rPr>
          <w:rFonts w:asciiTheme="majorBidi" w:hAnsiTheme="majorBidi" w:cstheme="majorBidi"/>
        </w:rPr>
        <w:t xml:space="preserve"> shows</w:t>
      </w:r>
      <w:r w:rsidR="00B26274">
        <w:rPr>
          <w:rFonts w:asciiTheme="majorBidi" w:hAnsiTheme="majorBidi" w:cstheme="majorBidi"/>
        </w:rPr>
        <w:t xml:space="preserve"> that Palestinian commercial banks share from the total credit facilities granted is very low comparable to the foreign banks operate in Palestine</w:t>
      </w:r>
      <w:r w:rsidR="00AF05AA">
        <w:rPr>
          <w:rFonts w:asciiTheme="majorBidi" w:hAnsiTheme="majorBidi" w:cstheme="majorBidi"/>
        </w:rPr>
        <w:t xml:space="preserve">, reaching 19.68% in 2005 up to </w:t>
      </w:r>
      <w:r w:rsidR="00B26274">
        <w:rPr>
          <w:rFonts w:asciiTheme="majorBidi" w:hAnsiTheme="majorBidi" w:cstheme="majorBidi"/>
        </w:rPr>
        <w:t>34.9% in 2011. This weak</w:t>
      </w:r>
      <w:r w:rsidR="005D7187">
        <w:rPr>
          <w:rFonts w:asciiTheme="majorBidi" w:hAnsiTheme="majorBidi" w:cstheme="majorBidi"/>
        </w:rPr>
        <w:t>ness</w:t>
      </w:r>
      <w:r w:rsidR="00B26274">
        <w:rPr>
          <w:rFonts w:asciiTheme="majorBidi" w:hAnsiTheme="majorBidi" w:cstheme="majorBidi"/>
        </w:rPr>
        <w:t xml:space="preserve"> or declining role played by </w:t>
      </w:r>
      <w:r w:rsidR="002E3756">
        <w:rPr>
          <w:rFonts w:asciiTheme="majorBidi" w:hAnsiTheme="majorBidi" w:cstheme="majorBidi"/>
        </w:rPr>
        <w:t>local</w:t>
      </w:r>
      <w:r w:rsidR="00B26274">
        <w:rPr>
          <w:rFonts w:asciiTheme="majorBidi" w:hAnsiTheme="majorBidi" w:cstheme="majorBidi"/>
        </w:rPr>
        <w:t xml:space="preserve"> banks (Palestinian banks) could be attributed to the low percentage of customer deposits in comparison to the foreign banks operate in </w:t>
      </w:r>
      <w:r w:rsidR="00AF05AA">
        <w:rPr>
          <w:rFonts w:asciiTheme="majorBidi" w:hAnsiTheme="majorBidi" w:cstheme="majorBidi"/>
        </w:rPr>
        <w:t>Palestine. This low percentage</w:t>
      </w:r>
      <w:r w:rsidR="00B26274" w:rsidRPr="002E3756">
        <w:rPr>
          <w:rFonts w:asciiTheme="majorBidi" w:hAnsiTheme="majorBidi" w:cstheme="majorBidi"/>
        </w:rPr>
        <w:t xml:space="preserve"> of customer deposits in local banks</w:t>
      </w:r>
      <w:r w:rsidR="002E3756" w:rsidRPr="002E3756">
        <w:rPr>
          <w:rFonts w:asciiTheme="majorBidi" w:hAnsiTheme="majorBidi" w:cstheme="majorBidi"/>
        </w:rPr>
        <w:t>, despite the continu</w:t>
      </w:r>
      <w:r w:rsidR="005D7187">
        <w:rPr>
          <w:rFonts w:asciiTheme="majorBidi" w:hAnsiTheme="majorBidi" w:cstheme="majorBidi"/>
        </w:rPr>
        <w:t xml:space="preserve">ous increase </w:t>
      </w:r>
      <w:r w:rsidR="00AF05AA">
        <w:rPr>
          <w:rFonts w:asciiTheme="majorBidi" w:hAnsiTheme="majorBidi" w:cstheme="majorBidi"/>
        </w:rPr>
        <w:t>during</w:t>
      </w:r>
      <w:r w:rsidR="005D7187">
        <w:rPr>
          <w:rFonts w:asciiTheme="majorBidi" w:hAnsiTheme="majorBidi" w:cstheme="majorBidi"/>
        </w:rPr>
        <w:t xml:space="preserve"> </w:t>
      </w:r>
      <w:r w:rsidR="002E3756" w:rsidRPr="002E3756">
        <w:rPr>
          <w:rFonts w:asciiTheme="majorBidi" w:hAnsiTheme="majorBidi" w:cstheme="majorBidi"/>
        </w:rPr>
        <w:t xml:space="preserve"> past years</w:t>
      </w:r>
      <w:r w:rsidR="002E3756">
        <w:rPr>
          <w:rFonts w:asciiTheme="majorBidi" w:hAnsiTheme="majorBidi" w:cstheme="majorBidi"/>
        </w:rPr>
        <w:t xml:space="preserve">, </w:t>
      </w:r>
      <w:r w:rsidR="002E3756" w:rsidRPr="002E3756">
        <w:rPr>
          <w:rFonts w:asciiTheme="majorBidi" w:hAnsiTheme="majorBidi" w:cstheme="majorBidi"/>
        </w:rPr>
        <w:t xml:space="preserve">where customer </w:t>
      </w:r>
      <w:r w:rsidR="002E3756" w:rsidRPr="002E3756">
        <w:rPr>
          <w:rFonts w:asciiTheme="majorBidi" w:hAnsiTheme="majorBidi" w:cstheme="majorBidi"/>
        </w:rPr>
        <w:lastRenderedPageBreak/>
        <w:t>deposits have reached USD 6972.7 million</w:t>
      </w:r>
      <w:r w:rsidR="00EB4F3C">
        <w:rPr>
          <w:rFonts w:asciiTheme="majorBidi" w:hAnsiTheme="majorBidi" w:cstheme="majorBidi"/>
        </w:rPr>
        <w:t xml:space="preserve"> by the end of 2011</w:t>
      </w:r>
      <w:r w:rsidR="00EB4F3C" w:rsidRPr="00FC78A0">
        <w:rPr>
          <w:rFonts w:asciiTheme="majorBidi" w:hAnsiTheme="majorBidi" w:cstheme="majorBidi"/>
          <w:color w:val="000000" w:themeColor="text1"/>
        </w:rPr>
        <w:t>(see figure</w:t>
      </w:r>
      <w:r w:rsidR="00FC78A0" w:rsidRPr="00FC78A0">
        <w:rPr>
          <w:rFonts w:asciiTheme="majorBidi" w:hAnsiTheme="majorBidi" w:cstheme="majorBidi"/>
          <w:color w:val="000000" w:themeColor="text1"/>
        </w:rPr>
        <w:t>2.12)</w:t>
      </w:r>
      <w:r w:rsidR="002E3756" w:rsidRPr="002E3756">
        <w:rPr>
          <w:rFonts w:asciiTheme="majorBidi" w:hAnsiTheme="majorBidi" w:cstheme="majorBidi"/>
        </w:rPr>
        <w:t xml:space="preserve"> could</w:t>
      </w:r>
      <w:r w:rsidR="00B26274" w:rsidRPr="002E3756">
        <w:rPr>
          <w:rFonts w:asciiTheme="majorBidi" w:hAnsiTheme="majorBidi" w:cstheme="majorBidi"/>
        </w:rPr>
        <w:t xml:space="preserve"> be attributing to many reasons, as:</w:t>
      </w:r>
    </w:p>
    <w:p w:rsidR="00B26274" w:rsidRPr="002E3756" w:rsidRDefault="00B26274" w:rsidP="007B4030">
      <w:pPr>
        <w:pStyle w:val="Default"/>
        <w:spacing w:line="360" w:lineRule="auto"/>
        <w:jc w:val="both"/>
        <w:rPr>
          <w:rFonts w:asciiTheme="majorBidi" w:hAnsiTheme="majorBidi" w:cstheme="majorBidi"/>
        </w:rPr>
      </w:pPr>
      <w:r w:rsidRPr="002E3756">
        <w:rPr>
          <w:rFonts w:asciiTheme="majorBidi" w:hAnsiTheme="majorBidi" w:cstheme="majorBidi"/>
        </w:rPr>
        <w:t>-Local banks capital is considered very low compared to many foreign banks operate in Palestine, and thus inability to compete with.</w:t>
      </w:r>
    </w:p>
    <w:p w:rsidR="00B26274" w:rsidRPr="002E3756" w:rsidRDefault="00B26274" w:rsidP="007B4030">
      <w:pPr>
        <w:pStyle w:val="Default"/>
        <w:spacing w:line="360" w:lineRule="auto"/>
        <w:jc w:val="both"/>
        <w:rPr>
          <w:rFonts w:asciiTheme="majorBidi" w:hAnsiTheme="majorBidi" w:cstheme="majorBidi"/>
        </w:rPr>
      </w:pPr>
      <w:r w:rsidRPr="002E3756">
        <w:rPr>
          <w:rFonts w:asciiTheme="majorBidi" w:hAnsiTheme="majorBidi" w:cstheme="majorBidi"/>
        </w:rPr>
        <w:t>-Lack of customer confidence in local banks compared to big names of foreign banks.</w:t>
      </w:r>
    </w:p>
    <w:p w:rsidR="00AF05AA" w:rsidRPr="00D9760A" w:rsidRDefault="00B26274" w:rsidP="007B4030">
      <w:pPr>
        <w:pStyle w:val="Default"/>
        <w:spacing w:line="360" w:lineRule="auto"/>
        <w:jc w:val="both"/>
        <w:rPr>
          <w:rFonts w:asciiTheme="majorBidi" w:hAnsiTheme="majorBidi" w:cstheme="majorBidi"/>
        </w:rPr>
      </w:pPr>
      <w:r w:rsidRPr="002E3756">
        <w:rPr>
          <w:rFonts w:asciiTheme="majorBidi" w:hAnsiTheme="majorBidi" w:cstheme="majorBidi"/>
        </w:rPr>
        <w:t xml:space="preserve">-Lack of efficiency and experience in attracting customer deposits by local banks, since it's newly established and still in the development stage. </w:t>
      </w:r>
    </w:p>
    <w:p w:rsidR="00B24FA8" w:rsidRDefault="00B24FA8" w:rsidP="007B4030">
      <w:pPr>
        <w:pStyle w:val="Default"/>
        <w:spacing w:line="360" w:lineRule="auto"/>
        <w:rPr>
          <w:rFonts w:asciiTheme="majorBidi" w:hAnsiTheme="majorBidi" w:cstheme="majorBidi"/>
          <w:b/>
          <w:bCs/>
          <w:sz w:val="22"/>
          <w:szCs w:val="22"/>
        </w:rPr>
      </w:pPr>
    </w:p>
    <w:p w:rsidR="00B26274" w:rsidRPr="00926FFF" w:rsidRDefault="00EB4F3C" w:rsidP="00FC78A0">
      <w:pPr>
        <w:pStyle w:val="Default"/>
        <w:spacing w:line="360" w:lineRule="auto"/>
        <w:jc w:val="center"/>
        <w:rPr>
          <w:rFonts w:asciiTheme="majorBidi" w:hAnsiTheme="majorBidi" w:cstheme="majorBidi"/>
          <w:b/>
          <w:bCs/>
          <w:sz w:val="22"/>
          <w:szCs w:val="22"/>
        </w:rPr>
      </w:pPr>
      <w:r w:rsidRPr="00926FFF">
        <w:rPr>
          <w:rFonts w:asciiTheme="majorBidi" w:hAnsiTheme="majorBidi" w:cstheme="majorBidi"/>
          <w:b/>
          <w:bCs/>
          <w:sz w:val="22"/>
          <w:szCs w:val="22"/>
        </w:rPr>
        <w:t>Figure</w:t>
      </w:r>
      <w:r w:rsidR="00237994" w:rsidRPr="00926FFF">
        <w:rPr>
          <w:rFonts w:asciiTheme="majorBidi" w:hAnsiTheme="majorBidi" w:cstheme="majorBidi"/>
          <w:b/>
          <w:bCs/>
          <w:sz w:val="22"/>
          <w:szCs w:val="22"/>
        </w:rPr>
        <w:t xml:space="preserve"> 2.13</w:t>
      </w:r>
      <w:r w:rsidR="00E04FD0" w:rsidRPr="00926FFF">
        <w:rPr>
          <w:rFonts w:asciiTheme="majorBidi" w:hAnsiTheme="majorBidi" w:cstheme="majorBidi"/>
          <w:b/>
          <w:bCs/>
          <w:sz w:val="22"/>
          <w:szCs w:val="22"/>
        </w:rPr>
        <w:t>:</w:t>
      </w:r>
      <w:r w:rsidR="00E04FD0" w:rsidRPr="00926FFF">
        <w:rPr>
          <w:rFonts w:asciiTheme="majorBidi" w:hAnsiTheme="majorBidi" w:cstheme="majorBidi"/>
          <w:b/>
          <w:bCs/>
          <w:color w:val="auto"/>
          <w:sz w:val="22"/>
          <w:szCs w:val="22"/>
        </w:rPr>
        <w:t xml:space="preserve"> Customer</w:t>
      </w:r>
      <w:r w:rsidRPr="00926FFF">
        <w:rPr>
          <w:rFonts w:asciiTheme="majorBidi" w:hAnsiTheme="majorBidi" w:cstheme="majorBidi"/>
          <w:b/>
          <w:bCs/>
          <w:color w:val="auto"/>
          <w:sz w:val="22"/>
          <w:szCs w:val="22"/>
        </w:rPr>
        <w:t xml:space="preserve"> deposits, 2007-2011</w:t>
      </w:r>
    </w:p>
    <w:p w:rsidR="00345EB6" w:rsidRDefault="00EB4F3C" w:rsidP="00E214F9">
      <w:pPr>
        <w:pStyle w:val="Default"/>
        <w:spacing w:line="360" w:lineRule="auto"/>
        <w:jc w:val="center"/>
        <w:rPr>
          <w:rFonts w:asciiTheme="majorBidi" w:hAnsiTheme="majorBidi" w:cstheme="majorBidi"/>
          <w:b/>
          <w:bCs/>
        </w:rPr>
      </w:pPr>
      <w:r w:rsidRPr="00EB4F3C">
        <w:rPr>
          <w:rFonts w:asciiTheme="majorBidi" w:hAnsiTheme="majorBidi" w:cstheme="majorBidi"/>
          <w:b/>
          <w:bCs/>
          <w:noProof/>
        </w:rPr>
        <w:drawing>
          <wp:inline distT="0" distB="0" distL="0" distR="0">
            <wp:extent cx="4099408" cy="1111522"/>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duotone>
                        <a:prstClr val="black"/>
                        <a:schemeClr val="accent1">
                          <a:tint val="45000"/>
                          <a:satMod val="400000"/>
                        </a:schemeClr>
                      </a:duotone>
                    </a:blip>
                    <a:srcRect/>
                    <a:stretch>
                      <a:fillRect/>
                    </a:stretch>
                  </pic:blipFill>
                  <pic:spPr bwMode="auto">
                    <a:xfrm>
                      <a:off x="0" y="0"/>
                      <a:ext cx="4105365" cy="1113137"/>
                    </a:xfrm>
                    <a:prstGeom prst="rect">
                      <a:avLst/>
                    </a:prstGeom>
                    <a:noFill/>
                    <a:ln w="9525">
                      <a:noFill/>
                      <a:miter lim="800000"/>
                      <a:headEnd/>
                      <a:tailEnd/>
                    </a:ln>
                  </pic:spPr>
                </pic:pic>
              </a:graphicData>
            </a:graphic>
          </wp:inline>
        </w:drawing>
      </w:r>
    </w:p>
    <w:p w:rsidR="006E74E0" w:rsidRPr="00940356" w:rsidRDefault="006E74E0" w:rsidP="00F406EB">
      <w:pPr>
        <w:pStyle w:val="Default"/>
        <w:rPr>
          <w:rFonts w:asciiTheme="majorBidi" w:hAnsiTheme="majorBidi" w:cstheme="majorBidi"/>
          <w:sz w:val="10"/>
          <w:szCs w:val="10"/>
        </w:rPr>
      </w:pPr>
    </w:p>
    <w:p w:rsidR="00F406EB" w:rsidRPr="00C12167" w:rsidRDefault="00F406EB" w:rsidP="00F406EB">
      <w:pPr>
        <w:pStyle w:val="Default"/>
        <w:jc w:val="center"/>
        <w:rPr>
          <w:rFonts w:asciiTheme="majorBidi" w:hAnsiTheme="majorBidi" w:cstheme="majorBidi"/>
          <w:sz w:val="20"/>
          <w:szCs w:val="20"/>
        </w:rPr>
      </w:pPr>
      <w:r w:rsidRPr="00C12167">
        <w:rPr>
          <w:rFonts w:asciiTheme="majorBidi" w:hAnsiTheme="majorBidi" w:cstheme="majorBidi"/>
          <w:sz w:val="20"/>
          <w:szCs w:val="20"/>
        </w:rPr>
        <w:t>Source: PMA's stability report, 2012</w:t>
      </w:r>
    </w:p>
    <w:p w:rsidR="00F406EB" w:rsidRDefault="00F406EB" w:rsidP="00AF05AA">
      <w:pPr>
        <w:pStyle w:val="Default"/>
        <w:spacing w:line="360" w:lineRule="auto"/>
        <w:rPr>
          <w:rFonts w:asciiTheme="majorBidi" w:hAnsiTheme="majorBidi" w:cstheme="majorBidi"/>
        </w:rPr>
      </w:pPr>
    </w:p>
    <w:p w:rsidR="00E210E3" w:rsidRPr="00E210E3" w:rsidRDefault="00AF05AA" w:rsidP="00AF05AA">
      <w:pPr>
        <w:pStyle w:val="Default"/>
        <w:spacing w:line="360" w:lineRule="auto"/>
        <w:rPr>
          <w:rFonts w:asciiTheme="majorBidi" w:hAnsiTheme="majorBidi" w:cstheme="majorBidi"/>
          <w:color w:val="000000" w:themeColor="text1"/>
        </w:rPr>
      </w:pPr>
      <w:r>
        <w:rPr>
          <w:rFonts w:asciiTheme="majorBidi" w:hAnsiTheme="majorBidi" w:cstheme="majorBidi"/>
        </w:rPr>
        <w:t>Despite the low</w:t>
      </w:r>
      <w:r w:rsidR="00D04E18">
        <w:rPr>
          <w:rFonts w:asciiTheme="majorBidi" w:hAnsiTheme="majorBidi" w:cstheme="majorBidi"/>
        </w:rPr>
        <w:t xml:space="preserve"> share by</w:t>
      </w:r>
      <w:r w:rsidR="00B26274">
        <w:rPr>
          <w:rFonts w:asciiTheme="majorBidi" w:hAnsiTheme="majorBidi" w:cstheme="majorBidi"/>
        </w:rPr>
        <w:t xml:space="preserve"> Palesti</w:t>
      </w:r>
      <w:r>
        <w:rPr>
          <w:rFonts w:asciiTheme="majorBidi" w:hAnsiTheme="majorBidi" w:cstheme="majorBidi"/>
        </w:rPr>
        <w:t>nian banks in credit facilities granted,</w:t>
      </w:r>
      <w:r w:rsidR="00B26274">
        <w:rPr>
          <w:rFonts w:asciiTheme="majorBidi" w:hAnsiTheme="majorBidi" w:cstheme="majorBidi"/>
        </w:rPr>
        <w:t xml:space="preserve"> the</w:t>
      </w:r>
      <w:r w:rsidR="00B26274" w:rsidRPr="003F47E2">
        <w:rPr>
          <w:rFonts w:asciiTheme="majorBidi" w:hAnsiTheme="majorBidi" w:cstheme="majorBidi"/>
        </w:rPr>
        <w:t xml:space="preserve"> percentage </w:t>
      </w:r>
      <w:r w:rsidR="00B26274">
        <w:rPr>
          <w:rFonts w:asciiTheme="majorBidi" w:hAnsiTheme="majorBidi" w:cstheme="majorBidi"/>
        </w:rPr>
        <w:t>of facilities</w:t>
      </w:r>
      <w:r w:rsidR="00B26274" w:rsidRPr="003F47E2">
        <w:rPr>
          <w:rFonts w:asciiTheme="majorBidi" w:hAnsiTheme="majorBidi" w:cstheme="majorBidi"/>
        </w:rPr>
        <w:t xml:space="preserve"> granted to total customer</w:t>
      </w:r>
      <w:r>
        <w:rPr>
          <w:rFonts w:asciiTheme="majorBidi" w:hAnsiTheme="majorBidi" w:cstheme="majorBidi"/>
        </w:rPr>
        <w:t xml:space="preserve"> deposits</w:t>
      </w:r>
      <w:r w:rsidR="00B26274" w:rsidRPr="003F47E2">
        <w:rPr>
          <w:rFonts w:asciiTheme="majorBidi" w:hAnsiTheme="majorBidi" w:cstheme="majorBidi"/>
        </w:rPr>
        <w:t xml:space="preserve"> </w:t>
      </w:r>
      <w:r>
        <w:rPr>
          <w:rFonts w:asciiTheme="majorBidi" w:hAnsiTheme="majorBidi" w:cstheme="majorBidi"/>
        </w:rPr>
        <w:t>is higher</w:t>
      </w:r>
      <w:r w:rsidR="00B26274">
        <w:rPr>
          <w:rFonts w:asciiTheme="majorBidi" w:hAnsiTheme="majorBidi" w:cstheme="majorBidi"/>
        </w:rPr>
        <w:t xml:space="preserve"> than that in foreign banks operate in Palestine as shown in </w:t>
      </w:r>
      <w:r w:rsidR="00571F2F">
        <w:rPr>
          <w:rFonts w:asciiTheme="majorBidi" w:hAnsiTheme="majorBidi" w:cstheme="majorBidi"/>
          <w:color w:val="000000" w:themeColor="text1"/>
        </w:rPr>
        <w:t>t</w:t>
      </w:r>
      <w:r w:rsidR="00571F2F" w:rsidRPr="00571F2F">
        <w:rPr>
          <w:rFonts w:asciiTheme="majorBidi" w:hAnsiTheme="majorBidi" w:cstheme="majorBidi"/>
          <w:color w:val="000000" w:themeColor="text1"/>
        </w:rPr>
        <w:t xml:space="preserve">able 2.8 </w:t>
      </w:r>
      <w:r w:rsidR="00D9760A">
        <w:rPr>
          <w:rFonts w:asciiTheme="majorBidi" w:hAnsiTheme="majorBidi" w:cstheme="majorBidi"/>
          <w:color w:val="000000" w:themeColor="text1"/>
        </w:rPr>
        <w:t>next page.</w:t>
      </w:r>
    </w:p>
    <w:tbl>
      <w:tblPr>
        <w:tblpPr w:leftFromText="180" w:rightFromText="180" w:vertAnchor="text" w:horzAnchor="margin" w:tblpXSpec="center" w:tblpY="548"/>
        <w:bidiVisual/>
        <w:tblW w:w="8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000"/>
      </w:tblPr>
      <w:tblGrid>
        <w:gridCol w:w="930"/>
        <w:gridCol w:w="821"/>
        <w:gridCol w:w="821"/>
        <w:gridCol w:w="900"/>
        <w:gridCol w:w="884"/>
        <w:gridCol w:w="821"/>
        <w:gridCol w:w="821"/>
        <w:gridCol w:w="2154"/>
      </w:tblGrid>
      <w:tr w:rsidR="00074BEB" w:rsidRPr="0048637F" w:rsidTr="00E71DEE">
        <w:trPr>
          <w:trHeight w:val="444"/>
        </w:trPr>
        <w:tc>
          <w:tcPr>
            <w:tcW w:w="930"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2011</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2010</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2009</w:t>
            </w:r>
          </w:p>
        </w:tc>
        <w:tc>
          <w:tcPr>
            <w:tcW w:w="900"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2008</w:t>
            </w:r>
          </w:p>
        </w:tc>
        <w:tc>
          <w:tcPr>
            <w:tcW w:w="884"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2007</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2006</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2005</w:t>
            </w:r>
          </w:p>
        </w:tc>
        <w:tc>
          <w:tcPr>
            <w:tcW w:w="2154" w:type="dxa"/>
            <w:shd w:val="clear" w:color="auto" w:fill="F2F2F2" w:themeFill="background1" w:themeFillShade="F2"/>
          </w:tcPr>
          <w:p w:rsidR="00B26274" w:rsidRPr="0048637F" w:rsidRDefault="00B26274" w:rsidP="0092184D">
            <w:pPr>
              <w:jc w:val="center"/>
              <w:rPr>
                <w:rFonts w:asciiTheme="majorBidi" w:hAnsiTheme="majorBidi" w:cstheme="majorBidi"/>
                <w:b/>
                <w:bCs/>
                <w:lang w:bidi="ar-JO"/>
              </w:rPr>
            </w:pPr>
            <w:r w:rsidRPr="0048637F">
              <w:rPr>
                <w:rFonts w:asciiTheme="majorBidi" w:hAnsiTheme="majorBidi" w:cstheme="majorBidi"/>
                <w:b/>
                <w:bCs/>
                <w:lang w:bidi="ar-JO"/>
              </w:rPr>
              <w:t>Banks</w:t>
            </w:r>
          </w:p>
        </w:tc>
      </w:tr>
      <w:tr w:rsidR="00074BEB" w:rsidRPr="0048637F" w:rsidTr="00E71DEE">
        <w:trPr>
          <w:trHeight w:val="391"/>
        </w:trPr>
        <w:tc>
          <w:tcPr>
            <w:tcW w:w="930"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64.2%</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51.7%</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28.7%</w:t>
            </w:r>
          </w:p>
        </w:tc>
        <w:tc>
          <w:tcPr>
            <w:tcW w:w="900"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50.5%</w:t>
            </w:r>
          </w:p>
        </w:tc>
        <w:tc>
          <w:tcPr>
            <w:tcW w:w="884"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44.3%</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63.1%</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61.4%</w:t>
            </w:r>
          </w:p>
        </w:tc>
        <w:tc>
          <w:tcPr>
            <w:tcW w:w="2154" w:type="dxa"/>
            <w:shd w:val="clear" w:color="auto" w:fill="F2F2F2" w:themeFill="background1" w:themeFillShade="F2"/>
          </w:tcPr>
          <w:p w:rsidR="00B26274" w:rsidRPr="0048637F" w:rsidRDefault="00B26274" w:rsidP="0092184D">
            <w:pPr>
              <w:spacing w:line="240" w:lineRule="auto"/>
              <w:jc w:val="center"/>
              <w:rPr>
                <w:rFonts w:asciiTheme="majorBidi" w:hAnsiTheme="majorBidi" w:cstheme="majorBidi"/>
                <w:b/>
                <w:bCs/>
                <w:lang w:bidi="ar-JO"/>
              </w:rPr>
            </w:pPr>
            <w:r w:rsidRPr="0048637F">
              <w:rPr>
                <w:rFonts w:asciiTheme="majorBidi" w:hAnsiTheme="majorBidi" w:cstheme="majorBidi"/>
                <w:b/>
                <w:bCs/>
                <w:lang w:bidi="ar-JO"/>
              </w:rPr>
              <w:t>Palestinian Banks</w:t>
            </w:r>
          </w:p>
          <w:p w:rsidR="00B26274" w:rsidRPr="0048637F" w:rsidRDefault="00B26274" w:rsidP="0092184D">
            <w:pPr>
              <w:spacing w:line="240" w:lineRule="auto"/>
              <w:jc w:val="center"/>
              <w:rPr>
                <w:rFonts w:asciiTheme="majorBidi" w:hAnsiTheme="majorBidi" w:cstheme="majorBidi"/>
                <w:b/>
                <w:bCs/>
                <w:lang w:bidi="ar-JO"/>
              </w:rPr>
            </w:pPr>
            <w:r w:rsidRPr="0048637F">
              <w:rPr>
                <w:rFonts w:asciiTheme="majorBidi" w:hAnsiTheme="majorBidi" w:cstheme="majorBidi"/>
                <w:b/>
                <w:bCs/>
                <w:lang w:bidi="ar-JO"/>
              </w:rPr>
              <w:t>(study sample)</w:t>
            </w:r>
          </w:p>
        </w:tc>
      </w:tr>
      <w:tr w:rsidR="00074BEB" w:rsidRPr="0048637F" w:rsidTr="00E71DEE">
        <w:trPr>
          <w:trHeight w:val="539"/>
        </w:trPr>
        <w:tc>
          <w:tcPr>
            <w:tcW w:w="930"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44.7%</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37.8%</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37.1%</w:t>
            </w:r>
          </w:p>
        </w:tc>
        <w:tc>
          <w:tcPr>
            <w:tcW w:w="900"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24.8%</w:t>
            </w:r>
          </w:p>
        </w:tc>
        <w:tc>
          <w:tcPr>
            <w:tcW w:w="884"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26.8%</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42%</w:t>
            </w:r>
          </w:p>
        </w:tc>
        <w:tc>
          <w:tcPr>
            <w:tcW w:w="821" w:type="dxa"/>
            <w:shd w:val="clear" w:color="auto" w:fill="F2F2F2" w:themeFill="background1" w:themeFillShade="F2"/>
          </w:tcPr>
          <w:p w:rsidR="00B26274" w:rsidRPr="0048637F" w:rsidRDefault="00B26274" w:rsidP="0048637F">
            <w:pPr>
              <w:jc w:val="center"/>
              <w:rPr>
                <w:rFonts w:asciiTheme="majorBidi" w:hAnsiTheme="majorBidi" w:cstheme="majorBidi"/>
                <w:b/>
                <w:bCs/>
                <w:lang w:bidi="ar-JO"/>
              </w:rPr>
            </w:pPr>
            <w:r w:rsidRPr="0048637F">
              <w:rPr>
                <w:rFonts w:asciiTheme="majorBidi" w:hAnsiTheme="majorBidi" w:cstheme="majorBidi"/>
                <w:b/>
                <w:bCs/>
                <w:lang w:bidi="ar-JO"/>
              </w:rPr>
              <w:t>39.7%</w:t>
            </w:r>
          </w:p>
        </w:tc>
        <w:tc>
          <w:tcPr>
            <w:tcW w:w="2154" w:type="dxa"/>
            <w:shd w:val="clear" w:color="auto" w:fill="F2F2F2" w:themeFill="background1" w:themeFillShade="F2"/>
          </w:tcPr>
          <w:p w:rsidR="00B26274" w:rsidRPr="0048637F" w:rsidRDefault="00B26274" w:rsidP="0092184D">
            <w:pPr>
              <w:jc w:val="center"/>
              <w:rPr>
                <w:rFonts w:asciiTheme="majorBidi" w:hAnsiTheme="majorBidi" w:cstheme="majorBidi"/>
                <w:b/>
                <w:bCs/>
                <w:lang w:bidi="ar-JO"/>
              </w:rPr>
            </w:pPr>
            <w:r w:rsidRPr="0048637F">
              <w:rPr>
                <w:rFonts w:asciiTheme="majorBidi" w:hAnsiTheme="majorBidi" w:cstheme="majorBidi"/>
                <w:b/>
                <w:bCs/>
                <w:lang w:bidi="ar-JO"/>
              </w:rPr>
              <w:t>Foreign Banks</w:t>
            </w:r>
          </w:p>
        </w:tc>
      </w:tr>
    </w:tbl>
    <w:p w:rsidR="00B26274" w:rsidRPr="00926FFF" w:rsidRDefault="00E214F9" w:rsidP="00E210E3">
      <w:pPr>
        <w:pStyle w:val="Default"/>
        <w:spacing w:line="360" w:lineRule="auto"/>
        <w:rPr>
          <w:rFonts w:asciiTheme="majorBidi" w:hAnsiTheme="majorBidi" w:cstheme="majorBidi"/>
          <w:b/>
          <w:bCs/>
          <w:color w:val="FF0000"/>
          <w:sz w:val="22"/>
          <w:szCs w:val="22"/>
        </w:rPr>
      </w:pPr>
      <w:r w:rsidRPr="00926FFF">
        <w:rPr>
          <w:rFonts w:asciiTheme="majorBidi" w:hAnsiTheme="majorBidi" w:cstheme="majorBidi"/>
          <w:b/>
          <w:bCs/>
          <w:color w:val="auto"/>
          <w:sz w:val="22"/>
          <w:szCs w:val="22"/>
        </w:rPr>
        <w:t>Table 2.</w:t>
      </w:r>
      <w:r w:rsidR="004C5FC9" w:rsidRPr="00926FFF">
        <w:rPr>
          <w:rFonts w:asciiTheme="majorBidi" w:hAnsiTheme="majorBidi" w:cstheme="majorBidi"/>
          <w:b/>
          <w:bCs/>
          <w:color w:val="auto"/>
          <w:sz w:val="22"/>
          <w:szCs w:val="22"/>
        </w:rPr>
        <w:t>8</w:t>
      </w:r>
      <w:r w:rsidR="008135C1" w:rsidRPr="00926FFF">
        <w:rPr>
          <w:rFonts w:asciiTheme="majorBidi" w:hAnsiTheme="majorBidi" w:cstheme="majorBidi"/>
          <w:b/>
          <w:bCs/>
          <w:color w:val="auto"/>
          <w:sz w:val="22"/>
          <w:szCs w:val="22"/>
        </w:rPr>
        <w:t>:</w:t>
      </w:r>
      <w:r w:rsidR="008135C1" w:rsidRPr="00926FFF">
        <w:rPr>
          <w:rFonts w:asciiTheme="majorBidi" w:hAnsiTheme="majorBidi" w:cstheme="majorBidi"/>
          <w:b/>
          <w:bCs/>
          <w:color w:val="000000" w:themeColor="text1"/>
          <w:sz w:val="22"/>
          <w:szCs w:val="22"/>
        </w:rPr>
        <w:t xml:space="preserve"> percentage</w:t>
      </w:r>
      <w:r w:rsidR="00467D12">
        <w:rPr>
          <w:rFonts w:asciiTheme="majorBidi" w:hAnsiTheme="majorBidi" w:cstheme="majorBidi"/>
          <w:b/>
          <w:bCs/>
          <w:color w:val="000000" w:themeColor="text1"/>
          <w:sz w:val="22"/>
          <w:szCs w:val="22"/>
        </w:rPr>
        <w:t xml:space="preserve"> of credit facility to</w:t>
      </w:r>
      <w:r w:rsidR="00B26274" w:rsidRPr="00926FFF">
        <w:rPr>
          <w:rFonts w:asciiTheme="majorBidi" w:hAnsiTheme="majorBidi" w:cstheme="majorBidi"/>
          <w:b/>
          <w:bCs/>
          <w:color w:val="000000" w:themeColor="text1"/>
          <w:sz w:val="22"/>
          <w:szCs w:val="22"/>
        </w:rPr>
        <w:t xml:space="preserve"> customer deposits during the period of</w:t>
      </w:r>
      <w:r w:rsidR="004C5FC9" w:rsidRPr="00926FFF">
        <w:rPr>
          <w:rFonts w:asciiTheme="majorBidi" w:hAnsiTheme="majorBidi" w:cstheme="majorBidi"/>
          <w:b/>
          <w:bCs/>
          <w:color w:val="000000" w:themeColor="text1"/>
          <w:sz w:val="22"/>
          <w:szCs w:val="22"/>
        </w:rPr>
        <w:t xml:space="preserve"> 2005-</w:t>
      </w:r>
      <w:r w:rsidR="00467D12" w:rsidRPr="00926FFF">
        <w:rPr>
          <w:rFonts w:asciiTheme="majorBidi" w:hAnsiTheme="majorBidi" w:cstheme="majorBidi"/>
          <w:b/>
          <w:bCs/>
          <w:color w:val="000000" w:themeColor="text1"/>
          <w:sz w:val="22"/>
          <w:szCs w:val="22"/>
        </w:rPr>
        <w:t>2011</w:t>
      </w:r>
    </w:p>
    <w:p w:rsidR="00F406EB" w:rsidRPr="00940356" w:rsidRDefault="00F406EB" w:rsidP="00E04FD0">
      <w:pPr>
        <w:autoSpaceDE w:val="0"/>
        <w:autoSpaceDN w:val="0"/>
        <w:adjustRightInd w:val="0"/>
        <w:spacing w:after="0" w:line="480" w:lineRule="auto"/>
        <w:jc w:val="both"/>
        <w:rPr>
          <w:rFonts w:asciiTheme="majorBidi" w:hAnsiTheme="majorBidi" w:cstheme="majorBidi"/>
          <w:sz w:val="10"/>
          <w:szCs w:val="10"/>
          <w:lang w:bidi="ar-JO"/>
        </w:rPr>
      </w:pPr>
    </w:p>
    <w:p w:rsidR="00F406EB" w:rsidRPr="00C12167" w:rsidRDefault="00F406EB" w:rsidP="00F406EB">
      <w:pPr>
        <w:autoSpaceDE w:val="0"/>
        <w:autoSpaceDN w:val="0"/>
        <w:adjustRightInd w:val="0"/>
        <w:spacing w:after="0" w:line="480" w:lineRule="auto"/>
        <w:jc w:val="center"/>
        <w:rPr>
          <w:rFonts w:asciiTheme="majorBidi" w:hAnsiTheme="majorBidi" w:cstheme="majorBidi"/>
          <w:sz w:val="20"/>
          <w:szCs w:val="20"/>
          <w:lang w:bidi="ar-JO"/>
        </w:rPr>
      </w:pPr>
      <w:r w:rsidRPr="00C12167">
        <w:rPr>
          <w:rFonts w:asciiTheme="majorBidi" w:hAnsiTheme="majorBidi" w:cstheme="majorBidi"/>
          <w:sz w:val="20"/>
          <w:szCs w:val="20"/>
          <w:lang w:bidi="ar-JO"/>
        </w:rPr>
        <w:t xml:space="preserve">Source: </w:t>
      </w:r>
      <w:r>
        <w:rPr>
          <w:rFonts w:asciiTheme="majorBidi" w:hAnsiTheme="majorBidi" w:cstheme="majorBidi"/>
          <w:sz w:val="20"/>
          <w:szCs w:val="20"/>
        </w:rPr>
        <w:t>Palestinian Bank's</w:t>
      </w:r>
      <w:r w:rsidRPr="00C12167">
        <w:rPr>
          <w:rFonts w:asciiTheme="majorBidi" w:hAnsiTheme="majorBidi" w:cstheme="majorBidi"/>
          <w:sz w:val="20"/>
          <w:szCs w:val="20"/>
        </w:rPr>
        <w:t xml:space="preserve"> Annual Reports, 2012</w:t>
      </w:r>
    </w:p>
    <w:p w:rsidR="00940356" w:rsidRDefault="00940356" w:rsidP="00E04FD0">
      <w:pPr>
        <w:autoSpaceDE w:val="0"/>
        <w:autoSpaceDN w:val="0"/>
        <w:adjustRightInd w:val="0"/>
        <w:spacing w:after="0" w:line="480" w:lineRule="auto"/>
        <w:jc w:val="both"/>
        <w:rPr>
          <w:rFonts w:asciiTheme="majorBidi" w:hAnsiTheme="majorBidi" w:cstheme="majorBidi"/>
          <w:sz w:val="24"/>
          <w:szCs w:val="24"/>
          <w:lang w:bidi="ar-JO"/>
        </w:rPr>
      </w:pPr>
    </w:p>
    <w:p w:rsidR="00940356" w:rsidRDefault="00940356" w:rsidP="00E04FD0">
      <w:pPr>
        <w:autoSpaceDE w:val="0"/>
        <w:autoSpaceDN w:val="0"/>
        <w:adjustRightInd w:val="0"/>
        <w:spacing w:after="0" w:line="480" w:lineRule="auto"/>
        <w:jc w:val="both"/>
        <w:rPr>
          <w:rFonts w:asciiTheme="majorBidi" w:hAnsiTheme="majorBidi" w:cstheme="majorBidi"/>
          <w:sz w:val="24"/>
          <w:szCs w:val="24"/>
          <w:lang w:bidi="ar-JO"/>
        </w:rPr>
      </w:pPr>
    </w:p>
    <w:p w:rsidR="00B26274" w:rsidRDefault="00F406EB" w:rsidP="00E04FD0">
      <w:pPr>
        <w:autoSpaceDE w:val="0"/>
        <w:autoSpaceDN w:val="0"/>
        <w:adjustRightInd w:val="0"/>
        <w:spacing w:after="0" w:line="480" w:lineRule="auto"/>
        <w:jc w:val="both"/>
        <w:rPr>
          <w:rFonts w:asciiTheme="majorBidi" w:hAnsiTheme="majorBidi" w:cstheme="majorBidi"/>
          <w:color w:val="FF0000"/>
          <w:sz w:val="24"/>
          <w:szCs w:val="24"/>
          <w:lang w:bidi="ar-JO"/>
        </w:rPr>
      </w:pPr>
      <w:r>
        <w:rPr>
          <w:rFonts w:asciiTheme="majorBidi" w:hAnsiTheme="majorBidi" w:cstheme="majorBidi"/>
          <w:sz w:val="24"/>
          <w:szCs w:val="24"/>
          <w:lang w:bidi="ar-JO"/>
        </w:rPr>
        <w:lastRenderedPageBreak/>
        <w:t>From</w:t>
      </w:r>
      <w:r w:rsidR="00B26274" w:rsidRPr="003C3D62">
        <w:rPr>
          <w:rFonts w:asciiTheme="majorBidi" w:hAnsiTheme="majorBidi" w:cstheme="majorBidi"/>
          <w:sz w:val="24"/>
          <w:szCs w:val="24"/>
          <w:lang w:bidi="ar-JO"/>
        </w:rPr>
        <w:t xml:space="preserve"> table</w:t>
      </w:r>
      <w:r w:rsidR="00D04E18">
        <w:rPr>
          <w:rFonts w:asciiTheme="majorBidi" w:hAnsiTheme="majorBidi" w:cstheme="majorBidi"/>
          <w:sz w:val="24"/>
          <w:szCs w:val="24"/>
          <w:lang w:bidi="ar-JO"/>
        </w:rPr>
        <w:t xml:space="preserve"> </w:t>
      </w:r>
      <w:r w:rsidR="0094023E" w:rsidRPr="003C3D62">
        <w:rPr>
          <w:rFonts w:asciiTheme="majorBidi" w:hAnsiTheme="majorBidi" w:cstheme="majorBidi"/>
          <w:sz w:val="24"/>
          <w:szCs w:val="24"/>
          <w:lang w:bidi="ar-JO"/>
        </w:rPr>
        <w:t>(2.8</w:t>
      </w:r>
      <w:r>
        <w:rPr>
          <w:rFonts w:asciiTheme="majorBidi" w:hAnsiTheme="majorBidi" w:cstheme="majorBidi"/>
          <w:sz w:val="24"/>
          <w:szCs w:val="24"/>
          <w:lang w:bidi="ar-JO"/>
        </w:rPr>
        <w:t>), it showed</w:t>
      </w:r>
      <w:r w:rsidR="00B26274" w:rsidRPr="00DF626D">
        <w:rPr>
          <w:rFonts w:asciiTheme="majorBidi" w:hAnsiTheme="majorBidi" w:cstheme="majorBidi"/>
          <w:sz w:val="24"/>
          <w:szCs w:val="24"/>
          <w:lang w:bidi="ar-JO"/>
        </w:rPr>
        <w:t xml:space="preserve"> the following:</w:t>
      </w:r>
    </w:p>
    <w:p w:rsidR="00B26274" w:rsidRDefault="00B26274" w:rsidP="00E04FD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Pr="00024DD8">
        <w:rPr>
          <w:rFonts w:asciiTheme="majorBidi" w:hAnsiTheme="majorBidi" w:cstheme="majorBidi"/>
          <w:sz w:val="24"/>
          <w:szCs w:val="24"/>
        </w:rPr>
        <w:t>The</w:t>
      </w:r>
      <w:r>
        <w:rPr>
          <w:rFonts w:asciiTheme="majorBidi" w:hAnsiTheme="majorBidi" w:cstheme="majorBidi"/>
          <w:sz w:val="24"/>
          <w:szCs w:val="24"/>
        </w:rPr>
        <w:t xml:space="preserve"> high</w:t>
      </w:r>
      <w:r w:rsidRPr="00024DD8">
        <w:rPr>
          <w:rFonts w:asciiTheme="majorBidi" w:hAnsiTheme="majorBidi" w:cstheme="majorBidi"/>
          <w:sz w:val="24"/>
          <w:szCs w:val="24"/>
        </w:rPr>
        <w:t xml:space="preserve"> percentage </w:t>
      </w:r>
      <w:r>
        <w:rPr>
          <w:rFonts w:asciiTheme="majorBidi" w:hAnsiTheme="majorBidi" w:cstheme="majorBidi"/>
          <w:sz w:val="24"/>
          <w:szCs w:val="24"/>
        </w:rPr>
        <w:t>of facilities</w:t>
      </w:r>
      <w:r w:rsidRPr="00024DD8">
        <w:rPr>
          <w:rFonts w:asciiTheme="majorBidi" w:hAnsiTheme="majorBidi" w:cstheme="majorBidi"/>
          <w:sz w:val="24"/>
          <w:szCs w:val="24"/>
        </w:rPr>
        <w:t xml:space="preserve"> granted to total customer deposits</w:t>
      </w:r>
      <w:r>
        <w:rPr>
          <w:rFonts w:asciiTheme="majorBidi" w:hAnsiTheme="majorBidi" w:cstheme="majorBidi"/>
          <w:sz w:val="24"/>
          <w:szCs w:val="24"/>
        </w:rPr>
        <w:t>, which exceed the demand of PMA for 40% rate of customer deposits.</w:t>
      </w:r>
    </w:p>
    <w:p w:rsidR="00A153A5" w:rsidRDefault="00E84546" w:rsidP="00D85BA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Weakness</w:t>
      </w:r>
      <w:r w:rsidR="00B26274">
        <w:rPr>
          <w:rFonts w:asciiTheme="majorBidi" w:hAnsiTheme="majorBidi" w:cstheme="majorBidi"/>
          <w:sz w:val="24"/>
          <w:szCs w:val="24"/>
        </w:rPr>
        <w:t xml:space="preserve"> of foreign banks in gran</w:t>
      </w:r>
      <w:r>
        <w:rPr>
          <w:rFonts w:asciiTheme="majorBidi" w:hAnsiTheme="majorBidi" w:cstheme="majorBidi"/>
          <w:sz w:val="24"/>
          <w:szCs w:val="24"/>
        </w:rPr>
        <w:t>ting credit facilities despite</w:t>
      </w:r>
      <w:r w:rsidR="00B26274">
        <w:rPr>
          <w:rFonts w:asciiTheme="majorBidi" w:hAnsiTheme="majorBidi" w:cstheme="majorBidi"/>
          <w:sz w:val="24"/>
          <w:szCs w:val="24"/>
        </w:rPr>
        <w:t xml:space="preserve"> the acquisition of higher volume of deposits in the Palestinian banking </w:t>
      </w:r>
      <w:r>
        <w:rPr>
          <w:rFonts w:asciiTheme="majorBidi" w:hAnsiTheme="majorBidi" w:cstheme="majorBidi"/>
          <w:sz w:val="24"/>
          <w:szCs w:val="24"/>
        </w:rPr>
        <w:t xml:space="preserve">market comparable to local banks. This weakness </w:t>
      </w:r>
      <w:r w:rsidR="00B26274">
        <w:rPr>
          <w:rFonts w:asciiTheme="majorBidi" w:hAnsiTheme="majorBidi" w:cstheme="majorBidi"/>
          <w:sz w:val="24"/>
          <w:szCs w:val="24"/>
        </w:rPr>
        <w:t xml:space="preserve">is probably due to </w:t>
      </w:r>
      <w:r w:rsidR="00B26274" w:rsidRPr="00074BEB">
        <w:rPr>
          <w:rFonts w:asciiTheme="majorBidi" w:hAnsiTheme="majorBidi" w:cstheme="majorBidi"/>
          <w:sz w:val="24"/>
          <w:szCs w:val="24"/>
        </w:rPr>
        <w:t>(</w:t>
      </w:r>
      <w:r w:rsidR="00074BEB">
        <w:rPr>
          <w:rFonts w:asciiTheme="majorBidi" w:hAnsiTheme="majorBidi" w:cstheme="majorBidi"/>
          <w:sz w:val="24"/>
          <w:szCs w:val="24"/>
        </w:rPr>
        <w:t>Abu M</w:t>
      </w:r>
      <w:r w:rsidR="00B26274" w:rsidRPr="00074BEB">
        <w:rPr>
          <w:rFonts w:asciiTheme="majorBidi" w:hAnsiTheme="majorBidi" w:cstheme="majorBidi"/>
          <w:sz w:val="24"/>
          <w:szCs w:val="24"/>
        </w:rPr>
        <w:t>oammar, 2010):</w:t>
      </w:r>
    </w:p>
    <w:p w:rsidR="00B26274" w:rsidRDefault="00B26274" w:rsidP="00D85BA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1- Lack of appropriate investment climate in Palestine, and direct investment abroad.</w:t>
      </w:r>
    </w:p>
    <w:p w:rsidR="00B26274" w:rsidRDefault="00B26274" w:rsidP="00D85BA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2- Lack of political and economic stability in Palestine.</w:t>
      </w:r>
    </w:p>
    <w:p w:rsidR="00B26274" w:rsidRDefault="00B26274" w:rsidP="00D85BA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3- The inability of customers or counterparties to provide the necessary guarantees for credit facilities such as, collaterals.</w:t>
      </w:r>
    </w:p>
    <w:p w:rsidR="00B26274" w:rsidRDefault="00B26274" w:rsidP="00D85BA7">
      <w:pPr>
        <w:autoSpaceDE w:val="0"/>
        <w:autoSpaceDN w:val="0"/>
        <w:adjustRightInd w:val="0"/>
        <w:spacing w:after="0" w:line="360" w:lineRule="auto"/>
        <w:jc w:val="both"/>
        <w:rPr>
          <w:rFonts w:asciiTheme="majorBidi" w:hAnsiTheme="majorBidi" w:cstheme="majorBidi"/>
          <w:color w:val="FF0000"/>
          <w:sz w:val="24"/>
          <w:szCs w:val="24"/>
          <w:lang w:bidi="ar-JO"/>
        </w:rPr>
      </w:pPr>
      <w:r>
        <w:rPr>
          <w:rFonts w:asciiTheme="majorBidi" w:hAnsiTheme="majorBidi" w:cstheme="majorBidi"/>
          <w:sz w:val="24"/>
          <w:szCs w:val="24"/>
        </w:rPr>
        <w:t>4- Slow processing of bad debts through law, since Palestine does not have specialized commercial courts.</w:t>
      </w:r>
    </w:p>
    <w:p w:rsidR="00AD2FD5" w:rsidRDefault="00B26274" w:rsidP="00D85BA7">
      <w:pPr>
        <w:autoSpaceDE w:val="0"/>
        <w:autoSpaceDN w:val="0"/>
        <w:adjustRightInd w:val="0"/>
        <w:spacing w:after="0" w:line="360" w:lineRule="auto"/>
        <w:jc w:val="both"/>
        <w:rPr>
          <w:rFonts w:asciiTheme="majorBidi" w:hAnsiTheme="majorBidi" w:cstheme="majorBidi"/>
          <w:color w:val="FF0000"/>
          <w:sz w:val="24"/>
          <w:szCs w:val="24"/>
        </w:rPr>
      </w:pPr>
      <w:r w:rsidRPr="00E72271">
        <w:rPr>
          <w:rFonts w:asciiTheme="majorBidi" w:hAnsiTheme="majorBidi" w:cstheme="majorBidi"/>
          <w:sz w:val="24"/>
          <w:szCs w:val="24"/>
        </w:rPr>
        <w:t>On the other</w:t>
      </w:r>
      <w:r w:rsidR="00E76293">
        <w:rPr>
          <w:rFonts w:asciiTheme="majorBidi" w:hAnsiTheme="majorBidi" w:cstheme="majorBidi"/>
          <w:color w:val="000000"/>
          <w:sz w:val="24"/>
          <w:szCs w:val="24"/>
        </w:rPr>
        <w:t xml:space="preserve"> hand,</w:t>
      </w:r>
      <w:r w:rsidRPr="00E72271">
        <w:rPr>
          <w:rFonts w:asciiTheme="majorBidi" w:hAnsiTheme="majorBidi" w:cstheme="majorBidi"/>
          <w:color w:val="000000"/>
          <w:sz w:val="24"/>
          <w:szCs w:val="24"/>
        </w:rPr>
        <w:t xml:space="preserve"> facilities ext</w:t>
      </w:r>
      <w:r w:rsidR="00E76293">
        <w:rPr>
          <w:rFonts w:asciiTheme="majorBidi" w:hAnsiTheme="majorBidi" w:cstheme="majorBidi"/>
          <w:color w:val="000000"/>
          <w:sz w:val="24"/>
          <w:szCs w:val="24"/>
        </w:rPr>
        <w:t>ended in the West Bank were 87.4</w:t>
      </w:r>
      <w:r w:rsidRPr="00E72271">
        <w:rPr>
          <w:rFonts w:asciiTheme="majorBidi" w:hAnsiTheme="majorBidi" w:cstheme="majorBidi"/>
          <w:color w:val="000000"/>
          <w:sz w:val="24"/>
          <w:szCs w:val="24"/>
        </w:rPr>
        <w:t xml:space="preserve"> percent of total credit </w:t>
      </w:r>
      <w:r w:rsidR="008135C1" w:rsidRPr="00E72271">
        <w:rPr>
          <w:rFonts w:asciiTheme="majorBidi" w:hAnsiTheme="majorBidi" w:cstheme="majorBidi"/>
          <w:color w:val="000000"/>
          <w:sz w:val="24"/>
          <w:szCs w:val="24"/>
        </w:rPr>
        <w:t>facilities</w:t>
      </w:r>
      <w:r w:rsidR="008135C1">
        <w:rPr>
          <w:rFonts w:asciiTheme="majorBidi" w:hAnsiTheme="majorBidi" w:cstheme="majorBidi"/>
          <w:color w:val="000000"/>
          <w:sz w:val="24"/>
          <w:szCs w:val="24"/>
        </w:rPr>
        <w:t xml:space="preserve"> (</w:t>
      </w:r>
      <w:r w:rsidR="00E76293">
        <w:rPr>
          <w:rFonts w:asciiTheme="majorBidi" w:hAnsiTheme="majorBidi" w:cstheme="majorBidi"/>
          <w:color w:val="000000"/>
          <w:sz w:val="24"/>
          <w:szCs w:val="24"/>
        </w:rPr>
        <w:t>USD 3191 million), against 12.</w:t>
      </w:r>
      <w:r w:rsidR="00B35545">
        <w:rPr>
          <w:rFonts w:asciiTheme="majorBidi" w:hAnsiTheme="majorBidi" w:cstheme="majorBidi"/>
          <w:color w:val="000000"/>
          <w:sz w:val="24"/>
          <w:szCs w:val="24"/>
        </w:rPr>
        <w:t>6</w:t>
      </w:r>
      <w:r w:rsidRPr="00E72271">
        <w:rPr>
          <w:rFonts w:asciiTheme="majorBidi" w:hAnsiTheme="majorBidi" w:cstheme="majorBidi"/>
          <w:color w:val="000000"/>
          <w:sz w:val="24"/>
          <w:szCs w:val="24"/>
        </w:rPr>
        <w:t xml:space="preserve"> percent </w:t>
      </w:r>
      <w:r w:rsidR="00E76293">
        <w:rPr>
          <w:rFonts w:asciiTheme="majorBidi" w:hAnsiTheme="majorBidi" w:cstheme="majorBidi"/>
          <w:color w:val="000000"/>
          <w:sz w:val="24"/>
          <w:szCs w:val="24"/>
        </w:rPr>
        <w:t>(USD 300 million) in Gaza Strip</w:t>
      </w:r>
      <w:r w:rsidR="00B35545">
        <w:rPr>
          <w:rFonts w:asciiTheme="majorBidi" w:hAnsiTheme="majorBidi" w:cstheme="majorBidi"/>
          <w:color w:val="000000"/>
          <w:sz w:val="24"/>
          <w:szCs w:val="24"/>
        </w:rPr>
        <w:t>.</w:t>
      </w:r>
    </w:p>
    <w:p w:rsidR="00B26274" w:rsidRPr="00E72271" w:rsidRDefault="00B26274" w:rsidP="00D85BA7">
      <w:pPr>
        <w:autoSpaceDE w:val="0"/>
        <w:autoSpaceDN w:val="0"/>
        <w:adjustRightInd w:val="0"/>
        <w:spacing w:after="0" w:line="360" w:lineRule="auto"/>
        <w:jc w:val="both"/>
        <w:rPr>
          <w:rFonts w:asciiTheme="majorBidi" w:hAnsiTheme="majorBidi" w:cstheme="majorBidi"/>
          <w:sz w:val="24"/>
          <w:szCs w:val="24"/>
        </w:rPr>
      </w:pPr>
      <w:r w:rsidRPr="00E72271">
        <w:rPr>
          <w:rFonts w:asciiTheme="majorBidi" w:hAnsiTheme="majorBidi" w:cstheme="majorBidi"/>
          <w:sz w:val="24"/>
          <w:szCs w:val="24"/>
        </w:rPr>
        <w:t>This decline in the relative importance of credit granted in Gaza Strip during this period is attributed to several reasons including the suffocating siege on Gaza Strip and its negative impact on overall economic, social and political conditions.</w:t>
      </w:r>
    </w:p>
    <w:p w:rsidR="00B26274" w:rsidRPr="00E72271" w:rsidRDefault="00B26274" w:rsidP="00D85BA7">
      <w:pPr>
        <w:pStyle w:val="Default"/>
        <w:spacing w:line="360" w:lineRule="auto"/>
        <w:jc w:val="both"/>
        <w:rPr>
          <w:rFonts w:asciiTheme="majorBidi" w:hAnsiTheme="majorBidi" w:cstheme="majorBidi"/>
        </w:rPr>
      </w:pPr>
      <w:r>
        <w:rPr>
          <w:rFonts w:asciiTheme="majorBidi" w:hAnsiTheme="majorBidi" w:cstheme="majorBidi"/>
        </w:rPr>
        <w:t xml:space="preserve">Generally speaking, the role of banks operate in Palestine, </w:t>
      </w:r>
      <w:r w:rsidR="00B35545">
        <w:rPr>
          <w:rFonts w:asciiTheme="majorBidi" w:hAnsiTheme="majorBidi" w:cstheme="majorBidi"/>
        </w:rPr>
        <w:t>whether</w:t>
      </w:r>
      <w:r>
        <w:rPr>
          <w:rFonts w:asciiTheme="majorBidi" w:hAnsiTheme="majorBidi" w:cstheme="majorBidi"/>
        </w:rPr>
        <w:t xml:space="preserve"> it's national or foreign remain low in comparison to countries close to Palestine, like Jordan for example,</w:t>
      </w:r>
      <w:r w:rsidRPr="00E72271">
        <w:rPr>
          <w:rFonts w:asciiTheme="majorBidi" w:hAnsiTheme="majorBidi" w:cstheme="majorBidi"/>
        </w:rPr>
        <w:t xml:space="preserve"> the ratio of loans to customer deposits w</w:t>
      </w:r>
      <w:r w:rsidR="00224B73">
        <w:rPr>
          <w:rFonts w:asciiTheme="majorBidi" w:hAnsiTheme="majorBidi" w:cstheme="majorBidi"/>
        </w:rPr>
        <w:t>as 64.2% in 2010(PMA, 2012</w:t>
      </w:r>
      <w:r w:rsidRPr="00E72271">
        <w:rPr>
          <w:rFonts w:asciiTheme="majorBidi" w:hAnsiTheme="majorBidi" w:cstheme="majorBidi"/>
        </w:rPr>
        <w:t>).</w:t>
      </w:r>
    </w:p>
    <w:p w:rsidR="00B26274" w:rsidRPr="00440E7F" w:rsidRDefault="00B26274" w:rsidP="00D85BA7">
      <w:pPr>
        <w:autoSpaceDE w:val="0"/>
        <w:autoSpaceDN w:val="0"/>
        <w:adjustRightInd w:val="0"/>
        <w:spacing w:after="0" w:line="360" w:lineRule="auto"/>
        <w:jc w:val="both"/>
        <w:rPr>
          <w:rFonts w:ascii="Times New Roman" w:hAnsi="Times New Roman" w:cs="Times New Roman"/>
          <w:bCs/>
          <w:sz w:val="24"/>
          <w:szCs w:val="24"/>
        </w:rPr>
      </w:pPr>
      <w:r w:rsidRPr="00E72271">
        <w:rPr>
          <w:rFonts w:asciiTheme="majorBidi" w:hAnsiTheme="majorBidi" w:cstheme="majorBidi"/>
          <w:sz w:val="24"/>
          <w:szCs w:val="24"/>
        </w:rPr>
        <w:t xml:space="preserve">It should be mentioned that credit facilities in the West Bank are </w:t>
      </w:r>
      <w:r w:rsidRPr="00E72271">
        <w:rPr>
          <w:rFonts w:asciiTheme="majorBidi" w:hAnsiTheme="majorBidi" w:cstheme="majorBidi"/>
          <w:bCs/>
          <w:sz w:val="24"/>
          <w:szCs w:val="24"/>
        </w:rPr>
        <w:t xml:space="preserve">concentrated in the cities of Ramallah and Al-Bireh with a share of 64.5% of total credit granted in the </w:t>
      </w:r>
      <w:r w:rsidRPr="00440E7F">
        <w:rPr>
          <w:rFonts w:ascii="Times New Roman" w:hAnsi="Times New Roman" w:cs="Times New Roman"/>
          <w:bCs/>
          <w:sz w:val="24"/>
          <w:szCs w:val="24"/>
        </w:rPr>
        <w:t>West Bank. This is due the fact that Ramallah is the center of economic activity in the West Bank, and the seat of the official centers and ministries of the PNA.</w:t>
      </w:r>
    </w:p>
    <w:p w:rsidR="002B5A72" w:rsidRDefault="00B26274" w:rsidP="00D85BA7">
      <w:pPr>
        <w:autoSpaceDE w:val="0"/>
        <w:autoSpaceDN w:val="0"/>
        <w:adjustRightInd w:val="0"/>
        <w:spacing w:after="0" w:line="360" w:lineRule="auto"/>
        <w:jc w:val="both"/>
        <w:rPr>
          <w:rFonts w:ascii="Times New Roman" w:hAnsi="Times New Roman" w:cs="Times New Roman"/>
          <w:bCs/>
          <w:sz w:val="24"/>
          <w:szCs w:val="24"/>
        </w:rPr>
      </w:pPr>
      <w:r w:rsidRPr="00440E7F">
        <w:rPr>
          <w:rFonts w:ascii="Times New Roman" w:hAnsi="Times New Roman" w:cs="Times New Roman"/>
          <w:bCs/>
          <w:sz w:val="24"/>
          <w:szCs w:val="24"/>
        </w:rPr>
        <w:t>Also the Total facilities granted to the public sector in 2011 increased by 31.5% from the previous year, reaching USD 1101.1 million, and resulting in a higher share to 32% compared with 31% of total customers deposit in 2010 which represent 31% from the total credit granted by Pal</w:t>
      </w:r>
      <w:r w:rsidR="00372C64">
        <w:rPr>
          <w:rFonts w:ascii="Times New Roman" w:hAnsi="Times New Roman" w:cs="Times New Roman"/>
          <w:bCs/>
          <w:sz w:val="24"/>
          <w:szCs w:val="24"/>
        </w:rPr>
        <w:t>estinian banks (PMA, 2011</w:t>
      </w:r>
      <w:r w:rsidRPr="00440E7F">
        <w:rPr>
          <w:rFonts w:ascii="Times New Roman" w:hAnsi="Times New Roman" w:cs="Times New Roman"/>
          <w:bCs/>
          <w:sz w:val="24"/>
          <w:szCs w:val="24"/>
        </w:rPr>
        <w:t>).</w:t>
      </w:r>
    </w:p>
    <w:p w:rsidR="00F406EB" w:rsidRDefault="00F406EB" w:rsidP="00D85BA7">
      <w:pPr>
        <w:autoSpaceDE w:val="0"/>
        <w:autoSpaceDN w:val="0"/>
        <w:adjustRightInd w:val="0"/>
        <w:spacing w:after="0" w:line="360" w:lineRule="auto"/>
        <w:jc w:val="both"/>
        <w:rPr>
          <w:rFonts w:ascii="Times New Roman" w:hAnsi="Times New Roman" w:cs="Times New Roman"/>
          <w:bCs/>
          <w:sz w:val="24"/>
          <w:szCs w:val="24"/>
        </w:rPr>
      </w:pPr>
    </w:p>
    <w:p w:rsidR="00B26274" w:rsidRPr="004C5FC9" w:rsidRDefault="004673CA" w:rsidP="0062615C">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2.6.5</w:t>
      </w:r>
      <w:r w:rsidR="00B26274" w:rsidRPr="004C5FC9">
        <w:rPr>
          <w:rFonts w:ascii="Times New Roman" w:hAnsi="Times New Roman" w:cs="Times New Roman"/>
          <w:b/>
          <w:sz w:val="24"/>
          <w:szCs w:val="24"/>
        </w:rPr>
        <w:t xml:space="preserve"> Palestinian Banking System and Credit Exposure to Public Sector</w:t>
      </w:r>
    </w:p>
    <w:p w:rsidR="00B26274" w:rsidRPr="00467D12" w:rsidRDefault="000A35BD" w:rsidP="00467D12">
      <w:pPr>
        <w:spacing w:line="360" w:lineRule="auto"/>
        <w:contextualSpacing/>
        <w:jc w:val="both"/>
        <w:rPr>
          <w:rFonts w:asciiTheme="majorBidi" w:hAnsiTheme="majorBidi" w:cstheme="majorBidi"/>
          <w:sz w:val="24"/>
          <w:szCs w:val="24"/>
          <w:lang w:bidi="ar-JO"/>
        </w:rPr>
      </w:pPr>
      <w:r>
        <w:rPr>
          <w:rFonts w:asciiTheme="majorBidi" w:hAnsiTheme="majorBidi" w:cstheme="majorBidi"/>
          <w:sz w:val="24"/>
          <w:szCs w:val="24"/>
        </w:rPr>
        <w:t xml:space="preserve">The major </w:t>
      </w:r>
      <w:r w:rsidR="00B26274" w:rsidRPr="005D46F2">
        <w:rPr>
          <w:rFonts w:asciiTheme="majorBidi" w:hAnsiTheme="majorBidi" w:cstheme="majorBidi"/>
          <w:sz w:val="24"/>
          <w:szCs w:val="24"/>
        </w:rPr>
        <w:t>source of revenue for most c</w:t>
      </w:r>
      <w:r w:rsidR="00DC3290">
        <w:rPr>
          <w:rFonts w:asciiTheme="majorBidi" w:hAnsiTheme="majorBidi" w:cstheme="majorBidi"/>
          <w:sz w:val="24"/>
          <w:szCs w:val="24"/>
        </w:rPr>
        <w:t xml:space="preserve">ommercial banks is </w:t>
      </w:r>
      <w:r>
        <w:rPr>
          <w:rFonts w:asciiTheme="majorBidi" w:hAnsiTheme="majorBidi" w:cstheme="majorBidi"/>
          <w:sz w:val="24"/>
          <w:szCs w:val="24"/>
        </w:rPr>
        <w:t>granting</w:t>
      </w:r>
      <w:r w:rsidR="00DC3290">
        <w:rPr>
          <w:rFonts w:asciiTheme="majorBidi" w:hAnsiTheme="majorBidi" w:cstheme="majorBidi"/>
          <w:sz w:val="24"/>
          <w:szCs w:val="24"/>
        </w:rPr>
        <w:t xml:space="preserve"> </w:t>
      </w:r>
      <w:r w:rsidR="00B26274" w:rsidRPr="005D46F2">
        <w:rPr>
          <w:rFonts w:asciiTheme="majorBidi" w:hAnsiTheme="majorBidi" w:cstheme="majorBidi"/>
          <w:sz w:val="24"/>
          <w:szCs w:val="24"/>
        </w:rPr>
        <w:t>credi</w:t>
      </w:r>
      <w:r w:rsidR="00DC3290">
        <w:rPr>
          <w:rFonts w:asciiTheme="majorBidi" w:hAnsiTheme="majorBidi" w:cstheme="majorBidi"/>
          <w:sz w:val="24"/>
          <w:szCs w:val="24"/>
        </w:rPr>
        <w:t xml:space="preserve">t activity, </w:t>
      </w:r>
      <w:r w:rsidR="003E0072">
        <w:rPr>
          <w:rFonts w:asciiTheme="majorBidi" w:hAnsiTheme="majorBidi" w:cstheme="majorBidi"/>
          <w:sz w:val="24"/>
          <w:szCs w:val="24"/>
        </w:rPr>
        <w:t xml:space="preserve">an activity </w:t>
      </w:r>
      <w:r w:rsidR="00DC3290">
        <w:rPr>
          <w:rFonts w:asciiTheme="majorBidi" w:hAnsiTheme="majorBidi" w:cstheme="majorBidi"/>
          <w:sz w:val="24"/>
          <w:szCs w:val="24"/>
        </w:rPr>
        <w:t xml:space="preserve">that </w:t>
      </w:r>
      <w:r w:rsidR="00DC3290" w:rsidRPr="005D46F2">
        <w:rPr>
          <w:rFonts w:asciiTheme="majorBidi" w:hAnsiTheme="majorBidi" w:cstheme="majorBidi"/>
          <w:sz w:val="24"/>
          <w:szCs w:val="24"/>
        </w:rPr>
        <w:t>poses</w:t>
      </w:r>
      <w:r w:rsidR="00B26274" w:rsidRPr="005D46F2">
        <w:rPr>
          <w:rFonts w:asciiTheme="majorBidi" w:hAnsiTheme="majorBidi" w:cstheme="majorBidi"/>
          <w:sz w:val="24"/>
          <w:szCs w:val="24"/>
        </w:rPr>
        <w:t xml:space="preserve"> </w:t>
      </w:r>
      <w:r w:rsidR="001145EF">
        <w:rPr>
          <w:rFonts w:asciiTheme="majorBidi" w:hAnsiTheme="majorBidi" w:cstheme="majorBidi"/>
          <w:sz w:val="24"/>
          <w:szCs w:val="24"/>
        </w:rPr>
        <w:t xml:space="preserve">a risk to earnings and </w:t>
      </w:r>
      <w:r w:rsidR="003C1835">
        <w:rPr>
          <w:rFonts w:asciiTheme="majorBidi" w:hAnsiTheme="majorBidi" w:cstheme="majorBidi"/>
          <w:sz w:val="24"/>
          <w:szCs w:val="24"/>
        </w:rPr>
        <w:t>capital</w:t>
      </w:r>
      <w:r w:rsidR="003E0072">
        <w:rPr>
          <w:rFonts w:asciiTheme="majorBidi" w:hAnsiTheme="majorBidi" w:cstheme="majorBidi"/>
          <w:sz w:val="24"/>
          <w:szCs w:val="24"/>
        </w:rPr>
        <w:t xml:space="preserve"> in the same time.</w:t>
      </w:r>
      <w:r w:rsidR="003E0072" w:rsidRPr="003E0072">
        <w:rPr>
          <w:rFonts w:ascii="Times New Roman" w:hAnsi="Times New Roman" w:cs="Times New Roman"/>
          <w:sz w:val="24"/>
          <w:szCs w:val="24"/>
        </w:rPr>
        <w:t xml:space="preserve"> </w:t>
      </w:r>
      <w:r w:rsidR="00467D12">
        <w:rPr>
          <w:rFonts w:ascii="Times New Roman" w:hAnsi="Times New Roman" w:cs="Times New Roman"/>
          <w:sz w:val="24"/>
          <w:szCs w:val="24"/>
        </w:rPr>
        <w:t>Diversification o</w:t>
      </w:r>
      <w:r w:rsidR="003E0072">
        <w:rPr>
          <w:rFonts w:ascii="Times New Roman" w:hAnsi="Times New Roman" w:cs="Times New Roman"/>
          <w:sz w:val="24"/>
          <w:szCs w:val="24"/>
        </w:rPr>
        <w:t>f bank's activities and investments is considered an important concept in banking industry, since most of bank's failures have been due to credit risk concentration in one way or another</w:t>
      </w:r>
      <w:r w:rsidR="00ED09E4">
        <w:rPr>
          <w:rFonts w:ascii="Times New Roman" w:hAnsi="Times New Roman" w:cs="Times New Roman"/>
          <w:sz w:val="24"/>
          <w:szCs w:val="24"/>
        </w:rPr>
        <w:t xml:space="preserve">. </w:t>
      </w:r>
      <w:r w:rsidR="00ED09E4">
        <w:rPr>
          <w:rFonts w:asciiTheme="majorBidi" w:hAnsiTheme="majorBidi" w:cstheme="majorBidi"/>
          <w:sz w:val="24"/>
          <w:szCs w:val="24"/>
        </w:rPr>
        <w:t>Credit risk exposure to a single borrower or group of related borrowers have the same risk characteristics,</w:t>
      </w:r>
      <w:r w:rsidR="00ED09E4">
        <w:rPr>
          <w:rFonts w:ascii="Times New Roman" w:hAnsi="Times New Roman" w:cs="Times New Roman"/>
          <w:sz w:val="24"/>
          <w:szCs w:val="24"/>
        </w:rPr>
        <w:t xml:space="preserve"> </w:t>
      </w:r>
      <w:r w:rsidR="00ED09E4" w:rsidRPr="004B65CA">
        <w:rPr>
          <w:rFonts w:asciiTheme="majorBidi" w:hAnsiTheme="majorBidi" w:cstheme="majorBidi"/>
          <w:sz w:val="24"/>
          <w:szCs w:val="24"/>
        </w:rPr>
        <w:t>when measured as a percentage of capital,</w:t>
      </w:r>
      <w:r w:rsidR="00ED09E4">
        <w:rPr>
          <w:rFonts w:ascii="Times New Roman" w:hAnsi="Times New Roman" w:cs="Times New Roman"/>
          <w:sz w:val="24"/>
          <w:szCs w:val="24"/>
        </w:rPr>
        <w:t xml:space="preserve"> contain or raise a serious threat to the bank or lending institution's safety and soundness. </w:t>
      </w:r>
      <w:r w:rsidR="00BD6580" w:rsidRPr="004B65CA">
        <w:rPr>
          <w:rFonts w:asciiTheme="majorBidi" w:hAnsiTheme="majorBidi" w:cstheme="majorBidi"/>
          <w:sz w:val="24"/>
          <w:szCs w:val="24"/>
        </w:rPr>
        <w:t>Because a concentration of credit</w:t>
      </w:r>
      <w:r w:rsidR="00BD6580">
        <w:rPr>
          <w:rFonts w:asciiTheme="majorBidi" w:hAnsiTheme="majorBidi" w:cstheme="majorBidi"/>
          <w:sz w:val="24"/>
          <w:szCs w:val="24"/>
        </w:rPr>
        <w:t xml:space="preserve"> tends to have large risk, threaten the bank's safety and the soundness, regulators have imposed a limit on such exposures</w:t>
      </w:r>
      <w:r w:rsidR="00467D12">
        <w:rPr>
          <w:rFonts w:asciiTheme="majorBidi" w:hAnsiTheme="majorBidi" w:cstheme="majorBidi"/>
          <w:sz w:val="24"/>
          <w:szCs w:val="24"/>
          <w:lang w:bidi="ar-JO"/>
        </w:rPr>
        <w:t xml:space="preserve">. </w:t>
      </w:r>
      <w:r w:rsidR="00B26274" w:rsidRPr="00402BBD">
        <w:rPr>
          <w:rFonts w:ascii="Times New Roman" w:hAnsi="Times New Roman" w:cs="Times New Roman"/>
          <w:sz w:val="24"/>
          <w:szCs w:val="24"/>
        </w:rPr>
        <w:t xml:space="preserve">In its efforts to strengthen bank’s capital to face risks exposures of credit resulting from the high degree of concentration of credit, </w:t>
      </w:r>
      <w:r w:rsidR="00B26274" w:rsidRPr="00B731C6">
        <w:rPr>
          <w:rFonts w:ascii="Times New Roman" w:hAnsi="Times New Roman" w:cs="Times New Roman"/>
          <w:bCs/>
          <w:sz w:val="24"/>
          <w:szCs w:val="24"/>
        </w:rPr>
        <w:t>Palestinian Monetary Authority (PMA)</w:t>
      </w:r>
      <w:r w:rsidR="00ED09E4">
        <w:rPr>
          <w:rFonts w:ascii="Times New Roman" w:hAnsi="Times New Roman" w:cs="Times New Roman"/>
          <w:bCs/>
          <w:sz w:val="24"/>
          <w:szCs w:val="24"/>
        </w:rPr>
        <w:t xml:space="preserve"> </w:t>
      </w:r>
      <w:r w:rsidR="00B26274" w:rsidRPr="00402BBD">
        <w:rPr>
          <w:rFonts w:ascii="Times New Roman" w:hAnsi="Times New Roman" w:cs="Times New Roman"/>
          <w:sz w:val="24"/>
          <w:szCs w:val="24"/>
        </w:rPr>
        <w:t>has issued several laws to face this type of risk such:</w:t>
      </w:r>
    </w:p>
    <w:p w:rsidR="00B26274" w:rsidRPr="00402BBD" w:rsidRDefault="00B26274" w:rsidP="00BD6580">
      <w:pPr>
        <w:autoSpaceDE w:val="0"/>
        <w:autoSpaceDN w:val="0"/>
        <w:adjustRightInd w:val="0"/>
        <w:spacing w:after="0" w:line="360" w:lineRule="auto"/>
        <w:contextualSpacing/>
        <w:jc w:val="both"/>
        <w:rPr>
          <w:rFonts w:ascii="Times New Roman" w:hAnsi="Times New Roman" w:cs="Times New Roman"/>
          <w:sz w:val="24"/>
          <w:szCs w:val="24"/>
        </w:rPr>
      </w:pPr>
      <w:r w:rsidRPr="00402BBD">
        <w:rPr>
          <w:rFonts w:ascii="Times New Roman" w:hAnsi="Times New Roman" w:cs="Times New Roman"/>
          <w:sz w:val="24"/>
          <w:szCs w:val="24"/>
        </w:rPr>
        <w:t>- Resolution Act No. 9 of 2010, define the term “exposure” is defined as: (all forms of direct and indirect credit granted per person, bonds and debt instruments issued by the same person and purchased by the bank, in addition to the investments of the bank in that person, whether in the form of equity rights, or any other investments).</w:t>
      </w:r>
    </w:p>
    <w:p w:rsidR="00B26274" w:rsidRDefault="00B26274" w:rsidP="00877E03">
      <w:pPr>
        <w:autoSpaceDE w:val="0"/>
        <w:autoSpaceDN w:val="0"/>
        <w:adjustRightInd w:val="0"/>
        <w:spacing w:after="0" w:line="360" w:lineRule="auto"/>
        <w:jc w:val="both"/>
        <w:rPr>
          <w:rFonts w:ascii="Times New Roman" w:hAnsi="Times New Roman" w:cs="Times New Roman"/>
          <w:sz w:val="24"/>
          <w:szCs w:val="24"/>
        </w:rPr>
      </w:pPr>
      <w:r w:rsidRPr="00402BBD">
        <w:rPr>
          <w:rFonts w:ascii="Times New Roman" w:hAnsi="Times New Roman" w:cs="Times New Roman"/>
          <w:sz w:val="24"/>
          <w:szCs w:val="24"/>
        </w:rPr>
        <w:t>- The Banking Law of 2010, credit concentration is defined as: (total exposure per person or group of persons acting together or brought together by a common interest or family relationship to the second degree, and as dete</w:t>
      </w:r>
      <w:r>
        <w:rPr>
          <w:rFonts w:ascii="Times New Roman" w:hAnsi="Times New Roman" w:cs="Times New Roman"/>
          <w:sz w:val="24"/>
          <w:szCs w:val="24"/>
        </w:rPr>
        <w:t>rmined by the PMA instructions).</w:t>
      </w:r>
    </w:p>
    <w:p w:rsidR="00B26274" w:rsidRPr="00402BBD" w:rsidRDefault="00B26274" w:rsidP="00877E03">
      <w:pPr>
        <w:autoSpaceDE w:val="0"/>
        <w:autoSpaceDN w:val="0"/>
        <w:adjustRightInd w:val="0"/>
        <w:spacing w:after="0" w:line="360" w:lineRule="auto"/>
        <w:jc w:val="both"/>
        <w:rPr>
          <w:rFonts w:ascii="Times New Roman" w:hAnsi="Times New Roman" w:cs="Times New Roman"/>
          <w:sz w:val="24"/>
          <w:szCs w:val="24"/>
        </w:rPr>
      </w:pPr>
      <w:r w:rsidRPr="00402BBD">
        <w:rPr>
          <w:rFonts w:ascii="Times New Roman" w:hAnsi="Times New Roman" w:cs="Times New Roman"/>
          <w:sz w:val="24"/>
          <w:szCs w:val="24"/>
        </w:rPr>
        <w:t>- According to the PMA instructions number (5 / 2008) (paragraph 5/6/1), the rate of credit granted (outstanding) to any economic sector should not exceed 20% of total credit granted (outstanding).</w:t>
      </w:r>
    </w:p>
    <w:p w:rsidR="00B26274" w:rsidRDefault="00B26274" w:rsidP="00877E03">
      <w:pPr>
        <w:autoSpaceDE w:val="0"/>
        <w:autoSpaceDN w:val="0"/>
        <w:adjustRightInd w:val="0"/>
        <w:spacing w:after="0" w:line="360" w:lineRule="auto"/>
        <w:jc w:val="both"/>
        <w:rPr>
          <w:rFonts w:ascii="Times New Roman" w:hAnsi="Times New Roman" w:cs="Times New Roman"/>
          <w:sz w:val="24"/>
          <w:szCs w:val="24"/>
        </w:rPr>
      </w:pPr>
      <w:r w:rsidRPr="00402BBD">
        <w:rPr>
          <w:rFonts w:ascii="Times New Roman" w:hAnsi="Times New Roman" w:cs="Times New Roman"/>
          <w:b/>
          <w:sz w:val="24"/>
          <w:szCs w:val="24"/>
        </w:rPr>
        <w:t xml:space="preserve">- </w:t>
      </w:r>
      <w:r w:rsidRPr="00402BBD">
        <w:rPr>
          <w:rFonts w:ascii="Times New Roman" w:hAnsi="Times New Roman" w:cs="Times New Roman"/>
          <w:sz w:val="24"/>
          <w:szCs w:val="24"/>
        </w:rPr>
        <w:t>According to the PMA instructions number (20/1997), the rate of credit granted per customer does not exceed 10% of bank’s capital base, and this ratio can be raised to 15% of bank’s capital base after obtaining a predetermined approval of monitory authorities.</w:t>
      </w:r>
    </w:p>
    <w:p w:rsidR="00A153A5" w:rsidRDefault="00B26274" w:rsidP="00B24FA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all of those regulatory and instruction issued by the PMA to strengthen the stability of the financial system in Palestine, still the public sector's(Palestinian National Authority)(PNA) share from the Palestinian banking credit portfolio reached high levels. </w:t>
      </w:r>
      <w:r w:rsidRPr="00AD7055">
        <w:rPr>
          <w:rFonts w:asciiTheme="majorBidi" w:hAnsiTheme="majorBidi" w:cstheme="majorBidi"/>
          <w:sz w:val="24"/>
          <w:szCs w:val="24"/>
        </w:rPr>
        <w:t xml:space="preserve">In </w:t>
      </w:r>
      <w:r w:rsidRPr="00467D12">
        <w:rPr>
          <w:rFonts w:asciiTheme="majorBidi" w:hAnsiTheme="majorBidi" w:cstheme="majorBidi"/>
          <w:sz w:val="24"/>
          <w:szCs w:val="24"/>
        </w:rPr>
        <w:t xml:space="preserve">light of liquidity pressures that the PNA suffers, the public sector’s (PNA) debt to </w:t>
      </w:r>
      <w:r w:rsidRPr="00467D12">
        <w:rPr>
          <w:rFonts w:asciiTheme="majorBidi" w:hAnsiTheme="majorBidi" w:cstheme="majorBidi"/>
          <w:sz w:val="24"/>
          <w:szCs w:val="24"/>
        </w:rPr>
        <w:lastRenderedPageBreak/>
        <w:t>commercial</w:t>
      </w:r>
      <w:r w:rsidRPr="00467D12">
        <w:rPr>
          <w:rFonts w:ascii="Times New Roman" w:hAnsi="Times New Roman" w:cs="Times New Roman"/>
          <w:sz w:val="24"/>
          <w:szCs w:val="24"/>
        </w:rPr>
        <w:t xml:space="preserve"> banks rose from $0.5 billion in 2008 (62 percent of  banks’ equity)</w:t>
      </w:r>
      <w:r w:rsidRPr="00467D12">
        <w:rPr>
          <w:rFonts w:asciiTheme="majorBidi" w:hAnsiTheme="majorBidi" w:cstheme="majorBidi"/>
          <w:sz w:val="24"/>
          <w:szCs w:val="24"/>
        </w:rPr>
        <w:t>to</w:t>
      </w:r>
      <w:r w:rsidRPr="00467D12">
        <w:rPr>
          <w:rFonts w:ascii="Times New Roman" w:hAnsi="Times New Roman" w:cs="Times New Roman"/>
          <w:sz w:val="24"/>
          <w:szCs w:val="24"/>
        </w:rPr>
        <w:t xml:space="preserve"> $1.1 billion at end-2011 (93 percent of banks’ equity) which represent 31 percent of total banking credit portfolio, against 69 percent left to private sector. This debt continues to rising reaching $1.2 billion (99 percent of banks’ equity) by end-June 2012</w:t>
      </w:r>
      <w:r w:rsidR="003D3881" w:rsidRPr="00467D12">
        <w:rPr>
          <w:rFonts w:ascii="Times New Roman" w:hAnsi="Times New Roman" w:cs="Times New Roman"/>
          <w:sz w:val="24"/>
          <w:szCs w:val="24"/>
        </w:rPr>
        <w:t xml:space="preserve"> and 33.5% </w:t>
      </w:r>
      <w:r w:rsidR="00A0315B" w:rsidRPr="00467D12">
        <w:rPr>
          <w:rFonts w:ascii="Times New Roman" w:hAnsi="Times New Roman" w:cs="Times New Roman"/>
          <w:sz w:val="24"/>
          <w:szCs w:val="24"/>
        </w:rPr>
        <w:t>of</w:t>
      </w:r>
      <w:r w:rsidR="00A0315B">
        <w:rPr>
          <w:rFonts w:ascii="Times New Roman" w:hAnsi="Times New Roman" w:cs="Times New Roman"/>
          <w:sz w:val="24"/>
          <w:szCs w:val="24"/>
        </w:rPr>
        <w:t xml:space="preserve"> total banking credit portfolio,</w:t>
      </w:r>
      <w:r w:rsidR="00A0315B" w:rsidRPr="00A0315B">
        <w:rPr>
          <w:rFonts w:ascii="Times New Roman" w:hAnsi="Times New Roman" w:cs="Times New Roman"/>
          <w:sz w:val="24"/>
          <w:szCs w:val="24"/>
        </w:rPr>
        <w:t xml:space="preserve"> becau</w:t>
      </w:r>
      <w:r w:rsidR="00A0315B">
        <w:rPr>
          <w:rFonts w:ascii="Times New Roman" w:hAnsi="Times New Roman" w:cs="Times New Roman"/>
          <w:sz w:val="24"/>
          <w:szCs w:val="24"/>
        </w:rPr>
        <w:t>se of the high</w:t>
      </w:r>
      <w:r w:rsidR="00A0315B" w:rsidRPr="00A0315B">
        <w:rPr>
          <w:rFonts w:ascii="Times New Roman" w:hAnsi="Times New Roman" w:cs="Times New Roman"/>
          <w:sz w:val="24"/>
          <w:szCs w:val="24"/>
        </w:rPr>
        <w:t xml:space="preserve"> financial crisis</w:t>
      </w:r>
      <w:r w:rsidR="00A0315B">
        <w:rPr>
          <w:rFonts w:ascii="Times New Roman" w:hAnsi="Times New Roman" w:cs="Times New Roman"/>
          <w:sz w:val="24"/>
          <w:szCs w:val="24"/>
        </w:rPr>
        <w:t xml:space="preserve"> experiences by the Palestinian</w:t>
      </w:r>
      <w:r w:rsidR="00A153A5">
        <w:rPr>
          <w:rFonts w:ascii="Times New Roman" w:hAnsi="Times New Roman" w:cs="Times New Roman"/>
          <w:sz w:val="24"/>
          <w:szCs w:val="24"/>
        </w:rPr>
        <w:t xml:space="preserve"> government (see table 2.9 next page).</w:t>
      </w:r>
    </w:p>
    <w:p w:rsidR="007A514A" w:rsidRDefault="007A514A" w:rsidP="007A514A">
      <w:pPr>
        <w:autoSpaceDE w:val="0"/>
        <w:autoSpaceDN w:val="0"/>
        <w:adjustRightInd w:val="0"/>
        <w:spacing w:after="0" w:line="240" w:lineRule="auto"/>
        <w:jc w:val="both"/>
        <w:rPr>
          <w:rFonts w:ascii="Times New Roman" w:hAnsi="Times New Roman" w:cs="Times New Roman"/>
          <w:sz w:val="24"/>
          <w:szCs w:val="24"/>
        </w:rPr>
      </w:pPr>
    </w:p>
    <w:p w:rsidR="001145EF" w:rsidRPr="00926FFF" w:rsidRDefault="001145EF" w:rsidP="007A514A">
      <w:pPr>
        <w:autoSpaceDE w:val="0"/>
        <w:autoSpaceDN w:val="0"/>
        <w:adjustRightInd w:val="0"/>
        <w:spacing w:after="0" w:line="360" w:lineRule="auto"/>
        <w:jc w:val="center"/>
        <w:rPr>
          <w:rFonts w:ascii="Times New Roman" w:hAnsi="Times New Roman" w:cs="Times New Roman"/>
          <w:b/>
          <w:bCs/>
        </w:rPr>
      </w:pPr>
      <w:r w:rsidRPr="00926FFF">
        <w:rPr>
          <w:rFonts w:ascii="Times New Roman" w:hAnsi="Times New Roman" w:cs="Times New Roman"/>
          <w:b/>
          <w:bCs/>
        </w:rPr>
        <w:t>Table 2.9</w:t>
      </w:r>
      <w:r w:rsidR="008F7159" w:rsidRPr="00926FFF">
        <w:rPr>
          <w:rFonts w:ascii="Times New Roman" w:hAnsi="Times New Roman" w:cs="Times New Roman"/>
          <w:b/>
          <w:bCs/>
        </w:rPr>
        <w:t>: The relative distribution of the credit (%) granted to the public and private sectors according to the nationality of the bank from 0.2008 to 2012:</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tblPr>
      <w:tblGrid>
        <w:gridCol w:w="1539"/>
        <w:gridCol w:w="1979"/>
        <w:gridCol w:w="701"/>
        <w:gridCol w:w="709"/>
        <w:gridCol w:w="709"/>
        <w:gridCol w:w="708"/>
        <w:gridCol w:w="709"/>
        <w:gridCol w:w="1843"/>
      </w:tblGrid>
      <w:tr w:rsidR="000A0A3B" w:rsidTr="00E71DEE">
        <w:trPr>
          <w:jc w:val="center"/>
        </w:trPr>
        <w:tc>
          <w:tcPr>
            <w:tcW w:w="153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Bank</w:t>
            </w:r>
          </w:p>
        </w:tc>
        <w:tc>
          <w:tcPr>
            <w:tcW w:w="197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sidRPr="008F7159">
              <w:rPr>
                <w:rFonts w:ascii="Times New Roman" w:hAnsi="Times New Roman" w:cs="Times New Roman"/>
                <w:sz w:val="24"/>
                <w:szCs w:val="24"/>
              </w:rPr>
              <w:t>Beneficiary sector</w:t>
            </w:r>
          </w:p>
        </w:tc>
        <w:tc>
          <w:tcPr>
            <w:tcW w:w="701"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70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2009</w:t>
            </w:r>
          </w:p>
        </w:tc>
        <w:tc>
          <w:tcPr>
            <w:tcW w:w="70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708"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70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843"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Average period</w:t>
            </w:r>
          </w:p>
        </w:tc>
      </w:tr>
      <w:tr w:rsidR="000A0A3B" w:rsidTr="00E71DEE">
        <w:trPr>
          <w:jc w:val="center"/>
        </w:trPr>
        <w:tc>
          <w:tcPr>
            <w:tcW w:w="153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Local banks</w:t>
            </w:r>
          </w:p>
        </w:tc>
        <w:tc>
          <w:tcPr>
            <w:tcW w:w="197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Private sector</w:t>
            </w:r>
          </w:p>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Public sector</w:t>
            </w:r>
          </w:p>
        </w:tc>
        <w:tc>
          <w:tcPr>
            <w:tcW w:w="701"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62.1</w:t>
            </w:r>
          </w:p>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37.9</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72.4</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27.7</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70.9</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708"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69.3</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30.7</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67.9</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1843"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68.5</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r>
      <w:tr w:rsidR="000A0A3B" w:rsidTr="00A252B4">
        <w:trPr>
          <w:trHeight w:val="935"/>
          <w:jc w:val="center"/>
        </w:trPr>
        <w:tc>
          <w:tcPr>
            <w:tcW w:w="1539" w:type="dxa"/>
            <w:shd w:val="clear" w:color="auto" w:fill="F2F2F2" w:themeFill="background1" w:themeFillShade="F2"/>
          </w:tcPr>
          <w:p w:rsidR="000A0A3B" w:rsidRDefault="008F7159" w:rsidP="002F0F1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Foreign banks</w:t>
            </w:r>
          </w:p>
        </w:tc>
        <w:tc>
          <w:tcPr>
            <w:tcW w:w="197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Private sector</w:t>
            </w:r>
          </w:p>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Public sector</w:t>
            </w:r>
          </w:p>
        </w:tc>
        <w:tc>
          <w:tcPr>
            <w:tcW w:w="701"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77.6</w:t>
            </w:r>
          </w:p>
          <w:p w:rsidR="000A0A3B" w:rsidRDefault="008F7159" w:rsidP="00A252B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22.4</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70.9</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71.1</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28.9</w:t>
            </w:r>
          </w:p>
        </w:tc>
        <w:tc>
          <w:tcPr>
            <w:tcW w:w="708"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68.7</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65.8</w:t>
            </w:r>
          </w:p>
          <w:p w:rsidR="00485F80" w:rsidRDefault="00485F80" w:rsidP="002F0F1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34.2</w:t>
            </w:r>
          </w:p>
        </w:tc>
        <w:tc>
          <w:tcPr>
            <w:tcW w:w="1843"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70.7</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r>
      <w:tr w:rsidR="000A0A3B" w:rsidTr="00E71DEE">
        <w:trPr>
          <w:jc w:val="center"/>
        </w:trPr>
        <w:tc>
          <w:tcPr>
            <w:tcW w:w="153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Total banks</w:t>
            </w:r>
          </w:p>
        </w:tc>
        <w:tc>
          <w:tcPr>
            <w:tcW w:w="1979" w:type="dxa"/>
            <w:shd w:val="clear" w:color="auto" w:fill="F2F2F2" w:themeFill="background1" w:themeFillShade="F2"/>
          </w:tcPr>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Private sector</w:t>
            </w:r>
          </w:p>
          <w:p w:rsidR="008F7159" w:rsidRDefault="008F7159"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Public sector</w:t>
            </w:r>
          </w:p>
        </w:tc>
        <w:tc>
          <w:tcPr>
            <w:tcW w:w="701"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70.9</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71.5</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28.5</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71</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8"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shd w:val="clear" w:color="auto" w:fill="F2F2F2" w:themeFill="background1" w:themeFillShade="F2"/>
          </w:tcPr>
          <w:p w:rsidR="008F7159"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66.5</w:t>
            </w:r>
          </w:p>
          <w:p w:rsidR="00485F80" w:rsidRDefault="00485F80"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1843" w:type="dxa"/>
            <w:shd w:val="clear" w:color="auto" w:fill="F2F2F2" w:themeFill="background1" w:themeFillShade="F2"/>
          </w:tcPr>
          <w:p w:rsidR="008F7159" w:rsidRDefault="000A0A3B"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69.8</w:t>
            </w:r>
          </w:p>
          <w:p w:rsidR="000A0A3B" w:rsidRDefault="000A0A3B" w:rsidP="000A0A3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30.2</w:t>
            </w:r>
          </w:p>
        </w:tc>
      </w:tr>
    </w:tbl>
    <w:p w:rsidR="00E210E3" w:rsidRPr="00940356" w:rsidRDefault="00E210E3" w:rsidP="00C539C2">
      <w:pPr>
        <w:autoSpaceDE w:val="0"/>
        <w:autoSpaceDN w:val="0"/>
        <w:adjustRightInd w:val="0"/>
        <w:spacing w:after="0" w:line="240" w:lineRule="auto"/>
        <w:jc w:val="both"/>
        <w:rPr>
          <w:rFonts w:ascii="Times New Roman" w:hAnsi="Times New Roman" w:cs="Times New Roman"/>
          <w:sz w:val="16"/>
          <w:szCs w:val="16"/>
        </w:rPr>
      </w:pPr>
    </w:p>
    <w:p w:rsidR="00E210E3" w:rsidRDefault="00E210E3" w:rsidP="00C539C2">
      <w:pPr>
        <w:autoSpaceDE w:val="0"/>
        <w:autoSpaceDN w:val="0"/>
        <w:adjustRightInd w:val="0"/>
        <w:spacing w:after="0" w:line="240" w:lineRule="auto"/>
        <w:jc w:val="center"/>
        <w:rPr>
          <w:rFonts w:ascii="Times New Roman" w:hAnsi="Times New Roman" w:cs="Times New Roman"/>
          <w:sz w:val="20"/>
          <w:szCs w:val="20"/>
        </w:rPr>
      </w:pPr>
      <w:r w:rsidRPr="00C12167">
        <w:rPr>
          <w:rFonts w:ascii="Times New Roman" w:hAnsi="Times New Roman" w:cs="Times New Roman"/>
          <w:sz w:val="20"/>
          <w:szCs w:val="20"/>
        </w:rPr>
        <w:t>Source: Palestinian Monetary Authority</w:t>
      </w:r>
      <w:r>
        <w:rPr>
          <w:rFonts w:ascii="Times New Roman" w:hAnsi="Times New Roman" w:cs="Times New Roman"/>
          <w:sz w:val="20"/>
          <w:szCs w:val="20"/>
        </w:rPr>
        <w:t xml:space="preserve"> Annual Report</w:t>
      </w:r>
      <w:r w:rsidRPr="00C12167">
        <w:rPr>
          <w:rFonts w:ascii="Times New Roman" w:hAnsi="Times New Roman" w:cs="Times New Roman"/>
          <w:sz w:val="20"/>
          <w:szCs w:val="20"/>
        </w:rPr>
        <w:t>, 2012</w:t>
      </w:r>
    </w:p>
    <w:p w:rsidR="004C5C00" w:rsidRPr="00E210E3" w:rsidRDefault="004C5C00" w:rsidP="00C539C2">
      <w:pPr>
        <w:autoSpaceDE w:val="0"/>
        <w:autoSpaceDN w:val="0"/>
        <w:adjustRightInd w:val="0"/>
        <w:spacing w:after="0" w:line="240" w:lineRule="auto"/>
        <w:jc w:val="center"/>
        <w:rPr>
          <w:rFonts w:ascii="Times New Roman" w:hAnsi="Times New Roman" w:cs="Times New Roman"/>
          <w:sz w:val="20"/>
          <w:szCs w:val="20"/>
        </w:rPr>
      </w:pPr>
    </w:p>
    <w:p w:rsidR="00B26274" w:rsidRDefault="009B538D" w:rsidP="00E04F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2.9 shows the </w:t>
      </w:r>
      <w:r w:rsidRPr="009B538D">
        <w:rPr>
          <w:rFonts w:ascii="Times New Roman" w:hAnsi="Times New Roman" w:cs="Times New Roman"/>
          <w:sz w:val="24"/>
          <w:szCs w:val="24"/>
        </w:rPr>
        <w:t>Increasing</w:t>
      </w:r>
      <w:r>
        <w:rPr>
          <w:rFonts w:ascii="Times New Roman" w:hAnsi="Times New Roman" w:cs="Times New Roman"/>
          <w:sz w:val="24"/>
          <w:szCs w:val="24"/>
        </w:rPr>
        <w:t xml:space="preserve"> trend of</w:t>
      </w:r>
      <w:r w:rsidRPr="009B538D">
        <w:rPr>
          <w:rFonts w:ascii="Times New Roman" w:hAnsi="Times New Roman" w:cs="Times New Roman"/>
          <w:sz w:val="24"/>
          <w:szCs w:val="24"/>
        </w:rPr>
        <w:t xml:space="preserve"> public sector'</w:t>
      </w:r>
      <w:r>
        <w:rPr>
          <w:rFonts w:ascii="Times New Roman" w:hAnsi="Times New Roman" w:cs="Times New Roman"/>
          <w:sz w:val="24"/>
          <w:szCs w:val="24"/>
        </w:rPr>
        <w:t>s share of total credit g</w:t>
      </w:r>
      <w:r w:rsidRPr="009B538D">
        <w:rPr>
          <w:rFonts w:ascii="Times New Roman" w:hAnsi="Times New Roman" w:cs="Times New Roman"/>
          <w:sz w:val="24"/>
          <w:szCs w:val="24"/>
        </w:rPr>
        <w:t>ranted by banks operating in Palestine through time</w:t>
      </w:r>
      <w:r>
        <w:rPr>
          <w:rFonts w:ascii="Times New Roman" w:hAnsi="Times New Roman" w:cs="Times New Roman"/>
          <w:sz w:val="24"/>
          <w:szCs w:val="24"/>
        </w:rPr>
        <w:t>.</w:t>
      </w:r>
      <w:r w:rsidR="00A0315B" w:rsidRPr="00A0315B">
        <w:rPr>
          <w:rFonts w:ascii="Times New Roman" w:hAnsi="Times New Roman" w:cs="Times New Roman"/>
          <w:sz w:val="24"/>
          <w:szCs w:val="24"/>
        </w:rPr>
        <w:t xml:space="preserve"> This indicates a high degree of risk and</w:t>
      </w:r>
      <w:r w:rsidR="00A0315B">
        <w:rPr>
          <w:rFonts w:ascii="Times New Roman" w:hAnsi="Times New Roman" w:cs="Times New Roman"/>
          <w:sz w:val="24"/>
          <w:szCs w:val="24"/>
        </w:rPr>
        <w:t xml:space="preserve"> banks</w:t>
      </w:r>
      <w:r w:rsidR="00A0315B" w:rsidRPr="00A0315B">
        <w:rPr>
          <w:rFonts w:ascii="Times New Roman" w:hAnsi="Times New Roman" w:cs="Times New Roman"/>
          <w:sz w:val="24"/>
          <w:szCs w:val="24"/>
        </w:rPr>
        <w:t xml:space="preserve"> exposure</w:t>
      </w:r>
      <w:r w:rsidR="006A664E">
        <w:rPr>
          <w:rFonts w:ascii="Times New Roman" w:hAnsi="Times New Roman" w:cs="Times New Roman"/>
          <w:sz w:val="24"/>
          <w:szCs w:val="24"/>
        </w:rPr>
        <w:t xml:space="preserve"> to this crisis, since</w:t>
      </w:r>
      <w:r w:rsidR="00A0315B" w:rsidRPr="00A0315B">
        <w:rPr>
          <w:rFonts w:ascii="Times New Roman" w:hAnsi="Times New Roman" w:cs="Times New Roman"/>
          <w:sz w:val="24"/>
          <w:szCs w:val="24"/>
        </w:rPr>
        <w:t xml:space="preserve"> credit granted to the government</w:t>
      </w:r>
      <w:r w:rsidR="006A664E">
        <w:rPr>
          <w:rFonts w:ascii="Times New Roman" w:hAnsi="Times New Roman" w:cs="Times New Roman"/>
          <w:sz w:val="24"/>
          <w:szCs w:val="24"/>
        </w:rPr>
        <w:t xml:space="preserve"> exceed banks e</w:t>
      </w:r>
      <w:r w:rsidR="00A0315B" w:rsidRPr="00A0315B">
        <w:rPr>
          <w:rFonts w:ascii="Times New Roman" w:hAnsi="Times New Roman" w:cs="Times New Roman"/>
          <w:sz w:val="24"/>
          <w:szCs w:val="24"/>
        </w:rPr>
        <w:t xml:space="preserve">quity to total banks. As a precautionary measure to reduce </w:t>
      </w:r>
      <w:r w:rsidR="006A664E" w:rsidRPr="00A0315B">
        <w:rPr>
          <w:rFonts w:ascii="Times New Roman" w:hAnsi="Times New Roman" w:cs="Times New Roman"/>
          <w:sz w:val="24"/>
          <w:szCs w:val="24"/>
        </w:rPr>
        <w:t>these</w:t>
      </w:r>
      <w:r w:rsidR="006A664E">
        <w:rPr>
          <w:rFonts w:ascii="Times New Roman" w:hAnsi="Times New Roman" w:cs="Times New Roman"/>
          <w:sz w:val="24"/>
          <w:szCs w:val="24"/>
        </w:rPr>
        <w:t xml:space="preserve"> r</w:t>
      </w:r>
      <w:r w:rsidR="006A664E" w:rsidRPr="00A0315B">
        <w:rPr>
          <w:rFonts w:ascii="Times New Roman" w:hAnsi="Times New Roman" w:cs="Times New Roman"/>
          <w:sz w:val="24"/>
          <w:szCs w:val="24"/>
        </w:rPr>
        <w:t>isks</w:t>
      </w:r>
      <w:r w:rsidR="006A664E">
        <w:rPr>
          <w:rFonts w:ascii="Times New Roman" w:hAnsi="Times New Roman" w:cs="Times New Roman"/>
          <w:sz w:val="24"/>
          <w:szCs w:val="24"/>
        </w:rPr>
        <w:t>,</w:t>
      </w:r>
      <w:r w:rsidR="00A0315B" w:rsidRPr="00A0315B">
        <w:rPr>
          <w:rFonts w:ascii="Times New Roman" w:hAnsi="Times New Roman" w:cs="Times New Roman"/>
          <w:sz w:val="24"/>
          <w:szCs w:val="24"/>
        </w:rPr>
        <w:t xml:space="preserve"> Monetary Authority called on banks to deal with extreme caution on the subject of</w:t>
      </w:r>
      <w:r w:rsidR="006A664E">
        <w:rPr>
          <w:rFonts w:ascii="Times New Roman" w:hAnsi="Times New Roman" w:cs="Times New Roman"/>
          <w:sz w:val="24"/>
          <w:szCs w:val="24"/>
        </w:rPr>
        <w:t xml:space="preserve"> c</w:t>
      </w:r>
      <w:r w:rsidR="00A0315B" w:rsidRPr="00A0315B">
        <w:rPr>
          <w:rFonts w:ascii="Times New Roman" w:hAnsi="Times New Roman" w:cs="Times New Roman"/>
          <w:sz w:val="24"/>
          <w:szCs w:val="24"/>
        </w:rPr>
        <w:t>redit provided to the Palestinian government.</w:t>
      </w:r>
    </w:p>
    <w:p w:rsidR="00224A7C" w:rsidRDefault="00224A7C" w:rsidP="00A6283A">
      <w:pPr>
        <w:autoSpaceDE w:val="0"/>
        <w:autoSpaceDN w:val="0"/>
        <w:adjustRightInd w:val="0"/>
        <w:spacing w:after="0" w:line="360" w:lineRule="auto"/>
        <w:jc w:val="center"/>
        <w:rPr>
          <w:rFonts w:ascii="Times New Roman" w:hAnsi="Times New Roman" w:cs="Times New Roman"/>
          <w:b/>
          <w:bCs/>
        </w:rPr>
      </w:pPr>
    </w:p>
    <w:p w:rsidR="00224A7C" w:rsidRDefault="00224A7C" w:rsidP="00A6283A">
      <w:pPr>
        <w:autoSpaceDE w:val="0"/>
        <w:autoSpaceDN w:val="0"/>
        <w:adjustRightInd w:val="0"/>
        <w:spacing w:after="0" w:line="360" w:lineRule="auto"/>
        <w:jc w:val="center"/>
        <w:rPr>
          <w:rFonts w:ascii="Times New Roman" w:hAnsi="Times New Roman" w:cs="Times New Roman"/>
          <w:b/>
          <w:bCs/>
        </w:rPr>
      </w:pPr>
    </w:p>
    <w:p w:rsidR="00224A7C" w:rsidRDefault="00224A7C" w:rsidP="00A6283A">
      <w:pPr>
        <w:autoSpaceDE w:val="0"/>
        <w:autoSpaceDN w:val="0"/>
        <w:adjustRightInd w:val="0"/>
        <w:spacing w:after="0" w:line="360" w:lineRule="auto"/>
        <w:jc w:val="center"/>
        <w:rPr>
          <w:rFonts w:ascii="Times New Roman" w:hAnsi="Times New Roman" w:cs="Times New Roman"/>
          <w:b/>
          <w:bCs/>
        </w:rPr>
      </w:pPr>
    </w:p>
    <w:p w:rsidR="00224A7C" w:rsidRDefault="00224A7C" w:rsidP="00A6283A">
      <w:pPr>
        <w:autoSpaceDE w:val="0"/>
        <w:autoSpaceDN w:val="0"/>
        <w:adjustRightInd w:val="0"/>
        <w:spacing w:after="0" w:line="360" w:lineRule="auto"/>
        <w:jc w:val="center"/>
        <w:rPr>
          <w:rFonts w:ascii="Times New Roman" w:hAnsi="Times New Roman" w:cs="Times New Roman"/>
          <w:b/>
          <w:bCs/>
        </w:rPr>
      </w:pPr>
    </w:p>
    <w:p w:rsidR="00224A7C" w:rsidRDefault="00224A7C" w:rsidP="00A6283A">
      <w:pPr>
        <w:autoSpaceDE w:val="0"/>
        <w:autoSpaceDN w:val="0"/>
        <w:adjustRightInd w:val="0"/>
        <w:spacing w:after="0" w:line="360" w:lineRule="auto"/>
        <w:jc w:val="center"/>
        <w:rPr>
          <w:rFonts w:ascii="Times New Roman" w:hAnsi="Times New Roman" w:cs="Times New Roman"/>
          <w:b/>
          <w:bCs/>
        </w:rPr>
      </w:pPr>
    </w:p>
    <w:p w:rsidR="00224A7C" w:rsidRDefault="00224A7C" w:rsidP="00A6283A">
      <w:pPr>
        <w:autoSpaceDE w:val="0"/>
        <w:autoSpaceDN w:val="0"/>
        <w:adjustRightInd w:val="0"/>
        <w:spacing w:after="0" w:line="360" w:lineRule="auto"/>
        <w:jc w:val="center"/>
        <w:rPr>
          <w:rFonts w:ascii="Times New Roman" w:hAnsi="Times New Roman" w:cs="Times New Roman"/>
          <w:b/>
          <w:bCs/>
        </w:rPr>
      </w:pPr>
    </w:p>
    <w:p w:rsidR="00B35545" w:rsidRPr="00926FFF" w:rsidRDefault="00A56772" w:rsidP="00A6283A">
      <w:pPr>
        <w:autoSpaceDE w:val="0"/>
        <w:autoSpaceDN w:val="0"/>
        <w:adjustRightInd w:val="0"/>
        <w:spacing w:after="0" w:line="360" w:lineRule="auto"/>
        <w:jc w:val="center"/>
        <w:rPr>
          <w:rFonts w:ascii="Times New Roman" w:hAnsi="Times New Roman" w:cs="Times New Roman"/>
          <w:b/>
          <w:bCs/>
        </w:rPr>
      </w:pPr>
      <w:r w:rsidRPr="00926FFF">
        <w:rPr>
          <w:rFonts w:ascii="Times New Roman" w:hAnsi="Times New Roman" w:cs="Times New Roman"/>
          <w:b/>
          <w:bCs/>
        </w:rPr>
        <w:lastRenderedPageBreak/>
        <w:t>Figure</w:t>
      </w:r>
      <w:r w:rsidR="00877E03" w:rsidRPr="00926FFF">
        <w:rPr>
          <w:rFonts w:ascii="Times New Roman" w:hAnsi="Times New Roman" w:cs="Times New Roman"/>
          <w:b/>
          <w:bCs/>
        </w:rPr>
        <w:t xml:space="preserve"> 2.1</w:t>
      </w:r>
      <w:r w:rsidR="00237994" w:rsidRPr="00926FFF">
        <w:rPr>
          <w:rFonts w:ascii="Times New Roman" w:hAnsi="Times New Roman" w:cs="Times New Roman"/>
          <w:b/>
          <w:bCs/>
        </w:rPr>
        <w:t>4</w:t>
      </w:r>
      <w:r w:rsidR="00B81761" w:rsidRPr="00926FFF">
        <w:rPr>
          <w:rFonts w:ascii="Times New Roman" w:hAnsi="Times New Roman" w:cs="Times New Roman"/>
          <w:b/>
          <w:bCs/>
        </w:rPr>
        <w:t>:</w:t>
      </w:r>
      <w:r w:rsidR="00B81761" w:rsidRPr="00926FFF">
        <w:rPr>
          <w:rFonts w:asciiTheme="majorBidi" w:hAnsiTheme="majorBidi" w:cstheme="majorBidi"/>
          <w:b/>
          <w:bCs/>
        </w:rPr>
        <w:t xml:space="preserve"> Sect</w:t>
      </w:r>
      <w:r w:rsidR="00877E03" w:rsidRPr="00926FFF">
        <w:rPr>
          <w:rFonts w:asciiTheme="majorBidi" w:hAnsiTheme="majorBidi" w:cstheme="majorBidi"/>
          <w:b/>
          <w:bCs/>
        </w:rPr>
        <w:t xml:space="preserve"> oral</w:t>
      </w:r>
      <w:r w:rsidR="00B35545" w:rsidRPr="00926FFF">
        <w:rPr>
          <w:rFonts w:asciiTheme="majorBidi" w:hAnsiTheme="majorBidi" w:cstheme="majorBidi"/>
          <w:b/>
          <w:bCs/>
        </w:rPr>
        <w:t xml:space="preserve"> distribution of credit facilities for 2010 &amp; 2011</w:t>
      </w:r>
    </w:p>
    <w:p w:rsidR="00B35545" w:rsidRDefault="00A56772" w:rsidP="00B35545">
      <w:pPr>
        <w:autoSpaceDE w:val="0"/>
        <w:autoSpaceDN w:val="0"/>
        <w:adjustRightInd w:val="0"/>
        <w:spacing w:after="0" w:line="360" w:lineRule="auto"/>
        <w:jc w:val="center"/>
        <w:rPr>
          <w:rFonts w:ascii="Times New Roman" w:hAnsi="Times New Roman" w:cs="Times New Roman"/>
          <w:sz w:val="24"/>
          <w:szCs w:val="24"/>
        </w:rPr>
      </w:pPr>
      <w:r w:rsidRPr="00A56772">
        <w:rPr>
          <w:rFonts w:ascii="Times New Roman" w:hAnsi="Times New Roman" w:cs="Times New Roman"/>
          <w:noProof/>
          <w:sz w:val="24"/>
          <w:szCs w:val="24"/>
        </w:rPr>
        <w:drawing>
          <wp:inline distT="0" distB="0" distL="0" distR="0">
            <wp:extent cx="4552948" cy="1248355"/>
            <wp:effectExtent l="19050" t="0" r="2"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duotone>
                        <a:prstClr val="black"/>
                        <a:schemeClr val="accent1">
                          <a:tint val="45000"/>
                          <a:satMod val="400000"/>
                        </a:schemeClr>
                      </a:duotone>
                    </a:blip>
                    <a:srcRect/>
                    <a:stretch>
                      <a:fillRect/>
                    </a:stretch>
                  </pic:blipFill>
                  <pic:spPr bwMode="auto">
                    <a:xfrm>
                      <a:off x="0" y="0"/>
                      <a:ext cx="4557643" cy="1249642"/>
                    </a:xfrm>
                    <a:prstGeom prst="rect">
                      <a:avLst/>
                    </a:prstGeom>
                    <a:solidFill>
                      <a:schemeClr val="tx2">
                        <a:lumMod val="20000"/>
                        <a:lumOff val="80000"/>
                      </a:schemeClr>
                    </a:solidFill>
                    <a:ln w="9525">
                      <a:noFill/>
                      <a:miter lim="800000"/>
                      <a:headEnd/>
                      <a:tailEnd/>
                    </a:ln>
                  </pic:spPr>
                </pic:pic>
              </a:graphicData>
            </a:graphic>
          </wp:inline>
        </w:drawing>
      </w:r>
    </w:p>
    <w:p w:rsidR="004C5C00" w:rsidRPr="00940356" w:rsidRDefault="004C5C00" w:rsidP="004C5C00">
      <w:pPr>
        <w:autoSpaceDE w:val="0"/>
        <w:autoSpaceDN w:val="0"/>
        <w:adjustRightInd w:val="0"/>
        <w:spacing w:after="0" w:line="360" w:lineRule="auto"/>
        <w:jc w:val="center"/>
        <w:rPr>
          <w:rFonts w:ascii="Times New Roman" w:hAnsi="Times New Roman" w:cs="Times New Roman"/>
          <w:sz w:val="10"/>
          <w:szCs w:val="10"/>
        </w:rPr>
      </w:pPr>
    </w:p>
    <w:p w:rsidR="00E04FD0" w:rsidRDefault="00C12167" w:rsidP="004C5C00">
      <w:pPr>
        <w:autoSpaceDE w:val="0"/>
        <w:autoSpaceDN w:val="0"/>
        <w:adjustRightInd w:val="0"/>
        <w:spacing w:after="0" w:line="360" w:lineRule="auto"/>
        <w:jc w:val="center"/>
        <w:rPr>
          <w:rFonts w:ascii="Times New Roman" w:hAnsi="Times New Roman" w:cs="Times New Roman"/>
          <w:sz w:val="20"/>
          <w:szCs w:val="20"/>
        </w:rPr>
      </w:pPr>
      <w:r>
        <w:rPr>
          <w:rFonts w:ascii="Times New Roman" w:hAnsi="Times New Roman" w:cs="Times New Roman"/>
          <w:sz w:val="20"/>
          <w:szCs w:val="20"/>
        </w:rPr>
        <w:t>Source: PMA's Annual Report</w:t>
      </w:r>
      <w:r w:rsidR="00E04FD0">
        <w:rPr>
          <w:rFonts w:ascii="Times New Roman" w:hAnsi="Times New Roman" w:cs="Times New Roman"/>
          <w:sz w:val="20"/>
          <w:szCs w:val="20"/>
        </w:rPr>
        <w:t xml:space="preserve">, </w:t>
      </w:r>
      <w:r w:rsidR="00E04FD0" w:rsidRPr="00C12167">
        <w:rPr>
          <w:rFonts w:ascii="Times New Roman" w:hAnsi="Times New Roman" w:cs="Times New Roman"/>
          <w:sz w:val="20"/>
          <w:szCs w:val="20"/>
        </w:rPr>
        <w:t>2012</w:t>
      </w:r>
    </w:p>
    <w:p w:rsidR="004C5C00" w:rsidRPr="004C5C00" w:rsidRDefault="004C5C00" w:rsidP="004C5C00">
      <w:pPr>
        <w:autoSpaceDE w:val="0"/>
        <w:autoSpaceDN w:val="0"/>
        <w:adjustRightInd w:val="0"/>
        <w:spacing w:after="0" w:line="360" w:lineRule="auto"/>
        <w:jc w:val="center"/>
        <w:rPr>
          <w:rFonts w:ascii="Times New Roman" w:hAnsi="Times New Roman" w:cs="Times New Roman"/>
          <w:sz w:val="20"/>
          <w:szCs w:val="20"/>
        </w:rPr>
      </w:pPr>
    </w:p>
    <w:p w:rsidR="006A664E" w:rsidRDefault="001C7647" w:rsidP="00E04FD0">
      <w:pPr>
        <w:tabs>
          <w:tab w:val="right" w:pos="426"/>
        </w:tabs>
        <w:spacing w:line="480" w:lineRule="auto"/>
        <w:contextualSpacing/>
        <w:jc w:val="both"/>
        <w:rPr>
          <w:rFonts w:ascii="Times New Roman" w:hAnsi="Times New Roman" w:cs="Times New Roman"/>
          <w:sz w:val="24"/>
          <w:szCs w:val="24"/>
        </w:rPr>
      </w:pPr>
      <w:r>
        <w:rPr>
          <w:rFonts w:ascii="Times New Roman" w:hAnsi="Times New Roman" w:cs="Times New Roman"/>
          <w:b/>
          <w:bCs/>
          <w:sz w:val="24"/>
          <w:szCs w:val="24"/>
        </w:rPr>
        <w:t>2.6.6 Credit Risk Extended to Household Sector and C</w:t>
      </w:r>
      <w:r w:rsidR="006A664E" w:rsidRPr="006A664E">
        <w:rPr>
          <w:rFonts w:ascii="Times New Roman" w:hAnsi="Times New Roman" w:cs="Times New Roman"/>
          <w:b/>
          <w:bCs/>
          <w:sz w:val="24"/>
          <w:szCs w:val="24"/>
        </w:rPr>
        <w:t>ompanies</w:t>
      </w:r>
    </w:p>
    <w:p w:rsidR="00E04FD0" w:rsidRPr="004C5C00" w:rsidRDefault="000B4252" w:rsidP="004C5C00">
      <w:pPr>
        <w:tabs>
          <w:tab w:val="right" w:pos="426"/>
        </w:tabs>
        <w:spacing w:line="360" w:lineRule="auto"/>
        <w:contextualSpacing/>
        <w:jc w:val="both"/>
        <w:rPr>
          <w:rFonts w:ascii="Times New Roman" w:hAnsi="Times New Roman" w:cs="Times New Roman"/>
          <w:sz w:val="24"/>
          <w:szCs w:val="24"/>
        </w:rPr>
      </w:pPr>
      <w:r w:rsidRPr="000B4252">
        <w:rPr>
          <w:rFonts w:ascii="Times New Roman" w:hAnsi="Times New Roman" w:cs="Times New Roman"/>
          <w:sz w:val="24"/>
          <w:szCs w:val="24"/>
        </w:rPr>
        <w:t>At the level of private sector loans, notes the high proportion of personal loans t</w:t>
      </w:r>
      <w:r>
        <w:rPr>
          <w:rFonts w:ascii="Times New Roman" w:hAnsi="Times New Roman" w:cs="Times New Roman"/>
          <w:sz w:val="24"/>
          <w:szCs w:val="24"/>
        </w:rPr>
        <w:t>o 38.6% of the total credit</w:t>
      </w:r>
      <w:r w:rsidRPr="000B4252">
        <w:rPr>
          <w:rFonts w:ascii="Times New Roman" w:hAnsi="Times New Roman" w:cs="Times New Roman"/>
          <w:sz w:val="24"/>
          <w:szCs w:val="24"/>
        </w:rPr>
        <w:t xml:space="preserve"> granted by banks in the year 2012, Compared with 35.5% in the previous year, at </w:t>
      </w:r>
      <w:r>
        <w:rPr>
          <w:rFonts w:ascii="Times New Roman" w:hAnsi="Times New Roman" w:cs="Times New Roman"/>
          <w:sz w:val="24"/>
          <w:szCs w:val="24"/>
        </w:rPr>
        <w:t xml:space="preserve">the expense of the decline in the credit </w:t>
      </w:r>
      <w:r w:rsidRPr="000B4252">
        <w:rPr>
          <w:rFonts w:ascii="Times New Roman" w:hAnsi="Times New Roman" w:cs="Times New Roman"/>
          <w:sz w:val="24"/>
          <w:szCs w:val="24"/>
        </w:rPr>
        <w:t>granted to companies to 24.3% c</w:t>
      </w:r>
      <w:r>
        <w:rPr>
          <w:rFonts w:ascii="Times New Roman" w:hAnsi="Times New Roman" w:cs="Times New Roman"/>
          <w:sz w:val="24"/>
          <w:szCs w:val="24"/>
        </w:rPr>
        <w:t>ompared with 28.9% in 2011.</w:t>
      </w:r>
      <w:r w:rsidRPr="000B4252">
        <w:rPr>
          <w:rFonts w:ascii="Times New Roman" w:hAnsi="Times New Roman" w:cs="Times New Roman"/>
          <w:sz w:val="24"/>
          <w:szCs w:val="24"/>
        </w:rPr>
        <w:t xml:space="preserve">The percentage of personal loans granted by domestic banks to around 35.4% in 2012 compared with 32.3% </w:t>
      </w:r>
      <w:r>
        <w:rPr>
          <w:rFonts w:ascii="Times New Roman" w:hAnsi="Times New Roman" w:cs="Times New Roman"/>
          <w:sz w:val="24"/>
          <w:szCs w:val="24"/>
        </w:rPr>
        <w:t>in the previous year, while the t</w:t>
      </w:r>
      <w:r w:rsidRPr="000B4252">
        <w:rPr>
          <w:rFonts w:ascii="Times New Roman" w:hAnsi="Times New Roman" w:cs="Times New Roman"/>
          <w:sz w:val="24"/>
          <w:szCs w:val="24"/>
        </w:rPr>
        <w:t>his percentage in foreign banks about 41.5% o</w:t>
      </w:r>
      <w:r>
        <w:rPr>
          <w:rFonts w:ascii="Times New Roman" w:hAnsi="Times New Roman" w:cs="Times New Roman"/>
          <w:sz w:val="24"/>
          <w:szCs w:val="24"/>
        </w:rPr>
        <w:t xml:space="preserve">f the total credit </w:t>
      </w:r>
      <w:r w:rsidRPr="000B4252">
        <w:rPr>
          <w:rFonts w:ascii="Times New Roman" w:hAnsi="Times New Roman" w:cs="Times New Roman"/>
          <w:sz w:val="24"/>
          <w:szCs w:val="24"/>
        </w:rPr>
        <w:t xml:space="preserve">granted by foreign banks, compared with 37.9% for the same period of comparison. </w:t>
      </w:r>
      <w:r>
        <w:rPr>
          <w:rFonts w:ascii="Times New Roman" w:hAnsi="Times New Roman" w:cs="Times New Roman"/>
          <w:sz w:val="24"/>
          <w:szCs w:val="24"/>
        </w:rPr>
        <w:t>As for to the credit</w:t>
      </w:r>
      <w:r w:rsidRPr="000B4252">
        <w:rPr>
          <w:rFonts w:ascii="Times New Roman" w:hAnsi="Times New Roman" w:cs="Times New Roman"/>
          <w:sz w:val="24"/>
          <w:szCs w:val="24"/>
        </w:rPr>
        <w:t xml:space="preserve"> granted to companies from domestic banks has fallen from abou</w:t>
      </w:r>
      <w:r>
        <w:rPr>
          <w:rFonts w:ascii="Times New Roman" w:hAnsi="Times New Roman" w:cs="Times New Roman"/>
          <w:sz w:val="24"/>
          <w:szCs w:val="24"/>
        </w:rPr>
        <w:t>t 31.7% of the total credit</w:t>
      </w:r>
      <w:r w:rsidRPr="000B4252">
        <w:rPr>
          <w:rFonts w:ascii="Times New Roman" w:hAnsi="Times New Roman" w:cs="Times New Roman"/>
          <w:sz w:val="24"/>
          <w:szCs w:val="24"/>
        </w:rPr>
        <w:t xml:space="preserve"> granted to them in 2011 to 28.5% in 2012, as the decline in foreign banks from 26.7% to 20.6% fo</w:t>
      </w:r>
      <w:r>
        <w:rPr>
          <w:rFonts w:ascii="Times New Roman" w:hAnsi="Times New Roman" w:cs="Times New Roman"/>
          <w:sz w:val="24"/>
          <w:szCs w:val="24"/>
        </w:rPr>
        <w:t>r the same period of comparison (PMA, 2012).</w:t>
      </w:r>
      <w:r w:rsidR="00467D12">
        <w:rPr>
          <w:rFonts w:ascii="Times New Roman" w:hAnsi="Times New Roman" w:cs="Times New Roman"/>
          <w:sz w:val="24"/>
          <w:szCs w:val="24"/>
        </w:rPr>
        <w:t xml:space="preserve"> P</w:t>
      </w:r>
      <w:r w:rsidRPr="000B4252">
        <w:rPr>
          <w:rFonts w:ascii="Times New Roman" w:hAnsi="Times New Roman" w:cs="Times New Roman"/>
          <w:sz w:val="24"/>
          <w:szCs w:val="24"/>
        </w:rPr>
        <w:t>ersonal loans are loans granted to guarantee a mortgage, car loans, educational loans and other consumer,</w:t>
      </w:r>
      <w:r w:rsidR="00A34F40">
        <w:rPr>
          <w:rFonts w:ascii="Times New Roman" w:hAnsi="Times New Roman" w:cs="Times New Roman"/>
          <w:sz w:val="24"/>
          <w:szCs w:val="24"/>
        </w:rPr>
        <w:t xml:space="preserve"> and these</w:t>
      </w:r>
      <w:r w:rsidR="003C1835">
        <w:rPr>
          <w:rFonts w:ascii="Times New Roman" w:hAnsi="Times New Roman" w:cs="Times New Roman"/>
          <w:sz w:val="24"/>
          <w:szCs w:val="24"/>
        </w:rPr>
        <w:t xml:space="preserve"> </w:t>
      </w:r>
      <w:r w:rsidR="00A34F40">
        <w:rPr>
          <w:rFonts w:ascii="Times New Roman" w:hAnsi="Times New Roman" w:cs="Times New Roman"/>
          <w:sz w:val="24"/>
          <w:szCs w:val="24"/>
        </w:rPr>
        <w:t xml:space="preserve">loans granted secured by </w:t>
      </w:r>
      <w:r w:rsidR="00A34F40" w:rsidRPr="000B4252">
        <w:rPr>
          <w:rFonts w:ascii="Times New Roman" w:hAnsi="Times New Roman" w:cs="Times New Roman"/>
          <w:sz w:val="24"/>
          <w:szCs w:val="24"/>
        </w:rPr>
        <w:t>multiple</w:t>
      </w:r>
      <w:r w:rsidRPr="000B4252">
        <w:rPr>
          <w:rFonts w:ascii="Times New Roman" w:hAnsi="Times New Roman" w:cs="Times New Roman"/>
          <w:sz w:val="24"/>
          <w:szCs w:val="24"/>
        </w:rPr>
        <w:t xml:space="preserve"> guarantees</w:t>
      </w:r>
      <w:r w:rsidR="00A34F40">
        <w:rPr>
          <w:rFonts w:ascii="Times New Roman" w:hAnsi="Times New Roman" w:cs="Times New Roman"/>
          <w:sz w:val="24"/>
          <w:szCs w:val="24"/>
        </w:rPr>
        <w:t xml:space="preserve"> and collaterals</w:t>
      </w:r>
      <w:r w:rsidRPr="000B4252">
        <w:rPr>
          <w:rFonts w:ascii="Times New Roman" w:hAnsi="Times New Roman" w:cs="Times New Roman"/>
          <w:sz w:val="24"/>
          <w:szCs w:val="24"/>
        </w:rPr>
        <w:t xml:space="preserve"> reduce the size</w:t>
      </w:r>
      <w:r w:rsidR="00A34F40">
        <w:rPr>
          <w:rFonts w:ascii="Times New Roman" w:hAnsi="Times New Roman" w:cs="Times New Roman"/>
          <w:sz w:val="24"/>
          <w:szCs w:val="24"/>
        </w:rPr>
        <w:t xml:space="preserve"> of the potential risks. While t</w:t>
      </w:r>
      <w:r w:rsidRPr="000B4252">
        <w:rPr>
          <w:rFonts w:ascii="Times New Roman" w:hAnsi="Times New Roman" w:cs="Times New Roman"/>
          <w:sz w:val="24"/>
          <w:szCs w:val="24"/>
        </w:rPr>
        <w:t xml:space="preserve">he facilities granted to companies in investment </w:t>
      </w:r>
      <w:r w:rsidR="003C1835" w:rsidRPr="000B4252">
        <w:rPr>
          <w:rFonts w:ascii="Times New Roman" w:hAnsi="Times New Roman" w:cs="Times New Roman"/>
          <w:sz w:val="24"/>
          <w:szCs w:val="24"/>
        </w:rPr>
        <w:t>loans</w:t>
      </w:r>
      <w:r w:rsidR="003C1835">
        <w:rPr>
          <w:rFonts w:ascii="Times New Roman" w:hAnsi="Times New Roman" w:cs="Times New Roman"/>
          <w:sz w:val="24"/>
          <w:szCs w:val="24"/>
        </w:rPr>
        <w:t xml:space="preserve"> and</w:t>
      </w:r>
      <w:r w:rsidR="00A34F40">
        <w:rPr>
          <w:rFonts w:ascii="Times New Roman" w:hAnsi="Times New Roman" w:cs="Times New Roman"/>
          <w:sz w:val="24"/>
          <w:szCs w:val="24"/>
        </w:rPr>
        <w:t xml:space="preserve"> short - term loans (</w:t>
      </w:r>
      <w:r w:rsidR="00A34F40" w:rsidRPr="000B4252">
        <w:rPr>
          <w:rFonts w:ascii="Times New Roman" w:hAnsi="Times New Roman" w:cs="Times New Roman"/>
          <w:sz w:val="24"/>
          <w:szCs w:val="24"/>
        </w:rPr>
        <w:t>Overdraft</w:t>
      </w:r>
      <w:r w:rsidRPr="000B4252">
        <w:rPr>
          <w:rFonts w:ascii="Times New Roman" w:hAnsi="Times New Roman" w:cs="Times New Roman"/>
          <w:sz w:val="24"/>
          <w:szCs w:val="24"/>
        </w:rPr>
        <w:t xml:space="preserve"> facilities</w:t>
      </w:r>
      <w:r w:rsidR="00A34F40">
        <w:rPr>
          <w:rFonts w:ascii="Times New Roman" w:hAnsi="Times New Roman" w:cs="Times New Roman"/>
          <w:sz w:val="24"/>
          <w:szCs w:val="24"/>
        </w:rPr>
        <w:t>) which</w:t>
      </w:r>
      <w:r w:rsidRPr="000B4252">
        <w:rPr>
          <w:rFonts w:ascii="Times New Roman" w:hAnsi="Times New Roman" w:cs="Times New Roman"/>
          <w:sz w:val="24"/>
          <w:szCs w:val="24"/>
        </w:rPr>
        <w:t xml:space="preserve"> represent approximately 20.1 % of the total credit facilities granted to </w:t>
      </w:r>
      <w:r w:rsidR="003C1835" w:rsidRPr="000B4252">
        <w:rPr>
          <w:rFonts w:ascii="Times New Roman" w:hAnsi="Times New Roman" w:cs="Times New Roman"/>
          <w:sz w:val="24"/>
          <w:szCs w:val="24"/>
        </w:rPr>
        <w:t>companies</w:t>
      </w:r>
      <w:r w:rsidR="003C1835">
        <w:rPr>
          <w:rFonts w:ascii="Times New Roman" w:hAnsi="Times New Roman" w:cs="Times New Roman"/>
          <w:sz w:val="24"/>
          <w:szCs w:val="24"/>
        </w:rPr>
        <w:t xml:space="preserve"> by</w:t>
      </w:r>
      <w:r w:rsidRPr="000B4252">
        <w:rPr>
          <w:rFonts w:ascii="Times New Roman" w:hAnsi="Times New Roman" w:cs="Times New Roman"/>
          <w:sz w:val="24"/>
          <w:szCs w:val="24"/>
        </w:rPr>
        <w:t xml:space="preserve"> l</w:t>
      </w:r>
      <w:r w:rsidR="00A34F40">
        <w:rPr>
          <w:rFonts w:ascii="Times New Roman" w:hAnsi="Times New Roman" w:cs="Times New Roman"/>
          <w:sz w:val="24"/>
          <w:szCs w:val="24"/>
        </w:rPr>
        <w:t>ocal banks, compared to 22 % by</w:t>
      </w:r>
      <w:r w:rsidRPr="000B4252">
        <w:rPr>
          <w:rFonts w:ascii="Times New Roman" w:hAnsi="Times New Roman" w:cs="Times New Roman"/>
          <w:sz w:val="24"/>
          <w:szCs w:val="24"/>
        </w:rPr>
        <w:t xml:space="preserve"> foreign </w:t>
      </w:r>
      <w:r w:rsidR="00A34F40" w:rsidRPr="000B4252">
        <w:rPr>
          <w:rFonts w:ascii="Times New Roman" w:hAnsi="Times New Roman" w:cs="Times New Roman"/>
          <w:sz w:val="24"/>
          <w:szCs w:val="24"/>
        </w:rPr>
        <w:t xml:space="preserve">banks. </w:t>
      </w:r>
      <w:r w:rsidRPr="000B4252">
        <w:rPr>
          <w:rFonts w:ascii="Times New Roman" w:hAnsi="Times New Roman" w:cs="Times New Roman"/>
          <w:sz w:val="24"/>
          <w:szCs w:val="24"/>
        </w:rPr>
        <w:t>It is worth mentioning that the overdraft facility riddled wit</w:t>
      </w:r>
      <w:r w:rsidR="00A34F40">
        <w:rPr>
          <w:rFonts w:ascii="Times New Roman" w:hAnsi="Times New Roman" w:cs="Times New Roman"/>
          <w:sz w:val="24"/>
          <w:szCs w:val="24"/>
        </w:rPr>
        <w:t>h relatively higher risk than loans risks, so the</w:t>
      </w:r>
      <w:r w:rsidR="00A34F40" w:rsidRPr="00A34F40">
        <w:rPr>
          <w:rFonts w:ascii="Times New Roman" w:hAnsi="Times New Roman" w:cs="Times New Roman"/>
          <w:sz w:val="24"/>
          <w:szCs w:val="24"/>
        </w:rPr>
        <w:t xml:space="preserve"> Monetary Authority</w:t>
      </w:r>
      <w:r w:rsidR="00A34F40">
        <w:rPr>
          <w:rFonts w:ascii="Times New Roman" w:hAnsi="Times New Roman" w:cs="Times New Roman"/>
          <w:sz w:val="24"/>
          <w:szCs w:val="24"/>
        </w:rPr>
        <w:t xml:space="preserve"> puts specific controls</w:t>
      </w:r>
      <w:r w:rsidR="00A34F40" w:rsidRPr="00A34F40">
        <w:rPr>
          <w:rFonts w:ascii="Times New Roman" w:hAnsi="Times New Roman" w:cs="Times New Roman"/>
          <w:sz w:val="24"/>
          <w:szCs w:val="24"/>
        </w:rPr>
        <w:t xml:space="preserve"> to this type of facilities</w:t>
      </w:r>
      <w:r w:rsidR="00A34F40">
        <w:rPr>
          <w:rFonts w:ascii="Times New Roman" w:hAnsi="Times New Roman" w:cs="Times New Roman"/>
          <w:sz w:val="24"/>
          <w:szCs w:val="24"/>
        </w:rPr>
        <w:t>,</w:t>
      </w:r>
      <w:r w:rsidR="00A34F40" w:rsidRPr="00A34F40">
        <w:rPr>
          <w:rFonts w:ascii="Times New Roman" w:hAnsi="Times New Roman" w:cs="Times New Roman"/>
          <w:sz w:val="24"/>
          <w:szCs w:val="24"/>
        </w:rPr>
        <w:t xml:space="preserve"> are the most important, not </w:t>
      </w:r>
      <w:r w:rsidR="00A34F40">
        <w:rPr>
          <w:rFonts w:ascii="Times New Roman" w:hAnsi="Times New Roman" w:cs="Times New Roman"/>
          <w:sz w:val="24"/>
          <w:szCs w:val="24"/>
        </w:rPr>
        <w:t xml:space="preserve"> to exceed</w:t>
      </w:r>
      <w:r w:rsidR="00A34F40" w:rsidRPr="00A34F40">
        <w:rPr>
          <w:rFonts w:ascii="Times New Roman" w:hAnsi="Times New Roman" w:cs="Times New Roman"/>
          <w:sz w:val="24"/>
          <w:szCs w:val="24"/>
        </w:rPr>
        <w:t xml:space="preserve"> 30% of total bank credit</w:t>
      </w:r>
      <w:r w:rsidR="00A153A5">
        <w:rPr>
          <w:rFonts w:ascii="Times New Roman" w:hAnsi="Times New Roman" w:cs="Times New Roman"/>
          <w:sz w:val="24"/>
          <w:szCs w:val="24"/>
        </w:rPr>
        <w:t xml:space="preserve"> (PMA), 2012).</w:t>
      </w:r>
    </w:p>
    <w:p w:rsidR="00224A7C" w:rsidRDefault="00224A7C" w:rsidP="00A153A5">
      <w:pPr>
        <w:tabs>
          <w:tab w:val="right" w:pos="426"/>
        </w:tabs>
        <w:spacing w:line="360" w:lineRule="auto"/>
        <w:jc w:val="center"/>
        <w:rPr>
          <w:rFonts w:ascii="Times New Roman" w:hAnsi="Times New Roman" w:cs="Times New Roman"/>
          <w:b/>
          <w:bCs/>
        </w:rPr>
      </w:pPr>
    </w:p>
    <w:p w:rsidR="00940356" w:rsidRDefault="00940356" w:rsidP="00A153A5">
      <w:pPr>
        <w:tabs>
          <w:tab w:val="right" w:pos="426"/>
        </w:tabs>
        <w:spacing w:line="360" w:lineRule="auto"/>
        <w:jc w:val="center"/>
        <w:rPr>
          <w:rFonts w:ascii="Times New Roman" w:hAnsi="Times New Roman" w:cs="Times New Roman"/>
          <w:b/>
          <w:bCs/>
        </w:rPr>
      </w:pPr>
    </w:p>
    <w:p w:rsidR="003E05F4" w:rsidRPr="00A153A5" w:rsidRDefault="00417132" w:rsidP="00A153A5">
      <w:pPr>
        <w:tabs>
          <w:tab w:val="right" w:pos="426"/>
        </w:tabs>
        <w:spacing w:line="360" w:lineRule="auto"/>
        <w:jc w:val="center"/>
        <w:rPr>
          <w:rFonts w:ascii="Times New Roman" w:hAnsi="Times New Roman" w:cs="Times New Roman"/>
          <w:sz w:val="24"/>
          <w:szCs w:val="24"/>
        </w:rPr>
      </w:pPr>
      <w:r>
        <w:rPr>
          <w:rFonts w:ascii="Times New Roman" w:hAnsi="Times New Roman" w:cs="Times New Roman"/>
          <w:b/>
          <w:bCs/>
        </w:rPr>
        <w:lastRenderedPageBreak/>
        <w:t>Table 2.10</w:t>
      </w:r>
      <w:r w:rsidR="004C5C00">
        <w:rPr>
          <w:rFonts w:ascii="Times New Roman" w:hAnsi="Times New Roman" w:cs="Times New Roman"/>
          <w:b/>
          <w:bCs/>
        </w:rPr>
        <w:t xml:space="preserve">: Facilities granted to </w:t>
      </w:r>
      <w:r w:rsidR="003E05F4" w:rsidRPr="001C7647">
        <w:rPr>
          <w:rFonts w:ascii="Times New Roman" w:hAnsi="Times New Roman" w:cs="Times New Roman"/>
          <w:b/>
          <w:bCs/>
        </w:rPr>
        <w:t>(%</w:t>
      </w:r>
      <w:r w:rsidR="001251D1" w:rsidRPr="001C7647">
        <w:rPr>
          <w:rFonts w:ascii="Times New Roman" w:hAnsi="Times New Roman" w:cs="Times New Roman"/>
          <w:b/>
          <w:bCs/>
        </w:rPr>
        <w:t>) according</w:t>
      </w:r>
      <w:r w:rsidR="003E05F4" w:rsidRPr="001C7647">
        <w:rPr>
          <w:rFonts w:ascii="Times New Roman" w:hAnsi="Times New Roman" w:cs="Times New Roman"/>
          <w:b/>
          <w:bCs/>
        </w:rPr>
        <w:t xml:space="preserve"> to the nationality of the bank from 2008- 2012:</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tblPr>
      <w:tblGrid>
        <w:gridCol w:w="1101"/>
        <w:gridCol w:w="1754"/>
        <w:gridCol w:w="810"/>
        <w:gridCol w:w="720"/>
        <w:gridCol w:w="900"/>
        <w:gridCol w:w="720"/>
        <w:gridCol w:w="1530"/>
      </w:tblGrid>
      <w:tr w:rsidR="00CD3ED6" w:rsidRPr="00CD3ED6" w:rsidTr="004C5C00">
        <w:trPr>
          <w:jc w:val="center"/>
        </w:trPr>
        <w:tc>
          <w:tcPr>
            <w:tcW w:w="1101" w:type="dxa"/>
            <w:shd w:val="clear" w:color="auto" w:fill="F2F2F2" w:themeFill="background1" w:themeFillShade="F2"/>
          </w:tcPr>
          <w:p w:rsidR="00DF338F" w:rsidRPr="00CD3ED6" w:rsidRDefault="00DF338F" w:rsidP="001251D1">
            <w:pPr>
              <w:jc w:val="center"/>
              <w:rPr>
                <w:b/>
                <w:bCs/>
              </w:rPr>
            </w:pPr>
            <w:r w:rsidRPr="00CD3ED6">
              <w:rPr>
                <w:b/>
                <w:bCs/>
              </w:rPr>
              <w:t>BANK</w:t>
            </w:r>
          </w:p>
        </w:tc>
        <w:tc>
          <w:tcPr>
            <w:tcW w:w="1754" w:type="dxa"/>
            <w:shd w:val="clear" w:color="auto" w:fill="F2F2F2" w:themeFill="background1" w:themeFillShade="F2"/>
          </w:tcPr>
          <w:p w:rsidR="00DF338F" w:rsidRPr="00CD3ED6" w:rsidRDefault="00DF338F" w:rsidP="001251D1">
            <w:pPr>
              <w:jc w:val="center"/>
              <w:rPr>
                <w:b/>
                <w:bCs/>
              </w:rPr>
            </w:pPr>
            <w:r w:rsidRPr="00CD3ED6">
              <w:rPr>
                <w:b/>
                <w:bCs/>
              </w:rPr>
              <w:t>Credit type</w:t>
            </w:r>
          </w:p>
        </w:tc>
        <w:tc>
          <w:tcPr>
            <w:tcW w:w="810" w:type="dxa"/>
            <w:shd w:val="clear" w:color="auto" w:fill="F2F2F2" w:themeFill="background1" w:themeFillShade="F2"/>
          </w:tcPr>
          <w:p w:rsidR="00DF338F" w:rsidRPr="00CD3ED6" w:rsidRDefault="00DF338F" w:rsidP="001251D1">
            <w:pPr>
              <w:jc w:val="center"/>
              <w:rPr>
                <w:b/>
                <w:bCs/>
              </w:rPr>
            </w:pPr>
            <w:r w:rsidRPr="00CD3ED6">
              <w:rPr>
                <w:b/>
                <w:bCs/>
              </w:rPr>
              <w:t>2008</w:t>
            </w:r>
          </w:p>
        </w:tc>
        <w:tc>
          <w:tcPr>
            <w:tcW w:w="720" w:type="dxa"/>
            <w:shd w:val="clear" w:color="auto" w:fill="F2F2F2" w:themeFill="background1" w:themeFillShade="F2"/>
          </w:tcPr>
          <w:p w:rsidR="00DF338F" w:rsidRPr="00CD3ED6" w:rsidRDefault="00DF338F" w:rsidP="001251D1">
            <w:pPr>
              <w:jc w:val="center"/>
              <w:rPr>
                <w:b/>
                <w:bCs/>
              </w:rPr>
            </w:pPr>
            <w:r w:rsidRPr="00CD3ED6">
              <w:rPr>
                <w:b/>
                <w:bCs/>
              </w:rPr>
              <w:t>2009</w:t>
            </w:r>
          </w:p>
        </w:tc>
        <w:tc>
          <w:tcPr>
            <w:tcW w:w="900" w:type="dxa"/>
            <w:shd w:val="clear" w:color="auto" w:fill="F2F2F2" w:themeFill="background1" w:themeFillShade="F2"/>
          </w:tcPr>
          <w:p w:rsidR="00DF338F" w:rsidRPr="00CD3ED6" w:rsidRDefault="00DF338F" w:rsidP="001251D1">
            <w:pPr>
              <w:jc w:val="center"/>
              <w:rPr>
                <w:b/>
                <w:bCs/>
              </w:rPr>
            </w:pPr>
            <w:r w:rsidRPr="00CD3ED6">
              <w:rPr>
                <w:b/>
                <w:bCs/>
              </w:rPr>
              <w:t>2010</w:t>
            </w:r>
          </w:p>
        </w:tc>
        <w:tc>
          <w:tcPr>
            <w:tcW w:w="720" w:type="dxa"/>
            <w:shd w:val="clear" w:color="auto" w:fill="F2F2F2" w:themeFill="background1" w:themeFillShade="F2"/>
          </w:tcPr>
          <w:p w:rsidR="00DF338F" w:rsidRPr="00CD3ED6" w:rsidRDefault="00DF338F" w:rsidP="001251D1">
            <w:pPr>
              <w:jc w:val="center"/>
              <w:rPr>
                <w:b/>
                <w:bCs/>
              </w:rPr>
            </w:pPr>
            <w:r w:rsidRPr="00CD3ED6">
              <w:rPr>
                <w:b/>
                <w:bCs/>
              </w:rPr>
              <w:t>2011</w:t>
            </w:r>
          </w:p>
        </w:tc>
        <w:tc>
          <w:tcPr>
            <w:tcW w:w="1530" w:type="dxa"/>
            <w:shd w:val="clear" w:color="auto" w:fill="F2F2F2" w:themeFill="background1" w:themeFillShade="F2"/>
          </w:tcPr>
          <w:p w:rsidR="00DF338F" w:rsidRPr="00CD3ED6" w:rsidRDefault="00DF338F" w:rsidP="001251D1">
            <w:pPr>
              <w:jc w:val="center"/>
              <w:rPr>
                <w:b/>
                <w:bCs/>
              </w:rPr>
            </w:pPr>
            <w:r w:rsidRPr="00CD3ED6">
              <w:rPr>
                <w:b/>
                <w:bCs/>
              </w:rPr>
              <w:t>2012</w:t>
            </w:r>
          </w:p>
        </w:tc>
      </w:tr>
      <w:tr w:rsidR="00CD3ED6" w:rsidRPr="00CD3ED6" w:rsidTr="004C5C00">
        <w:trPr>
          <w:jc w:val="center"/>
        </w:trPr>
        <w:tc>
          <w:tcPr>
            <w:tcW w:w="1101" w:type="dxa"/>
            <w:shd w:val="clear" w:color="auto" w:fill="F2F2F2" w:themeFill="background1" w:themeFillShade="F2"/>
          </w:tcPr>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Local banks</w:t>
            </w:r>
          </w:p>
        </w:tc>
        <w:tc>
          <w:tcPr>
            <w:tcW w:w="1754" w:type="dxa"/>
            <w:shd w:val="clear" w:color="auto" w:fill="F2F2F2" w:themeFill="background1" w:themeFillShade="F2"/>
          </w:tcPr>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Personal loans</w:t>
            </w:r>
          </w:p>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Corporate credit</w:t>
            </w:r>
          </w:p>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Credit cards</w:t>
            </w:r>
          </w:p>
        </w:tc>
        <w:tc>
          <w:tcPr>
            <w:tcW w:w="810" w:type="dxa"/>
            <w:shd w:val="clear" w:color="auto" w:fill="F2F2F2" w:themeFill="background1" w:themeFillShade="F2"/>
          </w:tcPr>
          <w:p w:rsidR="00DF338F" w:rsidRPr="00CD3ED6" w:rsidRDefault="00DF338F" w:rsidP="001251D1">
            <w:pPr>
              <w:jc w:val="center"/>
              <w:rPr>
                <w:rFonts w:asciiTheme="majorBidi" w:hAnsiTheme="majorBidi" w:cstheme="majorBidi"/>
                <w:sz w:val="20"/>
                <w:szCs w:val="20"/>
              </w:rPr>
            </w:pPr>
            <w:r w:rsidRPr="00CD3ED6">
              <w:rPr>
                <w:rFonts w:asciiTheme="majorBidi" w:hAnsiTheme="majorBidi" w:cstheme="majorBidi"/>
                <w:sz w:val="20"/>
                <w:szCs w:val="20"/>
              </w:rPr>
              <w:t>35.8</w:t>
            </w:r>
          </w:p>
          <w:p w:rsidR="00DF338F" w:rsidRPr="00CD3ED6" w:rsidRDefault="00DF338F" w:rsidP="001251D1">
            <w:pPr>
              <w:jc w:val="center"/>
              <w:rPr>
                <w:rFonts w:asciiTheme="majorBidi" w:hAnsiTheme="majorBidi" w:cstheme="majorBidi"/>
                <w:sz w:val="20"/>
                <w:szCs w:val="20"/>
              </w:rPr>
            </w:pPr>
            <w:r w:rsidRPr="00CD3ED6">
              <w:rPr>
                <w:rFonts w:asciiTheme="majorBidi" w:hAnsiTheme="majorBidi" w:cstheme="majorBidi"/>
                <w:sz w:val="20"/>
                <w:szCs w:val="20"/>
              </w:rPr>
              <w:t>20.6</w:t>
            </w:r>
          </w:p>
          <w:p w:rsidR="00DF338F" w:rsidRPr="00CD3ED6" w:rsidRDefault="00DF338F" w:rsidP="001251D1">
            <w:pPr>
              <w:jc w:val="center"/>
              <w:rPr>
                <w:rFonts w:asciiTheme="majorBidi" w:hAnsiTheme="majorBidi" w:cstheme="majorBidi"/>
                <w:sz w:val="20"/>
                <w:szCs w:val="20"/>
              </w:rPr>
            </w:pPr>
            <w:r w:rsidRPr="00CD3ED6">
              <w:rPr>
                <w:rFonts w:asciiTheme="majorBidi" w:hAnsiTheme="majorBidi" w:cstheme="majorBidi"/>
                <w:sz w:val="20"/>
                <w:szCs w:val="20"/>
              </w:rPr>
              <w:t>1.6</w:t>
            </w:r>
          </w:p>
        </w:tc>
        <w:tc>
          <w:tcPr>
            <w:tcW w:w="72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42.2</w:t>
            </w:r>
          </w:p>
          <w:p w:rsidR="00DF338F" w:rsidRPr="00CD3ED6" w:rsidRDefault="00DF338F" w:rsidP="001251D1">
            <w:pPr>
              <w:jc w:val="center"/>
              <w:rPr>
                <w:sz w:val="20"/>
                <w:szCs w:val="20"/>
              </w:rPr>
            </w:pPr>
            <w:r w:rsidRPr="00CD3ED6">
              <w:rPr>
                <w:sz w:val="20"/>
                <w:szCs w:val="20"/>
              </w:rPr>
              <w:t>22.9</w:t>
            </w:r>
          </w:p>
          <w:p w:rsidR="00DF338F" w:rsidRPr="00CD3ED6" w:rsidRDefault="00DF338F" w:rsidP="001251D1">
            <w:pPr>
              <w:jc w:val="center"/>
              <w:rPr>
                <w:sz w:val="20"/>
                <w:szCs w:val="20"/>
              </w:rPr>
            </w:pPr>
            <w:r w:rsidRPr="00CD3ED6">
              <w:rPr>
                <w:sz w:val="20"/>
                <w:szCs w:val="20"/>
              </w:rPr>
              <w:t>1.6</w:t>
            </w:r>
          </w:p>
        </w:tc>
        <w:tc>
          <w:tcPr>
            <w:tcW w:w="90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47.2</w:t>
            </w:r>
          </w:p>
          <w:p w:rsidR="00DF338F" w:rsidRPr="00CD3ED6" w:rsidRDefault="00DF338F" w:rsidP="001251D1">
            <w:pPr>
              <w:jc w:val="center"/>
              <w:rPr>
                <w:sz w:val="20"/>
                <w:szCs w:val="20"/>
              </w:rPr>
            </w:pPr>
            <w:r w:rsidRPr="00CD3ED6">
              <w:rPr>
                <w:sz w:val="20"/>
                <w:szCs w:val="20"/>
              </w:rPr>
              <w:t>18.2</w:t>
            </w:r>
          </w:p>
          <w:p w:rsidR="00DF338F" w:rsidRPr="00CD3ED6" w:rsidRDefault="00DF338F" w:rsidP="001251D1">
            <w:pPr>
              <w:jc w:val="center"/>
              <w:rPr>
                <w:sz w:val="20"/>
                <w:szCs w:val="20"/>
              </w:rPr>
            </w:pPr>
            <w:r w:rsidRPr="00CD3ED6">
              <w:rPr>
                <w:sz w:val="20"/>
                <w:szCs w:val="20"/>
              </w:rPr>
              <w:t>2.5</w:t>
            </w:r>
          </w:p>
        </w:tc>
        <w:tc>
          <w:tcPr>
            <w:tcW w:w="72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32.3</w:t>
            </w:r>
          </w:p>
          <w:p w:rsidR="00DF338F" w:rsidRPr="00CD3ED6" w:rsidRDefault="00DF338F" w:rsidP="001251D1">
            <w:pPr>
              <w:jc w:val="center"/>
              <w:rPr>
                <w:sz w:val="20"/>
                <w:szCs w:val="20"/>
              </w:rPr>
            </w:pPr>
            <w:r w:rsidRPr="00CD3ED6">
              <w:rPr>
                <w:sz w:val="20"/>
                <w:szCs w:val="20"/>
              </w:rPr>
              <w:t>31.7</w:t>
            </w:r>
          </w:p>
          <w:p w:rsidR="00DF338F" w:rsidRPr="00CD3ED6" w:rsidRDefault="00DF338F" w:rsidP="001251D1">
            <w:pPr>
              <w:jc w:val="center"/>
              <w:rPr>
                <w:sz w:val="20"/>
                <w:szCs w:val="20"/>
              </w:rPr>
            </w:pPr>
            <w:r w:rsidRPr="00CD3ED6">
              <w:rPr>
                <w:sz w:val="20"/>
                <w:szCs w:val="20"/>
              </w:rPr>
              <w:t>1.8</w:t>
            </w:r>
          </w:p>
        </w:tc>
        <w:tc>
          <w:tcPr>
            <w:tcW w:w="153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35.4</w:t>
            </w:r>
          </w:p>
          <w:p w:rsidR="00DF338F" w:rsidRPr="00CD3ED6" w:rsidRDefault="00DF338F" w:rsidP="001251D1">
            <w:pPr>
              <w:jc w:val="center"/>
              <w:rPr>
                <w:sz w:val="20"/>
                <w:szCs w:val="20"/>
              </w:rPr>
            </w:pPr>
            <w:r w:rsidRPr="00CD3ED6">
              <w:rPr>
                <w:sz w:val="20"/>
                <w:szCs w:val="20"/>
              </w:rPr>
              <w:t>28.5</w:t>
            </w:r>
          </w:p>
          <w:p w:rsidR="00DF338F" w:rsidRPr="00CD3ED6" w:rsidRDefault="00DF338F" w:rsidP="001251D1">
            <w:pPr>
              <w:jc w:val="center"/>
              <w:rPr>
                <w:sz w:val="20"/>
                <w:szCs w:val="20"/>
              </w:rPr>
            </w:pPr>
            <w:r w:rsidRPr="00CD3ED6">
              <w:rPr>
                <w:sz w:val="20"/>
                <w:szCs w:val="20"/>
              </w:rPr>
              <w:t>1.7</w:t>
            </w:r>
          </w:p>
        </w:tc>
      </w:tr>
      <w:tr w:rsidR="00CD3ED6" w:rsidRPr="00CD3ED6" w:rsidTr="004C5C00">
        <w:trPr>
          <w:trHeight w:val="834"/>
          <w:jc w:val="center"/>
        </w:trPr>
        <w:tc>
          <w:tcPr>
            <w:tcW w:w="1101" w:type="dxa"/>
            <w:shd w:val="clear" w:color="auto" w:fill="F2F2F2" w:themeFill="background1" w:themeFillShade="F2"/>
          </w:tcPr>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Foreign banks</w:t>
            </w:r>
          </w:p>
        </w:tc>
        <w:tc>
          <w:tcPr>
            <w:tcW w:w="1754" w:type="dxa"/>
            <w:shd w:val="clear" w:color="auto" w:fill="F2F2F2" w:themeFill="background1" w:themeFillShade="F2"/>
          </w:tcPr>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Personal loans</w:t>
            </w:r>
          </w:p>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Corporate credit</w:t>
            </w:r>
          </w:p>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Credit cards</w:t>
            </w:r>
          </w:p>
        </w:tc>
        <w:tc>
          <w:tcPr>
            <w:tcW w:w="81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48.2</w:t>
            </w:r>
          </w:p>
          <w:p w:rsidR="00DF338F" w:rsidRPr="00CD3ED6" w:rsidRDefault="00DF338F" w:rsidP="001251D1">
            <w:pPr>
              <w:jc w:val="center"/>
              <w:rPr>
                <w:sz w:val="20"/>
                <w:szCs w:val="20"/>
              </w:rPr>
            </w:pPr>
            <w:r w:rsidRPr="00CD3ED6">
              <w:rPr>
                <w:sz w:val="20"/>
                <w:szCs w:val="20"/>
              </w:rPr>
              <w:t>12.9</w:t>
            </w:r>
          </w:p>
          <w:p w:rsidR="00DF338F" w:rsidRPr="00CD3ED6" w:rsidRDefault="00DF338F" w:rsidP="004C5C00">
            <w:pPr>
              <w:jc w:val="center"/>
              <w:rPr>
                <w:sz w:val="20"/>
                <w:szCs w:val="20"/>
              </w:rPr>
            </w:pPr>
            <w:r w:rsidRPr="00CD3ED6">
              <w:rPr>
                <w:sz w:val="20"/>
                <w:szCs w:val="20"/>
              </w:rPr>
              <w:t>.5</w:t>
            </w:r>
          </w:p>
        </w:tc>
        <w:tc>
          <w:tcPr>
            <w:tcW w:w="72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24</w:t>
            </w:r>
          </w:p>
          <w:p w:rsidR="00DF338F" w:rsidRPr="00CD3ED6" w:rsidRDefault="00DF338F" w:rsidP="001251D1">
            <w:pPr>
              <w:jc w:val="center"/>
              <w:rPr>
                <w:sz w:val="20"/>
                <w:szCs w:val="20"/>
              </w:rPr>
            </w:pPr>
            <w:r w:rsidRPr="00CD3ED6">
              <w:rPr>
                <w:sz w:val="20"/>
                <w:szCs w:val="20"/>
              </w:rPr>
              <w:t>35.4</w:t>
            </w:r>
          </w:p>
          <w:p w:rsidR="00DF338F" w:rsidRPr="00CD3ED6" w:rsidRDefault="00DF338F" w:rsidP="001251D1">
            <w:pPr>
              <w:jc w:val="center"/>
              <w:rPr>
                <w:sz w:val="20"/>
                <w:szCs w:val="20"/>
              </w:rPr>
            </w:pPr>
            <w:r w:rsidRPr="00CD3ED6">
              <w:rPr>
                <w:sz w:val="20"/>
                <w:szCs w:val="20"/>
              </w:rPr>
              <w:t>.4</w:t>
            </w:r>
          </w:p>
        </w:tc>
        <w:tc>
          <w:tcPr>
            <w:tcW w:w="90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36.4</w:t>
            </w:r>
          </w:p>
          <w:p w:rsidR="00DF338F" w:rsidRPr="00CD3ED6" w:rsidRDefault="00DF338F" w:rsidP="001251D1">
            <w:pPr>
              <w:jc w:val="center"/>
              <w:rPr>
                <w:sz w:val="20"/>
                <w:szCs w:val="20"/>
              </w:rPr>
            </w:pPr>
            <w:r w:rsidRPr="00CD3ED6">
              <w:rPr>
                <w:sz w:val="20"/>
                <w:szCs w:val="20"/>
              </w:rPr>
              <w:t>30.5</w:t>
            </w:r>
          </w:p>
          <w:p w:rsidR="00DF338F" w:rsidRPr="00CD3ED6" w:rsidRDefault="00DF338F" w:rsidP="001251D1">
            <w:pPr>
              <w:jc w:val="center"/>
              <w:rPr>
                <w:sz w:val="20"/>
                <w:szCs w:val="20"/>
              </w:rPr>
            </w:pPr>
            <w:r w:rsidRPr="00CD3ED6">
              <w:rPr>
                <w:sz w:val="20"/>
                <w:szCs w:val="20"/>
              </w:rPr>
              <w:t>2.5</w:t>
            </w:r>
          </w:p>
        </w:tc>
        <w:tc>
          <w:tcPr>
            <w:tcW w:w="72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41.5</w:t>
            </w:r>
          </w:p>
          <w:p w:rsidR="00DF338F" w:rsidRPr="00CD3ED6" w:rsidRDefault="00DF338F" w:rsidP="001251D1">
            <w:pPr>
              <w:jc w:val="center"/>
              <w:rPr>
                <w:sz w:val="20"/>
                <w:szCs w:val="20"/>
              </w:rPr>
            </w:pPr>
            <w:r w:rsidRPr="00CD3ED6">
              <w:rPr>
                <w:sz w:val="20"/>
                <w:szCs w:val="20"/>
              </w:rPr>
              <w:t>20.6</w:t>
            </w:r>
          </w:p>
          <w:p w:rsidR="00DF338F" w:rsidRPr="00CD3ED6" w:rsidRDefault="00DF338F" w:rsidP="001251D1">
            <w:pPr>
              <w:jc w:val="center"/>
              <w:rPr>
                <w:sz w:val="20"/>
                <w:szCs w:val="20"/>
              </w:rPr>
            </w:pPr>
            <w:r w:rsidRPr="00CD3ED6">
              <w:rPr>
                <w:sz w:val="20"/>
                <w:szCs w:val="20"/>
              </w:rPr>
              <w:t>.5</w:t>
            </w:r>
          </w:p>
        </w:tc>
        <w:tc>
          <w:tcPr>
            <w:tcW w:w="153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41.5</w:t>
            </w:r>
          </w:p>
          <w:p w:rsidR="00DF338F" w:rsidRPr="00CD3ED6" w:rsidRDefault="00DF338F" w:rsidP="001251D1">
            <w:pPr>
              <w:jc w:val="center"/>
              <w:rPr>
                <w:sz w:val="20"/>
                <w:szCs w:val="20"/>
              </w:rPr>
            </w:pPr>
            <w:r w:rsidRPr="00CD3ED6">
              <w:rPr>
                <w:sz w:val="20"/>
                <w:szCs w:val="20"/>
              </w:rPr>
              <w:t>20.6</w:t>
            </w:r>
          </w:p>
          <w:p w:rsidR="00DF338F" w:rsidRPr="00CD3ED6" w:rsidRDefault="00DF338F" w:rsidP="004C5C00">
            <w:pPr>
              <w:jc w:val="center"/>
              <w:rPr>
                <w:sz w:val="20"/>
                <w:szCs w:val="20"/>
              </w:rPr>
            </w:pPr>
            <w:r w:rsidRPr="00CD3ED6">
              <w:rPr>
                <w:sz w:val="20"/>
                <w:szCs w:val="20"/>
              </w:rPr>
              <w:t>.5</w:t>
            </w:r>
          </w:p>
        </w:tc>
      </w:tr>
      <w:tr w:rsidR="00CD3ED6" w:rsidRPr="00CD3ED6" w:rsidTr="004C5C00">
        <w:trPr>
          <w:jc w:val="center"/>
        </w:trPr>
        <w:tc>
          <w:tcPr>
            <w:tcW w:w="1101" w:type="dxa"/>
            <w:shd w:val="clear" w:color="auto" w:fill="F2F2F2" w:themeFill="background1" w:themeFillShade="F2"/>
          </w:tcPr>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Total banks</w:t>
            </w:r>
          </w:p>
        </w:tc>
        <w:tc>
          <w:tcPr>
            <w:tcW w:w="1754" w:type="dxa"/>
            <w:shd w:val="clear" w:color="auto" w:fill="F2F2F2" w:themeFill="background1" w:themeFillShade="F2"/>
          </w:tcPr>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Personal loans</w:t>
            </w:r>
          </w:p>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Corporate credit</w:t>
            </w:r>
          </w:p>
          <w:p w:rsidR="00DF338F" w:rsidRPr="001C7647" w:rsidRDefault="00DF338F" w:rsidP="001C7647">
            <w:pPr>
              <w:rPr>
                <w:rFonts w:asciiTheme="majorBidi" w:hAnsiTheme="majorBidi" w:cstheme="majorBidi"/>
                <w:sz w:val="20"/>
                <w:szCs w:val="20"/>
              </w:rPr>
            </w:pPr>
            <w:r w:rsidRPr="001C7647">
              <w:rPr>
                <w:rFonts w:asciiTheme="majorBidi" w:hAnsiTheme="majorBidi" w:cstheme="majorBidi"/>
                <w:sz w:val="20"/>
                <w:szCs w:val="20"/>
              </w:rPr>
              <w:t>Credit cards</w:t>
            </w:r>
          </w:p>
        </w:tc>
        <w:tc>
          <w:tcPr>
            <w:tcW w:w="81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42.8</w:t>
            </w:r>
          </w:p>
          <w:p w:rsidR="00DF338F" w:rsidRPr="00CD3ED6" w:rsidRDefault="00DF338F" w:rsidP="001251D1">
            <w:pPr>
              <w:jc w:val="center"/>
              <w:rPr>
                <w:sz w:val="20"/>
                <w:szCs w:val="20"/>
              </w:rPr>
            </w:pPr>
            <w:r w:rsidRPr="00CD3ED6">
              <w:rPr>
                <w:sz w:val="20"/>
                <w:szCs w:val="20"/>
              </w:rPr>
              <w:t>16.2</w:t>
            </w:r>
          </w:p>
          <w:p w:rsidR="00DF338F" w:rsidRPr="00CD3ED6" w:rsidRDefault="00DF338F" w:rsidP="001251D1">
            <w:pPr>
              <w:jc w:val="center"/>
              <w:rPr>
                <w:sz w:val="20"/>
                <w:szCs w:val="20"/>
              </w:rPr>
            </w:pPr>
            <w:r w:rsidRPr="00CD3ED6">
              <w:rPr>
                <w:sz w:val="20"/>
                <w:szCs w:val="20"/>
              </w:rPr>
              <w:t>1</w:t>
            </w:r>
          </w:p>
        </w:tc>
        <w:tc>
          <w:tcPr>
            <w:tcW w:w="72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31.1</w:t>
            </w:r>
          </w:p>
          <w:p w:rsidR="00DF338F" w:rsidRPr="00CD3ED6" w:rsidRDefault="00DF338F" w:rsidP="001251D1">
            <w:pPr>
              <w:jc w:val="center"/>
              <w:rPr>
                <w:sz w:val="20"/>
                <w:szCs w:val="20"/>
              </w:rPr>
            </w:pPr>
            <w:r w:rsidRPr="00CD3ED6">
              <w:rPr>
                <w:sz w:val="20"/>
                <w:szCs w:val="20"/>
              </w:rPr>
              <w:t>30.9</w:t>
            </w:r>
          </w:p>
          <w:p w:rsidR="00DF338F" w:rsidRPr="00CD3ED6" w:rsidRDefault="00DF338F" w:rsidP="001251D1">
            <w:pPr>
              <w:jc w:val="center"/>
              <w:rPr>
                <w:sz w:val="20"/>
                <w:szCs w:val="20"/>
              </w:rPr>
            </w:pPr>
            <w:r w:rsidRPr="00CD3ED6">
              <w:rPr>
                <w:sz w:val="20"/>
                <w:szCs w:val="20"/>
              </w:rPr>
              <w:t>1.2</w:t>
            </w:r>
          </w:p>
        </w:tc>
        <w:tc>
          <w:tcPr>
            <w:tcW w:w="90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40.9</w:t>
            </w:r>
          </w:p>
          <w:p w:rsidR="00DF338F" w:rsidRPr="00CD3ED6" w:rsidRDefault="00DF338F" w:rsidP="001251D1">
            <w:pPr>
              <w:jc w:val="center"/>
              <w:rPr>
                <w:sz w:val="20"/>
                <w:szCs w:val="20"/>
              </w:rPr>
            </w:pPr>
            <w:r w:rsidRPr="00CD3ED6">
              <w:rPr>
                <w:sz w:val="20"/>
                <w:szCs w:val="20"/>
              </w:rPr>
              <w:t>25.4</w:t>
            </w:r>
          </w:p>
          <w:p w:rsidR="00DF338F" w:rsidRPr="00CD3ED6" w:rsidRDefault="00DF338F" w:rsidP="001251D1">
            <w:pPr>
              <w:jc w:val="center"/>
              <w:rPr>
                <w:sz w:val="20"/>
                <w:szCs w:val="20"/>
              </w:rPr>
            </w:pPr>
            <w:r w:rsidRPr="00CD3ED6">
              <w:rPr>
                <w:sz w:val="20"/>
                <w:szCs w:val="20"/>
              </w:rPr>
              <w:t>1.3</w:t>
            </w:r>
          </w:p>
        </w:tc>
        <w:tc>
          <w:tcPr>
            <w:tcW w:w="72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38.6</w:t>
            </w:r>
          </w:p>
          <w:p w:rsidR="00DF338F" w:rsidRPr="00CD3ED6" w:rsidRDefault="00DF338F" w:rsidP="001251D1">
            <w:pPr>
              <w:jc w:val="center"/>
              <w:rPr>
                <w:sz w:val="20"/>
                <w:szCs w:val="20"/>
              </w:rPr>
            </w:pPr>
            <w:r w:rsidRPr="00CD3ED6">
              <w:rPr>
                <w:sz w:val="20"/>
                <w:szCs w:val="20"/>
              </w:rPr>
              <w:t>24.3</w:t>
            </w:r>
          </w:p>
          <w:p w:rsidR="00DF338F" w:rsidRPr="00CD3ED6" w:rsidRDefault="00DF338F" w:rsidP="001251D1">
            <w:pPr>
              <w:jc w:val="center"/>
              <w:rPr>
                <w:sz w:val="20"/>
                <w:szCs w:val="20"/>
              </w:rPr>
            </w:pPr>
            <w:r w:rsidRPr="00CD3ED6">
              <w:rPr>
                <w:sz w:val="20"/>
                <w:szCs w:val="20"/>
              </w:rPr>
              <w:t>1.1</w:t>
            </w:r>
          </w:p>
        </w:tc>
        <w:tc>
          <w:tcPr>
            <w:tcW w:w="1530" w:type="dxa"/>
            <w:shd w:val="clear" w:color="auto" w:fill="F2F2F2" w:themeFill="background1" w:themeFillShade="F2"/>
          </w:tcPr>
          <w:p w:rsidR="00DF338F" w:rsidRPr="00CD3ED6" w:rsidRDefault="00DF338F" w:rsidP="001251D1">
            <w:pPr>
              <w:jc w:val="center"/>
              <w:rPr>
                <w:sz w:val="20"/>
                <w:szCs w:val="20"/>
              </w:rPr>
            </w:pPr>
            <w:r w:rsidRPr="00CD3ED6">
              <w:rPr>
                <w:sz w:val="20"/>
                <w:szCs w:val="20"/>
              </w:rPr>
              <w:t>38.6</w:t>
            </w:r>
          </w:p>
          <w:p w:rsidR="00DF338F" w:rsidRPr="00CD3ED6" w:rsidRDefault="00DF338F" w:rsidP="001251D1">
            <w:pPr>
              <w:jc w:val="center"/>
              <w:rPr>
                <w:sz w:val="20"/>
                <w:szCs w:val="20"/>
              </w:rPr>
            </w:pPr>
            <w:r w:rsidRPr="00CD3ED6">
              <w:rPr>
                <w:sz w:val="20"/>
                <w:szCs w:val="20"/>
              </w:rPr>
              <w:t>24.3</w:t>
            </w:r>
          </w:p>
          <w:p w:rsidR="00DF338F" w:rsidRPr="00CD3ED6" w:rsidRDefault="00DF338F" w:rsidP="001251D1">
            <w:pPr>
              <w:jc w:val="center"/>
              <w:rPr>
                <w:sz w:val="20"/>
                <w:szCs w:val="20"/>
              </w:rPr>
            </w:pPr>
            <w:r w:rsidRPr="00CD3ED6">
              <w:rPr>
                <w:sz w:val="20"/>
                <w:szCs w:val="20"/>
              </w:rPr>
              <w:t>1.1</w:t>
            </w:r>
          </w:p>
        </w:tc>
      </w:tr>
    </w:tbl>
    <w:p w:rsidR="00C539C2" w:rsidRPr="00940356" w:rsidRDefault="00C539C2" w:rsidP="00BD6580">
      <w:pPr>
        <w:tabs>
          <w:tab w:val="right" w:pos="426"/>
        </w:tabs>
        <w:spacing w:line="360" w:lineRule="auto"/>
        <w:contextualSpacing/>
        <w:jc w:val="both"/>
        <w:rPr>
          <w:rFonts w:ascii="Times New Roman" w:hAnsi="Times New Roman" w:cs="Times New Roman"/>
          <w:sz w:val="10"/>
          <w:szCs w:val="10"/>
        </w:rPr>
      </w:pPr>
    </w:p>
    <w:p w:rsidR="00C539C2" w:rsidRPr="00C539C2" w:rsidRDefault="00C539C2" w:rsidP="00C539C2">
      <w:pPr>
        <w:tabs>
          <w:tab w:val="right" w:pos="426"/>
        </w:tabs>
        <w:spacing w:line="360" w:lineRule="auto"/>
        <w:jc w:val="center"/>
        <w:rPr>
          <w:rFonts w:ascii="Times New Roman" w:hAnsi="Times New Roman" w:cs="Times New Roman"/>
        </w:rPr>
      </w:pPr>
      <w:r w:rsidRPr="00C76582">
        <w:rPr>
          <w:rFonts w:ascii="Times New Roman" w:hAnsi="Times New Roman" w:cs="Times New Roman"/>
        </w:rPr>
        <w:t>Source:</w:t>
      </w:r>
      <w:r>
        <w:rPr>
          <w:rFonts w:ascii="Times New Roman" w:hAnsi="Times New Roman" w:cs="Times New Roman"/>
        </w:rPr>
        <w:t xml:space="preserve"> Palestinian Monetary Authority's Annual Report (PMA),</w:t>
      </w:r>
      <w:r w:rsidRPr="00C76582">
        <w:rPr>
          <w:rFonts w:ascii="Times New Roman" w:hAnsi="Times New Roman" w:cs="Times New Roman"/>
        </w:rPr>
        <w:t xml:space="preserve"> 2012</w:t>
      </w:r>
      <w:r>
        <w:rPr>
          <w:rFonts w:ascii="Times New Roman" w:hAnsi="Times New Roman" w:cs="Times New Roman"/>
        </w:rPr>
        <w:t>.</w:t>
      </w:r>
    </w:p>
    <w:p w:rsidR="00106ED9" w:rsidRPr="00786BDD" w:rsidRDefault="00106ED9" w:rsidP="00106ED9">
      <w:pPr>
        <w:spacing w:line="360" w:lineRule="auto"/>
        <w:jc w:val="both"/>
        <w:rPr>
          <w:rFonts w:ascii="Times New Roman" w:hAnsi="Times New Roman" w:cs="Times New Roman"/>
          <w:noProof/>
          <w:color w:val="000000" w:themeColor="text1"/>
          <w:sz w:val="24"/>
          <w:szCs w:val="24"/>
        </w:rPr>
      </w:pPr>
      <w:r w:rsidRPr="006826AA">
        <w:rPr>
          <w:rFonts w:ascii="Times New Roman" w:hAnsi="Times New Roman" w:cs="Times New Roman"/>
          <w:noProof/>
          <w:color w:val="000000" w:themeColor="text1"/>
          <w:sz w:val="24"/>
          <w:szCs w:val="24"/>
          <w:lang w:val="cs-CZ"/>
        </w:rPr>
        <w:t xml:space="preserve">One of the indirect inclusion of PNA's financing difficulties, has been temporary disregarding by public sector employees (borrowers) on their loan payments, resulted from delaying their salaries. </w:t>
      </w:r>
      <w:r w:rsidRPr="00786BDD">
        <w:rPr>
          <w:rFonts w:ascii="Times New Roman" w:hAnsi="Times New Roman" w:cs="Times New Roman"/>
          <w:noProof/>
          <w:color w:val="000000" w:themeColor="text1"/>
          <w:sz w:val="24"/>
          <w:szCs w:val="24"/>
        </w:rPr>
        <w:t>Based on that, public sector employees increased their orientation for bank's loans as preventive procedure, which raise bank credit portfolio of public sector employees from $0.3 billion at the end of year 2010 to $0.6 billion by mid-2012.</w:t>
      </w:r>
    </w:p>
    <w:p w:rsidR="00B24FA8" w:rsidRPr="00106ED9" w:rsidRDefault="00B26274" w:rsidP="00106ED9">
      <w:pPr>
        <w:spacing w:line="360" w:lineRule="auto"/>
        <w:jc w:val="both"/>
        <w:rPr>
          <w:rFonts w:ascii="Times New Roman" w:hAnsi="Times New Roman" w:cs="Times New Roman"/>
          <w:noProof/>
          <w:color w:val="000000" w:themeColor="text1"/>
          <w:sz w:val="24"/>
          <w:szCs w:val="24"/>
          <w:lang w:val="cs-CZ"/>
        </w:rPr>
      </w:pPr>
      <w:r w:rsidRPr="000F485F">
        <w:rPr>
          <w:rFonts w:ascii="Times New Roman" w:hAnsi="Times New Roman" w:cs="Times New Roman"/>
          <w:sz w:val="24"/>
          <w:szCs w:val="24"/>
        </w:rPr>
        <w:t>The PNA’s persisting domestic payment arrears and wage payment delays could lead to liquidity difficulties by private sector suppliers and public sector employees, which in turn could lead to a rise in banks’ non-performing loans.</w:t>
      </w:r>
    </w:p>
    <w:p w:rsidR="00B26274" w:rsidRPr="008135C1" w:rsidRDefault="00B26274" w:rsidP="00BD6580">
      <w:pPr>
        <w:tabs>
          <w:tab w:val="right" w:pos="426"/>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Upon the data mentioned a above, the PNA debt and</w:t>
      </w:r>
      <w:r w:rsidR="00106ED9">
        <w:rPr>
          <w:rFonts w:ascii="Times New Roman" w:hAnsi="Times New Roman" w:cs="Times New Roman"/>
          <w:sz w:val="24"/>
          <w:szCs w:val="24"/>
        </w:rPr>
        <w:t xml:space="preserve"> PNA's employees debt together</w:t>
      </w:r>
      <w:r>
        <w:rPr>
          <w:rFonts w:ascii="Times New Roman" w:hAnsi="Times New Roman" w:cs="Times New Roman"/>
          <w:sz w:val="24"/>
          <w:szCs w:val="24"/>
        </w:rPr>
        <w:t xml:space="preserve"> since they have the same credit risk characteristics or connected to each other by employees salaries which represent the only source of repayment to their bank's debt to commercial banks or to the</w:t>
      </w:r>
      <w:r w:rsidR="00B24FA8">
        <w:rPr>
          <w:rFonts w:ascii="Times New Roman" w:hAnsi="Times New Roman" w:cs="Times New Roman"/>
          <w:sz w:val="24"/>
          <w:szCs w:val="24"/>
        </w:rPr>
        <w:t xml:space="preserve"> </w:t>
      </w:r>
      <w:r>
        <w:rPr>
          <w:rFonts w:ascii="Times New Roman" w:hAnsi="Times New Roman" w:cs="Times New Roman"/>
          <w:sz w:val="24"/>
          <w:szCs w:val="24"/>
        </w:rPr>
        <w:t xml:space="preserve">Palestinian banking sector reached almost </w:t>
      </w:r>
      <w:r w:rsidRPr="008135C1">
        <w:rPr>
          <w:rFonts w:ascii="Times New Roman" w:hAnsi="Times New Roman" w:cs="Times New Roman"/>
          <w:bCs/>
          <w:sz w:val="24"/>
          <w:szCs w:val="24"/>
        </w:rPr>
        <w:t>$ 1.8</w:t>
      </w:r>
      <w:r w:rsidRPr="008135C1">
        <w:rPr>
          <w:rFonts w:ascii="Times New Roman" w:hAnsi="Times New Roman" w:cs="Times New Roman"/>
          <w:sz w:val="24"/>
          <w:szCs w:val="24"/>
        </w:rPr>
        <w:t xml:space="preserve"> billion by the mid- 2012 representing about </w:t>
      </w:r>
      <w:r w:rsidRPr="008135C1">
        <w:rPr>
          <w:rFonts w:ascii="Times New Roman" w:hAnsi="Times New Roman" w:cs="Times New Roman"/>
          <w:bCs/>
          <w:sz w:val="24"/>
          <w:szCs w:val="24"/>
        </w:rPr>
        <w:t>50</w:t>
      </w:r>
      <w:r w:rsidRPr="008135C1">
        <w:rPr>
          <w:rFonts w:ascii="Times New Roman" w:hAnsi="Times New Roman" w:cs="Times New Roman"/>
          <w:sz w:val="24"/>
          <w:szCs w:val="24"/>
        </w:rPr>
        <w:t xml:space="preserve"> percent of Palestinian banking credit portfolio.</w:t>
      </w:r>
    </w:p>
    <w:p w:rsidR="00515FE4" w:rsidRPr="00515FE4" w:rsidRDefault="00B26274" w:rsidP="00BD6580">
      <w:pPr>
        <w:tabs>
          <w:tab w:val="right" w:pos="426"/>
        </w:tabs>
        <w:spacing w:line="360" w:lineRule="auto"/>
        <w:contextualSpacing/>
        <w:jc w:val="both"/>
        <w:rPr>
          <w:rFonts w:ascii="Times New Roman" w:hAnsi="Times New Roman" w:cs="Times New Roman"/>
          <w:sz w:val="24"/>
          <w:szCs w:val="24"/>
        </w:rPr>
      </w:pPr>
      <w:r w:rsidRPr="00515FE4">
        <w:rPr>
          <w:rFonts w:asciiTheme="majorBidi" w:hAnsiTheme="majorBidi" w:cstheme="majorBidi"/>
          <w:sz w:val="24"/>
          <w:szCs w:val="24"/>
        </w:rPr>
        <w:t>The overstated lending to the public sector in view of flow hardship the government suffers might have many direct consequences to the stability of the banking system, the most significant of which is the increase to incidents in which the government temporarily defaults on its loans</w:t>
      </w:r>
      <w:r w:rsidRPr="00515FE4">
        <w:rPr>
          <w:rFonts w:ascii="Times New Roman" w:hAnsi="Times New Roman" w:cs="Times New Roman"/>
          <w:sz w:val="24"/>
          <w:szCs w:val="24"/>
        </w:rPr>
        <w:t xml:space="preserve">, and by the worst scenario, like any unexpected political incident of resolving the Palestinian National Authority (declared many times by the president and other Palestinian political leaders), will lead to harmful or damage the banking system and </w:t>
      </w:r>
      <w:r w:rsidRPr="00515FE4">
        <w:rPr>
          <w:rFonts w:ascii="Times New Roman" w:hAnsi="Times New Roman" w:cs="Times New Roman"/>
          <w:sz w:val="24"/>
          <w:szCs w:val="24"/>
        </w:rPr>
        <w:lastRenderedPageBreak/>
        <w:t>particularly small banks will suffered more particularly national or local banks compared to foreign banks operate in Palestine since all  bank's equity would not cover the credit facilities extended to the PNA and its  employees.</w:t>
      </w:r>
    </w:p>
    <w:p w:rsidR="00B421D2" w:rsidRDefault="00B26274" w:rsidP="00B421D2">
      <w:pPr>
        <w:tabs>
          <w:tab w:val="right" w:pos="426"/>
        </w:tabs>
        <w:spacing w:line="360" w:lineRule="auto"/>
        <w:contextualSpacing/>
        <w:jc w:val="both"/>
        <w:rPr>
          <w:rStyle w:val="apple-converted-space"/>
          <w:rFonts w:asciiTheme="majorBidi" w:hAnsiTheme="majorBidi" w:cstheme="majorBidi"/>
          <w:color w:val="000000"/>
          <w:sz w:val="24"/>
          <w:szCs w:val="24"/>
          <w:shd w:val="clear" w:color="auto" w:fill="FFFFFF"/>
        </w:rPr>
      </w:pPr>
      <w:r w:rsidRPr="00515FE4">
        <w:rPr>
          <w:rFonts w:asciiTheme="majorBidi" w:hAnsiTheme="majorBidi" w:cstheme="majorBidi"/>
          <w:sz w:val="24"/>
          <w:szCs w:val="24"/>
        </w:rPr>
        <w:t xml:space="preserve">Another direct implication of the PNA’s financing difficulties and high levels of borrowing in what's so called crowding out. Crowding out effect occurs when governments borrow funds from the credit market to finance government spending usually through expansionary fiscal </w:t>
      </w:r>
      <w:r w:rsidR="003C1835" w:rsidRPr="00515FE4">
        <w:rPr>
          <w:rFonts w:asciiTheme="majorBidi" w:hAnsiTheme="majorBidi" w:cstheme="majorBidi"/>
          <w:sz w:val="24"/>
          <w:szCs w:val="24"/>
        </w:rPr>
        <w:t>policies. This</w:t>
      </w:r>
      <w:r w:rsidRPr="00515FE4">
        <w:rPr>
          <w:rFonts w:asciiTheme="majorBidi" w:hAnsiTheme="majorBidi" w:cstheme="majorBidi"/>
          <w:sz w:val="24"/>
          <w:szCs w:val="24"/>
        </w:rPr>
        <w:t xml:space="preserve"> is of concern because the government is overspending; revenue that is collected from taxes and other relevant transactions is less than the amount put forward in the budget. The borrowed </w:t>
      </w:r>
      <w:bookmarkStart w:id="0" w:name="duffy3241c07-fig-0002"/>
      <w:r w:rsidRPr="00515FE4">
        <w:rPr>
          <w:rFonts w:asciiTheme="majorBidi" w:hAnsiTheme="majorBidi" w:cstheme="majorBidi"/>
          <w:sz w:val="24"/>
          <w:szCs w:val="24"/>
        </w:rPr>
        <w:t>funds by government reduce the amount of available for credit to private sector and thereby drive</w:t>
      </w:r>
      <w:r w:rsidRPr="00515FE4">
        <w:rPr>
          <w:rFonts w:asciiTheme="majorBidi" w:hAnsiTheme="majorBidi" w:cstheme="majorBidi"/>
          <w:color w:val="000000"/>
          <w:sz w:val="24"/>
          <w:szCs w:val="24"/>
          <w:shd w:val="clear" w:color="auto" w:fill="FFFFFF"/>
        </w:rPr>
        <w:t xml:space="preserve"> up interest rates </w:t>
      </w:r>
      <w:r w:rsidRPr="00515FE4">
        <w:rPr>
          <w:rFonts w:asciiTheme="majorBidi" w:hAnsiTheme="majorBidi" w:cstheme="majorBidi"/>
          <w:color w:val="3A2A34"/>
          <w:sz w:val="24"/>
          <w:szCs w:val="24"/>
        </w:rPr>
        <w:t>because an increase in demand for loans, hence pushing up the prices.</w:t>
      </w:r>
      <w:r w:rsidRPr="00515FE4">
        <w:rPr>
          <w:rFonts w:asciiTheme="majorBidi" w:hAnsiTheme="majorBidi" w:cstheme="majorBidi"/>
          <w:color w:val="000000"/>
          <w:sz w:val="24"/>
          <w:szCs w:val="24"/>
          <w:shd w:val="clear" w:color="auto" w:fill="FFFFFF"/>
        </w:rPr>
        <w:t xml:space="preserve"> Higher interest rates, in turn, tend to reduce or “crowd out” aggregate investment expenditures and consumer expenditures that are sensitive to interest rates.</w:t>
      </w:r>
      <w:r w:rsidRPr="00515FE4">
        <w:rPr>
          <w:rStyle w:val="apple-converted-space"/>
          <w:rFonts w:asciiTheme="majorBidi" w:hAnsiTheme="majorBidi" w:cstheme="majorBidi"/>
          <w:color w:val="000000"/>
          <w:sz w:val="24"/>
          <w:szCs w:val="24"/>
          <w:shd w:val="clear" w:color="auto" w:fill="FFFFFF"/>
        </w:rPr>
        <w:t> </w:t>
      </w:r>
      <w:bookmarkEnd w:id="0"/>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B421D2">
      <w:pPr>
        <w:tabs>
          <w:tab w:val="right" w:pos="426"/>
        </w:tabs>
        <w:spacing w:line="360" w:lineRule="auto"/>
        <w:contextualSpacing/>
        <w:jc w:val="center"/>
        <w:rPr>
          <w:rFonts w:asciiTheme="majorBidi" w:hAnsiTheme="majorBidi" w:cstheme="majorBidi"/>
          <w:b/>
        </w:rPr>
      </w:pPr>
    </w:p>
    <w:p w:rsidR="006E74E0" w:rsidRDefault="006E74E0" w:rsidP="00E04FD0">
      <w:pPr>
        <w:tabs>
          <w:tab w:val="right" w:pos="426"/>
        </w:tabs>
        <w:spacing w:line="360" w:lineRule="auto"/>
        <w:contextualSpacing/>
        <w:rPr>
          <w:rFonts w:asciiTheme="majorBidi" w:hAnsiTheme="majorBidi" w:cstheme="majorBidi"/>
          <w:b/>
        </w:rPr>
      </w:pPr>
    </w:p>
    <w:p w:rsidR="006E74E0" w:rsidRDefault="006E74E0" w:rsidP="00C539C2">
      <w:pPr>
        <w:tabs>
          <w:tab w:val="right" w:pos="426"/>
        </w:tabs>
        <w:spacing w:line="360" w:lineRule="auto"/>
        <w:contextualSpacing/>
        <w:rPr>
          <w:rFonts w:asciiTheme="majorBidi" w:hAnsiTheme="majorBidi" w:cstheme="majorBidi"/>
          <w:b/>
        </w:rPr>
      </w:pPr>
    </w:p>
    <w:p w:rsidR="002B6BE7" w:rsidRDefault="002B6BE7" w:rsidP="00224A7C">
      <w:pPr>
        <w:tabs>
          <w:tab w:val="right" w:pos="426"/>
        </w:tabs>
        <w:spacing w:line="360" w:lineRule="auto"/>
        <w:contextualSpacing/>
        <w:rPr>
          <w:rFonts w:asciiTheme="majorBidi" w:hAnsiTheme="majorBidi" w:cstheme="majorBidi"/>
          <w:b/>
        </w:rPr>
      </w:pPr>
    </w:p>
    <w:p w:rsidR="00224A7C" w:rsidRDefault="00224A7C" w:rsidP="00224A7C">
      <w:pPr>
        <w:tabs>
          <w:tab w:val="right" w:pos="426"/>
        </w:tabs>
        <w:spacing w:line="360" w:lineRule="auto"/>
        <w:contextualSpacing/>
        <w:rPr>
          <w:rFonts w:asciiTheme="majorBidi" w:hAnsiTheme="majorBidi" w:cstheme="majorBidi"/>
          <w:b/>
        </w:rPr>
      </w:pPr>
    </w:p>
    <w:p w:rsidR="00766BA8" w:rsidRPr="00B421D2" w:rsidRDefault="0064055B" w:rsidP="00B421D2">
      <w:pPr>
        <w:tabs>
          <w:tab w:val="right" w:pos="426"/>
        </w:tabs>
        <w:spacing w:line="360" w:lineRule="auto"/>
        <w:contextualSpacing/>
        <w:jc w:val="center"/>
        <w:rPr>
          <w:rFonts w:asciiTheme="majorBidi" w:hAnsiTheme="majorBidi" w:cstheme="majorBidi"/>
          <w:color w:val="000000"/>
          <w:sz w:val="24"/>
          <w:szCs w:val="24"/>
          <w:shd w:val="clear" w:color="auto" w:fill="FFFFFF"/>
        </w:rPr>
      </w:pPr>
      <w:r w:rsidRPr="001C7647">
        <w:rPr>
          <w:rFonts w:asciiTheme="majorBidi" w:hAnsiTheme="majorBidi" w:cstheme="majorBidi"/>
          <w:b/>
        </w:rPr>
        <w:lastRenderedPageBreak/>
        <w:t>SECTIO</w:t>
      </w:r>
      <w:r w:rsidR="00CB3916">
        <w:rPr>
          <w:rFonts w:asciiTheme="majorBidi" w:hAnsiTheme="majorBidi" w:cstheme="majorBidi"/>
          <w:b/>
        </w:rPr>
        <w:t xml:space="preserve">N </w:t>
      </w:r>
      <w:r w:rsidRPr="001C7647">
        <w:rPr>
          <w:rFonts w:asciiTheme="majorBidi" w:hAnsiTheme="majorBidi" w:cstheme="majorBidi"/>
          <w:b/>
        </w:rPr>
        <w:t>SEVEN</w:t>
      </w:r>
    </w:p>
    <w:p w:rsidR="00D97B28" w:rsidRPr="001C7647" w:rsidRDefault="00D97B28" w:rsidP="00766BA8">
      <w:pPr>
        <w:spacing w:after="240" w:line="360" w:lineRule="auto"/>
        <w:jc w:val="center"/>
        <w:rPr>
          <w:rFonts w:asciiTheme="majorBidi" w:hAnsiTheme="majorBidi" w:cstheme="majorBidi"/>
          <w:b/>
          <w:sz w:val="24"/>
          <w:szCs w:val="24"/>
        </w:rPr>
      </w:pPr>
      <w:r w:rsidRPr="001C7647">
        <w:rPr>
          <w:rFonts w:asciiTheme="majorBidi" w:hAnsiTheme="majorBidi" w:cstheme="majorBidi"/>
          <w:b/>
          <w:sz w:val="24"/>
          <w:szCs w:val="24"/>
        </w:rPr>
        <w:t>PREVIOUS STUDIES</w:t>
      </w:r>
    </w:p>
    <w:p w:rsidR="00A277B8" w:rsidRDefault="00A277B8" w:rsidP="00863862">
      <w:pPr>
        <w:spacing w:after="0" w:line="360" w:lineRule="auto"/>
        <w:jc w:val="lowKashida"/>
        <w:rPr>
          <w:b/>
          <w:sz w:val="36"/>
          <w:szCs w:val="36"/>
        </w:rPr>
      </w:pPr>
    </w:p>
    <w:p w:rsidR="00A277B8" w:rsidRDefault="00A277B8" w:rsidP="00863862">
      <w:pPr>
        <w:spacing w:after="0" w:line="360" w:lineRule="auto"/>
        <w:jc w:val="lowKashida"/>
        <w:rPr>
          <w:rFonts w:ascii="Times New Roman" w:hAnsi="Times New Roman" w:cs="Times New Roman"/>
          <w:b/>
          <w:sz w:val="24"/>
          <w:szCs w:val="24"/>
        </w:rPr>
      </w:pPr>
      <w:r w:rsidRPr="001B6D4E">
        <w:rPr>
          <w:b/>
          <w:sz w:val="24"/>
          <w:szCs w:val="24"/>
        </w:rPr>
        <w:t xml:space="preserve">2.6 </w:t>
      </w:r>
      <w:r w:rsidRPr="001B6D4E">
        <w:rPr>
          <w:rFonts w:ascii="Times New Roman" w:hAnsi="Times New Roman" w:cs="Times New Roman"/>
          <w:b/>
          <w:sz w:val="24"/>
          <w:szCs w:val="24"/>
        </w:rPr>
        <w:t xml:space="preserve">Previous Studies </w:t>
      </w:r>
    </w:p>
    <w:p w:rsidR="00863862" w:rsidRPr="009F1144" w:rsidRDefault="00863862" w:rsidP="00863862">
      <w:pPr>
        <w:spacing w:after="0" w:line="360" w:lineRule="auto"/>
        <w:jc w:val="lowKashida"/>
        <w:rPr>
          <w:b/>
          <w:sz w:val="16"/>
          <w:szCs w:val="16"/>
        </w:rPr>
      </w:pPr>
    </w:p>
    <w:p w:rsidR="00D97B28" w:rsidRPr="001B6D4E" w:rsidRDefault="00A277B8" w:rsidP="00863862">
      <w:pPr>
        <w:spacing w:after="0" w:line="360" w:lineRule="auto"/>
        <w:jc w:val="lowKashida"/>
        <w:rPr>
          <w:rFonts w:ascii="Times New Roman" w:hAnsi="Times New Roman" w:cs="Times New Roman"/>
          <w:b/>
          <w:sz w:val="24"/>
          <w:szCs w:val="24"/>
        </w:rPr>
      </w:pPr>
      <w:r w:rsidRPr="001B6D4E">
        <w:rPr>
          <w:rFonts w:ascii="Times New Roman" w:hAnsi="Times New Roman" w:cs="Times New Roman"/>
          <w:b/>
          <w:sz w:val="24"/>
          <w:szCs w:val="24"/>
        </w:rPr>
        <w:t>2.6.1</w:t>
      </w:r>
      <w:r w:rsidR="00D97B28" w:rsidRPr="001B6D4E">
        <w:rPr>
          <w:rFonts w:ascii="Times New Roman" w:hAnsi="Times New Roman" w:cs="Times New Roman"/>
          <w:b/>
          <w:sz w:val="24"/>
          <w:szCs w:val="24"/>
        </w:rPr>
        <w:t xml:space="preserve"> Introduction</w:t>
      </w:r>
    </w:p>
    <w:p w:rsidR="00063991" w:rsidRDefault="0001375D" w:rsidP="00063991">
      <w:pPr>
        <w:spacing w:line="360" w:lineRule="auto"/>
        <w:contextualSpacing/>
        <w:jc w:val="both"/>
        <w:rPr>
          <w:rStyle w:val="apple-converted-space"/>
          <w:rFonts w:ascii="Times New Roman" w:hAnsi="Times New Roman" w:cs="Times New Roman"/>
          <w:color w:val="000000"/>
          <w:sz w:val="24"/>
          <w:szCs w:val="24"/>
          <w:shd w:val="clear" w:color="auto" w:fill="FFFFFF"/>
        </w:rPr>
      </w:pPr>
      <w:r w:rsidRPr="0001375D">
        <w:rPr>
          <w:rFonts w:asciiTheme="majorBidi" w:hAnsiTheme="majorBidi" w:cstheme="majorBidi"/>
          <w:sz w:val="24"/>
          <w:szCs w:val="24"/>
        </w:rPr>
        <w:t xml:space="preserve">The importance of factors </w:t>
      </w:r>
      <w:r w:rsidR="0011345C" w:rsidRPr="0001375D">
        <w:rPr>
          <w:rFonts w:asciiTheme="majorBidi" w:hAnsiTheme="majorBidi" w:cstheme="majorBidi"/>
          <w:sz w:val="24"/>
          <w:szCs w:val="24"/>
        </w:rPr>
        <w:t>affecting bank’s</w:t>
      </w:r>
      <w:r w:rsidRPr="0001375D">
        <w:rPr>
          <w:rFonts w:asciiTheme="majorBidi" w:hAnsiTheme="majorBidi" w:cstheme="majorBidi"/>
          <w:sz w:val="24"/>
          <w:szCs w:val="24"/>
        </w:rPr>
        <w:t xml:space="preserve"> profitability has attracted the concerns </w:t>
      </w:r>
      <w:r w:rsidR="0011345C" w:rsidRPr="0001375D">
        <w:rPr>
          <w:rFonts w:asciiTheme="majorBidi" w:hAnsiTheme="majorBidi" w:cstheme="majorBidi"/>
          <w:sz w:val="24"/>
          <w:szCs w:val="24"/>
        </w:rPr>
        <w:t>of many</w:t>
      </w:r>
      <w:r w:rsidRPr="0001375D">
        <w:rPr>
          <w:rFonts w:asciiTheme="majorBidi" w:hAnsiTheme="majorBidi" w:cstheme="majorBidi"/>
          <w:sz w:val="24"/>
          <w:szCs w:val="24"/>
        </w:rPr>
        <w:t xml:space="preserve"> parties such academics, bank's management and investors</w:t>
      </w:r>
      <w:r>
        <w:rPr>
          <w:rFonts w:ascii="Times New Roman" w:hAnsi="Times New Roman" w:cs="Times New Roman"/>
          <w:sz w:val="24"/>
          <w:szCs w:val="24"/>
        </w:rPr>
        <w:t xml:space="preserve">. </w:t>
      </w:r>
      <w:r w:rsidR="00D97B28" w:rsidRPr="004C1ACC">
        <w:rPr>
          <w:rFonts w:ascii="Times New Roman" w:hAnsi="Times New Roman" w:cs="Times New Roman"/>
          <w:sz w:val="24"/>
          <w:szCs w:val="24"/>
        </w:rPr>
        <w:t>The literature classifies the determinants of commercial bank’s profitability as internal and external.</w:t>
      </w:r>
      <w:r w:rsidR="00D97B28" w:rsidRPr="004C1ACC">
        <w:rPr>
          <w:rStyle w:val="apple-converted-space"/>
          <w:rFonts w:ascii="Times New Roman" w:hAnsi="Times New Roman" w:cs="Times New Roman"/>
          <w:color w:val="000000"/>
          <w:sz w:val="24"/>
          <w:szCs w:val="24"/>
          <w:shd w:val="clear" w:color="auto" w:fill="FFFFFF"/>
        </w:rPr>
        <w:t> </w:t>
      </w:r>
      <w:r w:rsidR="00063991" w:rsidRPr="004C1ACC">
        <w:rPr>
          <w:rFonts w:ascii="Times New Roman" w:hAnsi="Times New Roman" w:cs="Times New Roman"/>
          <w:color w:val="000000"/>
          <w:sz w:val="24"/>
          <w:szCs w:val="24"/>
          <w:shd w:val="clear" w:color="auto" w:fill="FFFFFF"/>
        </w:rPr>
        <w:t xml:space="preserve">The internal determinants </w:t>
      </w:r>
      <w:r w:rsidR="00063991">
        <w:rPr>
          <w:rFonts w:ascii="Times New Roman" w:hAnsi="Times New Roman" w:cs="Times New Roman"/>
          <w:color w:val="000000"/>
          <w:sz w:val="24"/>
          <w:szCs w:val="24"/>
          <w:shd w:val="clear" w:color="auto" w:fill="FFFFFF"/>
        </w:rPr>
        <w:t xml:space="preserve">contain factors that cannot be controllable by institution management or called bank specific factors such as bank size, liquidity and risk management. </w:t>
      </w:r>
      <w:r w:rsidR="00D97B28" w:rsidRPr="004C1ACC">
        <w:rPr>
          <w:rFonts w:ascii="Times New Roman" w:hAnsi="Times New Roman" w:cs="Times New Roman"/>
          <w:color w:val="000000"/>
          <w:sz w:val="24"/>
          <w:szCs w:val="24"/>
          <w:shd w:val="clear" w:color="auto" w:fill="FFFFFF"/>
        </w:rPr>
        <w:t>Those factors are influences by the bank’s management decisions and policy objectives.</w:t>
      </w:r>
    </w:p>
    <w:p w:rsidR="0051468E" w:rsidRPr="00063991" w:rsidRDefault="00D97B28" w:rsidP="00063991">
      <w:pPr>
        <w:spacing w:line="360" w:lineRule="auto"/>
        <w:contextualSpacing/>
        <w:jc w:val="both"/>
        <w:rPr>
          <w:rFonts w:asciiTheme="majorBidi" w:hAnsiTheme="majorBidi" w:cstheme="majorBidi"/>
          <w:sz w:val="24"/>
          <w:szCs w:val="24"/>
          <w:lang w:bidi="ar-JO"/>
        </w:rPr>
      </w:pPr>
      <w:r w:rsidRPr="004C1ACC">
        <w:rPr>
          <w:rStyle w:val="apple-converted-space"/>
          <w:rFonts w:ascii="Times New Roman" w:hAnsi="Times New Roman" w:cs="Times New Roman"/>
          <w:color w:val="000000"/>
          <w:sz w:val="24"/>
          <w:szCs w:val="24"/>
          <w:shd w:val="clear" w:color="auto" w:fill="FFFFFF"/>
        </w:rPr>
        <w:t> </w:t>
      </w:r>
      <w:r w:rsidRPr="004C1ACC">
        <w:rPr>
          <w:rFonts w:ascii="Times New Roman" w:hAnsi="Times New Roman" w:cs="Times New Roman"/>
          <w:color w:val="000000"/>
          <w:sz w:val="24"/>
          <w:szCs w:val="24"/>
          <w:shd w:val="clear" w:color="auto" w:fill="FFFFFF"/>
        </w:rPr>
        <w:t xml:space="preserve">External determinants include those factors which are uncontrollable by management of these institutions such as interest rates, inflation rates, market growth and market share. </w:t>
      </w:r>
    </w:p>
    <w:p w:rsidR="00863862" w:rsidRDefault="00D97B28" w:rsidP="00B421D2">
      <w:pPr>
        <w:autoSpaceDE w:val="0"/>
        <w:autoSpaceDN w:val="0"/>
        <w:adjustRightInd w:val="0"/>
        <w:spacing w:after="0" w:line="360" w:lineRule="auto"/>
        <w:contextualSpacing/>
        <w:jc w:val="both"/>
        <w:rPr>
          <w:rFonts w:ascii="Times New Roman" w:hAnsi="Times New Roman" w:cs="Times New Roman"/>
          <w:sz w:val="24"/>
          <w:szCs w:val="24"/>
        </w:rPr>
      </w:pPr>
      <w:r w:rsidRPr="004C1ACC">
        <w:rPr>
          <w:rFonts w:ascii="Times New Roman" w:hAnsi="Times New Roman" w:cs="Times New Roman"/>
          <w:color w:val="000000"/>
          <w:sz w:val="24"/>
          <w:szCs w:val="24"/>
          <w:shd w:val="clear" w:color="auto" w:fill="FFFFFF"/>
        </w:rPr>
        <w:t>The objective of this review is to examine</w:t>
      </w:r>
      <w:r w:rsidR="0051468E" w:rsidRPr="004C1ACC">
        <w:rPr>
          <w:rFonts w:ascii="Times New Roman" w:hAnsi="Times New Roman" w:cs="Times New Roman"/>
          <w:color w:val="000000"/>
          <w:sz w:val="24"/>
          <w:szCs w:val="24"/>
          <w:shd w:val="clear" w:color="auto" w:fill="FFFFFF"/>
        </w:rPr>
        <w:t xml:space="preserve"> and explore the main empirical results of</w:t>
      </w:r>
      <w:r w:rsidRPr="004C1ACC">
        <w:rPr>
          <w:rFonts w:ascii="Times New Roman" w:hAnsi="Times New Roman" w:cs="Times New Roman"/>
          <w:color w:val="000000"/>
          <w:sz w:val="24"/>
          <w:szCs w:val="24"/>
          <w:shd w:val="clear" w:color="auto" w:fill="FFFFFF"/>
        </w:rPr>
        <w:t xml:space="preserve"> related studies</w:t>
      </w:r>
      <w:r w:rsidR="0051468E" w:rsidRPr="004C1ACC">
        <w:rPr>
          <w:rFonts w:ascii="Times New Roman" w:hAnsi="Times New Roman" w:cs="Times New Roman"/>
          <w:color w:val="000000"/>
          <w:sz w:val="24"/>
          <w:szCs w:val="24"/>
          <w:shd w:val="clear" w:color="auto" w:fill="FFFFFF"/>
        </w:rPr>
        <w:t xml:space="preserve"> which examine</w:t>
      </w:r>
      <w:r w:rsidR="003C1835">
        <w:rPr>
          <w:rFonts w:ascii="Times New Roman" w:hAnsi="Times New Roman" w:cs="Times New Roman"/>
          <w:color w:val="000000"/>
          <w:sz w:val="24"/>
          <w:szCs w:val="24"/>
          <w:shd w:val="clear" w:color="auto" w:fill="FFFFFF"/>
        </w:rPr>
        <w:t xml:space="preserve"> </w:t>
      </w:r>
      <w:r w:rsidR="0051468E" w:rsidRPr="004C1ACC">
        <w:rPr>
          <w:rFonts w:ascii="Times New Roman" w:hAnsi="Times New Roman" w:cs="Times New Roman"/>
          <w:color w:val="000000"/>
          <w:sz w:val="24"/>
          <w:szCs w:val="24"/>
          <w:shd w:val="clear" w:color="auto" w:fill="FFFFFF"/>
        </w:rPr>
        <w:t xml:space="preserve">the variables </w:t>
      </w:r>
      <w:r w:rsidR="002471E4" w:rsidRPr="004C1ACC">
        <w:rPr>
          <w:rFonts w:ascii="Times New Roman" w:hAnsi="Times New Roman" w:cs="Times New Roman"/>
          <w:color w:val="000000"/>
          <w:sz w:val="24"/>
          <w:szCs w:val="24"/>
          <w:shd w:val="clear" w:color="auto" w:fill="FFFFFF"/>
        </w:rPr>
        <w:t>particularly</w:t>
      </w:r>
      <w:r w:rsidR="003C1835">
        <w:rPr>
          <w:rFonts w:ascii="Times New Roman" w:hAnsi="Times New Roman" w:cs="Times New Roman"/>
          <w:color w:val="000000"/>
          <w:sz w:val="24"/>
          <w:szCs w:val="24"/>
          <w:shd w:val="clear" w:color="auto" w:fill="FFFFFF"/>
        </w:rPr>
        <w:t xml:space="preserve"> </w:t>
      </w:r>
      <w:r w:rsidRPr="004C1ACC">
        <w:rPr>
          <w:rFonts w:ascii="Times New Roman" w:hAnsi="Times New Roman" w:cs="Times New Roman"/>
          <w:color w:val="000000"/>
          <w:sz w:val="24"/>
          <w:szCs w:val="24"/>
          <w:shd w:val="clear" w:color="auto" w:fill="FFFFFF"/>
        </w:rPr>
        <w:t>that concern of the internal determinants of commercial b</w:t>
      </w:r>
      <w:r w:rsidR="002471E4" w:rsidRPr="004C1ACC">
        <w:rPr>
          <w:rFonts w:ascii="Times New Roman" w:hAnsi="Times New Roman" w:cs="Times New Roman"/>
          <w:color w:val="000000"/>
          <w:sz w:val="24"/>
          <w:szCs w:val="24"/>
          <w:shd w:val="clear" w:color="auto" w:fill="FFFFFF"/>
        </w:rPr>
        <w:t>ank’s profitability. C</w:t>
      </w:r>
      <w:r w:rsidRPr="004C1ACC">
        <w:rPr>
          <w:rFonts w:ascii="Times New Roman" w:hAnsi="Times New Roman" w:cs="Times New Roman"/>
          <w:color w:val="000000"/>
          <w:sz w:val="24"/>
          <w:szCs w:val="24"/>
          <w:shd w:val="clear" w:color="auto" w:fill="FFFFFF"/>
        </w:rPr>
        <w:t>redit risk variable, and mitigation techniques used by banks to minimize credit risk</w:t>
      </w:r>
      <w:r w:rsidR="002471E4" w:rsidRPr="004C1ACC">
        <w:rPr>
          <w:rFonts w:ascii="Times New Roman" w:hAnsi="Times New Roman" w:cs="Times New Roman"/>
          <w:color w:val="000000"/>
          <w:sz w:val="24"/>
          <w:szCs w:val="24"/>
          <w:shd w:val="clear" w:color="auto" w:fill="FFFFFF"/>
        </w:rPr>
        <w:t xml:space="preserve"> will be the most </w:t>
      </w:r>
      <w:r w:rsidR="00721BF0" w:rsidRPr="004C1ACC">
        <w:rPr>
          <w:rFonts w:ascii="Times New Roman" w:hAnsi="Times New Roman" w:cs="Times New Roman"/>
          <w:color w:val="000000"/>
          <w:sz w:val="24"/>
          <w:szCs w:val="24"/>
          <w:shd w:val="clear" w:color="auto" w:fill="FFFFFF"/>
        </w:rPr>
        <w:t>highlighted,</w:t>
      </w:r>
      <w:r w:rsidR="00721BF0" w:rsidRPr="004C1ACC">
        <w:rPr>
          <w:rFonts w:ascii="Times New Roman" w:hAnsi="Times New Roman" w:cs="Times New Roman"/>
          <w:sz w:val="24"/>
          <w:szCs w:val="24"/>
        </w:rPr>
        <w:t xml:space="preserve"> since</w:t>
      </w:r>
      <w:r w:rsidRPr="004C1ACC">
        <w:rPr>
          <w:rFonts w:ascii="Times New Roman" w:hAnsi="Times New Roman" w:cs="Times New Roman"/>
          <w:color w:val="000000"/>
          <w:sz w:val="24"/>
          <w:szCs w:val="24"/>
          <w:shd w:val="clear" w:color="auto" w:fill="FFFFFF"/>
        </w:rPr>
        <w:t xml:space="preserve"> credit risk is the most significant current and prospective variable affects the bank’s earnings or capital.</w:t>
      </w:r>
      <w:r w:rsidR="00721BF0">
        <w:rPr>
          <w:rFonts w:ascii="Times New Roman" w:hAnsi="Times New Roman" w:cs="Times New Roman"/>
          <w:sz w:val="24"/>
          <w:szCs w:val="24"/>
        </w:rPr>
        <w:t xml:space="preserve"> </w:t>
      </w:r>
      <w:r w:rsidR="007A3A53" w:rsidRPr="004C1ACC">
        <w:rPr>
          <w:rFonts w:ascii="Times New Roman" w:hAnsi="Times New Roman" w:cs="Times New Roman"/>
          <w:sz w:val="24"/>
          <w:szCs w:val="24"/>
        </w:rPr>
        <w:t xml:space="preserve">The review will also include how the literate measure profitability of banks. </w:t>
      </w:r>
    </w:p>
    <w:p w:rsidR="00650255" w:rsidRPr="004C1ACC" w:rsidRDefault="00650255" w:rsidP="00B421D2">
      <w:pPr>
        <w:autoSpaceDE w:val="0"/>
        <w:autoSpaceDN w:val="0"/>
        <w:adjustRightInd w:val="0"/>
        <w:spacing w:after="0" w:line="360" w:lineRule="auto"/>
        <w:contextualSpacing/>
        <w:jc w:val="both"/>
        <w:rPr>
          <w:rFonts w:ascii="Times New Roman" w:hAnsi="Times New Roman" w:cs="Times New Roman"/>
          <w:sz w:val="24"/>
          <w:szCs w:val="24"/>
        </w:rPr>
      </w:pPr>
    </w:p>
    <w:p w:rsidR="00D97B28" w:rsidRPr="001B6D4E" w:rsidRDefault="00A277B8" w:rsidP="00D97B28">
      <w:pPr>
        <w:autoSpaceDE w:val="0"/>
        <w:autoSpaceDN w:val="0"/>
        <w:adjustRightInd w:val="0"/>
        <w:spacing w:after="0" w:line="360" w:lineRule="auto"/>
        <w:rPr>
          <w:rFonts w:ascii="Times New Roman" w:hAnsi="Times New Roman" w:cs="Times New Roman"/>
          <w:b/>
          <w:sz w:val="24"/>
          <w:szCs w:val="24"/>
        </w:rPr>
      </w:pPr>
      <w:r w:rsidRPr="001B6D4E">
        <w:rPr>
          <w:rFonts w:ascii="Times New Roman" w:hAnsi="Times New Roman" w:cs="Times New Roman"/>
          <w:b/>
          <w:sz w:val="24"/>
          <w:szCs w:val="24"/>
        </w:rPr>
        <w:t>2.6.2</w:t>
      </w:r>
      <w:r w:rsidR="00576579" w:rsidRPr="001B6D4E">
        <w:rPr>
          <w:rFonts w:ascii="Times New Roman" w:hAnsi="Times New Roman" w:cs="Times New Roman"/>
          <w:b/>
          <w:sz w:val="24"/>
          <w:szCs w:val="24"/>
        </w:rPr>
        <w:t xml:space="preserve"> Related</w:t>
      </w:r>
      <w:r w:rsidRPr="001B6D4E">
        <w:rPr>
          <w:rFonts w:ascii="Times New Roman" w:hAnsi="Times New Roman" w:cs="Times New Roman"/>
          <w:b/>
          <w:sz w:val="24"/>
          <w:szCs w:val="24"/>
        </w:rPr>
        <w:t xml:space="preserve"> Studies</w:t>
      </w:r>
    </w:p>
    <w:p w:rsidR="00D97B28" w:rsidRPr="003C1835" w:rsidRDefault="00D97B28" w:rsidP="00515283">
      <w:pPr>
        <w:autoSpaceDE w:val="0"/>
        <w:autoSpaceDN w:val="0"/>
        <w:adjustRightInd w:val="0"/>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1-A</w:t>
      </w:r>
      <w:r w:rsidR="00430DFE" w:rsidRPr="003C1835">
        <w:rPr>
          <w:rFonts w:ascii="Times New Roman" w:hAnsi="Times New Roman" w:cs="Times New Roman"/>
          <w:bCs/>
          <w:sz w:val="24"/>
          <w:szCs w:val="24"/>
        </w:rPr>
        <w:t>study by Arif et al. (</w:t>
      </w:r>
      <w:r w:rsidR="00576579" w:rsidRPr="003C1835">
        <w:rPr>
          <w:rFonts w:ascii="Times New Roman" w:hAnsi="Times New Roman" w:cs="Times New Roman"/>
          <w:bCs/>
          <w:sz w:val="24"/>
          <w:szCs w:val="24"/>
        </w:rPr>
        <w:t>2012) entitled</w:t>
      </w:r>
      <w:r w:rsidR="00CF1B67" w:rsidRPr="003C1835">
        <w:rPr>
          <w:rFonts w:ascii="Times New Roman" w:hAnsi="Times New Roman" w:cs="Times New Roman"/>
          <w:bCs/>
          <w:sz w:val="24"/>
          <w:szCs w:val="24"/>
          <w:lang w:val="en-GB"/>
        </w:rPr>
        <w:t>”</w:t>
      </w:r>
      <w:r w:rsidR="00576579" w:rsidRPr="003C1835">
        <w:rPr>
          <w:rFonts w:ascii="Times New Roman" w:hAnsi="Times New Roman" w:cs="Times New Roman"/>
          <w:bCs/>
          <w:sz w:val="24"/>
          <w:szCs w:val="24"/>
          <w:lang w:val="en-GB"/>
        </w:rPr>
        <w:t xml:space="preserve"> Credit Risk and Shareholders’ Value in a Developing Economy: Evidence from Pakistani Banking System”</w:t>
      </w:r>
      <w:r w:rsidR="00CF1B67" w:rsidRPr="003C1835">
        <w:rPr>
          <w:rFonts w:ascii="Times New Roman" w:hAnsi="Times New Roman" w:cs="Times New Roman"/>
          <w:bCs/>
          <w:sz w:val="24"/>
          <w:szCs w:val="24"/>
          <w:lang w:val="en-GB"/>
        </w:rPr>
        <w:t>.</w:t>
      </w:r>
      <w:r w:rsidR="00576579" w:rsidRPr="003C1835">
        <w:rPr>
          <w:rFonts w:ascii="Times New Roman" w:hAnsi="Times New Roman" w:cs="Times New Roman"/>
          <w:bCs/>
          <w:sz w:val="24"/>
          <w:szCs w:val="24"/>
        </w:rPr>
        <w:t xml:space="preserve"> </w:t>
      </w:r>
      <w:r w:rsidR="00212F51">
        <w:rPr>
          <w:rFonts w:ascii="Times New Roman" w:hAnsi="Times New Roman" w:cs="Times New Roman"/>
          <w:bCs/>
          <w:sz w:val="24"/>
          <w:szCs w:val="24"/>
        </w:rPr>
        <w:t xml:space="preserve">The </w:t>
      </w:r>
      <w:r w:rsidR="00E04FD0">
        <w:rPr>
          <w:rFonts w:ascii="Times New Roman" w:hAnsi="Times New Roman" w:cs="Times New Roman"/>
          <w:bCs/>
          <w:sz w:val="24"/>
          <w:szCs w:val="24"/>
        </w:rPr>
        <w:t>study inspects</w:t>
      </w:r>
      <w:r w:rsidR="00212F51">
        <w:rPr>
          <w:rFonts w:ascii="Times New Roman" w:hAnsi="Times New Roman" w:cs="Times New Roman"/>
          <w:bCs/>
          <w:sz w:val="24"/>
          <w:szCs w:val="24"/>
        </w:rPr>
        <w:t xml:space="preserve"> the role </w:t>
      </w:r>
      <w:r w:rsidR="00212F51" w:rsidRPr="003C1835">
        <w:rPr>
          <w:rFonts w:ascii="Times New Roman" w:hAnsi="Times New Roman" w:cs="Times New Roman"/>
          <w:bCs/>
          <w:sz w:val="24"/>
          <w:szCs w:val="24"/>
        </w:rPr>
        <w:t>of credit risk in value creation process in the banking system of Pakistan.</w:t>
      </w:r>
      <w:r w:rsidR="00212F51">
        <w:rPr>
          <w:rFonts w:ascii="Times New Roman" w:hAnsi="Times New Roman" w:cs="Times New Roman"/>
          <w:bCs/>
          <w:sz w:val="24"/>
          <w:szCs w:val="24"/>
        </w:rPr>
        <w:t xml:space="preserve"> The </w:t>
      </w:r>
      <w:r w:rsidR="00E04FD0">
        <w:rPr>
          <w:rFonts w:ascii="Times New Roman" w:hAnsi="Times New Roman" w:cs="Times New Roman"/>
          <w:bCs/>
          <w:sz w:val="24"/>
          <w:szCs w:val="24"/>
        </w:rPr>
        <w:t>study establishes</w:t>
      </w:r>
      <w:r w:rsidR="00212F51">
        <w:rPr>
          <w:rFonts w:ascii="Times New Roman" w:hAnsi="Times New Roman" w:cs="Times New Roman"/>
          <w:bCs/>
          <w:sz w:val="24"/>
          <w:szCs w:val="24"/>
        </w:rPr>
        <w:t xml:space="preserve"> a model with three credit risk indicators, </w:t>
      </w:r>
      <w:r w:rsidR="00212F51" w:rsidRPr="003C1835">
        <w:rPr>
          <w:rFonts w:ascii="Times New Roman" w:hAnsi="Times New Roman" w:cs="Times New Roman"/>
          <w:bCs/>
          <w:sz w:val="24"/>
          <w:szCs w:val="24"/>
        </w:rPr>
        <w:t>loss provisions, advances and capital adequacy ratio</w:t>
      </w:r>
      <w:r w:rsidR="00212F51">
        <w:rPr>
          <w:rFonts w:ascii="Times New Roman" w:hAnsi="Times New Roman" w:cs="Times New Roman"/>
          <w:bCs/>
          <w:sz w:val="24"/>
          <w:szCs w:val="24"/>
        </w:rPr>
        <w:t xml:space="preserve">. The </w:t>
      </w:r>
      <w:r w:rsidR="00E04FD0">
        <w:rPr>
          <w:rFonts w:ascii="Times New Roman" w:hAnsi="Times New Roman" w:cs="Times New Roman"/>
          <w:bCs/>
          <w:sz w:val="24"/>
          <w:szCs w:val="24"/>
        </w:rPr>
        <w:t>study employs</w:t>
      </w:r>
      <w:r w:rsidR="00212F51">
        <w:rPr>
          <w:rFonts w:ascii="Times New Roman" w:hAnsi="Times New Roman" w:cs="Times New Roman"/>
          <w:bCs/>
          <w:sz w:val="24"/>
          <w:szCs w:val="24"/>
        </w:rPr>
        <w:t xml:space="preserve"> Return On Equity (ROE) and Market Return on shares </w:t>
      </w:r>
      <w:r w:rsidR="00212F51">
        <w:rPr>
          <w:rFonts w:ascii="Times New Roman" w:hAnsi="Times New Roman" w:cs="Times New Roman"/>
          <w:bCs/>
          <w:sz w:val="24"/>
          <w:szCs w:val="24"/>
        </w:rPr>
        <w:lastRenderedPageBreak/>
        <w:t xml:space="preserve">as indicators to the value creation. The </w:t>
      </w:r>
      <w:r w:rsidR="00E04FD0">
        <w:rPr>
          <w:rFonts w:ascii="Times New Roman" w:hAnsi="Times New Roman" w:cs="Times New Roman"/>
          <w:bCs/>
          <w:sz w:val="24"/>
          <w:szCs w:val="24"/>
        </w:rPr>
        <w:t>study collects</w:t>
      </w:r>
      <w:r w:rsidR="00212F51">
        <w:rPr>
          <w:rFonts w:ascii="Times New Roman" w:hAnsi="Times New Roman" w:cs="Times New Roman"/>
          <w:bCs/>
          <w:sz w:val="24"/>
          <w:szCs w:val="24"/>
        </w:rPr>
        <w:t xml:space="preserve"> data from 20 banks from the period 2004-2009. Results revealed that credit risk plays a minimal role in value creation process.</w:t>
      </w:r>
    </w:p>
    <w:p w:rsidR="006A1672" w:rsidRPr="00D33D60" w:rsidRDefault="00D97B28" w:rsidP="00515283">
      <w:pPr>
        <w:spacing w:after="0" w:line="360" w:lineRule="auto"/>
        <w:jc w:val="both"/>
        <w:rPr>
          <w:rFonts w:ascii="Times New Roman" w:hAnsi="Times New Roman" w:cs="Times New Roman"/>
          <w:sz w:val="24"/>
          <w:szCs w:val="24"/>
        </w:rPr>
      </w:pPr>
      <w:r w:rsidRPr="003C1835">
        <w:rPr>
          <w:rFonts w:ascii="Times New Roman" w:hAnsi="Times New Roman" w:cs="Times New Roman"/>
          <w:bCs/>
          <w:sz w:val="24"/>
          <w:szCs w:val="24"/>
        </w:rPr>
        <w:t>2-A study by</w:t>
      </w:r>
      <w:r w:rsidR="006A1672" w:rsidRPr="003C1835">
        <w:rPr>
          <w:rFonts w:ascii="Times New Roman" w:hAnsi="Times New Roman" w:cs="Times New Roman"/>
          <w:bCs/>
          <w:sz w:val="24"/>
          <w:szCs w:val="24"/>
        </w:rPr>
        <w:t xml:space="preserve"> Ramadan, et al.,</w:t>
      </w:r>
      <w:r w:rsidRPr="003C1835">
        <w:rPr>
          <w:rFonts w:ascii="Times New Roman" w:hAnsi="Times New Roman" w:cs="Times New Roman"/>
          <w:bCs/>
          <w:sz w:val="24"/>
          <w:szCs w:val="24"/>
        </w:rPr>
        <w:t xml:space="preserve"> (2011)</w:t>
      </w:r>
      <w:r w:rsidR="006A1672" w:rsidRPr="003C1835">
        <w:rPr>
          <w:rFonts w:ascii="Times New Roman" w:hAnsi="Times New Roman" w:cs="Times New Roman"/>
          <w:bCs/>
          <w:sz w:val="24"/>
          <w:szCs w:val="24"/>
        </w:rPr>
        <w:t xml:space="preserve"> entitled “Determinants of bank profitability: evidence from </w:t>
      </w:r>
      <w:r w:rsidR="00721BF0" w:rsidRPr="003C1835">
        <w:rPr>
          <w:rFonts w:ascii="Times New Roman" w:hAnsi="Times New Roman" w:cs="Times New Roman"/>
          <w:bCs/>
          <w:sz w:val="24"/>
          <w:szCs w:val="24"/>
        </w:rPr>
        <w:t>Jordan".</w:t>
      </w:r>
      <w:r w:rsidR="00721BF0" w:rsidRPr="003C1835">
        <w:rPr>
          <w:rFonts w:ascii="Times New Roman" w:hAnsi="Times New Roman" w:cs="Times New Roman"/>
          <w:bCs/>
          <w:sz w:val="24"/>
          <w:szCs w:val="24"/>
          <w:shd w:val="clear" w:color="auto" w:fill="FFFFFF"/>
        </w:rPr>
        <w:t xml:space="preserve"> In</w:t>
      </w:r>
      <w:r w:rsidR="009C3B5F" w:rsidRPr="003C1835">
        <w:rPr>
          <w:rFonts w:ascii="Times New Roman" w:hAnsi="Times New Roman" w:cs="Times New Roman"/>
          <w:bCs/>
          <w:sz w:val="24"/>
          <w:szCs w:val="24"/>
          <w:shd w:val="clear" w:color="auto" w:fill="FFFFFF"/>
        </w:rPr>
        <w:t xml:space="preserve"> this study, a</w:t>
      </w:r>
      <w:r w:rsidR="006A1672" w:rsidRPr="003C1835">
        <w:rPr>
          <w:rFonts w:ascii="Times New Roman" w:hAnsi="Times New Roman" w:cs="Times New Roman"/>
          <w:bCs/>
          <w:sz w:val="24"/>
          <w:szCs w:val="24"/>
          <w:shd w:val="clear" w:color="auto" w:fill="FFFFFF"/>
        </w:rPr>
        <w:t xml:space="preserve"> panel data set of Jordania</w:t>
      </w:r>
      <w:r w:rsidR="009C3B5F" w:rsidRPr="003C1835">
        <w:rPr>
          <w:rFonts w:ascii="Times New Roman" w:hAnsi="Times New Roman" w:cs="Times New Roman"/>
          <w:bCs/>
          <w:sz w:val="24"/>
          <w:szCs w:val="24"/>
          <w:shd w:val="clear" w:color="auto" w:fill="FFFFFF"/>
        </w:rPr>
        <w:t xml:space="preserve">n banks was used for the </w:t>
      </w:r>
      <w:r w:rsidR="00C15B70" w:rsidRPr="003C1835">
        <w:rPr>
          <w:rFonts w:ascii="Times New Roman" w:hAnsi="Times New Roman" w:cs="Times New Roman"/>
          <w:bCs/>
          <w:sz w:val="24"/>
          <w:szCs w:val="24"/>
          <w:shd w:val="clear" w:color="auto" w:fill="FFFFFF"/>
        </w:rPr>
        <w:t>aim of</w:t>
      </w:r>
      <w:r w:rsidR="006A1672" w:rsidRPr="003C1835">
        <w:rPr>
          <w:rFonts w:ascii="Times New Roman" w:hAnsi="Times New Roman" w:cs="Times New Roman"/>
          <w:bCs/>
          <w:sz w:val="24"/>
          <w:szCs w:val="24"/>
          <w:shd w:val="clear" w:color="auto" w:fill="FFFFFF"/>
        </w:rPr>
        <w:t xml:space="preserve"> investigating the nature of the relations</w:t>
      </w:r>
      <w:r w:rsidR="009C3B5F" w:rsidRPr="003C1835">
        <w:rPr>
          <w:rFonts w:ascii="Times New Roman" w:hAnsi="Times New Roman" w:cs="Times New Roman"/>
          <w:bCs/>
          <w:sz w:val="24"/>
          <w:szCs w:val="24"/>
          <w:shd w:val="clear" w:color="auto" w:fill="FFFFFF"/>
        </w:rPr>
        <w:t>hip between</w:t>
      </w:r>
      <w:r w:rsidR="006A1672" w:rsidRPr="003C1835">
        <w:rPr>
          <w:rFonts w:ascii="Times New Roman" w:hAnsi="Times New Roman" w:cs="Times New Roman"/>
          <w:bCs/>
          <w:sz w:val="24"/>
          <w:szCs w:val="24"/>
          <w:shd w:val="clear" w:color="auto" w:fill="FFFFFF"/>
        </w:rPr>
        <w:t xml:space="preserve"> banks</w:t>
      </w:r>
      <w:r w:rsidR="00721BF0">
        <w:rPr>
          <w:rFonts w:ascii="Times New Roman" w:hAnsi="Times New Roman" w:cs="Times New Roman"/>
          <w:bCs/>
          <w:sz w:val="24"/>
          <w:szCs w:val="24"/>
          <w:shd w:val="clear" w:color="auto" w:fill="FFFFFF"/>
        </w:rPr>
        <w:t xml:space="preserve"> </w:t>
      </w:r>
      <w:r w:rsidR="009C3B5F" w:rsidRPr="003C1835">
        <w:rPr>
          <w:rFonts w:ascii="Times New Roman" w:hAnsi="Times New Roman" w:cs="Times New Roman"/>
          <w:bCs/>
          <w:sz w:val="24"/>
          <w:szCs w:val="24"/>
          <w:shd w:val="clear" w:color="auto" w:fill="FFFFFF"/>
        </w:rPr>
        <w:t>profitability</w:t>
      </w:r>
      <w:r w:rsidR="006A1672" w:rsidRPr="003C1835">
        <w:rPr>
          <w:rFonts w:ascii="Times New Roman" w:hAnsi="Times New Roman" w:cs="Times New Roman"/>
          <w:bCs/>
          <w:sz w:val="24"/>
          <w:szCs w:val="24"/>
          <w:shd w:val="clear" w:color="auto" w:fill="FFFFFF"/>
        </w:rPr>
        <w:t xml:space="preserve"> and the characteristics of internal and external factors. For this purpose</w:t>
      </w:r>
      <w:r w:rsidR="00BB6ED4" w:rsidRPr="003C1835">
        <w:rPr>
          <w:rFonts w:ascii="Times New Roman" w:hAnsi="Times New Roman" w:cs="Times New Roman"/>
          <w:bCs/>
          <w:sz w:val="24"/>
          <w:szCs w:val="24"/>
          <w:shd w:val="clear" w:color="auto" w:fill="FFFFFF"/>
        </w:rPr>
        <w:t>,</w:t>
      </w:r>
      <w:r w:rsidR="006A1672" w:rsidRPr="003C1835">
        <w:rPr>
          <w:rFonts w:ascii="Times New Roman" w:hAnsi="Times New Roman" w:cs="Times New Roman"/>
          <w:bCs/>
          <w:sz w:val="24"/>
          <w:szCs w:val="24"/>
          <w:shd w:val="clear" w:color="auto" w:fill="FFFFFF"/>
        </w:rPr>
        <w:t xml:space="preserve"> 100 </w:t>
      </w:r>
      <w:r w:rsidR="008210E1" w:rsidRPr="003C1835">
        <w:rPr>
          <w:rFonts w:ascii="Times New Roman" w:hAnsi="Times New Roman" w:cs="Times New Roman"/>
          <w:bCs/>
          <w:sz w:val="24"/>
          <w:szCs w:val="24"/>
          <w:shd w:val="clear" w:color="auto" w:fill="FFFFFF"/>
        </w:rPr>
        <w:t>observations</w:t>
      </w:r>
      <w:r w:rsidR="006A1672" w:rsidRPr="003C1835">
        <w:rPr>
          <w:rFonts w:ascii="Times New Roman" w:hAnsi="Times New Roman" w:cs="Times New Roman"/>
          <w:bCs/>
          <w:sz w:val="24"/>
          <w:szCs w:val="24"/>
          <w:shd w:val="clear" w:color="auto" w:fill="FFFFFF"/>
        </w:rPr>
        <w:t xml:space="preserve"> of 10 banks over the</w:t>
      </w:r>
      <w:r w:rsidR="009C3B5F" w:rsidRPr="003C1835">
        <w:rPr>
          <w:rFonts w:ascii="Times New Roman" w:hAnsi="Times New Roman" w:cs="Times New Roman"/>
          <w:bCs/>
          <w:sz w:val="24"/>
          <w:szCs w:val="24"/>
          <w:shd w:val="clear" w:color="auto" w:fill="FFFFFF"/>
        </w:rPr>
        <w:t xml:space="preserve"> period 2001-2010 were covered</w:t>
      </w:r>
      <w:r w:rsidR="006A1672" w:rsidRPr="003C1835">
        <w:rPr>
          <w:rFonts w:ascii="Times New Roman" w:hAnsi="Times New Roman" w:cs="Times New Roman"/>
          <w:bCs/>
          <w:sz w:val="24"/>
          <w:szCs w:val="24"/>
          <w:shd w:val="clear" w:color="auto" w:fill="FFFFFF"/>
        </w:rPr>
        <w:t>.</w:t>
      </w:r>
      <w:r w:rsidR="00D33D60">
        <w:rPr>
          <w:rFonts w:ascii="Times New Roman" w:hAnsi="Times New Roman" w:cs="Times New Roman"/>
          <w:bCs/>
          <w:sz w:val="24"/>
          <w:szCs w:val="24"/>
          <w:shd w:val="clear" w:color="auto" w:fill="FFFFFF"/>
        </w:rPr>
        <w:t xml:space="preserve"> The study employs two measures of profitability, Return On Equity (ROE) and Return On Assets (ROA). The results of study suggest that the characteristics of Jordanian banks describe important part of the</w:t>
      </w:r>
      <w:r w:rsidR="00D33D60" w:rsidRPr="003C1835">
        <w:rPr>
          <w:rFonts w:ascii="Times New Roman" w:hAnsi="Times New Roman" w:cs="Times New Roman"/>
          <w:bCs/>
          <w:sz w:val="24"/>
          <w:szCs w:val="24"/>
          <w:shd w:val="clear" w:color="auto" w:fill="FFFFFF"/>
        </w:rPr>
        <w:t xml:space="preserve"> variation in bank profitability</w:t>
      </w:r>
      <w:r w:rsidR="00D33D60">
        <w:rPr>
          <w:rFonts w:ascii="Times New Roman" w:hAnsi="Times New Roman" w:cs="Times New Roman"/>
          <w:bCs/>
          <w:sz w:val="24"/>
          <w:szCs w:val="24"/>
          <w:shd w:val="clear" w:color="auto" w:fill="FFFFFF"/>
        </w:rPr>
        <w:t>. Capitalized banks, low credit risk, high lending transactions, effective cost management tend to have high profitability</w:t>
      </w:r>
      <w:r w:rsidR="006A1672" w:rsidRPr="003C1835">
        <w:rPr>
          <w:rFonts w:ascii="Times New Roman" w:hAnsi="Times New Roman" w:cs="Times New Roman"/>
          <w:bCs/>
          <w:sz w:val="24"/>
          <w:szCs w:val="24"/>
          <w:shd w:val="clear" w:color="auto" w:fill="FFFFFF"/>
        </w:rPr>
        <w:t>.</w:t>
      </w:r>
      <w:r w:rsidR="006A1672" w:rsidRPr="003C1835">
        <w:rPr>
          <w:rStyle w:val="apple-converted-space"/>
          <w:rFonts w:ascii="Times New Roman" w:hAnsi="Times New Roman" w:cs="Times New Roman"/>
          <w:bCs/>
          <w:sz w:val="24"/>
          <w:szCs w:val="24"/>
          <w:shd w:val="clear" w:color="auto" w:fill="FFFFFF"/>
        </w:rPr>
        <w:t> </w:t>
      </w:r>
    </w:p>
    <w:p w:rsidR="00495C51" w:rsidRDefault="00CF1B67" w:rsidP="00863862">
      <w:pPr>
        <w:autoSpaceDE w:val="0"/>
        <w:autoSpaceDN w:val="0"/>
        <w:adjustRightInd w:val="0"/>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3</w:t>
      </w:r>
      <w:r w:rsidR="001B2C10" w:rsidRPr="003C1835">
        <w:rPr>
          <w:rFonts w:ascii="Times New Roman" w:hAnsi="Times New Roman" w:cs="Times New Roman"/>
          <w:bCs/>
          <w:sz w:val="24"/>
          <w:szCs w:val="24"/>
        </w:rPr>
        <w:t>- A study</w:t>
      </w:r>
      <w:r w:rsidRPr="003C1835">
        <w:rPr>
          <w:rFonts w:ascii="Times New Roman" w:hAnsi="Times New Roman" w:cs="Times New Roman"/>
          <w:bCs/>
          <w:sz w:val="24"/>
          <w:szCs w:val="24"/>
        </w:rPr>
        <w:t xml:space="preserve"> by Almazari (2011) entitled “Financial Performance Evaluation of Some Selected Jordanian Commercial </w:t>
      </w:r>
      <w:r w:rsidR="00495C51" w:rsidRPr="003C1835">
        <w:rPr>
          <w:rFonts w:ascii="Times New Roman" w:hAnsi="Times New Roman" w:cs="Times New Roman"/>
          <w:bCs/>
          <w:sz w:val="24"/>
          <w:szCs w:val="24"/>
        </w:rPr>
        <w:t>Banks”.</w:t>
      </w:r>
      <w:r w:rsidR="00495C51">
        <w:rPr>
          <w:rFonts w:ascii="Times New Roman" w:hAnsi="Times New Roman" w:cs="Times New Roman"/>
          <w:bCs/>
          <w:sz w:val="24"/>
          <w:szCs w:val="24"/>
        </w:rPr>
        <w:t xml:space="preserve"> The study tests the financial performance of Jordanian banks. The dependent variable, Return On Assets used as performance measurement and bank size, asset management, operational efficiency as independent variables. The results showed a strong negative relationship between Return on Assets and bank’s size, a strong positive relationship between ROA and asset management ratio and a negative weak correlation between ROA and operational efficiency.</w:t>
      </w:r>
    </w:p>
    <w:p w:rsidR="00495C51" w:rsidRPr="006B1B72" w:rsidRDefault="001B2C10" w:rsidP="00515283">
      <w:pPr>
        <w:autoSpaceDE w:val="0"/>
        <w:autoSpaceDN w:val="0"/>
        <w:adjustRightInd w:val="0"/>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 xml:space="preserve">4-The study by Flamini et al. (2009) entitled </w:t>
      </w:r>
      <w:r w:rsidRPr="003C1835">
        <w:rPr>
          <w:rFonts w:ascii="Times New Roman" w:eastAsia="ArialMT" w:hAnsi="Times New Roman" w:cs="Times New Roman"/>
          <w:bCs/>
          <w:sz w:val="24"/>
          <w:szCs w:val="24"/>
        </w:rPr>
        <w:t xml:space="preserve">“The Determinants of Commercial Bank Profitability in Sub-Saharan </w:t>
      </w:r>
      <w:r w:rsidR="003C1835" w:rsidRPr="003C1835">
        <w:rPr>
          <w:rFonts w:ascii="Times New Roman" w:eastAsia="ArialMT" w:hAnsi="Times New Roman" w:cs="Times New Roman"/>
          <w:bCs/>
          <w:sz w:val="24"/>
          <w:szCs w:val="24"/>
        </w:rPr>
        <w:t xml:space="preserve">Africa". </w:t>
      </w:r>
      <w:r w:rsidR="00495C51">
        <w:rPr>
          <w:rFonts w:ascii="Times New Roman" w:hAnsi="Times New Roman" w:cs="Times New Roman"/>
          <w:bCs/>
          <w:sz w:val="24"/>
          <w:szCs w:val="24"/>
        </w:rPr>
        <w:t xml:space="preserve">The study tests bank’s profitability </w:t>
      </w:r>
      <w:r w:rsidR="00495C51" w:rsidRPr="003C1835">
        <w:rPr>
          <w:rFonts w:ascii="Times New Roman" w:eastAsia="ArialMT" w:hAnsi="Times New Roman" w:cs="Times New Roman"/>
          <w:bCs/>
          <w:sz w:val="24"/>
          <w:szCs w:val="24"/>
        </w:rPr>
        <w:t>in Sub-Saharan Africa</w:t>
      </w:r>
      <w:r w:rsidR="00495C51">
        <w:rPr>
          <w:rFonts w:ascii="Times New Roman" w:eastAsia="ArialMT" w:hAnsi="Times New Roman" w:cs="Times New Roman"/>
          <w:bCs/>
          <w:sz w:val="24"/>
          <w:szCs w:val="24"/>
        </w:rPr>
        <w:t xml:space="preserve">. Using 389 sample banks in 41 </w:t>
      </w:r>
      <w:r w:rsidR="00495C51" w:rsidRPr="003C1835">
        <w:rPr>
          <w:rFonts w:ascii="Times New Roman" w:hAnsi="Times New Roman" w:cs="Times New Roman"/>
          <w:bCs/>
          <w:sz w:val="24"/>
          <w:szCs w:val="24"/>
        </w:rPr>
        <w:t>Sub-Saharan Africa</w:t>
      </w:r>
      <w:r w:rsidR="00495C51">
        <w:rPr>
          <w:rFonts w:ascii="Times New Roman" w:hAnsi="Times New Roman" w:cs="Times New Roman"/>
          <w:bCs/>
          <w:sz w:val="24"/>
          <w:szCs w:val="24"/>
        </w:rPr>
        <w:t xml:space="preserve"> from 1998-2006. Return On assets employed as profitability indicator, loans to deposit ratio and short-term funding resourc</w:t>
      </w:r>
      <w:r w:rsidR="00515283">
        <w:rPr>
          <w:rFonts w:ascii="Times New Roman" w:hAnsi="Times New Roman" w:cs="Times New Roman"/>
          <w:bCs/>
          <w:sz w:val="24"/>
          <w:szCs w:val="24"/>
        </w:rPr>
        <w:t xml:space="preserve">es used credit risk </w:t>
      </w:r>
      <w:r w:rsidR="008F2482">
        <w:rPr>
          <w:rFonts w:ascii="Times New Roman" w:hAnsi="Times New Roman" w:cs="Times New Roman"/>
          <w:bCs/>
          <w:sz w:val="24"/>
          <w:szCs w:val="24"/>
        </w:rPr>
        <w:t>indicators. The</w:t>
      </w:r>
      <w:r w:rsidR="00495C51">
        <w:rPr>
          <w:rFonts w:ascii="Times New Roman" w:hAnsi="Times New Roman" w:cs="Times New Roman"/>
          <w:bCs/>
          <w:sz w:val="24"/>
          <w:szCs w:val="24"/>
        </w:rPr>
        <w:t xml:space="preserve"> results suggest that larger banks, activity mix (diversification of activities) and banks with private ownership have higher return on assets. Also study results proposed that bank’s profitability are affected by </w:t>
      </w:r>
      <w:r w:rsidR="00495C51" w:rsidRPr="003C1835">
        <w:rPr>
          <w:rFonts w:ascii="Times New Roman" w:hAnsi="Times New Roman" w:cs="Times New Roman"/>
          <w:bCs/>
          <w:sz w:val="24"/>
          <w:szCs w:val="24"/>
        </w:rPr>
        <w:t>macroeconomic variables</w:t>
      </w:r>
      <w:r w:rsidR="008F2482">
        <w:rPr>
          <w:rFonts w:ascii="Times New Roman" w:hAnsi="Times New Roman" w:cs="Times New Roman"/>
          <w:bCs/>
          <w:sz w:val="24"/>
          <w:szCs w:val="24"/>
        </w:rPr>
        <w:t>.</w:t>
      </w:r>
    </w:p>
    <w:p w:rsidR="001B2C10" w:rsidRPr="003C1835" w:rsidRDefault="001B2C10" w:rsidP="00863862">
      <w:pPr>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5- A study by Bakar and Tahir (2009) ent</w:t>
      </w:r>
      <w:r w:rsidR="00187118" w:rsidRPr="003C1835">
        <w:rPr>
          <w:rFonts w:ascii="Times New Roman" w:hAnsi="Times New Roman" w:cs="Times New Roman"/>
          <w:bCs/>
          <w:sz w:val="24"/>
          <w:szCs w:val="24"/>
        </w:rPr>
        <w:t xml:space="preserve">itled” Applying Multiple Linear </w:t>
      </w:r>
      <w:r w:rsidRPr="003C1835">
        <w:rPr>
          <w:rFonts w:ascii="Times New Roman" w:hAnsi="Times New Roman" w:cs="Times New Roman"/>
          <w:bCs/>
          <w:sz w:val="24"/>
          <w:szCs w:val="24"/>
        </w:rPr>
        <w:t xml:space="preserve">Regression and Neural Network to Predict Bank </w:t>
      </w:r>
      <w:r w:rsidR="003C1835" w:rsidRPr="003C1835">
        <w:rPr>
          <w:rFonts w:ascii="Times New Roman" w:hAnsi="Times New Roman" w:cs="Times New Roman"/>
          <w:bCs/>
          <w:sz w:val="24"/>
          <w:szCs w:val="24"/>
        </w:rPr>
        <w:t xml:space="preserve">Performance". </w:t>
      </w:r>
      <w:r w:rsidR="00D13370">
        <w:rPr>
          <w:rFonts w:ascii="Times New Roman" w:hAnsi="Times New Roman" w:cs="Times New Roman"/>
          <w:bCs/>
          <w:sz w:val="24"/>
          <w:szCs w:val="24"/>
        </w:rPr>
        <w:t xml:space="preserve">The study judge bank’s performance in </w:t>
      </w:r>
      <w:r w:rsidR="00D13370" w:rsidRPr="003C1835">
        <w:rPr>
          <w:rFonts w:ascii="Times New Roman" w:hAnsi="Times New Roman" w:cs="Times New Roman"/>
          <w:bCs/>
          <w:sz w:val="24"/>
          <w:szCs w:val="24"/>
        </w:rPr>
        <w:t>Malaysia</w:t>
      </w:r>
      <w:r w:rsidR="00D13370">
        <w:rPr>
          <w:rFonts w:ascii="Times New Roman" w:hAnsi="Times New Roman" w:cs="Times New Roman"/>
          <w:bCs/>
          <w:sz w:val="24"/>
          <w:szCs w:val="24"/>
        </w:rPr>
        <w:t xml:space="preserve"> using Return On Assets (ROA) as performance measurement, and </w:t>
      </w:r>
      <w:r w:rsidR="00D13370" w:rsidRPr="003C1835">
        <w:rPr>
          <w:rFonts w:ascii="Times New Roman" w:hAnsi="Times New Roman" w:cs="Times New Roman"/>
          <w:bCs/>
          <w:sz w:val="24"/>
          <w:szCs w:val="24"/>
        </w:rPr>
        <w:t xml:space="preserve">liquidity, </w:t>
      </w:r>
      <w:r w:rsidR="00D13370" w:rsidRPr="003C1835">
        <w:rPr>
          <w:rFonts w:ascii="Times New Roman" w:hAnsi="Times New Roman" w:cs="Times New Roman"/>
          <w:bCs/>
          <w:sz w:val="24"/>
          <w:szCs w:val="24"/>
        </w:rPr>
        <w:lastRenderedPageBreak/>
        <w:t>credit risk, cost to income r</w:t>
      </w:r>
      <w:r w:rsidR="00D13370">
        <w:rPr>
          <w:rFonts w:ascii="Times New Roman" w:hAnsi="Times New Roman" w:cs="Times New Roman"/>
          <w:bCs/>
          <w:sz w:val="24"/>
          <w:szCs w:val="24"/>
        </w:rPr>
        <w:t xml:space="preserve">atio, size, concentration ratio as independent variables. The data is collected from 2001-2006 for thirteen banks. The study employs </w:t>
      </w:r>
      <w:r w:rsidR="00D13370" w:rsidRPr="003C1835">
        <w:rPr>
          <w:rFonts w:ascii="Times New Roman" w:hAnsi="Times New Roman" w:cs="Times New Roman"/>
          <w:bCs/>
          <w:sz w:val="24"/>
          <w:szCs w:val="24"/>
        </w:rPr>
        <w:t>multiple linear regression method</w:t>
      </w:r>
      <w:r w:rsidR="00D13370">
        <w:rPr>
          <w:rFonts w:ascii="Times New Roman" w:hAnsi="Times New Roman" w:cs="Times New Roman"/>
          <w:bCs/>
          <w:sz w:val="24"/>
          <w:szCs w:val="24"/>
        </w:rPr>
        <w:t xml:space="preserve"> for analysis.</w:t>
      </w:r>
    </w:p>
    <w:p w:rsidR="00A153A5" w:rsidRDefault="001B2C10" w:rsidP="00BE60F0">
      <w:pPr>
        <w:autoSpaceDE w:val="0"/>
        <w:autoSpaceDN w:val="0"/>
        <w:adjustRightInd w:val="0"/>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6- A study by Keasey</w:t>
      </w:r>
      <w:r w:rsidR="003C1835" w:rsidRPr="003C1835">
        <w:rPr>
          <w:rFonts w:ascii="Times New Roman" w:hAnsi="Times New Roman" w:cs="Times New Roman"/>
          <w:bCs/>
          <w:sz w:val="24"/>
          <w:szCs w:val="24"/>
        </w:rPr>
        <w:t xml:space="preserve"> </w:t>
      </w:r>
      <w:r w:rsidR="000D60F8">
        <w:rPr>
          <w:rFonts w:ascii="Times New Roman" w:hAnsi="Times New Roman" w:cs="Times New Roman"/>
          <w:bCs/>
          <w:sz w:val="24"/>
          <w:szCs w:val="24"/>
        </w:rPr>
        <w:t xml:space="preserve">and </w:t>
      </w:r>
      <w:r w:rsidRPr="003C1835">
        <w:rPr>
          <w:rFonts w:ascii="Times New Roman" w:hAnsi="Times New Roman" w:cs="Times New Roman"/>
          <w:bCs/>
          <w:sz w:val="24"/>
          <w:szCs w:val="24"/>
        </w:rPr>
        <w:t xml:space="preserve">Veronesi (2008) entitled “Lessons from the Northern Rock </w:t>
      </w:r>
      <w:r w:rsidR="003C1835" w:rsidRPr="003C1835">
        <w:rPr>
          <w:rFonts w:ascii="Times New Roman" w:hAnsi="Times New Roman" w:cs="Times New Roman"/>
          <w:bCs/>
          <w:sz w:val="24"/>
          <w:szCs w:val="24"/>
        </w:rPr>
        <w:t xml:space="preserve">affair". </w:t>
      </w:r>
      <w:r w:rsidR="00BE60F0">
        <w:rPr>
          <w:rFonts w:ascii="Times New Roman" w:hAnsi="Times New Roman" w:cs="Times New Roman"/>
          <w:bCs/>
          <w:sz w:val="24"/>
          <w:szCs w:val="24"/>
        </w:rPr>
        <w:t xml:space="preserve">The study explain that when the competitive environment among financial institutions is high and the economy is in good situation and growing, there be a high competition in the credit industry and banks try to offer various types of products with low prices. The </w:t>
      </w:r>
      <w:r w:rsidR="00E04FD0">
        <w:rPr>
          <w:rFonts w:ascii="Times New Roman" w:hAnsi="Times New Roman" w:cs="Times New Roman"/>
          <w:bCs/>
          <w:sz w:val="24"/>
          <w:szCs w:val="24"/>
        </w:rPr>
        <w:t>risk arises</w:t>
      </w:r>
      <w:r w:rsidR="00BE60F0">
        <w:rPr>
          <w:rFonts w:ascii="Times New Roman" w:hAnsi="Times New Roman" w:cs="Times New Roman"/>
          <w:bCs/>
          <w:sz w:val="24"/>
          <w:szCs w:val="24"/>
        </w:rPr>
        <w:t xml:space="preserve"> in this condition by issuing a loan to low creditworthiness borrowers. In other words, granting loans to high default clients which increase bank's credit risk and affect </w:t>
      </w:r>
      <w:r w:rsidR="00E04FD0">
        <w:rPr>
          <w:rFonts w:ascii="Times New Roman" w:hAnsi="Times New Roman" w:cs="Times New Roman"/>
          <w:bCs/>
          <w:sz w:val="24"/>
          <w:szCs w:val="24"/>
        </w:rPr>
        <w:t>the shareholders’</w:t>
      </w:r>
      <w:r w:rsidR="00BE60F0" w:rsidRPr="003C1835">
        <w:rPr>
          <w:rFonts w:ascii="Times New Roman" w:hAnsi="Times New Roman" w:cs="Times New Roman"/>
          <w:bCs/>
          <w:sz w:val="24"/>
          <w:szCs w:val="24"/>
        </w:rPr>
        <w:t xml:space="preserve"> value.</w:t>
      </w:r>
    </w:p>
    <w:p w:rsidR="003058A5" w:rsidRPr="003C1835" w:rsidRDefault="0010173F" w:rsidP="0069397A">
      <w:pPr>
        <w:autoSpaceDE w:val="0"/>
        <w:autoSpaceDN w:val="0"/>
        <w:adjustRightInd w:val="0"/>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 xml:space="preserve">7- </w:t>
      </w:r>
      <w:r w:rsidR="003058A5" w:rsidRPr="003C1835">
        <w:rPr>
          <w:rFonts w:ascii="Times New Roman" w:hAnsi="Times New Roman" w:cs="Times New Roman"/>
          <w:bCs/>
          <w:sz w:val="24"/>
          <w:szCs w:val="24"/>
        </w:rPr>
        <w:t xml:space="preserve">A study by Eng and Nabar (2007) entitled “Loan Loss Provisions by Banks in Hong Kong, Malaysia and </w:t>
      </w:r>
      <w:r w:rsidR="003C1835" w:rsidRPr="003C1835">
        <w:rPr>
          <w:rFonts w:ascii="Times New Roman" w:hAnsi="Times New Roman" w:cs="Times New Roman"/>
          <w:bCs/>
          <w:sz w:val="24"/>
          <w:szCs w:val="24"/>
        </w:rPr>
        <w:t>Singapore". The</w:t>
      </w:r>
      <w:r w:rsidR="003058A5" w:rsidRPr="003C1835">
        <w:rPr>
          <w:rFonts w:ascii="Times New Roman" w:hAnsi="Times New Roman" w:cs="Times New Roman"/>
          <w:bCs/>
          <w:sz w:val="24"/>
          <w:szCs w:val="24"/>
        </w:rPr>
        <w:t xml:space="preserve"> study examines the behavior of loan loss accounting disclosure of banks in Hong Kong, Malaysia and Singapore covering the period from 1993 through 2000. The study found that loan loss provisions are positively and significantly related with both of beginning loan outstanding and change in non-performing loan.</w:t>
      </w:r>
      <w:r w:rsidR="000621CE" w:rsidRPr="003C1835">
        <w:rPr>
          <w:rFonts w:ascii="Times New Roman" w:hAnsi="Times New Roman" w:cs="Times New Roman"/>
          <w:bCs/>
          <w:sz w:val="24"/>
          <w:szCs w:val="24"/>
        </w:rPr>
        <w:t xml:space="preserve"> This suggests that firms increase their provisions in response to an increase in credit risk.</w:t>
      </w:r>
    </w:p>
    <w:p w:rsidR="00D666FD" w:rsidRPr="00C11F93" w:rsidRDefault="00D666FD" w:rsidP="00C11F93">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8-</w:t>
      </w:r>
      <w:r w:rsidR="00851D36" w:rsidRPr="00D666FD">
        <w:rPr>
          <w:rFonts w:ascii="Times New Roman" w:hAnsi="Times New Roman" w:cs="Times New Roman"/>
          <w:bCs/>
          <w:sz w:val="24"/>
          <w:szCs w:val="24"/>
        </w:rPr>
        <w:t>A study by Al-Haschimi (2007</w:t>
      </w:r>
      <w:r w:rsidR="00851D36" w:rsidRPr="00D666FD">
        <w:rPr>
          <w:rFonts w:ascii="Times New Roman" w:eastAsia="ArialMT" w:hAnsi="Times New Roman" w:cs="Times New Roman"/>
          <w:bCs/>
          <w:sz w:val="24"/>
          <w:szCs w:val="24"/>
        </w:rPr>
        <w:t xml:space="preserve">) entitled “Determinants of Bank Spreads in Sub-Saharan </w:t>
      </w:r>
      <w:r w:rsidR="003C1835" w:rsidRPr="00D666FD">
        <w:rPr>
          <w:rFonts w:ascii="Times New Roman" w:eastAsia="ArialMT" w:hAnsi="Times New Roman" w:cs="Times New Roman"/>
          <w:bCs/>
          <w:sz w:val="24"/>
          <w:szCs w:val="24"/>
        </w:rPr>
        <w:t xml:space="preserve">Africa". </w:t>
      </w:r>
      <w:r>
        <w:rPr>
          <w:rFonts w:ascii="Times New Roman" w:hAnsi="Times New Roman" w:cs="Times New Roman"/>
          <w:bCs/>
          <w:sz w:val="24"/>
          <w:szCs w:val="24"/>
        </w:rPr>
        <w:t xml:space="preserve">The study tests the </w:t>
      </w:r>
      <w:r w:rsidRPr="003C1835">
        <w:rPr>
          <w:rFonts w:ascii="Times New Roman" w:hAnsi="Times New Roman" w:cs="Times New Roman"/>
          <w:bCs/>
          <w:sz w:val="24"/>
          <w:szCs w:val="24"/>
        </w:rPr>
        <w:t>determinants of bank profitability in 10 Sub-Saharan Africa</w:t>
      </w:r>
      <w:r>
        <w:rPr>
          <w:rFonts w:ascii="Times New Roman" w:hAnsi="Times New Roman" w:cs="Times New Roman"/>
          <w:bCs/>
          <w:sz w:val="24"/>
          <w:szCs w:val="24"/>
        </w:rPr>
        <w:t xml:space="preserve"> countries, by employing accounting analysis methods and panel regression tool.</w:t>
      </w:r>
      <w:r w:rsidRPr="003C1835">
        <w:rPr>
          <w:rFonts w:ascii="Times New Roman" w:hAnsi="Times New Roman" w:cs="Times New Roman"/>
          <w:bCs/>
          <w:sz w:val="24"/>
          <w:szCs w:val="24"/>
        </w:rPr>
        <w:t xml:space="preserve"> </w:t>
      </w:r>
      <w:r>
        <w:rPr>
          <w:rFonts w:ascii="Times New Roman" w:hAnsi="Times New Roman" w:cs="Times New Roman"/>
          <w:bCs/>
          <w:sz w:val="24"/>
          <w:szCs w:val="24"/>
        </w:rPr>
        <w:t xml:space="preserve">The results stated that bank’s profitability with big variation is affected by credit risk and market forces. Also the study find out that </w:t>
      </w:r>
      <w:r w:rsidRPr="003C1835">
        <w:rPr>
          <w:rFonts w:ascii="Times New Roman" w:hAnsi="Times New Roman" w:cs="Times New Roman"/>
          <w:bCs/>
          <w:sz w:val="24"/>
          <w:szCs w:val="24"/>
        </w:rPr>
        <w:t>macroeconomic risk has</w:t>
      </w:r>
      <w:r>
        <w:rPr>
          <w:rFonts w:ascii="Times New Roman" w:hAnsi="Times New Roman" w:cs="Times New Roman"/>
          <w:bCs/>
          <w:sz w:val="24"/>
          <w:szCs w:val="24"/>
        </w:rPr>
        <w:t xml:space="preserve"> weak and limited effect on bank’s profitability and loans are the major source of bank’s revenues, affecting profits positively.</w:t>
      </w:r>
    </w:p>
    <w:p w:rsidR="00D97B28" w:rsidRPr="00D666FD" w:rsidRDefault="00D666FD" w:rsidP="00D666FD">
      <w:pPr>
        <w:autoSpaceDE w:val="0"/>
        <w:autoSpaceDN w:val="0"/>
        <w:adjustRightInd w:val="0"/>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rPr>
        <w:t>9-</w:t>
      </w:r>
      <w:r w:rsidR="00D97B28" w:rsidRPr="00D666FD">
        <w:rPr>
          <w:rFonts w:ascii="Times New Roman" w:hAnsi="Times New Roman" w:cs="Times New Roman"/>
          <w:bCs/>
          <w:sz w:val="24"/>
          <w:szCs w:val="24"/>
        </w:rPr>
        <w:t>A study by Vong and Chan (2006)</w:t>
      </w:r>
      <w:r w:rsidR="00580045" w:rsidRPr="00D666FD">
        <w:rPr>
          <w:rFonts w:ascii="Times New Roman" w:hAnsi="Times New Roman" w:cs="Times New Roman"/>
          <w:bCs/>
          <w:sz w:val="24"/>
          <w:szCs w:val="24"/>
        </w:rPr>
        <w:t xml:space="preserve"> entitled “</w:t>
      </w:r>
      <w:r w:rsidR="00580045" w:rsidRPr="00D666FD">
        <w:rPr>
          <w:rFonts w:ascii="Times New Roman" w:hAnsi="Times New Roman" w:cs="Times New Roman"/>
          <w:bCs/>
          <w:sz w:val="24"/>
          <w:szCs w:val="24"/>
          <w:lang w:val="en-GB"/>
        </w:rPr>
        <w:t>Determinants of Bank Profitability in Macau”</w:t>
      </w:r>
      <w:r w:rsidR="00CF1B67" w:rsidRPr="00D666FD">
        <w:rPr>
          <w:rFonts w:ascii="Times New Roman" w:hAnsi="Times New Roman" w:cs="Times New Roman"/>
          <w:bCs/>
          <w:sz w:val="24"/>
          <w:szCs w:val="24"/>
          <w:lang w:val="en-GB"/>
        </w:rPr>
        <w:t>.</w:t>
      </w:r>
      <w:r w:rsidR="00580045" w:rsidRPr="00D666FD">
        <w:rPr>
          <w:rFonts w:ascii="Times New Roman" w:hAnsi="Times New Roman" w:cs="Times New Roman"/>
          <w:bCs/>
          <w:sz w:val="24"/>
          <w:szCs w:val="24"/>
        </w:rPr>
        <w:t>The study</w:t>
      </w:r>
      <w:r w:rsidR="00D97B28" w:rsidRPr="00D666FD">
        <w:rPr>
          <w:rFonts w:ascii="Times New Roman" w:hAnsi="Times New Roman" w:cs="Times New Roman"/>
          <w:bCs/>
          <w:sz w:val="24"/>
          <w:szCs w:val="24"/>
        </w:rPr>
        <w:t xml:space="preserve"> examined the impact of bank characteristics, macroeconomic variables and financial structure on the performance of banks in Macau. The results of the study showed that the strength of bank’s capital is the most important in influencing profitability. A well-capitalized bank is discerned to be of lower risk that leads to higher profitability. The study also revealed that, the quality of assets, as measured by loan-loss provision </w:t>
      </w:r>
      <w:r w:rsidR="00D97B28" w:rsidRPr="00D666FD">
        <w:rPr>
          <w:rFonts w:ascii="Times New Roman" w:hAnsi="Times New Roman" w:cs="Times New Roman"/>
          <w:bCs/>
          <w:sz w:val="24"/>
          <w:szCs w:val="24"/>
        </w:rPr>
        <w:lastRenderedPageBreak/>
        <w:t>affects the performance of banks negatively. In addition, banks with a large retail deposit-taking network do not achieve a level of profitability higher than those with a smaller network. Finally, inflation as macroeconomic variable, showed a great relationship with the performance of banks.</w:t>
      </w:r>
    </w:p>
    <w:p w:rsidR="00F331B5" w:rsidRPr="00F331B5" w:rsidRDefault="0010173F" w:rsidP="0069397A">
      <w:pPr>
        <w:autoSpaceDE w:val="0"/>
        <w:autoSpaceDN w:val="0"/>
        <w:adjustRightInd w:val="0"/>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10</w:t>
      </w:r>
      <w:r w:rsidR="00D97B28" w:rsidRPr="003C1835">
        <w:rPr>
          <w:rFonts w:ascii="Times New Roman" w:hAnsi="Times New Roman" w:cs="Times New Roman"/>
          <w:bCs/>
          <w:sz w:val="24"/>
          <w:szCs w:val="24"/>
        </w:rPr>
        <w:t>-</w:t>
      </w:r>
      <w:r w:rsidR="00B91D20" w:rsidRPr="003C1835">
        <w:rPr>
          <w:rFonts w:ascii="Times New Roman" w:hAnsi="Times New Roman" w:cs="Times New Roman"/>
          <w:bCs/>
          <w:sz w:val="24"/>
          <w:szCs w:val="24"/>
        </w:rPr>
        <w:t xml:space="preserve">A study by </w:t>
      </w:r>
      <w:r w:rsidR="00D97B28" w:rsidRPr="003C1835">
        <w:rPr>
          <w:rFonts w:ascii="Times New Roman" w:hAnsi="Times New Roman" w:cs="Times New Roman"/>
          <w:bCs/>
          <w:sz w:val="24"/>
          <w:szCs w:val="24"/>
        </w:rPr>
        <w:t>Tarawneh (2006)</w:t>
      </w:r>
      <w:r w:rsidR="00B91D20" w:rsidRPr="003C1835">
        <w:rPr>
          <w:rFonts w:ascii="Times New Roman" w:hAnsi="Times New Roman" w:cs="Times New Roman"/>
          <w:bCs/>
          <w:sz w:val="24"/>
          <w:szCs w:val="24"/>
        </w:rPr>
        <w:t xml:space="preserve"> entitled” </w:t>
      </w:r>
      <w:r w:rsidR="00B91D20" w:rsidRPr="003C1835">
        <w:rPr>
          <w:rFonts w:ascii="Times New Roman" w:hAnsi="Times New Roman" w:cs="Times New Roman"/>
          <w:bCs/>
          <w:sz w:val="24"/>
          <w:szCs w:val="24"/>
          <w:lang w:val="en-GB"/>
        </w:rPr>
        <w:t xml:space="preserve">A Comparison of Financial Performance in the Banking Sector: Some Evidence from Omani Commercial </w:t>
      </w:r>
      <w:r w:rsidR="003C1835" w:rsidRPr="003C1835">
        <w:rPr>
          <w:rFonts w:ascii="Times New Roman" w:hAnsi="Times New Roman" w:cs="Times New Roman"/>
          <w:bCs/>
          <w:sz w:val="24"/>
          <w:szCs w:val="24"/>
          <w:lang w:val="en-GB"/>
        </w:rPr>
        <w:t xml:space="preserve">Banks". </w:t>
      </w:r>
      <w:r w:rsidR="00F331B5">
        <w:rPr>
          <w:rFonts w:ascii="Times New Roman" w:hAnsi="Times New Roman" w:cs="Times New Roman"/>
          <w:bCs/>
          <w:sz w:val="24"/>
          <w:szCs w:val="24"/>
        </w:rPr>
        <w:t xml:space="preserve">The study tests the performance of Omani commercial banking system, using ROA and interest income as performance indicators (dependent variable) and bank size, asset management and operational efficiency as independent variables. The </w:t>
      </w:r>
      <w:r w:rsidR="001F41FB">
        <w:rPr>
          <w:rFonts w:ascii="Times New Roman" w:hAnsi="Times New Roman" w:cs="Times New Roman"/>
          <w:bCs/>
          <w:sz w:val="24"/>
          <w:szCs w:val="24"/>
        </w:rPr>
        <w:t>study finds</w:t>
      </w:r>
      <w:r w:rsidR="00F331B5">
        <w:rPr>
          <w:rFonts w:ascii="Times New Roman" w:hAnsi="Times New Roman" w:cs="Times New Roman"/>
          <w:bCs/>
          <w:sz w:val="24"/>
          <w:szCs w:val="24"/>
        </w:rPr>
        <w:t xml:space="preserve"> out a positive strong correlation between financial performance and operational efficiency and medium relationship between return on assets and bank size. </w:t>
      </w:r>
    </w:p>
    <w:p w:rsidR="00E057EB" w:rsidRPr="003C1835" w:rsidRDefault="0010173F" w:rsidP="0069397A">
      <w:pPr>
        <w:autoSpaceDE w:val="0"/>
        <w:autoSpaceDN w:val="0"/>
        <w:adjustRightInd w:val="0"/>
        <w:spacing w:after="0" w:line="360" w:lineRule="auto"/>
        <w:jc w:val="both"/>
        <w:rPr>
          <w:rFonts w:ascii="Times New Roman" w:hAnsi="Times New Roman" w:cs="Times New Roman"/>
          <w:bCs/>
          <w:iCs/>
          <w:sz w:val="24"/>
          <w:szCs w:val="24"/>
        </w:rPr>
      </w:pPr>
      <w:r w:rsidRPr="003C1835">
        <w:rPr>
          <w:rFonts w:ascii="Times New Roman" w:hAnsi="Times New Roman" w:cs="Times New Roman"/>
          <w:bCs/>
          <w:sz w:val="24"/>
          <w:szCs w:val="24"/>
        </w:rPr>
        <w:t>11</w:t>
      </w:r>
      <w:r w:rsidR="00F331B5">
        <w:rPr>
          <w:rFonts w:ascii="Times New Roman" w:hAnsi="Times New Roman" w:cs="Times New Roman"/>
          <w:bCs/>
          <w:sz w:val="24"/>
          <w:szCs w:val="24"/>
        </w:rPr>
        <w:t xml:space="preserve">-Astudy </w:t>
      </w:r>
      <w:r w:rsidR="00E057EB" w:rsidRPr="003C1835">
        <w:rPr>
          <w:rFonts w:ascii="Times New Roman" w:hAnsi="Times New Roman" w:cs="Times New Roman"/>
          <w:bCs/>
          <w:sz w:val="24"/>
          <w:szCs w:val="24"/>
        </w:rPr>
        <w:t>by.</w:t>
      </w:r>
      <w:r w:rsidR="00187118" w:rsidRPr="003C1835">
        <w:rPr>
          <w:rFonts w:ascii="Times New Roman" w:hAnsi="Times New Roman" w:cs="Times New Roman"/>
          <w:bCs/>
          <w:iCs/>
          <w:sz w:val="24"/>
          <w:szCs w:val="24"/>
        </w:rPr>
        <w:t xml:space="preserve"> Kristiansen (2006) entitled “Bank</w:t>
      </w:r>
      <w:r w:rsidR="00E057EB" w:rsidRPr="003C1835">
        <w:rPr>
          <w:rFonts w:ascii="Times New Roman" w:hAnsi="Times New Roman" w:cs="Times New Roman"/>
          <w:bCs/>
          <w:iCs/>
          <w:sz w:val="24"/>
          <w:szCs w:val="24"/>
        </w:rPr>
        <w:t xml:space="preserve"> Monit</w:t>
      </w:r>
      <w:r w:rsidR="00187118" w:rsidRPr="003C1835">
        <w:rPr>
          <w:rFonts w:ascii="Times New Roman" w:hAnsi="Times New Roman" w:cs="Times New Roman"/>
          <w:bCs/>
          <w:iCs/>
          <w:sz w:val="24"/>
          <w:szCs w:val="24"/>
        </w:rPr>
        <w:t xml:space="preserve">oring and Firms Debt </w:t>
      </w:r>
      <w:r w:rsidR="003C1835" w:rsidRPr="003C1835">
        <w:rPr>
          <w:rFonts w:ascii="Times New Roman" w:hAnsi="Times New Roman" w:cs="Times New Roman"/>
          <w:bCs/>
          <w:iCs/>
          <w:sz w:val="24"/>
          <w:szCs w:val="24"/>
        </w:rPr>
        <w:t>Structure". This</w:t>
      </w:r>
      <w:r w:rsidR="00E057EB" w:rsidRPr="003C1835">
        <w:rPr>
          <w:rFonts w:ascii="Times New Roman" w:hAnsi="Times New Roman" w:cs="Times New Roman"/>
          <w:bCs/>
          <w:iCs/>
          <w:sz w:val="24"/>
          <w:szCs w:val="24"/>
        </w:rPr>
        <w:t xml:space="preserve"> study investigated the relationship between reducing bank control on credit, versus credit and contract agreement, and terms and understanding imposed on the borrower and borrower's credit. The final result is which area is a good quality of credit portfolio? This is attributed to credit contrasts and agreements and undertakings imposed on borrowers, thus forcing them to decide on the structure of debt or appropriate financing for them. This increases the effectiveness of self-banking control, provision of protection for the bank from unexpected credit changes. The study concluded that audit reduces bank's expected losses. Audit practices, by linking them to credit contracts and agreements, as well as strict conditions and undertakings on borrowers, will have benefit for all parties, including the banks, in reducing credit risks. They  also helps the borrowers by allowing them to benefit from reduction of financing operation costs since they choose the debt structure appropriate to them.</w:t>
      </w:r>
    </w:p>
    <w:p w:rsidR="000D43FF" w:rsidRPr="003C1835" w:rsidRDefault="0010173F" w:rsidP="00863862">
      <w:pPr>
        <w:spacing w:after="0" w:line="360" w:lineRule="auto"/>
        <w:jc w:val="both"/>
        <w:outlineLvl w:val="0"/>
        <w:rPr>
          <w:rFonts w:ascii="Times New Roman" w:hAnsi="Times New Roman" w:cs="Times New Roman"/>
          <w:bCs/>
          <w:iCs/>
          <w:sz w:val="24"/>
          <w:szCs w:val="24"/>
        </w:rPr>
      </w:pPr>
      <w:r w:rsidRPr="003C1835">
        <w:rPr>
          <w:rFonts w:ascii="Times New Roman" w:hAnsi="Times New Roman" w:cs="Times New Roman"/>
          <w:bCs/>
          <w:iCs/>
          <w:sz w:val="24"/>
          <w:szCs w:val="24"/>
        </w:rPr>
        <w:t xml:space="preserve">12- </w:t>
      </w:r>
      <w:r w:rsidR="00187118" w:rsidRPr="003C1835">
        <w:rPr>
          <w:rFonts w:ascii="Times New Roman" w:hAnsi="Times New Roman" w:cs="Times New Roman"/>
          <w:bCs/>
          <w:iCs/>
          <w:sz w:val="24"/>
          <w:szCs w:val="24"/>
        </w:rPr>
        <w:t xml:space="preserve">A study by </w:t>
      </w:r>
      <w:r w:rsidR="000D43FF" w:rsidRPr="003C1835">
        <w:rPr>
          <w:rFonts w:ascii="Times New Roman" w:hAnsi="Times New Roman" w:cs="Times New Roman"/>
          <w:bCs/>
          <w:iCs/>
          <w:sz w:val="24"/>
          <w:szCs w:val="24"/>
        </w:rPr>
        <w:t>Cannata and Quagliariello (2006) entitled “Capital and Risk in Italian Banks: A simultaneous Equation Approach”.</w:t>
      </w:r>
      <w:r w:rsidR="0011345C">
        <w:rPr>
          <w:rFonts w:ascii="Times New Roman" w:hAnsi="Times New Roman" w:cs="Times New Roman"/>
          <w:bCs/>
          <w:iCs/>
          <w:sz w:val="24"/>
          <w:szCs w:val="24"/>
        </w:rPr>
        <w:t xml:space="preserve"> </w:t>
      </w:r>
      <w:r w:rsidR="000D43FF" w:rsidRPr="003C1835">
        <w:rPr>
          <w:rFonts w:ascii="Times New Roman" w:hAnsi="Times New Roman" w:cs="Times New Roman"/>
          <w:bCs/>
          <w:iCs/>
          <w:sz w:val="24"/>
          <w:szCs w:val="24"/>
        </w:rPr>
        <w:t xml:space="preserve">The study </w:t>
      </w:r>
      <w:r w:rsidR="006B5E1E" w:rsidRPr="003C1835">
        <w:rPr>
          <w:rFonts w:ascii="Times New Roman" w:hAnsi="Times New Roman" w:cs="Times New Roman"/>
          <w:bCs/>
          <w:iCs/>
          <w:sz w:val="24"/>
          <w:szCs w:val="24"/>
        </w:rPr>
        <w:t xml:space="preserve">investigates the relationship between capital and risks, using the annual data of Italian banks during the period of 1994-2003. The study found a significant and negative relationship between change of capital level and bank’s risk for banks whose relative capital ratio is close to the regulatory </w:t>
      </w:r>
      <w:r w:rsidR="006B5E1E" w:rsidRPr="003C1835">
        <w:rPr>
          <w:rFonts w:ascii="Times New Roman" w:hAnsi="Times New Roman" w:cs="Times New Roman"/>
          <w:bCs/>
          <w:iCs/>
          <w:sz w:val="24"/>
          <w:szCs w:val="24"/>
        </w:rPr>
        <w:lastRenderedPageBreak/>
        <w:t xml:space="preserve">minimum, but it is not for banks with a large capital level. This indicates that well capitalized banks maintain starting capital buffers, whereas the poor capitalized banks reduce risk when capital increases in order to create suitable capital reserve. </w:t>
      </w:r>
    </w:p>
    <w:p w:rsidR="00DA40F6" w:rsidRPr="003C1835" w:rsidRDefault="0010173F" w:rsidP="00863862">
      <w:pPr>
        <w:spacing w:after="0" w:line="360" w:lineRule="auto"/>
        <w:jc w:val="both"/>
        <w:outlineLvl w:val="0"/>
        <w:rPr>
          <w:rFonts w:ascii="Times New Roman" w:hAnsi="Times New Roman" w:cs="Times New Roman"/>
          <w:bCs/>
          <w:iCs/>
          <w:sz w:val="24"/>
          <w:szCs w:val="24"/>
        </w:rPr>
      </w:pPr>
      <w:r w:rsidRPr="003C1835">
        <w:rPr>
          <w:rFonts w:ascii="Times New Roman" w:hAnsi="Times New Roman" w:cs="Times New Roman"/>
          <w:bCs/>
          <w:iCs/>
          <w:sz w:val="24"/>
          <w:szCs w:val="24"/>
        </w:rPr>
        <w:t>13</w:t>
      </w:r>
      <w:r w:rsidR="00E057EB" w:rsidRPr="003C1835">
        <w:rPr>
          <w:rFonts w:ascii="Times New Roman" w:hAnsi="Times New Roman" w:cs="Times New Roman"/>
          <w:bCs/>
          <w:iCs/>
          <w:sz w:val="24"/>
          <w:szCs w:val="24"/>
        </w:rPr>
        <w:t>-A study by Buehler &amp; Gunnar (2004) entitled “The Business Case for Basel ll”</w:t>
      </w:r>
      <w:r w:rsidR="0011345C">
        <w:rPr>
          <w:rFonts w:ascii="Times New Roman" w:hAnsi="Times New Roman" w:cs="Times New Roman"/>
          <w:bCs/>
          <w:iCs/>
          <w:sz w:val="24"/>
          <w:szCs w:val="24"/>
        </w:rPr>
        <w:t xml:space="preserve">. </w:t>
      </w:r>
      <w:r w:rsidR="00DA40F6" w:rsidRPr="003C1835">
        <w:rPr>
          <w:rFonts w:ascii="Times New Roman" w:hAnsi="Times New Roman" w:cs="Times New Roman"/>
          <w:bCs/>
          <w:iCs/>
          <w:sz w:val="24"/>
          <w:szCs w:val="24"/>
        </w:rPr>
        <w:t>This study examined the details pertinent to Basel ll Accord and some banks’ willingness to implement the accord at the end of 2006 and the first track within the minimum limits of capital requirements in particular. Only a few banks have started to provide compliance with these requirements, comprehensive program provision, in addition to development of classification systems for them. The study touched a little on credit risk mitigating techniques and instruments and the importance of the presence of a work plan and a crisis management to face unexpected events.</w:t>
      </w:r>
    </w:p>
    <w:p w:rsidR="008002FE" w:rsidRPr="003C1835" w:rsidRDefault="0010173F" w:rsidP="00863862">
      <w:pPr>
        <w:spacing w:after="0" w:line="360" w:lineRule="auto"/>
        <w:jc w:val="both"/>
        <w:outlineLvl w:val="0"/>
        <w:rPr>
          <w:rFonts w:ascii="Times New Roman" w:hAnsi="Times New Roman" w:cs="Times New Roman"/>
          <w:bCs/>
          <w:iCs/>
          <w:sz w:val="24"/>
          <w:szCs w:val="24"/>
        </w:rPr>
      </w:pPr>
      <w:r w:rsidRPr="003C1835">
        <w:rPr>
          <w:rFonts w:ascii="Times New Roman" w:hAnsi="Times New Roman" w:cs="Times New Roman"/>
          <w:bCs/>
          <w:iCs/>
          <w:sz w:val="24"/>
          <w:szCs w:val="24"/>
        </w:rPr>
        <w:t>14</w:t>
      </w:r>
      <w:r w:rsidR="00DA40F6" w:rsidRPr="003C1835">
        <w:rPr>
          <w:rFonts w:ascii="Times New Roman" w:hAnsi="Times New Roman" w:cs="Times New Roman"/>
          <w:bCs/>
          <w:iCs/>
          <w:sz w:val="24"/>
          <w:szCs w:val="24"/>
        </w:rPr>
        <w:t xml:space="preserve">- </w:t>
      </w:r>
      <w:r w:rsidR="00B24B00" w:rsidRPr="003C1835">
        <w:rPr>
          <w:rFonts w:ascii="Times New Roman" w:hAnsi="Times New Roman" w:cs="Times New Roman"/>
          <w:bCs/>
          <w:iCs/>
          <w:sz w:val="24"/>
          <w:szCs w:val="24"/>
        </w:rPr>
        <w:t>A</w:t>
      </w:r>
      <w:r w:rsidR="00DA40F6" w:rsidRPr="003C1835">
        <w:rPr>
          <w:rFonts w:ascii="Times New Roman" w:hAnsi="Times New Roman" w:cs="Times New Roman"/>
          <w:bCs/>
          <w:iCs/>
          <w:sz w:val="24"/>
          <w:szCs w:val="24"/>
        </w:rPr>
        <w:t xml:space="preserve"> study by Bher</w:t>
      </w:r>
      <w:r w:rsidR="003C1835">
        <w:rPr>
          <w:rFonts w:ascii="Times New Roman" w:hAnsi="Times New Roman" w:cs="Times New Roman"/>
          <w:bCs/>
          <w:iCs/>
          <w:sz w:val="24"/>
          <w:szCs w:val="24"/>
        </w:rPr>
        <w:t xml:space="preserve"> </w:t>
      </w:r>
      <w:r w:rsidR="00DA40F6" w:rsidRPr="003C1835">
        <w:rPr>
          <w:rFonts w:ascii="Times New Roman" w:hAnsi="Times New Roman" w:cs="Times New Roman"/>
          <w:bCs/>
          <w:iCs/>
          <w:sz w:val="24"/>
          <w:szCs w:val="24"/>
        </w:rPr>
        <w:t>&amp;</w:t>
      </w:r>
      <w:r w:rsidR="003C1835">
        <w:rPr>
          <w:rFonts w:ascii="Times New Roman" w:hAnsi="Times New Roman" w:cs="Times New Roman"/>
          <w:bCs/>
          <w:iCs/>
          <w:sz w:val="24"/>
          <w:szCs w:val="24"/>
        </w:rPr>
        <w:t xml:space="preserve"> </w:t>
      </w:r>
      <w:r w:rsidR="00B24B00" w:rsidRPr="003C1835">
        <w:rPr>
          <w:rFonts w:ascii="Times New Roman" w:hAnsi="Times New Roman" w:cs="Times New Roman"/>
          <w:bCs/>
          <w:iCs/>
          <w:sz w:val="24"/>
          <w:szCs w:val="24"/>
        </w:rPr>
        <w:t xml:space="preserve">Lee (2004) entitled “The Effect of Credit Transfer on Bank Monitoring &amp; Firm </w:t>
      </w:r>
      <w:r w:rsidR="003C1835" w:rsidRPr="003C1835">
        <w:rPr>
          <w:rFonts w:ascii="Times New Roman" w:hAnsi="Times New Roman" w:cs="Times New Roman"/>
          <w:bCs/>
          <w:iCs/>
          <w:sz w:val="24"/>
          <w:szCs w:val="24"/>
        </w:rPr>
        <w:t>financing". This</w:t>
      </w:r>
      <w:r w:rsidR="00B24B00" w:rsidRPr="003C1835">
        <w:rPr>
          <w:rFonts w:ascii="Times New Roman" w:hAnsi="Times New Roman" w:cs="Times New Roman"/>
          <w:bCs/>
          <w:iCs/>
          <w:sz w:val="24"/>
          <w:szCs w:val="24"/>
        </w:rPr>
        <w:t xml:space="preserve"> study examined the relationship between the effect of credit risk transfer tied to the bank credit portfolio on the extensive and strict control carried out by the bank, on one hand, and whether the credit risk transfer has an impact on the value of financing presented to</w:t>
      </w:r>
      <w:r w:rsidR="00F331B5">
        <w:rPr>
          <w:rFonts w:ascii="Times New Roman" w:hAnsi="Times New Roman" w:cs="Times New Roman"/>
          <w:bCs/>
          <w:iCs/>
          <w:sz w:val="24"/>
          <w:szCs w:val="24"/>
        </w:rPr>
        <w:t xml:space="preserve"> </w:t>
      </w:r>
      <w:r w:rsidR="00B24B00" w:rsidRPr="003C1835">
        <w:rPr>
          <w:rFonts w:ascii="Times New Roman" w:hAnsi="Times New Roman" w:cs="Times New Roman"/>
          <w:bCs/>
          <w:iCs/>
          <w:sz w:val="24"/>
          <w:szCs w:val="24"/>
        </w:rPr>
        <w:t xml:space="preserve">companies, on the other hand. The study model dwelt on the importance of diversification as one rational decision in credit transfer. The study was conducted on two banks which had strict control and a large amount of available financing in the economy. The strategy of credit risk transfer which some banks take might have effect on their business strategy and other bank </w:t>
      </w:r>
      <w:r w:rsidR="00417132" w:rsidRPr="003C1835">
        <w:rPr>
          <w:rFonts w:ascii="Times New Roman" w:hAnsi="Times New Roman" w:cs="Times New Roman"/>
          <w:bCs/>
          <w:iCs/>
          <w:sz w:val="24"/>
          <w:szCs w:val="24"/>
        </w:rPr>
        <w:t>operations. The</w:t>
      </w:r>
      <w:r w:rsidR="00B24B00" w:rsidRPr="003C1835">
        <w:rPr>
          <w:rFonts w:ascii="Times New Roman" w:hAnsi="Times New Roman" w:cs="Times New Roman"/>
          <w:bCs/>
          <w:iCs/>
          <w:sz w:val="24"/>
          <w:szCs w:val="24"/>
        </w:rPr>
        <w:t xml:space="preserve"> study concluded that the credit risk transfer can serve the diversification of credit portfolio of the bank and may decrease some of bank control motives on borrowers.</w:t>
      </w:r>
    </w:p>
    <w:p w:rsidR="000A4842" w:rsidRPr="0011345C" w:rsidRDefault="0010173F" w:rsidP="00863862">
      <w:pPr>
        <w:spacing w:after="0" w:line="360" w:lineRule="auto"/>
        <w:jc w:val="both"/>
        <w:outlineLvl w:val="0"/>
        <w:rPr>
          <w:rFonts w:ascii="Times New Roman" w:hAnsi="Times New Roman" w:cs="Times New Roman"/>
          <w:bCs/>
          <w:iCs/>
          <w:sz w:val="24"/>
          <w:szCs w:val="24"/>
        </w:rPr>
      </w:pPr>
      <w:r w:rsidRPr="003C1835">
        <w:rPr>
          <w:rFonts w:ascii="Times New Roman" w:hAnsi="Times New Roman" w:cs="Times New Roman"/>
          <w:bCs/>
          <w:iCs/>
          <w:sz w:val="24"/>
          <w:szCs w:val="24"/>
        </w:rPr>
        <w:t>15</w:t>
      </w:r>
      <w:r w:rsidR="000A4842" w:rsidRPr="003C1835">
        <w:rPr>
          <w:rFonts w:ascii="Times New Roman" w:hAnsi="Times New Roman" w:cs="Times New Roman"/>
          <w:bCs/>
          <w:iCs/>
          <w:sz w:val="24"/>
          <w:szCs w:val="24"/>
        </w:rPr>
        <w:t>-A study by Bauer &amp;</w:t>
      </w:r>
      <w:r w:rsidR="003C1835">
        <w:rPr>
          <w:rFonts w:ascii="Times New Roman" w:hAnsi="Times New Roman" w:cs="Times New Roman"/>
          <w:bCs/>
          <w:iCs/>
          <w:sz w:val="24"/>
          <w:szCs w:val="24"/>
        </w:rPr>
        <w:t xml:space="preserve"> </w:t>
      </w:r>
      <w:r w:rsidR="000A4842" w:rsidRPr="003C1835">
        <w:rPr>
          <w:rFonts w:ascii="Times New Roman" w:hAnsi="Times New Roman" w:cs="Times New Roman"/>
          <w:bCs/>
          <w:iCs/>
          <w:sz w:val="24"/>
          <w:szCs w:val="24"/>
        </w:rPr>
        <w:t xml:space="preserve">Ryser (2004) entitled “Risk Management Strategies for </w:t>
      </w:r>
      <w:r w:rsidR="00417132" w:rsidRPr="003C1835">
        <w:rPr>
          <w:rFonts w:ascii="Times New Roman" w:hAnsi="Times New Roman" w:cs="Times New Roman"/>
          <w:bCs/>
          <w:iCs/>
          <w:sz w:val="24"/>
          <w:szCs w:val="24"/>
        </w:rPr>
        <w:t>Banks".</w:t>
      </w:r>
      <w:r w:rsidR="00417132" w:rsidRPr="003C1835">
        <w:rPr>
          <w:rFonts w:ascii="Times New Roman" w:hAnsi="Times New Roman" w:cs="Times New Roman"/>
          <w:bCs/>
          <w:sz w:val="24"/>
          <w:szCs w:val="24"/>
        </w:rPr>
        <w:t xml:space="preserve"> This</w:t>
      </w:r>
      <w:r w:rsidR="000A4842" w:rsidRPr="003C1835">
        <w:rPr>
          <w:rFonts w:ascii="Times New Roman" w:hAnsi="Times New Roman" w:cs="Times New Roman"/>
          <w:bCs/>
          <w:sz w:val="24"/>
          <w:szCs w:val="24"/>
        </w:rPr>
        <w:t xml:space="preserve"> study dwelt on the optimal strategy in bank risk management through the use of hedging instruments and techniques and their direct impact on maximization of equity. Hedging usually takes place in the bank's different activities. These activities include credit facilities management or indebtedness, liquidity management, fluctuation in assets, margin between the paid interest rate and the paid interest on </w:t>
      </w:r>
      <w:r w:rsidR="00F331B5" w:rsidRPr="003C1835">
        <w:rPr>
          <w:rFonts w:ascii="Times New Roman" w:hAnsi="Times New Roman" w:cs="Times New Roman"/>
          <w:bCs/>
          <w:sz w:val="24"/>
          <w:szCs w:val="24"/>
        </w:rPr>
        <w:t>deposits. The</w:t>
      </w:r>
      <w:r w:rsidR="00187118" w:rsidRPr="003C1835">
        <w:rPr>
          <w:rFonts w:ascii="Times New Roman" w:hAnsi="Times New Roman" w:cs="Times New Roman"/>
          <w:bCs/>
          <w:sz w:val="24"/>
          <w:szCs w:val="24"/>
        </w:rPr>
        <w:t xml:space="preserve"> study’</w:t>
      </w:r>
      <w:r w:rsidR="000A4842" w:rsidRPr="003C1835">
        <w:rPr>
          <w:rFonts w:ascii="Times New Roman" w:hAnsi="Times New Roman" w:cs="Times New Roman"/>
          <w:bCs/>
          <w:sz w:val="24"/>
          <w:szCs w:val="24"/>
        </w:rPr>
        <w:t xml:space="preserve">s basic model was expanded to include risks of the other party through the use of future contracts as one </w:t>
      </w:r>
      <w:r w:rsidR="000A4842" w:rsidRPr="003C1835">
        <w:rPr>
          <w:rFonts w:ascii="Times New Roman" w:hAnsi="Times New Roman" w:cs="Times New Roman"/>
          <w:bCs/>
          <w:sz w:val="24"/>
          <w:szCs w:val="24"/>
        </w:rPr>
        <w:lastRenderedPageBreak/>
        <w:t>instrument of hedging. The study was built on a group of hypotheses and equations and the one-interval model or cross section. It was also based on the explanation of the relationship between the market, which has two risky assets, and the importance of hedging in the field, on one hand, and the bank through its direction towards realization of the shareholders interest by maximizing the value of equity, on the other hand. When the capital is put, the bank has to choose a hedging strategy after the deposits have increased. The study concluded that the use of hedging strategies are an important instrument in reducing the bank's macro risks and have an impact on maximization of equity.</w:t>
      </w:r>
    </w:p>
    <w:p w:rsidR="00A153A5" w:rsidRDefault="0010173F" w:rsidP="00863862">
      <w:pPr>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16-</w:t>
      </w:r>
      <w:r w:rsidR="00CA751A" w:rsidRPr="003C1835">
        <w:rPr>
          <w:rFonts w:ascii="Times New Roman" w:hAnsi="Times New Roman" w:cs="Times New Roman"/>
          <w:bCs/>
          <w:sz w:val="24"/>
          <w:szCs w:val="24"/>
        </w:rPr>
        <w:t xml:space="preserve">A study by Bichsel and Blum (2004) entitled “The Relationship between Risk and Capital in Swiss Commercial Banks: A panel </w:t>
      </w:r>
      <w:r w:rsidR="003C1835" w:rsidRPr="003C1835">
        <w:rPr>
          <w:rFonts w:ascii="Times New Roman" w:hAnsi="Times New Roman" w:cs="Times New Roman"/>
          <w:bCs/>
          <w:sz w:val="24"/>
          <w:szCs w:val="24"/>
        </w:rPr>
        <w:t>Study". The</w:t>
      </w:r>
      <w:r w:rsidR="00CA751A" w:rsidRPr="003C1835">
        <w:rPr>
          <w:rFonts w:ascii="Times New Roman" w:hAnsi="Times New Roman" w:cs="Times New Roman"/>
          <w:bCs/>
          <w:sz w:val="24"/>
          <w:szCs w:val="24"/>
        </w:rPr>
        <w:t xml:space="preserve"> study investigates the relationship between changes in risk and change in leverage of Swiss banks covering period of 12 years between 1990 and 2002</w:t>
      </w:r>
      <w:r w:rsidR="004B175B" w:rsidRPr="003C1835">
        <w:rPr>
          <w:rFonts w:ascii="Times New Roman" w:hAnsi="Times New Roman" w:cs="Times New Roman"/>
          <w:bCs/>
          <w:sz w:val="24"/>
          <w:szCs w:val="24"/>
        </w:rPr>
        <w:t xml:space="preserve"> using a sample of 19 publicly traded Swiss banks. The study found a positive and highly significant correlation between </w:t>
      </w:r>
      <w:r w:rsidR="00DB3531" w:rsidRPr="003C1835">
        <w:rPr>
          <w:rFonts w:ascii="Times New Roman" w:hAnsi="Times New Roman" w:cs="Times New Roman"/>
          <w:bCs/>
          <w:sz w:val="24"/>
          <w:szCs w:val="24"/>
        </w:rPr>
        <w:t xml:space="preserve">change in capital and risk. An increase in the capital ratio of 1 percent is associated with an increase of 1.2 percent in volatility of the bank’s assets on average. This indicates that banks with capital base could engage in risky activities. </w:t>
      </w:r>
    </w:p>
    <w:p w:rsidR="00F3343B" w:rsidRPr="003C1835" w:rsidRDefault="0010173F" w:rsidP="00863862">
      <w:pPr>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17-</w:t>
      </w:r>
      <w:r w:rsidR="00F3343B" w:rsidRPr="003C1835">
        <w:rPr>
          <w:rFonts w:ascii="Times New Roman" w:hAnsi="Times New Roman" w:cs="Times New Roman"/>
          <w:bCs/>
          <w:sz w:val="24"/>
          <w:szCs w:val="24"/>
        </w:rPr>
        <w:t xml:space="preserve">A study by Li (2003) entitled “The Asian Financial Crisis and Non-performing Loans: Evidence from Commercial Banks in </w:t>
      </w:r>
      <w:r w:rsidR="003C1835" w:rsidRPr="003C1835">
        <w:rPr>
          <w:rFonts w:ascii="Times New Roman" w:hAnsi="Times New Roman" w:cs="Times New Roman"/>
          <w:bCs/>
          <w:sz w:val="24"/>
          <w:szCs w:val="24"/>
        </w:rPr>
        <w:t>Taiwan". The</w:t>
      </w:r>
      <w:r w:rsidR="00834625" w:rsidRPr="003C1835">
        <w:rPr>
          <w:rFonts w:ascii="Times New Roman" w:hAnsi="Times New Roman" w:cs="Times New Roman"/>
          <w:bCs/>
          <w:sz w:val="24"/>
          <w:szCs w:val="24"/>
        </w:rPr>
        <w:t xml:space="preserve"> study investigates the factors affect non-performing loans in Taiwan. He used panel data of 40 Taiwanese commercial banks for the period</w:t>
      </w:r>
      <w:r w:rsidR="00D463B3" w:rsidRPr="003C1835">
        <w:rPr>
          <w:rFonts w:ascii="Times New Roman" w:hAnsi="Times New Roman" w:cs="Times New Roman"/>
          <w:bCs/>
          <w:sz w:val="24"/>
          <w:szCs w:val="24"/>
        </w:rPr>
        <w:t xml:space="preserve"> 1996-1999. The study found a significant and negative relationship between the bank’s loans and non-performing loans. When banks loans increase, non-performing loans increase at diminishing rate. Also the study found a significant and negative relationship between the bank’s sizes measured by the total assets and non-performing loan ratio.</w:t>
      </w:r>
      <w:r w:rsidR="00B30F0C" w:rsidRPr="003C1835">
        <w:rPr>
          <w:rFonts w:ascii="Times New Roman" w:hAnsi="Times New Roman" w:cs="Times New Roman"/>
          <w:bCs/>
          <w:sz w:val="24"/>
          <w:szCs w:val="24"/>
        </w:rPr>
        <w:t xml:space="preserve"> This suggests that large banks have more resources to evaluate and process their loans, which improves the quality of loans and thus reduces the rate of non-performing loans.</w:t>
      </w:r>
    </w:p>
    <w:p w:rsidR="003A0581" w:rsidRPr="00043546" w:rsidRDefault="0010173F" w:rsidP="00863862">
      <w:pPr>
        <w:spacing w:after="0" w:line="360" w:lineRule="auto"/>
        <w:jc w:val="both"/>
        <w:rPr>
          <w:rFonts w:ascii="Times New Roman" w:hAnsi="Times New Roman" w:cs="Times New Roman"/>
          <w:bCs/>
          <w:sz w:val="24"/>
          <w:szCs w:val="24"/>
        </w:rPr>
      </w:pPr>
      <w:r w:rsidRPr="003C1835">
        <w:rPr>
          <w:rFonts w:ascii="Times New Roman" w:hAnsi="Times New Roman" w:cs="Times New Roman"/>
          <w:bCs/>
          <w:sz w:val="24"/>
          <w:szCs w:val="24"/>
        </w:rPr>
        <w:t>18</w:t>
      </w:r>
      <w:r w:rsidR="000A4842" w:rsidRPr="003C1835">
        <w:rPr>
          <w:rFonts w:ascii="Times New Roman" w:hAnsi="Times New Roman" w:cs="Times New Roman"/>
          <w:bCs/>
          <w:sz w:val="24"/>
          <w:szCs w:val="24"/>
        </w:rPr>
        <w:t>-</w:t>
      </w:r>
      <w:r w:rsidR="00696873" w:rsidRPr="003C1835">
        <w:rPr>
          <w:rFonts w:ascii="Times New Roman" w:hAnsi="Times New Roman" w:cs="Times New Roman"/>
          <w:bCs/>
          <w:sz w:val="24"/>
          <w:szCs w:val="24"/>
        </w:rPr>
        <w:t>A study by Raspanti</w:t>
      </w:r>
      <w:r w:rsidR="003C1835">
        <w:rPr>
          <w:rFonts w:ascii="Times New Roman" w:hAnsi="Times New Roman" w:cs="Times New Roman"/>
          <w:bCs/>
          <w:sz w:val="24"/>
          <w:szCs w:val="24"/>
        </w:rPr>
        <w:t xml:space="preserve"> </w:t>
      </w:r>
      <w:r w:rsidR="00696873" w:rsidRPr="003C1835">
        <w:rPr>
          <w:rFonts w:ascii="Times New Roman" w:hAnsi="Times New Roman" w:cs="Times New Roman"/>
          <w:bCs/>
          <w:sz w:val="24"/>
          <w:szCs w:val="24"/>
        </w:rPr>
        <w:t>&amp;</w:t>
      </w:r>
      <w:r w:rsidR="003C1835">
        <w:rPr>
          <w:rFonts w:ascii="Times New Roman" w:hAnsi="Times New Roman" w:cs="Times New Roman"/>
          <w:bCs/>
          <w:sz w:val="24"/>
          <w:szCs w:val="24"/>
        </w:rPr>
        <w:t xml:space="preserve"> </w:t>
      </w:r>
      <w:r w:rsidR="00696873" w:rsidRPr="003C1835">
        <w:rPr>
          <w:rFonts w:ascii="Times New Roman" w:hAnsi="Times New Roman" w:cs="Times New Roman"/>
          <w:bCs/>
          <w:sz w:val="24"/>
          <w:szCs w:val="24"/>
        </w:rPr>
        <w:t xml:space="preserve">Szakal (2002) entitled “Creating Value through Credit Risk </w:t>
      </w:r>
      <w:r w:rsidR="003C1835" w:rsidRPr="003C1835">
        <w:rPr>
          <w:rFonts w:ascii="Times New Roman" w:hAnsi="Times New Roman" w:cs="Times New Roman"/>
          <w:bCs/>
          <w:sz w:val="24"/>
          <w:szCs w:val="24"/>
        </w:rPr>
        <w:t>Mitigation".</w:t>
      </w:r>
      <w:r w:rsidR="003C1835" w:rsidRPr="003C1835">
        <w:rPr>
          <w:rFonts w:ascii="Times New Roman" w:hAnsi="Times New Roman" w:cs="Times New Roman"/>
          <w:bCs/>
          <w:iCs/>
          <w:sz w:val="24"/>
          <w:szCs w:val="24"/>
        </w:rPr>
        <w:t xml:space="preserve"> The</w:t>
      </w:r>
      <w:r w:rsidR="00696873" w:rsidRPr="003C1835">
        <w:rPr>
          <w:rFonts w:ascii="Times New Roman" w:hAnsi="Times New Roman" w:cs="Times New Roman"/>
          <w:bCs/>
          <w:iCs/>
          <w:sz w:val="24"/>
          <w:szCs w:val="24"/>
        </w:rPr>
        <w:t xml:space="preserve"> study examined the impact of the trend </w:t>
      </w:r>
      <w:r w:rsidR="00893230" w:rsidRPr="003C1835">
        <w:rPr>
          <w:rFonts w:ascii="Times New Roman" w:hAnsi="Times New Roman" w:cs="Times New Roman"/>
          <w:bCs/>
          <w:iCs/>
          <w:sz w:val="24"/>
          <w:szCs w:val="24"/>
        </w:rPr>
        <w:t>of using credit risk mitigations</w:t>
      </w:r>
      <w:r w:rsidR="00696873" w:rsidRPr="003C1835">
        <w:rPr>
          <w:rFonts w:ascii="Times New Roman" w:hAnsi="Times New Roman" w:cs="Times New Roman"/>
          <w:bCs/>
          <w:iCs/>
          <w:sz w:val="24"/>
          <w:szCs w:val="24"/>
        </w:rPr>
        <w:t xml:space="preserve"> and techniques to improve the quality </w:t>
      </w:r>
      <w:r w:rsidR="00893230" w:rsidRPr="003C1835">
        <w:rPr>
          <w:rFonts w:ascii="Times New Roman" w:hAnsi="Times New Roman" w:cs="Times New Roman"/>
          <w:bCs/>
          <w:iCs/>
          <w:sz w:val="24"/>
          <w:szCs w:val="24"/>
        </w:rPr>
        <w:t>of revenues</w:t>
      </w:r>
      <w:r w:rsidR="00696873" w:rsidRPr="003C1835">
        <w:rPr>
          <w:rFonts w:ascii="Times New Roman" w:hAnsi="Times New Roman" w:cs="Times New Roman"/>
          <w:bCs/>
          <w:iCs/>
          <w:sz w:val="24"/>
          <w:szCs w:val="24"/>
        </w:rPr>
        <w:t xml:space="preserve"> and their impact on the value of the bank </w:t>
      </w:r>
      <w:r w:rsidR="00696873" w:rsidRPr="003C1835">
        <w:rPr>
          <w:rFonts w:ascii="Times New Roman" w:hAnsi="Times New Roman" w:cs="Times New Roman"/>
          <w:bCs/>
          <w:iCs/>
          <w:sz w:val="24"/>
          <w:szCs w:val="24"/>
        </w:rPr>
        <w:lastRenderedPageBreak/>
        <w:t>in normal and bad conditions.</w:t>
      </w:r>
      <w:r w:rsidR="00721BF0">
        <w:rPr>
          <w:rFonts w:ascii="Times New Roman" w:hAnsi="Times New Roman" w:cs="Times New Roman"/>
          <w:bCs/>
          <w:iCs/>
          <w:sz w:val="24"/>
          <w:szCs w:val="24"/>
        </w:rPr>
        <w:t xml:space="preserve"> </w:t>
      </w:r>
      <w:r w:rsidR="00893230" w:rsidRPr="003C1835">
        <w:rPr>
          <w:rFonts w:ascii="Times New Roman" w:hAnsi="Times New Roman" w:cs="Times New Roman"/>
          <w:bCs/>
          <w:iCs/>
          <w:sz w:val="24"/>
          <w:szCs w:val="24"/>
        </w:rPr>
        <w:t xml:space="preserve">A number of factors have been studied: the use of pre-preparedness to mitigate the risk, commercial credit insurance and the bank's strategy in the degree of accepting or rejecting the portfolio risk and determination of what type of credit risk mitigations is being adopted and the effect of these factors combined on the value of the </w:t>
      </w:r>
      <w:r w:rsidR="00F331B5" w:rsidRPr="003C1835">
        <w:rPr>
          <w:rFonts w:ascii="Times New Roman" w:hAnsi="Times New Roman" w:cs="Times New Roman"/>
          <w:bCs/>
          <w:iCs/>
          <w:sz w:val="24"/>
          <w:szCs w:val="24"/>
        </w:rPr>
        <w:t>bank. The</w:t>
      </w:r>
      <w:r w:rsidR="00893230" w:rsidRPr="003C1835">
        <w:rPr>
          <w:rFonts w:ascii="Times New Roman" w:hAnsi="Times New Roman" w:cs="Times New Roman"/>
          <w:bCs/>
          <w:iCs/>
          <w:sz w:val="24"/>
          <w:szCs w:val="24"/>
        </w:rPr>
        <w:t xml:space="preserve"> study concluded that the availability of preparedness by the bank for hedging and reducing credit risk is important. It also stressed the importance of the availability of an appropriate strategy to deal with the risks, choice of an appropriate mitigation instrument and the impact of the bank's continuity and improvement of the bank's profitability image and value.</w:t>
      </w:r>
    </w:p>
    <w:p w:rsidR="00893230" w:rsidRPr="003C1835" w:rsidRDefault="0010173F" w:rsidP="00863862">
      <w:pPr>
        <w:spacing w:after="0" w:line="360" w:lineRule="auto"/>
        <w:jc w:val="both"/>
        <w:rPr>
          <w:rFonts w:ascii="Times New Roman" w:hAnsi="Times New Roman" w:cs="Times New Roman"/>
          <w:bCs/>
          <w:iCs/>
          <w:sz w:val="24"/>
          <w:szCs w:val="24"/>
        </w:rPr>
      </w:pPr>
      <w:r w:rsidRPr="003C1835">
        <w:rPr>
          <w:rFonts w:ascii="Times New Roman" w:hAnsi="Times New Roman" w:cs="Times New Roman"/>
          <w:bCs/>
          <w:iCs/>
          <w:sz w:val="24"/>
          <w:szCs w:val="24"/>
        </w:rPr>
        <w:t>19</w:t>
      </w:r>
      <w:r w:rsidR="00893230" w:rsidRPr="003C1835">
        <w:rPr>
          <w:rFonts w:ascii="Times New Roman" w:hAnsi="Times New Roman" w:cs="Times New Roman"/>
          <w:bCs/>
          <w:iCs/>
          <w:sz w:val="24"/>
          <w:szCs w:val="24"/>
        </w:rPr>
        <w:t>- A study by Altman (2002) entitled “</w:t>
      </w:r>
      <w:r w:rsidR="00893230" w:rsidRPr="003C1835">
        <w:rPr>
          <w:rFonts w:ascii="Times New Roman" w:hAnsi="Times New Roman" w:cs="Times New Roman"/>
          <w:bCs/>
          <w:sz w:val="24"/>
          <w:szCs w:val="24"/>
        </w:rPr>
        <w:t xml:space="preserve">Managing Credit Risk, A Challenging for the New </w:t>
      </w:r>
      <w:r w:rsidR="00417132" w:rsidRPr="003C1835">
        <w:rPr>
          <w:rFonts w:ascii="Times New Roman" w:hAnsi="Times New Roman" w:cs="Times New Roman"/>
          <w:bCs/>
          <w:sz w:val="24"/>
          <w:szCs w:val="24"/>
        </w:rPr>
        <w:t>Millennium".</w:t>
      </w:r>
      <w:r w:rsidR="00417132" w:rsidRPr="003C1835">
        <w:rPr>
          <w:rFonts w:ascii="Times New Roman" w:hAnsi="Times New Roman" w:cs="Times New Roman"/>
          <w:bCs/>
          <w:iCs/>
          <w:sz w:val="24"/>
          <w:szCs w:val="24"/>
        </w:rPr>
        <w:t xml:space="preserve"> This</w:t>
      </w:r>
      <w:r w:rsidR="00893230" w:rsidRPr="003C1835">
        <w:rPr>
          <w:rFonts w:ascii="Times New Roman" w:hAnsi="Times New Roman" w:cs="Times New Roman"/>
          <w:bCs/>
          <w:iCs/>
          <w:sz w:val="24"/>
          <w:szCs w:val="24"/>
        </w:rPr>
        <w:t xml:space="preserve"> study sought to highlight the importance of credit risk management which was not as important as the current high default rates and rates of bankruptcy cases.</w:t>
      </w:r>
      <w:r w:rsidR="005E47DE">
        <w:rPr>
          <w:rFonts w:ascii="Times New Roman" w:hAnsi="Times New Roman" w:cs="Times New Roman"/>
          <w:bCs/>
          <w:iCs/>
          <w:sz w:val="24"/>
          <w:szCs w:val="24"/>
        </w:rPr>
        <w:t xml:space="preserve"> </w:t>
      </w:r>
      <w:r w:rsidR="00893230" w:rsidRPr="003C1835">
        <w:rPr>
          <w:rFonts w:ascii="Times New Roman" w:hAnsi="Times New Roman" w:cs="Times New Roman"/>
          <w:bCs/>
          <w:iCs/>
          <w:sz w:val="24"/>
          <w:szCs w:val="24"/>
        </w:rPr>
        <w:t xml:space="preserve">Law makers, supervisors and practitioners in the securities markets show interest in proper practices and applications in this field. This is attributed to several considerations such as increasing emphasis on appropriate techniques in credit risk management, variable legislative environment based on Basel Accord, and credit classification systems, namely the scoring systems, creation of databases based on credit deterioration and defaults, re -coverage, dealing with bank loan guarantees, development of techniques that work as </w:t>
      </w:r>
      <w:r w:rsidR="00C4761D" w:rsidRPr="003C1835">
        <w:rPr>
          <w:rFonts w:ascii="Times New Roman" w:hAnsi="Times New Roman" w:cs="Times New Roman"/>
          <w:bCs/>
          <w:iCs/>
          <w:sz w:val="24"/>
          <w:szCs w:val="24"/>
        </w:rPr>
        <w:t>mitigations</w:t>
      </w:r>
      <w:r w:rsidR="00893230" w:rsidRPr="003C1835">
        <w:rPr>
          <w:rFonts w:ascii="Times New Roman" w:hAnsi="Times New Roman" w:cs="Times New Roman"/>
          <w:bCs/>
          <w:iCs/>
          <w:sz w:val="24"/>
          <w:szCs w:val="24"/>
        </w:rPr>
        <w:t xml:space="preserve"> to reduce and transfer credit risks like credit derivat</w:t>
      </w:r>
      <w:r w:rsidR="00043546">
        <w:rPr>
          <w:rFonts w:ascii="Times New Roman" w:hAnsi="Times New Roman" w:cs="Times New Roman"/>
          <w:bCs/>
          <w:iCs/>
          <w:sz w:val="24"/>
          <w:szCs w:val="24"/>
        </w:rPr>
        <w:t>ives, credit  securitization,</w:t>
      </w:r>
      <w:r w:rsidR="00893230" w:rsidRPr="003C1835">
        <w:rPr>
          <w:rFonts w:ascii="Times New Roman" w:hAnsi="Times New Roman" w:cs="Times New Roman"/>
          <w:bCs/>
          <w:iCs/>
          <w:sz w:val="24"/>
          <w:szCs w:val="24"/>
        </w:rPr>
        <w:t xml:space="preserve"> credit insurance products and credit portfolio management techniques.</w:t>
      </w:r>
      <w:r w:rsidR="003C4658">
        <w:rPr>
          <w:rFonts w:ascii="Times New Roman" w:hAnsi="Times New Roman" w:cs="Times New Roman"/>
          <w:bCs/>
          <w:iCs/>
          <w:sz w:val="24"/>
          <w:szCs w:val="24"/>
        </w:rPr>
        <w:t xml:space="preserve"> </w:t>
      </w:r>
      <w:r w:rsidR="00893230" w:rsidRPr="003C1835">
        <w:rPr>
          <w:rFonts w:ascii="Times New Roman" w:hAnsi="Times New Roman" w:cs="Times New Roman"/>
          <w:bCs/>
          <w:iCs/>
          <w:sz w:val="24"/>
          <w:szCs w:val="24"/>
        </w:rPr>
        <w:t xml:space="preserve">The study reported an increase in the transfer of credit institutions of their risky assets to the other party. This factor has helped to provide an incentive that is in line with a number of important components in terms </w:t>
      </w:r>
      <w:r w:rsidR="00C4761D" w:rsidRPr="003C1835">
        <w:rPr>
          <w:rFonts w:ascii="Times New Roman" w:hAnsi="Times New Roman" w:cs="Times New Roman"/>
          <w:bCs/>
          <w:iCs/>
          <w:sz w:val="24"/>
          <w:szCs w:val="24"/>
        </w:rPr>
        <w:t xml:space="preserve">of </w:t>
      </w:r>
      <w:r w:rsidR="00893230" w:rsidRPr="003C1835">
        <w:rPr>
          <w:rFonts w:ascii="Times New Roman" w:hAnsi="Times New Roman" w:cs="Times New Roman"/>
          <w:bCs/>
          <w:iCs/>
          <w:sz w:val="24"/>
          <w:szCs w:val="24"/>
        </w:rPr>
        <w:t xml:space="preserve">company and management, evaluation, techniques, structure of assets of credit products and credit portfolio management approaches. This </w:t>
      </w:r>
      <w:r w:rsidR="00C4761D" w:rsidRPr="003C1835">
        <w:rPr>
          <w:rFonts w:ascii="Times New Roman" w:hAnsi="Times New Roman" w:cs="Times New Roman"/>
          <w:bCs/>
          <w:iCs/>
          <w:sz w:val="24"/>
          <w:szCs w:val="24"/>
        </w:rPr>
        <w:t>is in</w:t>
      </w:r>
      <w:r w:rsidR="00893230" w:rsidRPr="003C1835">
        <w:rPr>
          <w:rFonts w:ascii="Times New Roman" w:hAnsi="Times New Roman" w:cs="Times New Roman"/>
          <w:bCs/>
          <w:iCs/>
          <w:sz w:val="24"/>
          <w:szCs w:val="24"/>
        </w:rPr>
        <w:t xml:space="preserve"> addition to interest in comprehensiveness, appropriate databases and expansion in credit derivatives, and hedging structure. The changes came from default levels and losses due on company bonds, payments and loan </w:t>
      </w:r>
      <w:r w:rsidR="00C4761D" w:rsidRPr="003C1835">
        <w:rPr>
          <w:rFonts w:ascii="Times New Roman" w:hAnsi="Times New Roman" w:cs="Times New Roman"/>
          <w:bCs/>
          <w:iCs/>
          <w:sz w:val="24"/>
          <w:szCs w:val="24"/>
        </w:rPr>
        <w:t>market,</w:t>
      </w:r>
      <w:r w:rsidR="00893230" w:rsidRPr="003C1835">
        <w:rPr>
          <w:rFonts w:ascii="Times New Roman" w:hAnsi="Times New Roman" w:cs="Times New Roman"/>
          <w:bCs/>
          <w:iCs/>
          <w:sz w:val="24"/>
          <w:szCs w:val="24"/>
        </w:rPr>
        <w:t xml:space="preserve"> thus requiring effecting changes in appropriate capital allocation for credit assets, according to Basel Committee guidelines, and the importance of credit portfolio </w:t>
      </w:r>
      <w:r w:rsidR="001F41FB" w:rsidRPr="003C1835">
        <w:rPr>
          <w:rFonts w:ascii="Times New Roman" w:hAnsi="Times New Roman" w:cs="Times New Roman"/>
          <w:bCs/>
          <w:iCs/>
          <w:sz w:val="24"/>
          <w:szCs w:val="24"/>
        </w:rPr>
        <w:t>diversification. The</w:t>
      </w:r>
      <w:r w:rsidR="00893230" w:rsidRPr="003C1835">
        <w:rPr>
          <w:rFonts w:ascii="Times New Roman" w:hAnsi="Times New Roman" w:cs="Times New Roman"/>
          <w:bCs/>
          <w:iCs/>
          <w:sz w:val="24"/>
          <w:szCs w:val="24"/>
        </w:rPr>
        <w:t xml:space="preserve"> study concluded that the new millennium is </w:t>
      </w:r>
      <w:r w:rsidR="00893230" w:rsidRPr="003C1835">
        <w:rPr>
          <w:rFonts w:ascii="Times New Roman" w:hAnsi="Times New Roman" w:cs="Times New Roman"/>
          <w:bCs/>
          <w:iCs/>
          <w:sz w:val="24"/>
          <w:szCs w:val="24"/>
        </w:rPr>
        <w:lastRenderedPageBreak/>
        <w:t xml:space="preserve">experiencing giant steps to create more advanced techniques that contribute to the mitigation of vulnerability of credit risk values. These include credit derivatives as one hedging and protection instrument, transfer of risks pertinent </w:t>
      </w:r>
      <w:r w:rsidR="00C4761D" w:rsidRPr="003C1835">
        <w:rPr>
          <w:rFonts w:ascii="Times New Roman" w:hAnsi="Times New Roman" w:cs="Times New Roman"/>
          <w:bCs/>
          <w:iCs/>
          <w:sz w:val="24"/>
          <w:szCs w:val="24"/>
        </w:rPr>
        <w:t>to defaults</w:t>
      </w:r>
      <w:r w:rsidR="00893230" w:rsidRPr="003C1835">
        <w:rPr>
          <w:rFonts w:ascii="Times New Roman" w:hAnsi="Times New Roman" w:cs="Times New Roman"/>
          <w:bCs/>
          <w:iCs/>
          <w:sz w:val="24"/>
          <w:szCs w:val="24"/>
        </w:rPr>
        <w:t xml:space="preserve"> and credit deterioration. A significant growth has been reported by the banks in the market of credit derivatives. The importance of these derivatives lies in the fact that their sellers are provided with insurance against any events and any fluctuation which might happen to the assets.</w:t>
      </w:r>
    </w:p>
    <w:p w:rsidR="00F976D3" w:rsidRPr="003C1835" w:rsidRDefault="003C4658" w:rsidP="00863862">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20</w:t>
      </w:r>
      <w:r w:rsidR="00937392" w:rsidRPr="003C1835">
        <w:rPr>
          <w:rFonts w:ascii="Times New Roman" w:hAnsi="Times New Roman" w:cs="Times New Roman"/>
          <w:bCs/>
          <w:sz w:val="24"/>
          <w:szCs w:val="24"/>
        </w:rPr>
        <w:t xml:space="preserve">- A study by Pyle (1997) entitled “Bank Risk Management: </w:t>
      </w:r>
      <w:r w:rsidRPr="003C1835">
        <w:rPr>
          <w:rFonts w:ascii="Times New Roman" w:hAnsi="Times New Roman" w:cs="Times New Roman"/>
          <w:bCs/>
          <w:sz w:val="24"/>
          <w:szCs w:val="24"/>
        </w:rPr>
        <w:t>Theory". This</w:t>
      </w:r>
      <w:r w:rsidR="00937392" w:rsidRPr="003C1835">
        <w:rPr>
          <w:rFonts w:ascii="Times New Roman" w:hAnsi="Times New Roman" w:cs="Times New Roman"/>
          <w:bCs/>
          <w:sz w:val="24"/>
          <w:szCs w:val="24"/>
        </w:rPr>
        <w:t xml:space="preserve"> study, presented at Haas Business School, University of California, examined the importance of risk management, foundations of contemporary risk management with emphasis on two types of risks: credit risks and market </w:t>
      </w:r>
      <w:r w:rsidR="001F41FB" w:rsidRPr="003C1835">
        <w:rPr>
          <w:rFonts w:ascii="Times New Roman" w:hAnsi="Times New Roman" w:cs="Times New Roman"/>
          <w:bCs/>
          <w:sz w:val="24"/>
          <w:szCs w:val="24"/>
        </w:rPr>
        <w:t>risks. The</w:t>
      </w:r>
      <w:r w:rsidR="00937392" w:rsidRPr="003C1835">
        <w:rPr>
          <w:rFonts w:ascii="Times New Roman" w:hAnsi="Times New Roman" w:cs="Times New Roman"/>
          <w:bCs/>
          <w:sz w:val="24"/>
          <w:szCs w:val="24"/>
        </w:rPr>
        <w:t xml:space="preserve"> study argued that there are two ways to measure market risks: scenarios and value-at-risk. It also argued that there are several ways to measure credit risks. These include scoring system, rating system, and credit committees to assess credit eligibility of the counter party.</w:t>
      </w:r>
    </w:p>
    <w:p w:rsidR="00B24FA8" w:rsidRDefault="00B24FA8" w:rsidP="00B24FA8">
      <w:pPr>
        <w:spacing w:line="360" w:lineRule="auto"/>
        <w:rPr>
          <w:rFonts w:asciiTheme="majorBidi" w:hAnsiTheme="majorBidi" w:cstheme="majorBidi"/>
          <w:bCs/>
          <w:color w:val="000000" w:themeColor="text1"/>
          <w:sz w:val="24"/>
          <w:szCs w:val="24"/>
        </w:rPr>
      </w:pPr>
    </w:p>
    <w:p w:rsidR="003C4658" w:rsidRDefault="003C4658" w:rsidP="00B24FA8">
      <w:pPr>
        <w:spacing w:line="360" w:lineRule="auto"/>
        <w:jc w:val="center"/>
        <w:rPr>
          <w:rFonts w:asciiTheme="majorBidi" w:hAnsiTheme="majorBidi" w:cstheme="majorBidi"/>
          <w:b/>
          <w:bCs/>
          <w:color w:val="000000" w:themeColor="text1"/>
          <w:sz w:val="24"/>
          <w:szCs w:val="24"/>
        </w:rPr>
      </w:pPr>
    </w:p>
    <w:p w:rsidR="003C4658" w:rsidRDefault="003C4658" w:rsidP="00B24FA8">
      <w:pPr>
        <w:spacing w:line="360" w:lineRule="auto"/>
        <w:jc w:val="center"/>
        <w:rPr>
          <w:rFonts w:asciiTheme="majorBidi" w:hAnsiTheme="majorBidi" w:cstheme="majorBidi"/>
          <w:b/>
          <w:bCs/>
          <w:color w:val="000000" w:themeColor="text1"/>
          <w:sz w:val="24"/>
          <w:szCs w:val="24"/>
        </w:rPr>
      </w:pPr>
    </w:p>
    <w:p w:rsidR="003C4658" w:rsidRDefault="003C4658" w:rsidP="00B24FA8">
      <w:pPr>
        <w:spacing w:line="360" w:lineRule="auto"/>
        <w:jc w:val="center"/>
        <w:rPr>
          <w:rFonts w:asciiTheme="majorBidi" w:hAnsiTheme="majorBidi" w:cstheme="majorBidi"/>
          <w:b/>
          <w:bCs/>
          <w:color w:val="000000" w:themeColor="text1"/>
          <w:sz w:val="24"/>
          <w:szCs w:val="24"/>
        </w:rPr>
      </w:pPr>
    </w:p>
    <w:p w:rsidR="003C4658" w:rsidRDefault="003C4658" w:rsidP="00B24FA8">
      <w:pPr>
        <w:spacing w:line="360" w:lineRule="auto"/>
        <w:jc w:val="center"/>
        <w:rPr>
          <w:rFonts w:asciiTheme="majorBidi" w:hAnsiTheme="majorBidi" w:cstheme="majorBidi"/>
          <w:b/>
          <w:bCs/>
          <w:color w:val="000000" w:themeColor="text1"/>
          <w:sz w:val="24"/>
          <w:szCs w:val="24"/>
        </w:rPr>
      </w:pPr>
    </w:p>
    <w:p w:rsidR="003C4658" w:rsidRDefault="003C4658" w:rsidP="00B24FA8">
      <w:pPr>
        <w:spacing w:line="360" w:lineRule="auto"/>
        <w:jc w:val="center"/>
        <w:rPr>
          <w:rFonts w:asciiTheme="majorBidi" w:hAnsiTheme="majorBidi" w:cstheme="majorBidi"/>
          <w:b/>
          <w:bCs/>
          <w:color w:val="000000" w:themeColor="text1"/>
          <w:sz w:val="24"/>
          <w:szCs w:val="24"/>
        </w:rPr>
      </w:pPr>
    </w:p>
    <w:p w:rsidR="003C4658" w:rsidRDefault="003C4658" w:rsidP="00B24FA8">
      <w:pPr>
        <w:spacing w:line="360" w:lineRule="auto"/>
        <w:jc w:val="center"/>
        <w:rPr>
          <w:rFonts w:asciiTheme="majorBidi" w:hAnsiTheme="majorBidi" w:cstheme="majorBidi"/>
          <w:b/>
          <w:bCs/>
          <w:color w:val="000000" w:themeColor="text1"/>
          <w:sz w:val="24"/>
          <w:szCs w:val="24"/>
        </w:rPr>
      </w:pPr>
    </w:p>
    <w:p w:rsidR="00863862" w:rsidRDefault="00863862" w:rsidP="00B24FA8">
      <w:pPr>
        <w:spacing w:line="360" w:lineRule="auto"/>
        <w:jc w:val="center"/>
        <w:rPr>
          <w:rFonts w:asciiTheme="majorBidi" w:hAnsiTheme="majorBidi" w:cstheme="majorBidi"/>
          <w:b/>
          <w:bCs/>
          <w:color w:val="000000" w:themeColor="text1"/>
          <w:sz w:val="24"/>
          <w:szCs w:val="24"/>
        </w:rPr>
      </w:pPr>
    </w:p>
    <w:p w:rsidR="00502966" w:rsidRDefault="00502966" w:rsidP="00D67CA4">
      <w:pPr>
        <w:spacing w:line="360" w:lineRule="auto"/>
        <w:jc w:val="center"/>
        <w:rPr>
          <w:rFonts w:asciiTheme="majorBidi" w:hAnsiTheme="majorBidi" w:cstheme="majorBidi"/>
          <w:b/>
          <w:bCs/>
          <w:color w:val="000000" w:themeColor="text1"/>
          <w:sz w:val="24"/>
          <w:szCs w:val="24"/>
        </w:rPr>
      </w:pPr>
    </w:p>
    <w:p w:rsidR="004829D6" w:rsidRDefault="004829D6" w:rsidP="004829D6">
      <w:pPr>
        <w:spacing w:line="360" w:lineRule="auto"/>
        <w:rPr>
          <w:rFonts w:asciiTheme="majorBidi" w:hAnsiTheme="majorBidi" w:cstheme="majorBidi"/>
          <w:b/>
          <w:bCs/>
          <w:color w:val="000000" w:themeColor="text1"/>
          <w:sz w:val="24"/>
          <w:szCs w:val="24"/>
        </w:rPr>
      </w:pPr>
    </w:p>
    <w:p w:rsidR="00C95EDC" w:rsidRPr="00F976D3" w:rsidRDefault="00DA3772" w:rsidP="004829D6">
      <w:pPr>
        <w:spacing w:line="360" w:lineRule="auto"/>
        <w:jc w:val="center"/>
        <w:rPr>
          <w:rFonts w:ascii="Times New Roman" w:hAnsi="Times New Roman" w:cs="Times New Roman"/>
          <w:sz w:val="24"/>
          <w:szCs w:val="24"/>
        </w:rPr>
      </w:pPr>
      <w:r w:rsidRPr="001C7647">
        <w:rPr>
          <w:rFonts w:asciiTheme="majorBidi" w:hAnsiTheme="majorBidi" w:cstheme="majorBidi"/>
          <w:b/>
          <w:bCs/>
          <w:color w:val="000000" w:themeColor="text1"/>
          <w:sz w:val="24"/>
          <w:szCs w:val="24"/>
        </w:rPr>
        <w:lastRenderedPageBreak/>
        <w:t>CHAPTER THREE</w:t>
      </w:r>
    </w:p>
    <w:p w:rsidR="00C95EDC" w:rsidRPr="001C7647" w:rsidRDefault="00DA3772" w:rsidP="00C95EDC">
      <w:pPr>
        <w:autoSpaceDE w:val="0"/>
        <w:autoSpaceDN w:val="0"/>
        <w:adjustRightInd w:val="0"/>
        <w:spacing w:after="0" w:line="360" w:lineRule="auto"/>
        <w:jc w:val="center"/>
        <w:rPr>
          <w:rFonts w:asciiTheme="majorBidi" w:hAnsiTheme="majorBidi" w:cstheme="majorBidi"/>
          <w:b/>
          <w:bCs/>
          <w:color w:val="000000" w:themeColor="text1"/>
          <w:sz w:val="24"/>
          <w:szCs w:val="24"/>
        </w:rPr>
      </w:pPr>
      <w:r w:rsidRPr="001C7647">
        <w:rPr>
          <w:rFonts w:asciiTheme="majorBidi" w:hAnsiTheme="majorBidi" w:cstheme="majorBidi"/>
          <w:b/>
          <w:bCs/>
          <w:color w:val="000000" w:themeColor="text1"/>
          <w:sz w:val="24"/>
          <w:szCs w:val="24"/>
        </w:rPr>
        <w:t>METHODOLOGY</w:t>
      </w:r>
    </w:p>
    <w:p w:rsidR="00A153A5" w:rsidRDefault="00A153A5" w:rsidP="00C95EDC">
      <w:pPr>
        <w:autoSpaceDE w:val="0"/>
        <w:autoSpaceDN w:val="0"/>
        <w:adjustRightInd w:val="0"/>
        <w:spacing w:after="0" w:line="360" w:lineRule="auto"/>
        <w:rPr>
          <w:rFonts w:asciiTheme="majorBidi" w:hAnsiTheme="majorBidi" w:cstheme="majorBidi"/>
          <w:b/>
          <w:bCs/>
          <w:color w:val="000000" w:themeColor="text1"/>
          <w:sz w:val="24"/>
          <w:szCs w:val="24"/>
        </w:rPr>
      </w:pPr>
    </w:p>
    <w:p w:rsidR="00A153A5" w:rsidRDefault="00A153A5" w:rsidP="00C95EDC">
      <w:pPr>
        <w:autoSpaceDE w:val="0"/>
        <w:autoSpaceDN w:val="0"/>
        <w:adjustRightInd w:val="0"/>
        <w:spacing w:after="0" w:line="360" w:lineRule="auto"/>
        <w:rPr>
          <w:rFonts w:asciiTheme="majorBidi" w:hAnsiTheme="majorBidi" w:cstheme="majorBidi"/>
          <w:b/>
          <w:bCs/>
          <w:color w:val="000000" w:themeColor="text1"/>
          <w:sz w:val="24"/>
          <w:szCs w:val="24"/>
        </w:rPr>
      </w:pPr>
    </w:p>
    <w:p w:rsidR="00A153A5" w:rsidRDefault="00A153A5" w:rsidP="00C95EDC">
      <w:pPr>
        <w:autoSpaceDE w:val="0"/>
        <w:autoSpaceDN w:val="0"/>
        <w:adjustRightInd w:val="0"/>
        <w:spacing w:after="0" w:line="360" w:lineRule="auto"/>
        <w:rPr>
          <w:rFonts w:asciiTheme="majorBidi" w:hAnsiTheme="majorBidi" w:cstheme="majorBidi"/>
          <w:b/>
          <w:bCs/>
          <w:color w:val="000000" w:themeColor="text1"/>
          <w:sz w:val="24"/>
          <w:szCs w:val="24"/>
        </w:rPr>
      </w:pPr>
    </w:p>
    <w:p w:rsidR="00C95EDC" w:rsidRPr="00A97594" w:rsidRDefault="00C95EDC" w:rsidP="00C95EDC">
      <w:pPr>
        <w:autoSpaceDE w:val="0"/>
        <w:autoSpaceDN w:val="0"/>
        <w:adjustRightInd w:val="0"/>
        <w:spacing w:after="0" w:line="360" w:lineRule="auto"/>
        <w:rPr>
          <w:rFonts w:asciiTheme="majorBidi" w:hAnsiTheme="majorBidi" w:cstheme="majorBidi"/>
          <w:b/>
          <w:bCs/>
          <w:color w:val="000000" w:themeColor="text1"/>
          <w:sz w:val="24"/>
          <w:szCs w:val="24"/>
        </w:rPr>
      </w:pPr>
      <w:r w:rsidRPr="00A97594">
        <w:rPr>
          <w:rFonts w:asciiTheme="majorBidi" w:hAnsiTheme="majorBidi" w:cstheme="majorBidi"/>
          <w:b/>
          <w:bCs/>
          <w:color w:val="000000" w:themeColor="text1"/>
          <w:sz w:val="24"/>
          <w:szCs w:val="24"/>
        </w:rPr>
        <w:t>3.1 Introduction</w:t>
      </w:r>
    </w:p>
    <w:p w:rsidR="00863862" w:rsidRDefault="00373537" w:rsidP="0037353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In this chapter,</w:t>
      </w:r>
      <w:r w:rsidRPr="00C95EDC">
        <w:rPr>
          <w:rFonts w:asciiTheme="majorBidi" w:hAnsiTheme="majorBidi" w:cstheme="majorBidi"/>
          <w:sz w:val="24"/>
          <w:szCs w:val="24"/>
        </w:rPr>
        <w:t xml:space="preserve"> the </w:t>
      </w:r>
      <w:r w:rsidR="00CF1868" w:rsidRPr="00C95EDC">
        <w:rPr>
          <w:rFonts w:asciiTheme="majorBidi" w:hAnsiTheme="majorBidi" w:cstheme="majorBidi"/>
          <w:sz w:val="24"/>
          <w:szCs w:val="24"/>
        </w:rPr>
        <w:t>researcher presents</w:t>
      </w:r>
      <w:r w:rsidR="000D1311">
        <w:rPr>
          <w:rFonts w:asciiTheme="majorBidi" w:hAnsiTheme="majorBidi" w:cstheme="majorBidi"/>
          <w:sz w:val="24"/>
          <w:szCs w:val="24"/>
        </w:rPr>
        <w:t xml:space="preserve"> the methodology he</w:t>
      </w:r>
      <w:r>
        <w:rPr>
          <w:rFonts w:asciiTheme="majorBidi" w:hAnsiTheme="majorBidi" w:cstheme="majorBidi"/>
          <w:sz w:val="24"/>
          <w:szCs w:val="24"/>
        </w:rPr>
        <w:t xml:space="preserve"> used in the study</w:t>
      </w:r>
      <w:r w:rsidRPr="00C95EDC">
        <w:rPr>
          <w:rFonts w:asciiTheme="majorBidi" w:hAnsiTheme="majorBidi" w:cstheme="majorBidi"/>
          <w:sz w:val="24"/>
          <w:szCs w:val="24"/>
        </w:rPr>
        <w:t>. It consists of</w:t>
      </w:r>
      <w:r>
        <w:rPr>
          <w:rFonts w:asciiTheme="majorBidi" w:hAnsiTheme="majorBidi" w:cstheme="majorBidi"/>
          <w:sz w:val="24"/>
          <w:szCs w:val="24"/>
        </w:rPr>
        <w:t xml:space="preserve"> </w:t>
      </w:r>
      <w:r w:rsidR="00CF1868">
        <w:rPr>
          <w:rFonts w:asciiTheme="majorBidi" w:hAnsiTheme="majorBidi" w:cstheme="majorBidi"/>
          <w:sz w:val="24"/>
          <w:szCs w:val="24"/>
        </w:rPr>
        <w:t xml:space="preserve">the </w:t>
      </w:r>
      <w:r w:rsidR="00CF1868" w:rsidRPr="00C95EDC">
        <w:rPr>
          <w:rFonts w:asciiTheme="majorBidi" w:hAnsiTheme="majorBidi" w:cstheme="majorBidi"/>
          <w:sz w:val="24"/>
          <w:szCs w:val="24"/>
        </w:rPr>
        <w:t>research</w:t>
      </w:r>
      <w:r w:rsidRPr="00C95EDC">
        <w:rPr>
          <w:rFonts w:asciiTheme="majorBidi" w:hAnsiTheme="majorBidi" w:cstheme="majorBidi"/>
          <w:sz w:val="24"/>
          <w:szCs w:val="24"/>
        </w:rPr>
        <w:t xml:space="preserve"> design</w:t>
      </w:r>
      <w:r>
        <w:rPr>
          <w:rFonts w:asciiTheme="majorBidi" w:hAnsiTheme="majorBidi" w:cstheme="majorBidi"/>
          <w:sz w:val="24"/>
          <w:szCs w:val="24"/>
        </w:rPr>
        <w:t xml:space="preserve"> as well as the</w:t>
      </w:r>
      <w:r w:rsidRPr="00C95EDC">
        <w:rPr>
          <w:rFonts w:asciiTheme="majorBidi" w:hAnsiTheme="majorBidi" w:cstheme="majorBidi"/>
          <w:sz w:val="24"/>
          <w:szCs w:val="24"/>
        </w:rPr>
        <w:t xml:space="preserve"> population</w:t>
      </w:r>
      <w:r w:rsidR="00D42752">
        <w:rPr>
          <w:rFonts w:asciiTheme="majorBidi" w:hAnsiTheme="majorBidi" w:cstheme="majorBidi"/>
          <w:sz w:val="24"/>
          <w:szCs w:val="24"/>
        </w:rPr>
        <w:t xml:space="preserve"> of the study</w:t>
      </w:r>
      <w:r w:rsidRPr="00C95EDC">
        <w:rPr>
          <w:rFonts w:asciiTheme="majorBidi" w:hAnsiTheme="majorBidi" w:cstheme="majorBidi"/>
          <w:sz w:val="24"/>
          <w:szCs w:val="24"/>
        </w:rPr>
        <w:t xml:space="preserve"> and participants in the stu</w:t>
      </w:r>
      <w:r>
        <w:rPr>
          <w:rFonts w:asciiTheme="majorBidi" w:hAnsiTheme="majorBidi" w:cstheme="majorBidi"/>
          <w:sz w:val="24"/>
          <w:szCs w:val="24"/>
        </w:rPr>
        <w:t xml:space="preserve">dy. It also </w:t>
      </w:r>
      <w:r w:rsidR="00CF1868">
        <w:rPr>
          <w:rFonts w:asciiTheme="majorBidi" w:hAnsiTheme="majorBidi" w:cstheme="majorBidi"/>
          <w:sz w:val="24"/>
          <w:szCs w:val="24"/>
        </w:rPr>
        <w:t>includes data</w:t>
      </w:r>
      <w:r>
        <w:rPr>
          <w:rFonts w:asciiTheme="majorBidi" w:hAnsiTheme="majorBidi" w:cstheme="majorBidi"/>
          <w:sz w:val="24"/>
          <w:szCs w:val="24"/>
        </w:rPr>
        <w:t xml:space="preserve"> collection </w:t>
      </w:r>
      <w:r w:rsidR="00CF1868">
        <w:rPr>
          <w:rFonts w:asciiTheme="majorBidi" w:hAnsiTheme="majorBidi" w:cstheme="majorBidi"/>
          <w:sz w:val="24"/>
          <w:szCs w:val="24"/>
        </w:rPr>
        <w:t xml:space="preserve">and </w:t>
      </w:r>
      <w:r w:rsidR="00CF1868" w:rsidRPr="00C95EDC">
        <w:rPr>
          <w:rFonts w:asciiTheme="majorBidi" w:hAnsiTheme="majorBidi" w:cstheme="majorBidi"/>
          <w:sz w:val="24"/>
          <w:szCs w:val="24"/>
        </w:rPr>
        <w:t>instruments</w:t>
      </w:r>
      <w:r w:rsidR="00CF1868">
        <w:rPr>
          <w:rFonts w:asciiTheme="majorBidi" w:hAnsiTheme="majorBidi" w:cstheme="majorBidi"/>
          <w:sz w:val="24"/>
          <w:szCs w:val="24"/>
        </w:rPr>
        <w:t xml:space="preserve"> </w:t>
      </w:r>
      <w:r w:rsidR="00CF1868" w:rsidRPr="00C95EDC">
        <w:rPr>
          <w:rFonts w:asciiTheme="majorBidi" w:hAnsiTheme="majorBidi" w:cstheme="majorBidi"/>
          <w:sz w:val="24"/>
          <w:szCs w:val="24"/>
        </w:rPr>
        <w:t>used</w:t>
      </w:r>
      <w:r w:rsidRPr="00C95EDC">
        <w:rPr>
          <w:rFonts w:asciiTheme="majorBidi" w:hAnsiTheme="majorBidi" w:cstheme="majorBidi"/>
          <w:sz w:val="24"/>
          <w:szCs w:val="24"/>
        </w:rPr>
        <w:t xml:space="preserve"> </w:t>
      </w:r>
      <w:r>
        <w:rPr>
          <w:rFonts w:asciiTheme="majorBidi" w:hAnsiTheme="majorBidi" w:cstheme="majorBidi"/>
          <w:sz w:val="24"/>
          <w:szCs w:val="24"/>
        </w:rPr>
        <w:t>for data analysis. It concludes with</w:t>
      </w:r>
      <w:r w:rsidRPr="00C95EDC">
        <w:rPr>
          <w:rFonts w:asciiTheme="majorBidi" w:hAnsiTheme="majorBidi" w:cstheme="majorBidi"/>
          <w:sz w:val="24"/>
          <w:szCs w:val="24"/>
        </w:rPr>
        <w:t xml:space="preserve"> the model</w:t>
      </w:r>
      <w:r>
        <w:rPr>
          <w:rFonts w:asciiTheme="majorBidi" w:hAnsiTheme="majorBidi" w:cstheme="majorBidi"/>
          <w:sz w:val="24"/>
          <w:szCs w:val="24"/>
        </w:rPr>
        <w:t>s</w:t>
      </w:r>
      <w:r w:rsidRPr="00C95EDC">
        <w:rPr>
          <w:rFonts w:asciiTheme="majorBidi" w:hAnsiTheme="majorBidi" w:cstheme="majorBidi"/>
          <w:sz w:val="24"/>
          <w:szCs w:val="24"/>
        </w:rPr>
        <w:t xml:space="preserve"> </w:t>
      </w:r>
      <w:r>
        <w:rPr>
          <w:rFonts w:asciiTheme="majorBidi" w:hAnsiTheme="majorBidi" w:cstheme="majorBidi"/>
          <w:sz w:val="24"/>
          <w:szCs w:val="24"/>
        </w:rPr>
        <w:t>and the components of the models;</w:t>
      </w:r>
      <w:r w:rsidRPr="00C95EDC">
        <w:rPr>
          <w:rFonts w:asciiTheme="majorBidi" w:hAnsiTheme="majorBidi" w:cstheme="majorBidi"/>
          <w:sz w:val="24"/>
          <w:szCs w:val="24"/>
        </w:rPr>
        <w:t xml:space="preserve"> dependent </w:t>
      </w:r>
      <w:r w:rsidR="00CF1868" w:rsidRPr="00C95EDC">
        <w:rPr>
          <w:rFonts w:asciiTheme="majorBidi" w:hAnsiTheme="majorBidi" w:cstheme="majorBidi"/>
          <w:sz w:val="24"/>
          <w:szCs w:val="24"/>
        </w:rPr>
        <w:t>and independent</w:t>
      </w:r>
      <w:r w:rsidRPr="00C95EDC">
        <w:rPr>
          <w:rFonts w:asciiTheme="majorBidi" w:hAnsiTheme="majorBidi" w:cstheme="majorBidi"/>
          <w:sz w:val="24"/>
          <w:szCs w:val="24"/>
        </w:rPr>
        <w:t xml:space="preserve"> variables</w:t>
      </w:r>
      <w:r w:rsidR="00F22304">
        <w:rPr>
          <w:rFonts w:asciiTheme="majorBidi" w:hAnsiTheme="majorBidi" w:cstheme="majorBidi"/>
          <w:sz w:val="24"/>
          <w:szCs w:val="24"/>
        </w:rPr>
        <w:t>.</w:t>
      </w:r>
      <w:r w:rsidRPr="00C95EDC">
        <w:rPr>
          <w:rFonts w:asciiTheme="majorBidi" w:hAnsiTheme="majorBidi" w:cstheme="majorBidi"/>
          <w:sz w:val="24"/>
          <w:szCs w:val="24"/>
        </w:rPr>
        <w:t xml:space="preserve"> </w:t>
      </w:r>
    </w:p>
    <w:p w:rsidR="004829D6" w:rsidRPr="00502966" w:rsidRDefault="004829D6" w:rsidP="00373537">
      <w:pPr>
        <w:autoSpaceDE w:val="0"/>
        <w:autoSpaceDN w:val="0"/>
        <w:adjustRightInd w:val="0"/>
        <w:spacing w:after="0" w:line="360" w:lineRule="auto"/>
        <w:jc w:val="both"/>
        <w:rPr>
          <w:rFonts w:asciiTheme="majorBidi" w:hAnsiTheme="majorBidi" w:cstheme="majorBidi"/>
          <w:sz w:val="24"/>
          <w:szCs w:val="24"/>
        </w:rPr>
      </w:pPr>
    </w:p>
    <w:p w:rsidR="00C95EDC" w:rsidRPr="00A97594" w:rsidRDefault="00CA3BF4" w:rsidP="00CA3BF4">
      <w:pPr>
        <w:autoSpaceDE w:val="0"/>
        <w:autoSpaceDN w:val="0"/>
        <w:adjustRightInd w:val="0"/>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sz w:val="24"/>
          <w:szCs w:val="24"/>
        </w:rPr>
        <w:t>3.2</w:t>
      </w:r>
      <w:r w:rsidR="00C95EDC" w:rsidRPr="00A97594">
        <w:rPr>
          <w:rFonts w:asciiTheme="majorBidi" w:hAnsiTheme="majorBidi" w:cstheme="majorBidi"/>
          <w:b/>
          <w:bCs/>
          <w:sz w:val="24"/>
          <w:szCs w:val="24"/>
        </w:rPr>
        <w:t xml:space="preserve"> Research </w:t>
      </w:r>
      <w:r w:rsidR="001C7647">
        <w:rPr>
          <w:rFonts w:asciiTheme="majorBidi" w:hAnsiTheme="majorBidi" w:cstheme="majorBidi"/>
          <w:b/>
          <w:bCs/>
          <w:sz w:val="24"/>
          <w:szCs w:val="24"/>
        </w:rPr>
        <w:t>A</w:t>
      </w:r>
      <w:r w:rsidR="0081450A" w:rsidRPr="00A97594">
        <w:rPr>
          <w:rFonts w:asciiTheme="majorBidi" w:hAnsiTheme="majorBidi" w:cstheme="majorBidi"/>
          <w:b/>
          <w:bCs/>
          <w:sz w:val="24"/>
          <w:szCs w:val="24"/>
        </w:rPr>
        <w:t>pproach</w:t>
      </w:r>
    </w:p>
    <w:p w:rsidR="00373537" w:rsidRPr="00156004" w:rsidRDefault="00373537" w:rsidP="0037353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To achieve the</w:t>
      </w:r>
      <w:r w:rsidRPr="007A127E">
        <w:rPr>
          <w:rFonts w:asciiTheme="majorBidi" w:hAnsiTheme="majorBidi" w:cstheme="majorBidi"/>
          <w:sz w:val="24"/>
          <w:szCs w:val="24"/>
        </w:rPr>
        <w:t xml:space="preserve"> aims and objectives of this research, a combined methodology of both quantitative and qualitative approaches </w:t>
      </w:r>
      <w:r w:rsidR="00CF1868">
        <w:rPr>
          <w:rFonts w:asciiTheme="majorBidi" w:hAnsiTheme="majorBidi" w:cstheme="majorBidi"/>
          <w:sz w:val="24"/>
          <w:szCs w:val="24"/>
        </w:rPr>
        <w:t xml:space="preserve">was </w:t>
      </w:r>
      <w:r w:rsidR="00CF1868" w:rsidRPr="007A127E">
        <w:rPr>
          <w:rFonts w:asciiTheme="majorBidi" w:hAnsiTheme="majorBidi" w:cstheme="majorBidi"/>
          <w:sz w:val="24"/>
          <w:szCs w:val="24"/>
        </w:rPr>
        <w:t>applied</w:t>
      </w:r>
      <w:r w:rsidRPr="007A127E">
        <w:rPr>
          <w:rFonts w:asciiTheme="majorBidi" w:hAnsiTheme="majorBidi" w:cstheme="majorBidi"/>
          <w:sz w:val="24"/>
          <w:szCs w:val="24"/>
        </w:rPr>
        <w:t xml:space="preserve">. The quantitative approach in this research </w:t>
      </w:r>
      <w:r>
        <w:rPr>
          <w:rFonts w:asciiTheme="majorBidi" w:hAnsiTheme="majorBidi" w:cstheme="majorBidi"/>
          <w:sz w:val="24"/>
          <w:szCs w:val="24"/>
        </w:rPr>
        <w:t>was</w:t>
      </w:r>
      <w:r w:rsidRPr="007A127E">
        <w:rPr>
          <w:rFonts w:asciiTheme="majorBidi" w:hAnsiTheme="majorBidi" w:cstheme="majorBidi"/>
          <w:sz w:val="24"/>
          <w:szCs w:val="24"/>
        </w:rPr>
        <w:t xml:space="preserve"> mainly</w:t>
      </w:r>
      <w:r>
        <w:rPr>
          <w:rFonts w:asciiTheme="majorBidi" w:hAnsiTheme="majorBidi" w:cstheme="majorBidi"/>
          <w:sz w:val="24"/>
          <w:szCs w:val="24"/>
        </w:rPr>
        <w:t xml:space="preserve"> used to</w:t>
      </w:r>
      <w:r w:rsidRPr="007A127E">
        <w:rPr>
          <w:rFonts w:asciiTheme="majorBidi" w:hAnsiTheme="majorBidi" w:cstheme="majorBidi"/>
          <w:sz w:val="24"/>
          <w:szCs w:val="24"/>
        </w:rPr>
        <w:t xml:space="preserve"> </w:t>
      </w:r>
      <w:r w:rsidR="00CF1868" w:rsidRPr="007A127E">
        <w:rPr>
          <w:rFonts w:asciiTheme="majorBidi" w:hAnsiTheme="majorBidi" w:cstheme="majorBidi"/>
          <w:sz w:val="24"/>
          <w:szCs w:val="24"/>
        </w:rPr>
        <w:t>answer</w:t>
      </w:r>
      <w:r w:rsidR="00CF1868">
        <w:rPr>
          <w:rFonts w:asciiTheme="majorBidi" w:hAnsiTheme="majorBidi" w:cstheme="majorBidi"/>
          <w:sz w:val="24"/>
          <w:szCs w:val="24"/>
        </w:rPr>
        <w:t xml:space="preserve"> </w:t>
      </w:r>
      <w:r w:rsidR="00CF1868" w:rsidRPr="007A127E">
        <w:rPr>
          <w:rFonts w:asciiTheme="majorBidi" w:hAnsiTheme="majorBidi" w:cstheme="majorBidi"/>
          <w:sz w:val="24"/>
          <w:szCs w:val="24"/>
        </w:rPr>
        <w:t>the</w:t>
      </w:r>
      <w:r w:rsidRPr="007A127E">
        <w:rPr>
          <w:rFonts w:asciiTheme="majorBidi" w:hAnsiTheme="majorBidi" w:cstheme="majorBidi"/>
          <w:sz w:val="24"/>
          <w:szCs w:val="24"/>
        </w:rPr>
        <w:t xml:space="preserve"> first two research question</w:t>
      </w:r>
      <w:r>
        <w:rPr>
          <w:rFonts w:asciiTheme="majorBidi" w:hAnsiTheme="majorBidi" w:cstheme="majorBidi"/>
          <w:sz w:val="24"/>
          <w:szCs w:val="24"/>
        </w:rPr>
        <w:t>s</w:t>
      </w:r>
      <w:r w:rsidRPr="007A127E">
        <w:rPr>
          <w:rFonts w:asciiTheme="majorBidi" w:hAnsiTheme="majorBidi" w:cstheme="majorBidi"/>
          <w:sz w:val="24"/>
          <w:szCs w:val="24"/>
        </w:rPr>
        <w:t>. In order to get a general understanding of</w:t>
      </w:r>
      <w:r>
        <w:rPr>
          <w:rFonts w:asciiTheme="majorBidi" w:hAnsiTheme="majorBidi" w:cstheme="majorBidi"/>
          <w:sz w:val="24"/>
          <w:szCs w:val="24"/>
        </w:rPr>
        <w:t xml:space="preserve"> </w:t>
      </w:r>
      <w:r w:rsidR="00CF1868">
        <w:rPr>
          <w:rFonts w:asciiTheme="majorBidi" w:hAnsiTheme="majorBidi" w:cstheme="majorBidi"/>
          <w:sz w:val="24"/>
          <w:szCs w:val="24"/>
        </w:rPr>
        <w:t xml:space="preserve">the </w:t>
      </w:r>
      <w:r w:rsidR="00CF1868" w:rsidRPr="007A127E">
        <w:rPr>
          <w:rFonts w:asciiTheme="majorBidi" w:hAnsiTheme="majorBidi" w:cstheme="majorBidi"/>
          <w:sz w:val="24"/>
          <w:szCs w:val="24"/>
        </w:rPr>
        <w:t>major</w:t>
      </w:r>
      <w:r w:rsidRPr="007A127E">
        <w:rPr>
          <w:rFonts w:asciiTheme="majorBidi" w:hAnsiTheme="majorBidi" w:cstheme="majorBidi"/>
          <w:sz w:val="24"/>
          <w:szCs w:val="24"/>
        </w:rPr>
        <w:t xml:space="preserve"> Palestinian banks’ credit risk ma</w:t>
      </w:r>
      <w:r>
        <w:rPr>
          <w:rFonts w:asciiTheme="majorBidi" w:hAnsiTheme="majorBidi" w:cstheme="majorBidi"/>
          <w:sz w:val="24"/>
          <w:szCs w:val="24"/>
        </w:rPr>
        <w:t>nagement level</w:t>
      </w:r>
      <w:r w:rsidRPr="007A127E">
        <w:rPr>
          <w:rFonts w:asciiTheme="majorBidi" w:hAnsiTheme="majorBidi" w:cstheme="majorBidi"/>
          <w:sz w:val="24"/>
          <w:szCs w:val="24"/>
        </w:rPr>
        <w:t xml:space="preserve"> of their lending decision quality performance</w:t>
      </w:r>
      <w:r>
        <w:rPr>
          <w:rFonts w:asciiTheme="majorBidi" w:hAnsiTheme="majorBidi" w:cstheme="majorBidi"/>
          <w:sz w:val="24"/>
          <w:szCs w:val="24"/>
        </w:rPr>
        <w:t>,</w:t>
      </w:r>
      <w:r w:rsidRPr="007A127E">
        <w:rPr>
          <w:rFonts w:asciiTheme="majorBidi" w:hAnsiTheme="majorBidi" w:cstheme="majorBidi"/>
          <w:sz w:val="24"/>
          <w:szCs w:val="24"/>
        </w:rPr>
        <w:t xml:space="preserve"> </w:t>
      </w:r>
      <w:r w:rsidRPr="00156004">
        <w:rPr>
          <w:rFonts w:asciiTheme="majorBidi" w:hAnsiTheme="majorBidi" w:cstheme="majorBidi"/>
          <w:sz w:val="24"/>
          <w:szCs w:val="24"/>
        </w:rPr>
        <w:t>within</w:t>
      </w:r>
      <w:r>
        <w:rPr>
          <w:rFonts w:asciiTheme="majorBidi" w:hAnsiTheme="majorBidi" w:cstheme="majorBidi"/>
          <w:sz w:val="24"/>
          <w:szCs w:val="24"/>
        </w:rPr>
        <w:t xml:space="preserve"> the</w:t>
      </w:r>
      <w:r w:rsidRPr="00156004">
        <w:rPr>
          <w:rFonts w:asciiTheme="majorBidi" w:hAnsiTheme="majorBidi" w:cstheme="majorBidi"/>
          <w:sz w:val="24"/>
          <w:szCs w:val="24"/>
        </w:rPr>
        <w:t xml:space="preserve"> study period, ratio analysis </w:t>
      </w:r>
      <w:r w:rsidR="00CF1868">
        <w:rPr>
          <w:rFonts w:asciiTheme="majorBidi" w:hAnsiTheme="majorBidi" w:cstheme="majorBidi"/>
          <w:sz w:val="24"/>
          <w:szCs w:val="24"/>
        </w:rPr>
        <w:t xml:space="preserve">was </w:t>
      </w:r>
      <w:r w:rsidR="00CF1868" w:rsidRPr="00156004">
        <w:rPr>
          <w:rFonts w:asciiTheme="majorBidi" w:hAnsiTheme="majorBidi" w:cstheme="majorBidi"/>
          <w:sz w:val="24"/>
          <w:szCs w:val="24"/>
        </w:rPr>
        <w:t>adopted</w:t>
      </w:r>
      <w:r w:rsidRPr="00156004">
        <w:rPr>
          <w:rFonts w:asciiTheme="majorBidi" w:hAnsiTheme="majorBidi" w:cstheme="majorBidi"/>
          <w:sz w:val="24"/>
          <w:szCs w:val="24"/>
        </w:rPr>
        <w:t xml:space="preserve">.  </w:t>
      </w:r>
      <w:r>
        <w:rPr>
          <w:rFonts w:asciiTheme="majorBidi" w:hAnsiTheme="majorBidi" w:cstheme="majorBidi"/>
          <w:sz w:val="24"/>
          <w:szCs w:val="24"/>
        </w:rPr>
        <w:t>That is, t</w:t>
      </w:r>
      <w:r w:rsidRPr="00156004">
        <w:rPr>
          <w:rFonts w:asciiTheme="majorBidi" w:hAnsiTheme="majorBidi" w:cstheme="majorBidi"/>
          <w:sz w:val="24"/>
          <w:szCs w:val="24"/>
        </w:rPr>
        <w:t>he researcher use</w:t>
      </w:r>
      <w:r>
        <w:rPr>
          <w:rFonts w:asciiTheme="majorBidi" w:hAnsiTheme="majorBidi" w:cstheme="majorBidi"/>
          <w:sz w:val="24"/>
          <w:szCs w:val="24"/>
        </w:rPr>
        <w:t xml:space="preserve">d the </w:t>
      </w:r>
      <w:r w:rsidRPr="00156004">
        <w:rPr>
          <w:rFonts w:asciiTheme="majorBidi" w:hAnsiTheme="majorBidi" w:cstheme="majorBidi"/>
          <w:sz w:val="24"/>
          <w:szCs w:val="24"/>
        </w:rPr>
        <w:t xml:space="preserve"> </w:t>
      </w:r>
      <w:r w:rsidRPr="00373537">
        <w:rPr>
          <w:rFonts w:asciiTheme="majorBidi" w:hAnsiTheme="majorBidi" w:cstheme="majorBidi"/>
          <w:sz w:val="24"/>
          <w:szCs w:val="24"/>
        </w:rPr>
        <w:t>regression model to analyze the data collected from the annual audited reports of  the Palestinian banks, Association of Banks in Palestine and  the</w:t>
      </w:r>
      <w:r w:rsidRPr="00373537">
        <w:rPr>
          <w:rFonts w:asciiTheme="majorBidi" w:hAnsiTheme="majorBidi" w:cstheme="majorBidi"/>
          <w:b/>
          <w:bCs/>
          <w:color w:val="000000" w:themeColor="text1"/>
          <w:sz w:val="24"/>
          <w:szCs w:val="24"/>
        </w:rPr>
        <w:t xml:space="preserve"> </w:t>
      </w:r>
      <w:r w:rsidRPr="00373537">
        <w:rPr>
          <w:rFonts w:asciiTheme="majorBidi" w:hAnsiTheme="majorBidi" w:cstheme="majorBidi"/>
          <w:color w:val="000000" w:themeColor="text1"/>
          <w:sz w:val="24"/>
          <w:szCs w:val="24"/>
        </w:rPr>
        <w:t>Palestinian Monetary Authority (PMA).</w:t>
      </w:r>
      <w:r w:rsidRPr="00373537">
        <w:rPr>
          <w:rFonts w:asciiTheme="majorBidi" w:hAnsiTheme="majorBidi" w:cstheme="majorBidi"/>
          <w:sz w:val="24"/>
          <w:szCs w:val="24"/>
        </w:rPr>
        <w:t xml:space="preserve"> Based on the</w:t>
      </w:r>
      <w:r w:rsidRPr="00156004">
        <w:rPr>
          <w:rFonts w:asciiTheme="majorBidi" w:hAnsiTheme="majorBidi" w:cstheme="majorBidi"/>
          <w:sz w:val="24"/>
          <w:szCs w:val="24"/>
        </w:rPr>
        <w:t xml:space="preserve"> result of regression output and feedback </w:t>
      </w:r>
      <w:r w:rsidR="00CF1868" w:rsidRPr="00156004">
        <w:rPr>
          <w:rFonts w:asciiTheme="majorBidi" w:hAnsiTheme="majorBidi" w:cstheme="majorBidi"/>
          <w:sz w:val="24"/>
          <w:szCs w:val="24"/>
        </w:rPr>
        <w:t xml:space="preserve">from </w:t>
      </w:r>
      <w:r w:rsidR="00CF1868">
        <w:rPr>
          <w:rFonts w:asciiTheme="majorBidi" w:hAnsiTheme="majorBidi" w:cstheme="majorBidi"/>
          <w:sz w:val="24"/>
          <w:szCs w:val="24"/>
        </w:rPr>
        <w:t>the</w:t>
      </w:r>
      <w:r>
        <w:rPr>
          <w:rFonts w:asciiTheme="majorBidi" w:hAnsiTheme="majorBidi" w:cstheme="majorBidi"/>
          <w:sz w:val="24"/>
          <w:szCs w:val="24"/>
        </w:rPr>
        <w:t xml:space="preserve"> </w:t>
      </w:r>
      <w:r w:rsidRPr="00156004">
        <w:rPr>
          <w:rFonts w:asciiTheme="majorBidi" w:hAnsiTheme="majorBidi" w:cstheme="majorBidi"/>
          <w:sz w:val="24"/>
          <w:szCs w:val="24"/>
        </w:rPr>
        <w:t>research question</w:t>
      </w:r>
      <w:r>
        <w:rPr>
          <w:rFonts w:asciiTheme="majorBidi" w:hAnsiTheme="majorBidi" w:cstheme="majorBidi"/>
          <w:sz w:val="24"/>
          <w:szCs w:val="24"/>
        </w:rPr>
        <w:t>s</w:t>
      </w:r>
      <w:r w:rsidRPr="00156004">
        <w:rPr>
          <w:rFonts w:asciiTheme="majorBidi" w:hAnsiTheme="majorBidi" w:cstheme="majorBidi"/>
          <w:sz w:val="24"/>
          <w:szCs w:val="24"/>
        </w:rPr>
        <w:t xml:space="preserve">, </w:t>
      </w:r>
      <w:r>
        <w:rPr>
          <w:rFonts w:asciiTheme="majorBidi" w:hAnsiTheme="majorBidi" w:cstheme="majorBidi"/>
          <w:sz w:val="24"/>
          <w:szCs w:val="24"/>
        </w:rPr>
        <w:t>an</w:t>
      </w:r>
      <w:r w:rsidRPr="00156004">
        <w:rPr>
          <w:rFonts w:asciiTheme="majorBidi" w:hAnsiTheme="majorBidi" w:cstheme="majorBidi"/>
          <w:sz w:val="24"/>
          <w:szCs w:val="24"/>
        </w:rPr>
        <w:t xml:space="preserve"> analysis w</w:t>
      </w:r>
      <w:r>
        <w:rPr>
          <w:rFonts w:asciiTheme="majorBidi" w:hAnsiTheme="majorBidi" w:cstheme="majorBidi"/>
          <w:sz w:val="24"/>
          <w:szCs w:val="24"/>
        </w:rPr>
        <w:t>as</w:t>
      </w:r>
      <w:r w:rsidRPr="00156004">
        <w:rPr>
          <w:rFonts w:asciiTheme="majorBidi" w:hAnsiTheme="majorBidi" w:cstheme="majorBidi"/>
          <w:sz w:val="24"/>
          <w:szCs w:val="24"/>
        </w:rPr>
        <w:t xml:space="preserve"> conducted and res</w:t>
      </w:r>
      <w:r>
        <w:rPr>
          <w:rFonts w:asciiTheme="majorBidi" w:hAnsiTheme="majorBidi" w:cstheme="majorBidi"/>
          <w:sz w:val="24"/>
          <w:szCs w:val="24"/>
        </w:rPr>
        <w:t>earch questions were answered.</w:t>
      </w:r>
      <w:r w:rsidRPr="00156004">
        <w:rPr>
          <w:rFonts w:asciiTheme="majorBidi" w:hAnsiTheme="majorBidi" w:cstheme="majorBidi"/>
          <w:sz w:val="24"/>
          <w:szCs w:val="24"/>
        </w:rPr>
        <w:t xml:space="preserve"> </w:t>
      </w:r>
      <w:r>
        <w:rPr>
          <w:rFonts w:asciiTheme="majorBidi" w:hAnsiTheme="majorBidi" w:cstheme="majorBidi"/>
          <w:sz w:val="24"/>
          <w:szCs w:val="24"/>
        </w:rPr>
        <w:t>T</w:t>
      </w:r>
      <w:r w:rsidRPr="00156004">
        <w:rPr>
          <w:rFonts w:asciiTheme="majorBidi" w:hAnsiTheme="majorBidi" w:cstheme="majorBidi"/>
          <w:sz w:val="24"/>
          <w:szCs w:val="24"/>
        </w:rPr>
        <w:t xml:space="preserve">he major hypothesis for testing </w:t>
      </w:r>
      <w:r>
        <w:rPr>
          <w:rFonts w:asciiTheme="majorBidi" w:hAnsiTheme="majorBidi" w:cstheme="majorBidi"/>
          <w:sz w:val="24"/>
          <w:szCs w:val="24"/>
        </w:rPr>
        <w:t>was</w:t>
      </w:r>
      <w:r w:rsidRPr="00156004">
        <w:rPr>
          <w:rFonts w:asciiTheme="majorBidi" w:hAnsiTheme="majorBidi" w:cstheme="majorBidi"/>
          <w:sz w:val="24"/>
          <w:szCs w:val="24"/>
        </w:rPr>
        <w:t xml:space="preserve"> whether credit risk policies and techniques adopted by Palestinian banks affect</w:t>
      </w:r>
      <w:r>
        <w:rPr>
          <w:rFonts w:asciiTheme="majorBidi" w:hAnsiTheme="majorBidi" w:cstheme="majorBidi"/>
          <w:sz w:val="24"/>
          <w:szCs w:val="24"/>
        </w:rPr>
        <w:t>ed</w:t>
      </w:r>
      <w:r w:rsidRPr="00156004">
        <w:rPr>
          <w:rFonts w:asciiTheme="majorBidi" w:hAnsiTheme="majorBidi" w:cstheme="majorBidi"/>
          <w:sz w:val="24"/>
          <w:szCs w:val="24"/>
        </w:rPr>
        <w:t xml:space="preserve"> their profitability. The researcher </w:t>
      </w:r>
      <w:r w:rsidR="00CF1868" w:rsidRPr="00156004">
        <w:rPr>
          <w:rFonts w:asciiTheme="majorBidi" w:hAnsiTheme="majorBidi" w:cstheme="majorBidi"/>
          <w:sz w:val="24"/>
          <w:szCs w:val="24"/>
        </w:rPr>
        <w:t>select</w:t>
      </w:r>
      <w:r w:rsidR="00CF1868">
        <w:rPr>
          <w:rFonts w:asciiTheme="majorBidi" w:hAnsiTheme="majorBidi" w:cstheme="majorBidi"/>
          <w:sz w:val="24"/>
          <w:szCs w:val="24"/>
        </w:rPr>
        <w:t xml:space="preserve">ed </w:t>
      </w:r>
      <w:r w:rsidR="00CF1868" w:rsidRPr="00156004">
        <w:rPr>
          <w:rFonts w:asciiTheme="majorBidi" w:hAnsiTheme="majorBidi" w:cstheme="majorBidi"/>
          <w:sz w:val="24"/>
          <w:szCs w:val="24"/>
        </w:rPr>
        <w:t>five</w:t>
      </w:r>
      <w:r>
        <w:rPr>
          <w:rFonts w:asciiTheme="majorBidi" w:hAnsiTheme="majorBidi" w:cstheme="majorBidi"/>
          <w:sz w:val="24"/>
          <w:szCs w:val="24"/>
        </w:rPr>
        <w:t xml:space="preserve"> major</w:t>
      </w:r>
      <w:r w:rsidRPr="00156004">
        <w:rPr>
          <w:rFonts w:asciiTheme="majorBidi" w:hAnsiTheme="majorBidi" w:cstheme="majorBidi"/>
          <w:sz w:val="24"/>
          <w:szCs w:val="24"/>
        </w:rPr>
        <w:t xml:space="preserve"> commercial banks </w:t>
      </w:r>
      <w:r w:rsidR="00CF1868">
        <w:rPr>
          <w:rFonts w:asciiTheme="majorBidi" w:hAnsiTheme="majorBidi" w:cstheme="majorBidi"/>
          <w:sz w:val="24"/>
          <w:szCs w:val="24"/>
        </w:rPr>
        <w:t>in the</w:t>
      </w:r>
      <w:r w:rsidR="004320F9">
        <w:rPr>
          <w:rFonts w:asciiTheme="majorBidi" w:hAnsiTheme="majorBidi" w:cstheme="majorBidi"/>
          <w:sz w:val="24"/>
          <w:szCs w:val="24"/>
        </w:rPr>
        <w:t xml:space="preserve"> country which</w:t>
      </w:r>
      <w:r w:rsidRPr="00156004">
        <w:rPr>
          <w:rFonts w:asciiTheme="majorBidi" w:hAnsiTheme="majorBidi" w:cstheme="majorBidi"/>
          <w:sz w:val="24"/>
          <w:szCs w:val="24"/>
        </w:rPr>
        <w:t xml:space="preserve"> submit</w:t>
      </w:r>
      <w:r>
        <w:rPr>
          <w:rFonts w:asciiTheme="majorBidi" w:hAnsiTheme="majorBidi" w:cstheme="majorBidi"/>
          <w:sz w:val="24"/>
          <w:szCs w:val="24"/>
        </w:rPr>
        <w:t>ted</w:t>
      </w:r>
      <w:r w:rsidRPr="00156004">
        <w:rPr>
          <w:rFonts w:asciiTheme="majorBidi" w:hAnsiTheme="majorBidi" w:cstheme="majorBidi"/>
          <w:sz w:val="24"/>
          <w:szCs w:val="24"/>
        </w:rPr>
        <w:t xml:space="preserve"> their annual report</w:t>
      </w:r>
      <w:r>
        <w:rPr>
          <w:rFonts w:asciiTheme="majorBidi" w:hAnsiTheme="majorBidi" w:cstheme="majorBidi"/>
          <w:sz w:val="24"/>
          <w:szCs w:val="24"/>
        </w:rPr>
        <w:t>s</w:t>
      </w:r>
      <w:r w:rsidRPr="00156004">
        <w:rPr>
          <w:rFonts w:asciiTheme="majorBidi" w:hAnsiTheme="majorBidi" w:cstheme="majorBidi"/>
          <w:sz w:val="24"/>
          <w:szCs w:val="24"/>
        </w:rPr>
        <w:t xml:space="preserve"> to</w:t>
      </w:r>
      <w:r>
        <w:rPr>
          <w:rFonts w:asciiTheme="majorBidi" w:hAnsiTheme="majorBidi" w:cstheme="majorBidi"/>
          <w:sz w:val="24"/>
          <w:szCs w:val="24"/>
        </w:rPr>
        <w:t xml:space="preserve"> </w:t>
      </w:r>
      <w:r w:rsidR="00CF1868">
        <w:rPr>
          <w:rFonts w:asciiTheme="majorBidi" w:hAnsiTheme="majorBidi" w:cstheme="majorBidi"/>
          <w:sz w:val="24"/>
          <w:szCs w:val="24"/>
        </w:rPr>
        <w:t xml:space="preserve">the </w:t>
      </w:r>
      <w:r w:rsidR="00CF1868" w:rsidRPr="00156004">
        <w:rPr>
          <w:rFonts w:asciiTheme="majorBidi" w:hAnsiTheme="majorBidi" w:cstheme="majorBidi"/>
          <w:sz w:val="24"/>
          <w:szCs w:val="24"/>
        </w:rPr>
        <w:t>PMA from</w:t>
      </w:r>
      <w:r w:rsidRPr="00156004">
        <w:rPr>
          <w:rFonts w:asciiTheme="majorBidi" w:hAnsiTheme="majorBidi" w:cstheme="majorBidi"/>
          <w:sz w:val="24"/>
          <w:szCs w:val="24"/>
        </w:rPr>
        <w:t xml:space="preserve"> 2005 </w:t>
      </w:r>
      <w:r>
        <w:rPr>
          <w:rFonts w:asciiTheme="majorBidi" w:hAnsiTheme="majorBidi" w:cstheme="majorBidi"/>
          <w:sz w:val="24"/>
          <w:szCs w:val="24"/>
        </w:rPr>
        <w:t>-</w:t>
      </w:r>
      <w:r w:rsidRPr="00156004">
        <w:rPr>
          <w:rFonts w:asciiTheme="majorBidi" w:hAnsiTheme="majorBidi" w:cstheme="majorBidi"/>
          <w:sz w:val="24"/>
          <w:szCs w:val="24"/>
        </w:rPr>
        <w:t xml:space="preserve"> 2011.</w:t>
      </w:r>
    </w:p>
    <w:p w:rsidR="00373537" w:rsidRDefault="00373537" w:rsidP="00373537">
      <w:pPr>
        <w:autoSpaceDE w:val="0"/>
        <w:autoSpaceDN w:val="0"/>
        <w:adjustRightInd w:val="0"/>
        <w:spacing w:after="0" w:line="360" w:lineRule="auto"/>
        <w:jc w:val="both"/>
        <w:rPr>
          <w:rFonts w:asciiTheme="majorBidi" w:hAnsiTheme="majorBidi" w:cstheme="majorBidi"/>
          <w:sz w:val="24"/>
          <w:szCs w:val="24"/>
        </w:rPr>
      </w:pPr>
      <w:r w:rsidRPr="001E48EF">
        <w:rPr>
          <w:rFonts w:asciiTheme="majorBidi" w:hAnsiTheme="majorBidi" w:cstheme="majorBidi"/>
          <w:sz w:val="24"/>
          <w:szCs w:val="24"/>
        </w:rPr>
        <w:t xml:space="preserve">For that </w:t>
      </w:r>
      <w:r w:rsidR="00CF1868" w:rsidRPr="001E48EF">
        <w:rPr>
          <w:rFonts w:asciiTheme="majorBidi" w:hAnsiTheme="majorBidi" w:cstheme="majorBidi"/>
          <w:sz w:val="24"/>
          <w:szCs w:val="24"/>
        </w:rPr>
        <w:t>r</w:t>
      </w:r>
      <w:r w:rsidR="00CF1868">
        <w:rPr>
          <w:rFonts w:asciiTheme="majorBidi" w:hAnsiTheme="majorBidi" w:cstheme="majorBidi"/>
          <w:sz w:val="24"/>
          <w:szCs w:val="24"/>
        </w:rPr>
        <w:t>eason, the</w:t>
      </w:r>
      <w:r>
        <w:rPr>
          <w:rFonts w:asciiTheme="majorBidi" w:hAnsiTheme="majorBidi" w:cstheme="majorBidi"/>
          <w:sz w:val="24"/>
          <w:szCs w:val="24"/>
        </w:rPr>
        <w:t xml:space="preserve"> researcher </w:t>
      </w:r>
      <w:r w:rsidR="00CF1868">
        <w:rPr>
          <w:rFonts w:asciiTheme="majorBidi" w:hAnsiTheme="majorBidi" w:cstheme="majorBidi"/>
          <w:sz w:val="24"/>
          <w:szCs w:val="24"/>
        </w:rPr>
        <w:t>made 35</w:t>
      </w:r>
      <w:r w:rsidRPr="001E48EF">
        <w:rPr>
          <w:rFonts w:asciiTheme="majorBidi" w:hAnsiTheme="majorBidi" w:cstheme="majorBidi"/>
          <w:sz w:val="24"/>
          <w:szCs w:val="24"/>
        </w:rPr>
        <w:t xml:space="preserve"> observations in the regression analysis</w:t>
      </w:r>
      <w:r>
        <w:rPr>
          <w:rFonts w:asciiTheme="majorBidi" w:hAnsiTheme="majorBidi" w:cstheme="majorBidi"/>
          <w:sz w:val="24"/>
          <w:szCs w:val="24"/>
        </w:rPr>
        <w:t xml:space="preserve">. </w:t>
      </w:r>
      <w:r w:rsidRPr="001E48EF">
        <w:rPr>
          <w:rFonts w:asciiTheme="majorBidi" w:hAnsiTheme="majorBidi" w:cstheme="majorBidi"/>
          <w:sz w:val="24"/>
          <w:szCs w:val="24"/>
        </w:rPr>
        <w:t xml:space="preserve">Theoretically, the number of </w:t>
      </w:r>
      <w:r>
        <w:rPr>
          <w:rFonts w:asciiTheme="majorBidi" w:hAnsiTheme="majorBidi" w:cstheme="majorBidi"/>
          <w:sz w:val="24"/>
          <w:szCs w:val="24"/>
        </w:rPr>
        <w:t>o</w:t>
      </w:r>
      <w:r w:rsidRPr="001E48EF">
        <w:rPr>
          <w:rFonts w:asciiTheme="majorBidi" w:hAnsiTheme="majorBidi" w:cstheme="majorBidi"/>
          <w:sz w:val="24"/>
          <w:szCs w:val="24"/>
        </w:rPr>
        <w:t>bservations should be 20:1 (20 observations per one independent variable) in the regres</w:t>
      </w:r>
      <w:r>
        <w:rPr>
          <w:rFonts w:asciiTheme="majorBidi" w:hAnsiTheme="majorBidi" w:cstheme="majorBidi"/>
          <w:sz w:val="24"/>
          <w:szCs w:val="24"/>
        </w:rPr>
        <w:t>sion analysis and as low as 5:1</w:t>
      </w:r>
      <w:r w:rsidRPr="001E48EF">
        <w:rPr>
          <w:rFonts w:asciiTheme="majorBidi" w:hAnsiTheme="majorBidi" w:cstheme="majorBidi"/>
          <w:sz w:val="24"/>
          <w:szCs w:val="24"/>
        </w:rPr>
        <w:t xml:space="preserve">.(as </w:t>
      </w:r>
      <w:r>
        <w:rPr>
          <w:rFonts w:asciiTheme="majorBidi" w:hAnsiTheme="majorBidi" w:cstheme="majorBidi"/>
          <w:sz w:val="24"/>
          <w:szCs w:val="24"/>
        </w:rPr>
        <w:t>c</w:t>
      </w:r>
      <w:r w:rsidRPr="001E48EF">
        <w:rPr>
          <w:rFonts w:asciiTheme="majorBidi" w:hAnsiTheme="majorBidi" w:cstheme="majorBidi"/>
          <w:sz w:val="24"/>
          <w:szCs w:val="24"/>
        </w:rPr>
        <w:t>ited</w:t>
      </w:r>
      <w:r>
        <w:rPr>
          <w:rFonts w:asciiTheme="majorBidi" w:hAnsiTheme="majorBidi" w:cstheme="majorBidi"/>
          <w:sz w:val="24"/>
          <w:szCs w:val="24"/>
        </w:rPr>
        <w:t xml:space="preserve"> by</w:t>
      </w:r>
      <w:r w:rsidRPr="001E48EF">
        <w:rPr>
          <w:rFonts w:asciiTheme="majorBidi" w:hAnsiTheme="majorBidi" w:cstheme="majorBidi"/>
          <w:sz w:val="24"/>
          <w:szCs w:val="24"/>
        </w:rPr>
        <w:t xml:space="preserve"> Princeton University.)</w:t>
      </w:r>
      <w:r>
        <w:rPr>
          <w:rFonts w:asciiTheme="majorBidi" w:hAnsiTheme="majorBidi" w:cstheme="majorBidi"/>
          <w:sz w:val="24"/>
          <w:szCs w:val="24"/>
        </w:rPr>
        <w:t>.</w:t>
      </w:r>
    </w:p>
    <w:p w:rsidR="00863862" w:rsidRDefault="00373537" w:rsidP="0037353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w:t>
      </w:r>
      <w:r w:rsidRPr="00393FD3">
        <w:rPr>
          <w:rFonts w:asciiTheme="majorBidi" w:hAnsiTheme="majorBidi" w:cstheme="majorBidi"/>
          <w:sz w:val="24"/>
          <w:szCs w:val="24"/>
        </w:rPr>
        <w:t>he qualitative study part i</w:t>
      </w:r>
      <w:r w:rsidR="008A54F9">
        <w:rPr>
          <w:rFonts w:asciiTheme="majorBidi" w:hAnsiTheme="majorBidi" w:cstheme="majorBidi"/>
          <w:sz w:val="24"/>
          <w:szCs w:val="24"/>
        </w:rPr>
        <w:t xml:space="preserve">n this research provides </w:t>
      </w:r>
      <w:r w:rsidRPr="00393FD3">
        <w:rPr>
          <w:rFonts w:asciiTheme="majorBidi" w:hAnsiTheme="majorBidi" w:cstheme="majorBidi"/>
          <w:sz w:val="24"/>
          <w:szCs w:val="24"/>
        </w:rPr>
        <w:t>can actually be viewed as a collective case study, which, as de</w:t>
      </w:r>
      <w:r w:rsidR="00F22304">
        <w:rPr>
          <w:rFonts w:asciiTheme="majorBidi" w:hAnsiTheme="majorBidi" w:cstheme="majorBidi"/>
          <w:sz w:val="24"/>
          <w:szCs w:val="24"/>
        </w:rPr>
        <w:t>fined by Silverman (2005),</w:t>
      </w:r>
      <w:r w:rsidRPr="00393FD3">
        <w:rPr>
          <w:rFonts w:asciiTheme="majorBidi" w:hAnsiTheme="majorBidi" w:cstheme="majorBidi"/>
          <w:sz w:val="24"/>
          <w:szCs w:val="24"/>
        </w:rPr>
        <w:t xml:space="preserve"> a number of cases are studied in order to </w:t>
      </w:r>
      <w:r w:rsidR="00F22304">
        <w:rPr>
          <w:rFonts w:asciiTheme="majorBidi" w:hAnsiTheme="majorBidi" w:cstheme="majorBidi"/>
          <w:sz w:val="24"/>
          <w:szCs w:val="24"/>
        </w:rPr>
        <w:t xml:space="preserve">examine </w:t>
      </w:r>
      <w:r w:rsidR="008A54F9">
        <w:rPr>
          <w:rFonts w:asciiTheme="majorBidi" w:hAnsiTheme="majorBidi" w:cstheme="majorBidi"/>
          <w:sz w:val="24"/>
          <w:szCs w:val="24"/>
        </w:rPr>
        <w:t>some general phenomenon and answer the third question of this study.</w:t>
      </w:r>
      <w:r w:rsidRPr="00393FD3">
        <w:rPr>
          <w:rFonts w:asciiTheme="majorBidi" w:hAnsiTheme="majorBidi" w:cstheme="majorBidi"/>
          <w:sz w:val="24"/>
          <w:szCs w:val="24"/>
        </w:rPr>
        <w:t xml:space="preserve"> As to the techniques chosen for this</w:t>
      </w:r>
      <w:r>
        <w:rPr>
          <w:rFonts w:asciiTheme="majorBidi" w:hAnsiTheme="majorBidi" w:cstheme="majorBidi"/>
          <w:sz w:val="24"/>
          <w:szCs w:val="24"/>
        </w:rPr>
        <w:t xml:space="preserve"> part of the</w:t>
      </w:r>
      <w:r w:rsidRPr="00393FD3">
        <w:rPr>
          <w:rFonts w:asciiTheme="majorBidi" w:hAnsiTheme="majorBidi" w:cstheme="majorBidi"/>
          <w:sz w:val="24"/>
          <w:szCs w:val="24"/>
        </w:rPr>
        <w:t xml:space="preserve"> research, textual analysis </w:t>
      </w:r>
      <w:r>
        <w:rPr>
          <w:rFonts w:asciiTheme="majorBidi" w:hAnsiTheme="majorBidi" w:cstheme="majorBidi"/>
          <w:sz w:val="24"/>
          <w:szCs w:val="24"/>
        </w:rPr>
        <w:t>was</w:t>
      </w:r>
      <w:r w:rsidRPr="00393FD3">
        <w:rPr>
          <w:rFonts w:asciiTheme="majorBidi" w:hAnsiTheme="majorBidi" w:cstheme="majorBidi"/>
          <w:sz w:val="24"/>
          <w:szCs w:val="24"/>
        </w:rPr>
        <w:t xml:space="preserve"> employed and a comparison method </w:t>
      </w:r>
      <w:r>
        <w:rPr>
          <w:rFonts w:asciiTheme="majorBidi" w:hAnsiTheme="majorBidi" w:cstheme="majorBidi"/>
          <w:sz w:val="24"/>
          <w:szCs w:val="24"/>
        </w:rPr>
        <w:t>was</w:t>
      </w:r>
      <w:r w:rsidRPr="00393FD3">
        <w:rPr>
          <w:rFonts w:asciiTheme="majorBidi" w:hAnsiTheme="majorBidi" w:cstheme="majorBidi"/>
          <w:sz w:val="24"/>
          <w:szCs w:val="24"/>
        </w:rPr>
        <w:t xml:space="preserve"> also </w:t>
      </w:r>
      <w:r w:rsidR="008A54F9">
        <w:rPr>
          <w:rFonts w:asciiTheme="majorBidi" w:hAnsiTheme="majorBidi" w:cstheme="majorBidi"/>
          <w:sz w:val="24"/>
          <w:szCs w:val="24"/>
        </w:rPr>
        <w:t>used.</w:t>
      </w:r>
      <w:r w:rsidRPr="00393FD3">
        <w:rPr>
          <w:rFonts w:asciiTheme="majorBidi" w:hAnsiTheme="majorBidi" w:cstheme="majorBidi"/>
          <w:sz w:val="24"/>
          <w:szCs w:val="24"/>
        </w:rPr>
        <w:t xml:space="preserve"> It is believed that th</w:t>
      </w:r>
      <w:r>
        <w:rPr>
          <w:rFonts w:asciiTheme="majorBidi" w:hAnsiTheme="majorBidi" w:cstheme="majorBidi"/>
          <w:sz w:val="24"/>
          <w:szCs w:val="24"/>
        </w:rPr>
        <w:t>ese methods are suitable for this part of the</w:t>
      </w:r>
      <w:r w:rsidRPr="00393FD3">
        <w:rPr>
          <w:rFonts w:asciiTheme="majorBidi" w:hAnsiTheme="majorBidi" w:cstheme="majorBidi"/>
          <w:sz w:val="24"/>
          <w:szCs w:val="24"/>
        </w:rPr>
        <w:t xml:space="preserve"> research because through analy</w:t>
      </w:r>
      <w:r>
        <w:rPr>
          <w:rFonts w:asciiTheme="majorBidi" w:hAnsiTheme="majorBidi" w:cstheme="majorBidi"/>
          <w:sz w:val="24"/>
          <w:szCs w:val="24"/>
        </w:rPr>
        <w:t xml:space="preserve">sis </w:t>
      </w:r>
      <w:r w:rsidR="00CF1868">
        <w:rPr>
          <w:rFonts w:asciiTheme="majorBidi" w:hAnsiTheme="majorBidi" w:cstheme="majorBidi"/>
          <w:sz w:val="24"/>
          <w:szCs w:val="24"/>
        </w:rPr>
        <w:t xml:space="preserve">of </w:t>
      </w:r>
      <w:r w:rsidR="00CF1868" w:rsidRPr="00393FD3">
        <w:rPr>
          <w:rFonts w:asciiTheme="majorBidi" w:hAnsiTheme="majorBidi" w:cstheme="majorBidi"/>
          <w:sz w:val="24"/>
          <w:szCs w:val="24"/>
        </w:rPr>
        <w:t>the performance</w:t>
      </w:r>
      <w:r w:rsidRPr="00393FD3">
        <w:rPr>
          <w:rFonts w:asciiTheme="majorBidi" w:hAnsiTheme="majorBidi" w:cstheme="majorBidi"/>
          <w:sz w:val="24"/>
          <w:szCs w:val="24"/>
        </w:rPr>
        <w:t xml:space="preserve"> reports</w:t>
      </w:r>
      <w:r w:rsidR="00F22304">
        <w:rPr>
          <w:rFonts w:asciiTheme="majorBidi" w:hAnsiTheme="majorBidi" w:cstheme="majorBidi"/>
          <w:sz w:val="24"/>
          <w:szCs w:val="24"/>
        </w:rPr>
        <w:t xml:space="preserve"> of sample banks,</w:t>
      </w:r>
      <w:r w:rsidRPr="00393FD3">
        <w:rPr>
          <w:rFonts w:asciiTheme="majorBidi" w:hAnsiTheme="majorBidi" w:cstheme="majorBidi"/>
          <w:sz w:val="24"/>
          <w:szCs w:val="24"/>
        </w:rPr>
        <w:t xml:space="preserve"> </w:t>
      </w:r>
      <w:r w:rsidR="00F22304">
        <w:rPr>
          <w:rFonts w:asciiTheme="majorBidi" w:hAnsiTheme="majorBidi" w:cstheme="majorBidi"/>
          <w:sz w:val="24"/>
          <w:szCs w:val="24"/>
        </w:rPr>
        <w:t>a</w:t>
      </w:r>
      <w:r w:rsidRPr="00393FD3">
        <w:rPr>
          <w:rFonts w:asciiTheme="majorBidi" w:hAnsiTheme="majorBidi" w:cstheme="majorBidi"/>
          <w:sz w:val="24"/>
          <w:szCs w:val="24"/>
        </w:rPr>
        <w:t xml:space="preserve">ccess to all the available information needed in the research can be </w:t>
      </w:r>
      <w:r w:rsidR="00F22304">
        <w:rPr>
          <w:rFonts w:asciiTheme="majorBidi" w:hAnsiTheme="majorBidi" w:cstheme="majorBidi"/>
          <w:sz w:val="24"/>
          <w:szCs w:val="24"/>
        </w:rPr>
        <w:t xml:space="preserve">acquired and </w:t>
      </w:r>
      <w:r w:rsidR="00945AF8">
        <w:rPr>
          <w:rFonts w:asciiTheme="majorBidi" w:hAnsiTheme="majorBidi" w:cstheme="majorBidi"/>
          <w:sz w:val="24"/>
          <w:szCs w:val="24"/>
        </w:rPr>
        <w:t xml:space="preserve">estimation </w:t>
      </w:r>
      <w:r w:rsidR="00945AF8" w:rsidRPr="00393FD3">
        <w:rPr>
          <w:rFonts w:asciiTheme="majorBidi" w:hAnsiTheme="majorBidi" w:cstheme="majorBidi"/>
          <w:sz w:val="24"/>
          <w:szCs w:val="24"/>
        </w:rPr>
        <w:t>can</w:t>
      </w:r>
      <w:r w:rsidRPr="00393FD3">
        <w:rPr>
          <w:rFonts w:asciiTheme="majorBidi" w:hAnsiTheme="majorBidi" w:cstheme="majorBidi"/>
          <w:sz w:val="24"/>
          <w:szCs w:val="24"/>
        </w:rPr>
        <w:t xml:space="preserve"> be made, provid</w:t>
      </w:r>
      <w:r>
        <w:rPr>
          <w:rFonts w:asciiTheme="majorBidi" w:hAnsiTheme="majorBidi" w:cstheme="majorBidi"/>
          <w:sz w:val="24"/>
          <w:szCs w:val="24"/>
        </w:rPr>
        <w:t>ing</w:t>
      </w:r>
      <w:r w:rsidRPr="00393FD3">
        <w:rPr>
          <w:rFonts w:asciiTheme="majorBidi" w:hAnsiTheme="majorBidi" w:cstheme="majorBidi"/>
          <w:sz w:val="24"/>
          <w:szCs w:val="24"/>
        </w:rPr>
        <w:t xml:space="preserve"> both a separate evaluation and generalization on the sample banks’ credit risk management practices.</w:t>
      </w:r>
    </w:p>
    <w:p w:rsidR="004829D6" w:rsidRPr="00502966" w:rsidRDefault="004829D6" w:rsidP="00373537">
      <w:pPr>
        <w:autoSpaceDE w:val="0"/>
        <w:autoSpaceDN w:val="0"/>
        <w:adjustRightInd w:val="0"/>
        <w:spacing w:after="0" w:line="360" w:lineRule="auto"/>
        <w:jc w:val="both"/>
        <w:rPr>
          <w:rFonts w:asciiTheme="majorBidi" w:hAnsiTheme="majorBidi" w:cstheme="majorBidi"/>
          <w:sz w:val="24"/>
          <w:szCs w:val="24"/>
        </w:rPr>
      </w:pPr>
    </w:p>
    <w:p w:rsidR="001E48EF" w:rsidRPr="001B6D4E" w:rsidRDefault="001E48EF" w:rsidP="00B515F4">
      <w:pPr>
        <w:autoSpaceDE w:val="0"/>
        <w:autoSpaceDN w:val="0"/>
        <w:adjustRightInd w:val="0"/>
        <w:spacing w:after="0" w:line="360" w:lineRule="auto"/>
        <w:jc w:val="both"/>
        <w:rPr>
          <w:rFonts w:asciiTheme="majorBidi" w:hAnsiTheme="majorBidi" w:cstheme="majorBidi"/>
          <w:color w:val="000000" w:themeColor="text1"/>
          <w:sz w:val="24"/>
          <w:szCs w:val="24"/>
        </w:rPr>
      </w:pPr>
      <w:r w:rsidRPr="001B6D4E">
        <w:rPr>
          <w:rFonts w:asciiTheme="majorBidi" w:hAnsiTheme="majorBidi" w:cstheme="majorBidi"/>
          <w:b/>
          <w:bCs/>
          <w:sz w:val="24"/>
          <w:szCs w:val="24"/>
        </w:rPr>
        <w:t>3.3 Sample Population and Participants</w:t>
      </w:r>
    </w:p>
    <w:p w:rsidR="00C21F14" w:rsidRPr="00AF51E3" w:rsidRDefault="00373537" w:rsidP="00C21F1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Palestinian commercial banking</w:t>
      </w:r>
      <w:r w:rsidRPr="00AF51E3">
        <w:rPr>
          <w:rFonts w:asciiTheme="majorBidi" w:hAnsiTheme="majorBidi" w:cstheme="majorBidi"/>
          <w:sz w:val="24"/>
          <w:szCs w:val="24"/>
        </w:rPr>
        <w:t xml:space="preserve"> sector has been chosen </w:t>
      </w:r>
      <w:r w:rsidR="00CF1868" w:rsidRPr="00AF51E3">
        <w:rPr>
          <w:rFonts w:asciiTheme="majorBidi" w:hAnsiTheme="majorBidi" w:cstheme="majorBidi"/>
          <w:sz w:val="24"/>
          <w:szCs w:val="24"/>
        </w:rPr>
        <w:t xml:space="preserve">for </w:t>
      </w:r>
      <w:r w:rsidR="00CF1868">
        <w:rPr>
          <w:rFonts w:asciiTheme="majorBidi" w:hAnsiTheme="majorBidi" w:cstheme="majorBidi"/>
          <w:sz w:val="24"/>
          <w:szCs w:val="24"/>
        </w:rPr>
        <w:t>the</w:t>
      </w:r>
      <w:r>
        <w:rPr>
          <w:rFonts w:asciiTheme="majorBidi" w:hAnsiTheme="majorBidi" w:cstheme="majorBidi"/>
          <w:sz w:val="24"/>
          <w:szCs w:val="24"/>
        </w:rPr>
        <w:t xml:space="preserve"> purpose of</w:t>
      </w:r>
      <w:r w:rsidRPr="00AF51E3">
        <w:rPr>
          <w:rFonts w:asciiTheme="majorBidi" w:hAnsiTheme="majorBidi" w:cstheme="majorBidi"/>
          <w:sz w:val="24"/>
          <w:szCs w:val="24"/>
        </w:rPr>
        <w:t xml:space="preserve"> this </w:t>
      </w:r>
      <w:r w:rsidR="00CF1868" w:rsidRPr="00AF51E3">
        <w:rPr>
          <w:rFonts w:asciiTheme="majorBidi" w:hAnsiTheme="majorBidi" w:cstheme="majorBidi"/>
          <w:sz w:val="24"/>
          <w:szCs w:val="24"/>
        </w:rPr>
        <w:t>study;</w:t>
      </w:r>
      <w:r w:rsidRPr="00AF51E3">
        <w:rPr>
          <w:rFonts w:asciiTheme="majorBidi" w:hAnsiTheme="majorBidi" w:cstheme="majorBidi"/>
          <w:sz w:val="24"/>
          <w:szCs w:val="24"/>
        </w:rPr>
        <w:t xml:space="preserve"> </w:t>
      </w:r>
      <w:r w:rsidR="00CF1868">
        <w:rPr>
          <w:rFonts w:asciiTheme="majorBidi" w:hAnsiTheme="majorBidi" w:cstheme="majorBidi"/>
          <w:sz w:val="24"/>
          <w:szCs w:val="24"/>
        </w:rPr>
        <w:t>however</w:t>
      </w:r>
      <w:r>
        <w:rPr>
          <w:rFonts w:asciiTheme="majorBidi" w:hAnsiTheme="majorBidi" w:cstheme="majorBidi"/>
          <w:sz w:val="24"/>
          <w:szCs w:val="24"/>
        </w:rPr>
        <w:t>,</w:t>
      </w:r>
      <w:r w:rsidRPr="00AF51E3">
        <w:rPr>
          <w:rFonts w:asciiTheme="majorBidi" w:hAnsiTheme="majorBidi" w:cstheme="majorBidi"/>
          <w:sz w:val="24"/>
          <w:szCs w:val="24"/>
        </w:rPr>
        <w:t xml:space="preserve"> two Islamic banks</w:t>
      </w:r>
      <w:r>
        <w:rPr>
          <w:rFonts w:asciiTheme="majorBidi" w:hAnsiTheme="majorBidi" w:cstheme="majorBidi"/>
          <w:sz w:val="24"/>
          <w:szCs w:val="24"/>
        </w:rPr>
        <w:t xml:space="preserve"> have been excluded from this study. In other words, five</w:t>
      </w:r>
      <w:r w:rsidRPr="00AF51E3">
        <w:rPr>
          <w:rFonts w:asciiTheme="majorBidi" w:hAnsiTheme="majorBidi" w:cstheme="majorBidi"/>
          <w:sz w:val="24"/>
          <w:szCs w:val="24"/>
        </w:rPr>
        <w:t xml:space="preserve"> Palestinian commercial banks </w:t>
      </w:r>
      <w:r w:rsidR="00B34605">
        <w:rPr>
          <w:rFonts w:asciiTheme="majorBidi" w:hAnsiTheme="majorBidi" w:cstheme="majorBidi"/>
          <w:sz w:val="24"/>
          <w:szCs w:val="24"/>
        </w:rPr>
        <w:t>comprised</w:t>
      </w:r>
      <w:r>
        <w:rPr>
          <w:rFonts w:asciiTheme="majorBidi" w:hAnsiTheme="majorBidi" w:cstheme="majorBidi"/>
          <w:sz w:val="24"/>
          <w:szCs w:val="24"/>
        </w:rPr>
        <w:t xml:space="preserve"> the</w:t>
      </w:r>
      <w:r w:rsidRPr="00AF51E3">
        <w:rPr>
          <w:rFonts w:asciiTheme="majorBidi" w:hAnsiTheme="majorBidi" w:cstheme="majorBidi"/>
          <w:sz w:val="24"/>
          <w:szCs w:val="24"/>
        </w:rPr>
        <w:t xml:space="preserve"> study sample </w:t>
      </w:r>
      <w:r w:rsidRPr="00AF51E3">
        <w:rPr>
          <w:rFonts w:asciiTheme="majorBidi" w:hAnsiTheme="majorBidi" w:cstheme="majorBidi"/>
          <w:color w:val="000000" w:themeColor="text1"/>
          <w:sz w:val="24"/>
          <w:szCs w:val="24"/>
        </w:rPr>
        <w:t xml:space="preserve">(see </w:t>
      </w:r>
      <w:r>
        <w:rPr>
          <w:rFonts w:asciiTheme="majorBidi" w:hAnsiTheme="majorBidi" w:cstheme="majorBidi"/>
          <w:color w:val="000000" w:themeColor="text1"/>
          <w:sz w:val="24"/>
          <w:szCs w:val="24"/>
        </w:rPr>
        <w:t>T</w:t>
      </w:r>
      <w:r w:rsidRPr="00AF51E3">
        <w:rPr>
          <w:rFonts w:asciiTheme="majorBidi" w:hAnsiTheme="majorBidi" w:cstheme="majorBidi"/>
          <w:color w:val="000000" w:themeColor="text1"/>
          <w:sz w:val="24"/>
          <w:szCs w:val="24"/>
        </w:rPr>
        <w:t>able</w:t>
      </w:r>
      <w:r w:rsidRPr="00AF51E3">
        <w:rPr>
          <w:rFonts w:asciiTheme="majorBidi" w:hAnsiTheme="majorBidi" w:cstheme="majorBidi"/>
          <w:sz w:val="24"/>
          <w:szCs w:val="24"/>
        </w:rPr>
        <w:t xml:space="preserve"> 3.9).</w:t>
      </w:r>
      <w:r>
        <w:rPr>
          <w:rFonts w:asciiTheme="majorBidi" w:hAnsiTheme="majorBidi" w:cstheme="majorBidi"/>
          <w:sz w:val="24"/>
          <w:szCs w:val="24"/>
        </w:rPr>
        <w:t xml:space="preserve"> </w:t>
      </w:r>
      <w:r w:rsidRPr="00AF51E3">
        <w:rPr>
          <w:rFonts w:asciiTheme="majorBidi" w:hAnsiTheme="majorBidi" w:cstheme="majorBidi"/>
          <w:sz w:val="24"/>
          <w:szCs w:val="24"/>
        </w:rPr>
        <w:t xml:space="preserve">The necessary data </w:t>
      </w:r>
      <w:r>
        <w:rPr>
          <w:rFonts w:asciiTheme="majorBidi" w:hAnsiTheme="majorBidi" w:cstheme="majorBidi"/>
          <w:sz w:val="24"/>
          <w:szCs w:val="24"/>
        </w:rPr>
        <w:t xml:space="preserve">were </w:t>
      </w:r>
      <w:r w:rsidRPr="00AF51E3">
        <w:rPr>
          <w:rFonts w:asciiTheme="majorBidi" w:hAnsiTheme="majorBidi" w:cstheme="majorBidi"/>
          <w:sz w:val="24"/>
          <w:szCs w:val="24"/>
        </w:rPr>
        <w:t>collected from each bank</w:t>
      </w:r>
      <w:r>
        <w:rPr>
          <w:rFonts w:asciiTheme="majorBidi" w:hAnsiTheme="majorBidi" w:cstheme="majorBidi"/>
          <w:sz w:val="24"/>
          <w:szCs w:val="24"/>
        </w:rPr>
        <w:t>’s</w:t>
      </w:r>
      <w:r w:rsidRPr="00AF51E3">
        <w:rPr>
          <w:rFonts w:asciiTheme="majorBidi" w:hAnsiTheme="majorBidi" w:cstheme="majorBidi"/>
          <w:sz w:val="24"/>
          <w:szCs w:val="24"/>
        </w:rPr>
        <w:t xml:space="preserve"> annual audited financial statements</w:t>
      </w:r>
      <w:r w:rsidR="00B34605">
        <w:rPr>
          <w:rFonts w:asciiTheme="majorBidi" w:hAnsiTheme="majorBidi" w:cstheme="majorBidi"/>
          <w:sz w:val="24"/>
          <w:szCs w:val="24"/>
        </w:rPr>
        <w:t>,</w:t>
      </w:r>
      <w:r>
        <w:rPr>
          <w:rFonts w:asciiTheme="majorBidi" w:hAnsiTheme="majorBidi" w:cstheme="majorBidi"/>
          <w:sz w:val="24"/>
          <w:szCs w:val="24"/>
        </w:rPr>
        <w:t xml:space="preserve"> the</w:t>
      </w:r>
      <w:r w:rsidRPr="00AF51E3">
        <w:rPr>
          <w:rFonts w:asciiTheme="majorBidi" w:hAnsiTheme="majorBidi" w:cstheme="majorBidi"/>
          <w:sz w:val="24"/>
          <w:szCs w:val="24"/>
        </w:rPr>
        <w:t xml:space="preserve"> </w:t>
      </w:r>
      <w:r>
        <w:rPr>
          <w:rFonts w:asciiTheme="majorBidi" w:hAnsiTheme="majorBidi" w:cstheme="majorBidi"/>
          <w:sz w:val="24"/>
          <w:szCs w:val="24"/>
        </w:rPr>
        <w:t>A</w:t>
      </w:r>
      <w:r w:rsidRPr="00AF51E3">
        <w:rPr>
          <w:rFonts w:asciiTheme="majorBidi" w:hAnsiTheme="majorBidi" w:cstheme="majorBidi"/>
          <w:sz w:val="24"/>
          <w:szCs w:val="24"/>
        </w:rPr>
        <w:t xml:space="preserve">ssociation of </w:t>
      </w:r>
      <w:r>
        <w:rPr>
          <w:rFonts w:asciiTheme="majorBidi" w:hAnsiTheme="majorBidi" w:cstheme="majorBidi"/>
          <w:sz w:val="24"/>
          <w:szCs w:val="24"/>
        </w:rPr>
        <w:t>B</w:t>
      </w:r>
      <w:r w:rsidRPr="00AF51E3">
        <w:rPr>
          <w:rFonts w:asciiTheme="majorBidi" w:hAnsiTheme="majorBidi" w:cstheme="majorBidi"/>
          <w:sz w:val="24"/>
          <w:szCs w:val="24"/>
        </w:rPr>
        <w:t>anks in Palestine and from Palestinian Monetary Authority (PMA)</w:t>
      </w:r>
      <w:r w:rsidR="00B34605">
        <w:rPr>
          <w:rFonts w:asciiTheme="majorBidi" w:hAnsiTheme="majorBidi" w:cstheme="majorBidi"/>
          <w:sz w:val="24"/>
          <w:szCs w:val="24"/>
        </w:rPr>
        <w:t>’s Annual R</w:t>
      </w:r>
      <w:r>
        <w:rPr>
          <w:rFonts w:asciiTheme="majorBidi" w:hAnsiTheme="majorBidi" w:cstheme="majorBidi"/>
          <w:sz w:val="24"/>
          <w:szCs w:val="24"/>
        </w:rPr>
        <w:t xml:space="preserve">eports, </w:t>
      </w:r>
      <w:r w:rsidRPr="00AF51E3">
        <w:rPr>
          <w:rFonts w:asciiTheme="majorBidi" w:hAnsiTheme="majorBidi" w:cstheme="majorBidi"/>
          <w:sz w:val="24"/>
          <w:szCs w:val="24"/>
        </w:rPr>
        <w:t xml:space="preserve">for sake of comparison. Those data </w:t>
      </w:r>
      <w:r w:rsidR="00CF1868">
        <w:rPr>
          <w:rFonts w:asciiTheme="majorBidi" w:hAnsiTheme="majorBidi" w:cstheme="majorBidi"/>
          <w:sz w:val="24"/>
          <w:szCs w:val="24"/>
        </w:rPr>
        <w:t xml:space="preserve">covered </w:t>
      </w:r>
      <w:r w:rsidR="00CF1868" w:rsidRPr="00AF51E3">
        <w:rPr>
          <w:rFonts w:asciiTheme="majorBidi" w:hAnsiTheme="majorBidi" w:cstheme="majorBidi"/>
          <w:sz w:val="24"/>
          <w:szCs w:val="24"/>
        </w:rPr>
        <w:t>2005</w:t>
      </w:r>
      <w:r w:rsidRPr="00AF51E3">
        <w:rPr>
          <w:rFonts w:asciiTheme="majorBidi" w:hAnsiTheme="majorBidi" w:cstheme="majorBidi"/>
          <w:sz w:val="24"/>
          <w:szCs w:val="24"/>
        </w:rPr>
        <w:t xml:space="preserve"> to 2011, and</w:t>
      </w:r>
      <w:r>
        <w:rPr>
          <w:rFonts w:asciiTheme="majorBidi" w:hAnsiTheme="majorBidi" w:cstheme="majorBidi"/>
          <w:sz w:val="24"/>
          <w:szCs w:val="24"/>
        </w:rPr>
        <w:t xml:space="preserve"> </w:t>
      </w:r>
      <w:r w:rsidR="00CF1868">
        <w:rPr>
          <w:rFonts w:asciiTheme="majorBidi" w:hAnsiTheme="majorBidi" w:cstheme="majorBidi"/>
          <w:sz w:val="24"/>
          <w:szCs w:val="24"/>
        </w:rPr>
        <w:t xml:space="preserve">were </w:t>
      </w:r>
      <w:r w:rsidR="00CF1868" w:rsidRPr="00AF51E3">
        <w:rPr>
          <w:rFonts w:asciiTheme="majorBidi" w:hAnsiTheme="majorBidi" w:cstheme="majorBidi"/>
          <w:sz w:val="24"/>
          <w:szCs w:val="24"/>
        </w:rPr>
        <w:t>used</w:t>
      </w:r>
      <w:r>
        <w:rPr>
          <w:rFonts w:asciiTheme="majorBidi" w:hAnsiTheme="majorBidi" w:cstheme="majorBidi"/>
          <w:sz w:val="24"/>
          <w:szCs w:val="24"/>
        </w:rPr>
        <w:t xml:space="preserve"> to do </w:t>
      </w:r>
      <w:r w:rsidR="00CF1868">
        <w:rPr>
          <w:rFonts w:asciiTheme="majorBidi" w:hAnsiTheme="majorBidi" w:cstheme="majorBidi"/>
          <w:sz w:val="24"/>
          <w:szCs w:val="24"/>
        </w:rPr>
        <w:t xml:space="preserve">the </w:t>
      </w:r>
      <w:r w:rsidR="00CF1868" w:rsidRPr="00AF51E3">
        <w:rPr>
          <w:rFonts w:asciiTheme="majorBidi" w:hAnsiTheme="majorBidi" w:cstheme="majorBidi"/>
          <w:sz w:val="24"/>
          <w:szCs w:val="24"/>
        </w:rPr>
        <w:t>regression</w:t>
      </w:r>
      <w:r w:rsidRPr="00AF51E3">
        <w:rPr>
          <w:rFonts w:asciiTheme="majorBidi" w:hAnsiTheme="majorBidi" w:cstheme="majorBidi"/>
          <w:sz w:val="24"/>
          <w:szCs w:val="24"/>
        </w:rPr>
        <w:t xml:space="preserve"> </w:t>
      </w:r>
      <w:r>
        <w:rPr>
          <w:rFonts w:asciiTheme="majorBidi" w:hAnsiTheme="majorBidi" w:cstheme="majorBidi"/>
          <w:sz w:val="24"/>
          <w:szCs w:val="24"/>
        </w:rPr>
        <w:t>analysis</w:t>
      </w:r>
      <w:r w:rsidRPr="00AF51E3">
        <w:rPr>
          <w:rFonts w:asciiTheme="majorBidi" w:hAnsiTheme="majorBidi" w:cstheme="majorBidi"/>
          <w:sz w:val="24"/>
          <w:szCs w:val="24"/>
        </w:rPr>
        <w:t>.</w:t>
      </w:r>
      <w:r w:rsidRPr="00AF51E3">
        <w:rPr>
          <w:rFonts w:asciiTheme="majorBidi" w:hAnsiTheme="majorBidi" w:cstheme="majorBidi"/>
          <w:color w:val="000000" w:themeColor="text1"/>
          <w:sz w:val="24"/>
          <w:szCs w:val="24"/>
        </w:rPr>
        <w:t xml:space="preserve"> </w:t>
      </w:r>
    </w:p>
    <w:p w:rsidR="00966BEC" w:rsidRDefault="00966BEC" w:rsidP="00BC7B1B">
      <w:pPr>
        <w:autoSpaceDE w:val="0"/>
        <w:autoSpaceDN w:val="0"/>
        <w:adjustRightInd w:val="0"/>
        <w:spacing w:after="0" w:line="360" w:lineRule="auto"/>
        <w:jc w:val="center"/>
        <w:rPr>
          <w:rFonts w:asciiTheme="majorBidi" w:hAnsiTheme="majorBidi" w:cstheme="majorBidi"/>
          <w:b/>
        </w:rPr>
      </w:pPr>
      <w:r w:rsidRPr="001C7647">
        <w:rPr>
          <w:rFonts w:asciiTheme="majorBidi" w:hAnsiTheme="majorBidi" w:cstheme="majorBidi"/>
          <w:b/>
        </w:rPr>
        <w:t>Table</w:t>
      </w:r>
      <w:r w:rsidR="00701996" w:rsidRPr="001C7647">
        <w:rPr>
          <w:rFonts w:asciiTheme="majorBidi" w:hAnsiTheme="majorBidi" w:cstheme="majorBidi"/>
          <w:b/>
        </w:rPr>
        <w:t xml:space="preserve"> 3</w:t>
      </w:r>
      <w:r w:rsidR="00BC7B1B" w:rsidRPr="001C7647">
        <w:rPr>
          <w:rFonts w:asciiTheme="majorBidi" w:hAnsiTheme="majorBidi" w:cstheme="majorBidi"/>
          <w:b/>
        </w:rPr>
        <w:t>.</w:t>
      </w:r>
      <w:r w:rsidR="00417132">
        <w:rPr>
          <w:rFonts w:asciiTheme="majorBidi" w:hAnsiTheme="majorBidi" w:cstheme="majorBidi"/>
          <w:b/>
        </w:rPr>
        <w:t>11</w:t>
      </w:r>
      <w:r w:rsidR="00BC7B1B" w:rsidRPr="001C7647">
        <w:rPr>
          <w:rFonts w:asciiTheme="majorBidi" w:hAnsiTheme="majorBidi" w:cstheme="majorBidi"/>
          <w:b/>
        </w:rPr>
        <w:t>:</w:t>
      </w:r>
      <w:r w:rsidR="000C0513" w:rsidRPr="001C7647">
        <w:rPr>
          <w:rFonts w:asciiTheme="majorBidi" w:hAnsiTheme="majorBidi" w:cstheme="majorBidi"/>
          <w:b/>
        </w:rPr>
        <w:t xml:space="preserve"> Selected data for the</w:t>
      </w:r>
      <w:r w:rsidR="003574F6" w:rsidRPr="001C7647">
        <w:rPr>
          <w:rFonts w:asciiTheme="majorBidi" w:hAnsiTheme="majorBidi" w:cstheme="majorBidi"/>
          <w:b/>
        </w:rPr>
        <w:t xml:space="preserve"> sample</w:t>
      </w:r>
      <w:r w:rsidR="000C0513" w:rsidRPr="001C7647">
        <w:rPr>
          <w:rFonts w:asciiTheme="majorBidi" w:hAnsiTheme="majorBidi" w:cstheme="majorBidi"/>
          <w:b/>
        </w:rPr>
        <w:t xml:space="preserve"> bank</w:t>
      </w:r>
      <w:r w:rsidR="00E107D2" w:rsidRPr="001C7647">
        <w:rPr>
          <w:rFonts w:asciiTheme="majorBidi" w:hAnsiTheme="majorBidi" w:cstheme="majorBidi"/>
          <w:b/>
        </w:rPr>
        <w:t>s</w:t>
      </w:r>
      <w:r w:rsidR="000C0513" w:rsidRPr="001C7647">
        <w:rPr>
          <w:rFonts w:asciiTheme="majorBidi" w:hAnsiTheme="majorBidi" w:cstheme="majorBidi"/>
          <w:b/>
        </w:rPr>
        <w:t xml:space="preserve"> for the year</w:t>
      </w:r>
      <w:r w:rsidR="003574F6" w:rsidRPr="001C7647">
        <w:rPr>
          <w:rFonts w:asciiTheme="majorBidi" w:hAnsiTheme="majorBidi" w:cstheme="majorBidi"/>
          <w:b/>
        </w:rPr>
        <w:t xml:space="preserve"> 2011</w:t>
      </w:r>
      <w:r w:rsidR="00121D34" w:rsidRPr="001C7647">
        <w:rPr>
          <w:rFonts w:asciiTheme="majorBidi" w:hAnsiTheme="majorBidi" w:cstheme="majorBidi"/>
          <w:b/>
        </w:rPr>
        <w:t xml:space="preserve"> in USD millions</w:t>
      </w:r>
    </w:p>
    <w:p w:rsidR="00D15768" w:rsidRPr="00D15768" w:rsidRDefault="00D15768" w:rsidP="00BC7B1B">
      <w:pPr>
        <w:autoSpaceDE w:val="0"/>
        <w:autoSpaceDN w:val="0"/>
        <w:adjustRightInd w:val="0"/>
        <w:spacing w:after="0" w:line="360" w:lineRule="auto"/>
        <w:jc w:val="center"/>
        <w:rPr>
          <w:rFonts w:asciiTheme="majorBidi" w:hAnsiTheme="majorBidi" w:cstheme="majorBidi"/>
          <w:b/>
          <w:sz w:val="16"/>
          <w:szCs w:val="16"/>
        </w:rPr>
      </w:pPr>
    </w:p>
    <w:p w:rsidR="00E107D2" w:rsidRDefault="00E107D2" w:rsidP="00121D34">
      <w:pPr>
        <w:autoSpaceDE w:val="0"/>
        <w:autoSpaceDN w:val="0"/>
        <w:adjustRightInd w:val="0"/>
        <w:spacing w:after="0" w:line="360" w:lineRule="auto"/>
        <w:rPr>
          <w:rFonts w:asciiTheme="majorBidi" w:hAnsiTheme="majorBidi" w:cstheme="majorBidi"/>
          <w:b/>
          <w:bCs/>
          <w:color w:val="000000" w:themeColor="text1"/>
          <w:sz w:val="24"/>
          <w:szCs w:val="24"/>
        </w:rPr>
        <w:sectPr w:rsidR="00E107D2" w:rsidSect="00AC4F4D">
          <w:footerReference w:type="default" r:id="rId29"/>
          <w:pgSz w:w="12240" w:h="15840"/>
          <w:pgMar w:top="2160" w:right="1440" w:bottom="1440" w:left="1987" w:header="720" w:footer="720" w:gutter="0"/>
          <w:pgNumType w:start="1" w:chapStyle="1"/>
          <w:cols w:space="720"/>
          <w:docGrid w:linePitch="360"/>
        </w:sectPr>
      </w:pPr>
    </w:p>
    <w:tbl>
      <w:tblPr>
        <w:tblpPr w:leftFromText="180" w:rightFromText="180"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ayout w:type="fixed"/>
        <w:tblLook w:val="0000"/>
      </w:tblPr>
      <w:tblGrid>
        <w:gridCol w:w="510"/>
        <w:gridCol w:w="2748"/>
        <w:gridCol w:w="1350"/>
        <w:gridCol w:w="1312"/>
        <w:gridCol w:w="1568"/>
        <w:gridCol w:w="1440"/>
      </w:tblGrid>
      <w:tr w:rsidR="00724F7C" w:rsidTr="00E71DEE">
        <w:trPr>
          <w:trHeight w:val="618"/>
        </w:trPr>
        <w:tc>
          <w:tcPr>
            <w:tcW w:w="510" w:type="dxa"/>
            <w:shd w:val="clear" w:color="auto" w:fill="F2F2F2" w:themeFill="background1" w:themeFillShade="F2"/>
          </w:tcPr>
          <w:p w:rsidR="00724F7C" w:rsidRPr="004D1E1A" w:rsidRDefault="00724F7C" w:rsidP="00654636">
            <w:pPr>
              <w:autoSpaceDE w:val="0"/>
              <w:autoSpaceDN w:val="0"/>
              <w:adjustRightInd w:val="0"/>
              <w:spacing w:after="0" w:line="360" w:lineRule="auto"/>
              <w:rPr>
                <w:rFonts w:asciiTheme="majorBidi" w:hAnsiTheme="majorBidi" w:cstheme="majorBidi"/>
                <w:b/>
                <w:bCs/>
                <w:color w:val="000000" w:themeColor="text1"/>
                <w:sz w:val="24"/>
                <w:szCs w:val="24"/>
              </w:rPr>
            </w:pPr>
            <w:r w:rsidRPr="004D1E1A">
              <w:rPr>
                <w:rFonts w:asciiTheme="majorBidi" w:hAnsiTheme="majorBidi" w:cstheme="majorBidi"/>
                <w:b/>
                <w:bCs/>
                <w:color w:val="000000" w:themeColor="text1"/>
                <w:sz w:val="24"/>
                <w:szCs w:val="24"/>
              </w:rPr>
              <w:t>No</w:t>
            </w:r>
          </w:p>
        </w:tc>
        <w:tc>
          <w:tcPr>
            <w:tcW w:w="2748" w:type="dxa"/>
            <w:shd w:val="clear" w:color="auto" w:fill="F2F2F2" w:themeFill="background1" w:themeFillShade="F2"/>
          </w:tcPr>
          <w:p w:rsidR="00724F7C" w:rsidRPr="00121D34" w:rsidRDefault="00724F7C" w:rsidP="00654636">
            <w:pPr>
              <w:autoSpaceDE w:val="0"/>
              <w:autoSpaceDN w:val="0"/>
              <w:adjustRightInd w:val="0"/>
              <w:spacing w:after="0" w:line="360" w:lineRule="auto"/>
              <w:jc w:val="center"/>
              <w:rPr>
                <w:color w:val="000000" w:themeColor="text1"/>
                <w:sz w:val="24"/>
                <w:szCs w:val="24"/>
              </w:rPr>
            </w:pPr>
            <w:r w:rsidRPr="00B354FD">
              <w:rPr>
                <w:rFonts w:asciiTheme="majorBidi" w:hAnsiTheme="majorBidi" w:cstheme="majorBidi"/>
                <w:b/>
                <w:bCs/>
                <w:color w:val="000000" w:themeColor="text1"/>
                <w:sz w:val="24"/>
                <w:szCs w:val="24"/>
              </w:rPr>
              <w:t>Bank</w:t>
            </w:r>
          </w:p>
        </w:tc>
        <w:tc>
          <w:tcPr>
            <w:tcW w:w="1350" w:type="dxa"/>
            <w:shd w:val="clear" w:color="auto" w:fill="F2F2F2" w:themeFill="background1" w:themeFillShade="F2"/>
          </w:tcPr>
          <w:p w:rsidR="00724F7C" w:rsidRPr="001B7C02" w:rsidRDefault="00724F7C" w:rsidP="001B7C02">
            <w:pPr>
              <w:spacing w:after="0"/>
              <w:jc w:val="center"/>
              <w:rPr>
                <w:rFonts w:asciiTheme="majorBidi" w:hAnsiTheme="majorBidi" w:cstheme="majorBidi"/>
                <w:b/>
                <w:bCs/>
              </w:rPr>
            </w:pPr>
            <w:r w:rsidRPr="005403DA">
              <w:rPr>
                <w:rFonts w:asciiTheme="majorBidi" w:hAnsiTheme="majorBidi" w:cstheme="majorBidi"/>
                <w:b/>
                <w:bCs/>
              </w:rPr>
              <w:t>Total Assets</w:t>
            </w:r>
          </w:p>
        </w:tc>
        <w:tc>
          <w:tcPr>
            <w:tcW w:w="1312" w:type="dxa"/>
            <w:shd w:val="clear" w:color="auto" w:fill="F2F2F2" w:themeFill="background1" w:themeFillShade="F2"/>
          </w:tcPr>
          <w:p w:rsidR="00724F7C" w:rsidRPr="001B7C02" w:rsidRDefault="000C0513" w:rsidP="001B7C02">
            <w:pPr>
              <w:spacing w:after="0"/>
              <w:jc w:val="center"/>
              <w:rPr>
                <w:rFonts w:asciiTheme="majorBidi" w:hAnsiTheme="majorBidi" w:cstheme="majorBidi"/>
                <w:b/>
                <w:bCs/>
              </w:rPr>
            </w:pPr>
            <w:r>
              <w:rPr>
                <w:rFonts w:asciiTheme="majorBidi" w:hAnsiTheme="majorBidi" w:cstheme="majorBidi"/>
                <w:b/>
                <w:bCs/>
              </w:rPr>
              <w:t>Total Equity</w:t>
            </w:r>
          </w:p>
        </w:tc>
        <w:tc>
          <w:tcPr>
            <w:tcW w:w="1568" w:type="dxa"/>
            <w:shd w:val="clear" w:color="auto" w:fill="F2F2F2" w:themeFill="background1" w:themeFillShade="F2"/>
          </w:tcPr>
          <w:p w:rsidR="00724F7C" w:rsidRPr="00654636" w:rsidRDefault="00724F7C" w:rsidP="00654636">
            <w:pPr>
              <w:spacing w:after="0"/>
              <w:jc w:val="center"/>
              <w:rPr>
                <w:rFonts w:asciiTheme="majorBidi" w:hAnsiTheme="majorBidi" w:cstheme="majorBidi"/>
                <w:b/>
                <w:bCs/>
              </w:rPr>
            </w:pPr>
            <w:r w:rsidRPr="005403DA">
              <w:rPr>
                <w:rFonts w:asciiTheme="majorBidi" w:hAnsiTheme="majorBidi" w:cstheme="majorBidi"/>
                <w:b/>
                <w:bCs/>
              </w:rPr>
              <w:t>Customer</w:t>
            </w:r>
            <w:r>
              <w:rPr>
                <w:rFonts w:asciiTheme="majorBidi" w:hAnsiTheme="majorBidi" w:cstheme="majorBidi"/>
                <w:b/>
                <w:bCs/>
              </w:rPr>
              <w:t>D</w:t>
            </w:r>
            <w:r w:rsidRPr="005403DA">
              <w:rPr>
                <w:rFonts w:asciiTheme="majorBidi" w:hAnsiTheme="majorBidi" w:cstheme="majorBidi"/>
                <w:b/>
                <w:bCs/>
              </w:rPr>
              <w:t>eposits</w:t>
            </w:r>
          </w:p>
        </w:tc>
        <w:tc>
          <w:tcPr>
            <w:tcW w:w="1440" w:type="dxa"/>
            <w:shd w:val="clear" w:color="auto" w:fill="F2F2F2" w:themeFill="background1" w:themeFillShade="F2"/>
          </w:tcPr>
          <w:p w:rsidR="00724F7C" w:rsidRPr="00724F7C" w:rsidRDefault="00724F7C" w:rsidP="00654636">
            <w:pPr>
              <w:spacing w:after="0"/>
              <w:jc w:val="center"/>
              <w:rPr>
                <w:rFonts w:asciiTheme="majorBidi" w:hAnsiTheme="majorBidi" w:cstheme="majorBidi"/>
                <w:b/>
                <w:bCs/>
              </w:rPr>
            </w:pPr>
            <w:r w:rsidRPr="00724F7C">
              <w:rPr>
                <w:rFonts w:asciiTheme="majorBidi" w:hAnsiTheme="majorBidi" w:cstheme="majorBidi"/>
                <w:b/>
                <w:bCs/>
              </w:rPr>
              <w:t>Net Loans</w:t>
            </w:r>
          </w:p>
        </w:tc>
      </w:tr>
      <w:tr w:rsidR="00724F7C" w:rsidTr="00E71DEE">
        <w:trPr>
          <w:trHeight w:val="276"/>
        </w:trPr>
        <w:tc>
          <w:tcPr>
            <w:tcW w:w="510" w:type="dxa"/>
            <w:shd w:val="clear" w:color="auto" w:fill="F2F2F2" w:themeFill="background1" w:themeFillShade="F2"/>
          </w:tcPr>
          <w:p w:rsidR="00724F7C" w:rsidRPr="000C0513" w:rsidRDefault="00724F7C" w:rsidP="004C5FC9">
            <w:pPr>
              <w:autoSpaceDE w:val="0"/>
              <w:autoSpaceDN w:val="0"/>
              <w:adjustRightInd w:val="0"/>
              <w:spacing w:after="0" w:line="360" w:lineRule="auto"/>
              <w:jc w:val="center"/>
              <w:rPr>
                <w:b/>
                <w:bCs/>
                <w:color w:val="000000" w:themeColor="text1"/>
                <w:sz w:val="24"/>
                <w:szCs w:val="24"/>
              </w:rPr>
            </w:pPr>
            <w:r w:rsidRPr="000C0513">
              <w:rPr>
                <w:b/>
                <w:bCs/>
                <w:color w:val="000000" w:themeColor="text1"/>
                <w:sz w:val="24"/>
                <w:szCs w:val="24"/>
              </w:rPr>
              <w:t>1</w:t>
            </w:r>
          </w:p>
        </w:tc>
        <w:tc>
          <w:tcPr>
            <w:tcW w:w="2748" w:type="dxa"/>
            <w:shd w:val="clear" w:color="auto" w:fill="F2F2F2" w:themeFill="background1" w:themeFillShade="F2"/>
          </w:tcPr>
          <w:p w:rsidR="00724F7C" w:rsidRPr="000C0513" w:rsidRDefault="00724F7C" w:rsidP="004C5FC9">
            <w:pPr>
              <w:rPr>
                <w:b/>
                <w:bCs/>
                <w:color w:val="000000" w:themeColor="text1"/>
              </w:rPr>
            </w:pPr>
            <w:r w:rsidRPr="000C0513">
              <w:rPr>
                <w:b/>
                <w:bCs/>
                <w:color w:val="000000" w:themeColor="text1"/>
              </w:rPr>
              <w:t>Bank of Palestine</w:t>
            </w:r>
            <w:r w:rsidR="000C0513" w:rsidRPr="000C0513">
              <w:rPr>
                <w:b/>
                <w:bCs/>
                <w:color w:val="000000" w:themeColor="text1"/>
              </w:rPr>
              <w:t>(</w:t>
            </w:r>
            <w:r w:rsidRPr="000C0513">
              <w:rPr>
                <w:b/>
                <w:bCs/>
                <w:color w:val="000000" w:themeColor="text1"/>
              </w:rPr>
              <w:t xml:space="preserve"> P.L.C</w:t>
            </w:r>
            <w:r w:rsidR="000C0513" w:rsidRPr="000C0513">
              <w:rPr>
                <w:b/>
                <w:bCs/>
                <w:color w:val="000000" w:themeColor="text1"/>
              </w:rPr>
              <w:t>)</w:t>
            </w:r>
          </w:p>
        </w:tc>
        <w:tc>
          <w:tcPr>
            <w:tcW w:w="1350" w:type="dxa"/>
            <w:shd w:val="clear" w:color="auto" w:fill="F2F2F2" w:themeFill="background1" w:themeFillShade="F2"/>
          </w:tcPr>
          <w:p w:rsidR="00724F7C" w:rsidRPr="00B354FD" w:rsidRDefault="00724F7C" w:rsidP="004C5FC9">
            <w:pPr>
              <w:jc w:val="center"/>
              <w:rPr>
                <w:b/>
                <w:bCs/>
              </w:rPr>
            </w:pPr>
            <w:r w:rsidRPr="00B354FD">
              <w:rPr>
                <w:b/>
                <w:bCs/>
              </w:rPr>
              <w:t>1653.9</w:t>
            </w:r>
          </w:p>
        </w:tc>
        <w:tc>
          <w:tcPr>
            <w:tcW w:w="1312" w:type="dxa"/>
            <w:shd w:val="clear" w:color="auto" w:fill="F2F2F2" w:themeFill="background1" w:themeFillShade="F2"/>
          </w:tcPr>
          <w:p w:rsidR="00724F7C" w:rsidRPr="00B354FD" w:rsidRDefault="00724F7C" w:rsidP="004C5FC9">
            <w:pPr>
              <w:jc w:val="center"/>
              <w:rPr>
                <w:b/>
                <w:bCs/>
              </w:rPr>
            </w:pPr>
            <w:r w:rsidRPr="00B354FD">
              <w:rPr>
                <w:b/>
                <w:bCs/>
              </w:rPr>
              <w:t>194.4</w:t>
            </w:r>
          </w:p>
        </w:tc>
        <w:tc>
          <w:tcPr>
            <w:tcW w:w="1568" w:type="dxa"/>
            <w:shd w:val="clear" w:color="auto" w:fill="F2F2F2" w:themeFill="background1" w:themeFillShade="F2"/>
          </w:tcPr>
          <w:p w:rsidR="00724F7C" w:rsidRPr="00B354FD" w:rsidRDefault="00724F7C" w:rsidP="004C5FC9">
            <w:pPr>
              <w:jc w:val="center"/>
              <w:rPr>
                <w:b/>
                <w:bCs/>
              </w:rPr>
            </w:pPr>
            <w:r w:rsidRPr="00B354FD">
              <w:rPr>
                <w:b/>
                <w:bCs/>
              </w:rPr>
              <w:t>1242.7</w:t>
            </w:r>
          </w:p>
        </w:tc>
        <w:tc>
          <w:tcPr>
            <w:tcW w:w="1440" w:type="dxa"/>
            <w:shd w:val="clear" w:color="auto" w:fill="F2F2F2" w:themeFill="background1" w:themeFillShade="F2"/>
          </w:tcPr>
          <w:p w:rsidR="00724F7C" w:rsidRPr="00B354FD" w:rsidRDefault="00724F7C" w:rsidP="004C5FC9">
            <w:pPr>
              <w:jc w:val="center"/>
              <w:rPr>
                <w:b/>
                <w:bCs/>
              </w:rPr>
            </w:pPr>
            <w:r w:rsidRPr="00B354FD">
              <w:rPr>
                <w:b/>
                <w:bCs/>
              </w:rPr>
              <w:t>720.15</w:t>
            </w:r>
          </w:p>
        </w:tc>
      </w:tr>
      <w:tr w:rsidR="00724F7C" w:rsidTr="00E71DEE">
        <w:trPr>
          <w:trHeight w:val="388"/>
        </w:trPr>
        <w:tc>
          <w:tcPr>
            <w:tcW w:w="510" w:type="dxa"/>
            <w:shd w:val="clear" w:color="auto" w:fill="F2F2F2" w:themeFill="background1" w:themeFillShade="F2"/>
          </w:tcPr>
          <w:p w:rsidR="00724F7C" w:rsidRPr="000C0513" w:rsidRDefault="00724F7C" w:rsidP="004C5FC9">
            <w:pPr>
              <w:autoSpaceDE w:val="0"/>
              <w:autoSpaceDN w:val="0"/>
              <w:adjustRightInd w:val="0"/>
              <w:spacing w:after="0" w:line="360" w:lineRule="auto"/>
              <w:jc w:val="center"/>
              <w:rPr>
                <w:b/>
                <w:bCs/>
                <w:color w:val="000000" w:themeColor="text1"/>
                <w:sz w:val="24"/>
                <w:szCs w:val="24"/>
              </w:rPr>
            </w:pPr>
            <w:r w:rsidRPr="000C0513">
              <w:rPr>
                <w:b/>
                <w:bCs/>
                <w:color w:val="000000" w:themeColor="text1"/>
                <w:sz w:val="24"/>
                <w:szCs w:val="24"/>
              </w:rPr>
              <w:t>2</w:t>
            </w:r>
          </w:p>
        </w:tc>
        <w:tc>
          <w:tcPr>
            <w:tcW w:w="2748" w:type="dxa"/>
            <w:shd w:val="clear" w:color="auto" w:fill="F2F2F2" w:themeFill="background1" w:themeFillShade="F2"/>
          </w:tcPr>
          <w:p w:rsidR="00724F7C" w:rsidRPr="000C0513" w:rsidRDefault="00373537" w:rsidP="004C5FC9">
            <w:pPr>
              <w:autoSpaceDE w:val="0"/>
              <w:autoSpaceDN w:val="0"/>
              <w:adjustRightInd w:val="0"/>
              <w:spacing w:after="0" w:line="360" w:lineRule="auto"/>
              <w:rPr>
                <w:b/>
                <w:bCs/>
                <w:color w:val="000000" w:themeColor="text1"/>
              </w:rPr>
            </w:pPr>
            <w:r>
              <w:rPr>
                <w:b/>
                <w:bCs/>
                <w:color w:val="000000" w:themeColor="text1"/>
              </w:rPr>
              <w:t>Al</w:t>
            </w:r>
            <w:r w:rsidR="00354ED2">
              <w:rPr>
                <w:b/>
                <w:bCs/>
                <w:color w:val="000000" w:themeColor="text1"/>
              </w:rPr>
              <w:t>-Quds B</w:t>
            </w:r>
            <w:r w:rsidR="00724F7C" w:rsidRPr="000C0513">
              <w:rPr>
                <w:b/>
                <w:bCs/>
                <w:color w:val="000000" w:themeColor="text1"/>
              </w:rPr>
              <w:t>ank</w:t>
            </w:r>
          </w:p>
        </w:tc>
        <w:tc>
          <w:tcPr>
            <w:tcW w:w="1350" w:type="dxa"/>
            <w:shd w:val="clear" w:color="auto" w:fill="F2F2F2" w:themeFill="background1" w:themeFillShade="F2"/>
          </w:tcPr>
          <w:p w:rsidR="00724F7C" w:rsidRPr="00B354FD" w:rsidRDefault="00724F7C" w:rsidP="004C5FC9">
            <w:pPr>
              <w:jc w:val="center"/>
              <w:rPr>
                <w:b/>
                <w:bCs/>
              </w:rPr>
            </w:pPr>
            <w:r w:rsidRPr="00B354FD">
              <w:rPr>
                <w:b/>
                <w:bCs/>
              </w:rPr>
              <w:t>467.6</w:t>
            </w:r>
          </w:p>
        </w:tc>
        <w:tc>
          <w:tcPr>
            <w:tcW w:w="1312" w:type="dxa"/>
            <w:shd w:val="clear" w:color="auto" w:fill="F2F2F2" w:themeFill="background1" w:themeFillShade="F2"/>
          </w:tcPr>
          <w:p w:rsidR="00724F7C" w:rsidRPr="00B354FD" w:rsidRDefault="00724F7C" w:rsidP="004C5FC9">
            <w:pPr>
              <w:jc w:val="center"/>
              <w:rPr>
                <w:b/>
                <w:bCs/>
              </w:rPr>
            </w:pPr>
            <w:r w:rsidRPr="00B354FD">
              <w:rPr>
                <w:b/>
                <w:bCs/>
              </w:rPr>
              <w:t>54,5</w:t>
            </w:r>
          </w:p>
        </w:tc>
        <w:tc>
          <w:tcPr>
            <w:tcW w:w="1568" w:type="dxa"/>
            <w:shd w:val="clear" w:color="auto" w:fill="F2F2F2" w:themeFill="background1" w:themeFillShade="F2"/>
          </w:tcPr>
          <w:p w:rsidR="00724F7C" w:rsidRPr="00B354FD" w:rsidRDefault="00724F7C" w:rsidP="004C5FC9">
            <w:pPr>
              <w:jc w:val="center"/>
              <w:rPr>
                <w:b/>
                <w:bCs/>
              </w:rPr>
            </w:pPr>
            <w:r w:rsidRPr="00B354FD">
              <w:rPr>
                <w:b/>
                <w:bCs/>
              </w:rPr>
              <w:t>315.7</w:t>
            </w:r>
          </w:p>
        </w:tc>
        <w:tc>
          <w:tcPr>
            <w:tcW w:w="1440" w:type="dxa"/>
            <w:shd w:val="clear" w:color="auto" w:fill="F2F2F2" w:themeFill="background1" w:themeFillShade="F2"/>
          </w:tcPr>
          <w:p w:rsidR="00724F7C" w:rsidRPr="00B354FD" w:rsidRDefault="00724F7C" w:rsidP="004C5FC9">
            <w:pPr>
              <w:jc w:val="center"/>
              <w:rPr>
                <w:b/>
                <w:bCs/>
              </w:rPr>
            </w:pPr>
            <w:r w:rsidRPr="00B354FD">
              <w:rPr>
                <w:b/>
                <w:bCs/>
              </w:rPr>
              <w:t>288.38</w:t>
            </w:r>
          </w:p>
        </w:tc>
      </w:tr>
      <w:tr w:rsidR="00724F7C" w:rsidTr="00E71DEE">
        <w:trPr>
          <w:trHeight w:val="505"/>
        </w:trPr>
        <w:tc>
          <w:tcPr>
            <w:tcW w:w="510" w:type="dxa"/>
            <w:shd w:val="clear" w:color="auto" w:fill="F2F2F2" w:themeFill="background1" w:themeFillShade="F2"/>
          </w:tcPr>
          <w:p w:rsidR="00724F7C" w:rsidRPr="000C0513" w:rsidRDefault="00724F7C" w:rsidP="004C5FC9">
            <w:pPr>
              <w:autoSpaceDE w:val="0"/>
              <w:autoSpaceDN w:val="0"/>
              <w:adjustRightInd w:val="0"/>
              <w:spacing w:after="0" w:line="360" w:lineRule="auto"/>
              <w:jc w:val="center"/>
              <w:rPr>
                <w:b/>
                <w:bCs/>
                <w:color w:val="000000" w:themeColor="text1"/>
                <w:sz w:val="24"/>
                <w:szCs w:val="24"/>
              </w:rPr>
            </w:pPr>
            <w:r w:rsidRPr="000C0513">
              <w:rPr>
                <w:b/>
                <w:bCs/>
                <w:color w:val="000000" w:themeColor="text1"/>
                <w:sz w:val="24"/>
                <w:szCs w:val="24"/>
              </w:rPr>
              <w:t>3</w:t>
            </w:r>
          </w:p>
        </w:tc>
        <w:tc>
          <w:tcPr>
            <w:tcW w:w="2748" w:type="dxa"/>
            <w:shd w:val="clear" w:color="auto" w:fill="F2F2F2" w:themeFill="background1" w:themeFillShade="F2"/>
          </w:tcPr>
          <w:p w:rsidR="00724F7C" w:rsidRPr="000C0513" w:rsidRDefault="00354ED2" w:rsidP="004C5FC9">
            <w:pPr>
              <w:autoSpaceDE w:val="0"/>
              <w:autoSpaceDN w:val="0"/>
              <w:adjustRightInd w:val="0"/>
              <w:spacing w:after="0" w:line="360" w:lineRule="auto"/>
              <w:rPr>
                <w:b/>
                <w:bCs/>
                <w:color w:val="000000" w:themeColor="text1"/>
              </w:rPr>
            </w:pPr>
            <w:r>
              <w:rPr>
                <w:b/>
                <w:bCs/>
                <w:color w:val="000000" w:themeColor="text1"/>
              </w:rPr>
              <w:t>Palestine Commercial B</w:t>
            </w:r>
            <w:r w:rsidR="00724F7C" w:rsidRPr="000C0513">
              <w:rPr>
                <w:b/>
                <w:bCs/>
                <w:color w:val="000000" w:themeColor="text1"/>
              </w:rPr>
              <w:t>ank</w:t>
            </w:r>
          </w:p>
        </w:tc>
        <w:tc>
          <w:tcPr>
            <w:tcW w:w="1350" w:type="dxa"/>
            <w:shd w:val="clear" w:color="auto" w:fill="F2F2F2" w:themeFill="background1" w:themeFillShade="F2"/>
          </w:tcPr>
          <w:p w:rsidR="00724F7C" w:rsidRPr="00B354FD" w:rsidRDefault="00724F7C" w:rsidP="004C5FC9">
            <w:pPr>
              <w:jc w:val="center"/>
              <w:rPr>
                <w:b/>
                <w:bCs/>
              </w:rPr>
            </w:pPr>
            <w:r w:rsidRPr="00B354FD">
              <w:rPr>
                <w:b/>
                <w:bCs/>
              </w:rPr>
              <w:t>168.8</w:t>
            </w:r>
          </w:p>
        </w:tc>
        <w:tc>
          <w:tcPr>
            <w:tcW w:w="1312" w:type="dxa"/>
            <w:shd w:val="clear" w:color="auto" w:fill="F2F2F2" w:themeFill="background1" w:themeFillShade="F2"/>
          </w:tcPr>
          <w:p w:rsidR="00724F7C" w:rsidRPr="00B354FD" w:rsidRDefault="00724F7C" w:rsidP="004C5FC9">
            <w:pPr>
              <w:jc w:val="center"/>
              <w:rPr>
                <w:b/>
                <w:bCs/>
              </w:rPr>
            </w:pPr>
            <w:r w:rsidRPr="00B354FD">
              <w:rPr>
                <w:b/>
                <w:bCs/>
              </w:rPr>
              <w:t>28</w:t>
            </w:r>
          </w:p>
        </w:tc>
        <w:tc>
          <w:tcPr>
            <w:tcW w:w="1568" w:type="dxa"/>
            <w:shd w:val="clear" w:color="auto" w:fill="F2F2F2" w:themeFill="background1" w:themeFillShade="F2"/>
          </w:tcPr>
          <w:p w:rsidR="00724F7C" w:rsidRPr="00B354FD" w:rsidRDefault="00724F7C" w:rsidP="004C5FC9">
            <w:pPr>
              <w:jc w:val="center"/>
              <w:rPr>
                <w:b/>
                <w:bCs/>
              </w:rPr>
            </w:pPr>
            <w:r w:rsidRPr="00B354FD">
              <w:rPr>
                <w:b/>
                <w:bCs/>
              </w:rPr>
              <w:t>105.8</w:t>
            </w:r>
          </w:p>
        </w:tc>
        <w:tc>
          <w:tcPr>
            <w:tcW w:w="1440" w:type="dxa"/>
            <w:shd w:val="clear" w:color="auto" w:fill="F2F2F2" w:themeFill="background1" w:themeFillShade="F2"/>
          </w:tcPr>
          <w:p w:rsidR="00724F7C" w:rsidRPr="00B354FD" w:rsidRDefault="00724F7C" w:rsidP="004C5FC9">
            <w:pPr>
              <w:jc w:val="center"/>
              <w:rPr>
                <w:b/>
                <w:bCs/>
              </w:rPr>
            </w:pPr>
            <w:r w:rsidRPr="00B354FD">
              <w:rPr>
                <w:b/>
                <w:bCs/>
              </w:rPr>
              <w:t>56.5</w:t>
            </w:r>
          </w:p>
        </w:tc>
      </w:tr>
      <w:tr w:rsidR="00724F7C" w:rsidTr="00E71DEE">
        <w:trPr>
          <w:trHeight w:val="276"/>
        </w:trPr>
        <w:tc>
          <w:tcPr>
            <w:tcW w:w="510" w:type="dxa"/>
            <w:shd w:val="clear" w:color="auto" w:fill="F2F2F2" w:themeFill="background1" w:themeFillShade="F2"/>
          </w:tcPr>
          <w:p w:rsidR="00724F7C" w:rsidRPr="000C0513" w:rsidRDefault="00724F7C" w:rsidP="004C5FC9">
            <w:pPr>
              <w:autoSpaceDE w:val="0"/>
              <w:autoSpaceDN w:val="0"/>
              <w:adjustRightInd w:val="0"/>
              <w:spacing w:after="0" w:line="360" w:lineRule="auto"/>
              <w:jc w:val="center"/>
              <w:rPr>
                <w:b/>
                <w:bCs/>
                <w:color w:val="000000" w:themeColor="text1"/>
              </w:rPr>
            </w:pPr>
            <w:r w:rsidRPr="000C0513">
              <w:rPr>
                <w:b/>
                <w:bCs/>
                <w:color w:val="000000" w:themeColor="text1"/>
              </w:rPr>
              <w:t>4</w:t>
            </w:r>
          </w:p>
        </w:tc>
        <w:tc>
          <w:tcPr>
            <w:tcW w:w="2748" w:type="dxa"/>
            <w:shd w:val="clear" w:color="auto" w:fill="F2F2F2" w:themeFill="background1" w:themeFillShade="F2"/>
          </w:tcPr>
          <w:p w:rsidR="00724F7C" w:rsidRPr="000C0513" w:rsidRDefault="00724F7C" w:rsidP="004C5FC9">
            <w:pPr>
              <w:autoSpaceDE w:val="0"/>
              <w:autoSpaceDN w:val="0"/>
              <w:adjustRightInd w:val="0"/>
              <w:spacing w:after="0" w:line="360" w:lineRule="auto"/>
              <w:rPr>
                <w:b/>
                <w:bCs/>
                <w:color w:val="000000" w:themeColor="text1"/>
              </w:rPr>
            </w:pPr>
            <w:r w:rsidRPr="000C0513">
              <w:rPr>
                <w:b/>
                <w:bCs/>
                <w:color w:val="000000" w:themeColor="text1"/>
              </w:rPr>
              <w:t xml:space="preserve">Palestine </w:t>
            </w:r>
            <w:r w:rsidR="00354ED2">
              <w:rPr>
                <w:b/>
                <w:bCs/>
                <w:color w:val="000000" w:themeColor="text1"/>
              </w:rPr>
              <w:t>Investment B</w:t>
            </w:r>
            <w:r w:rsidRPr="000C0513">
              <w:rPr>
                <w:b/>
                <w:bCs/>
                <w:color w:val="000000" w:themeColor="text1"/>
              </w:rPr>
              <w:t>ank</w:t>
            </w:r>
          </w:p>
        </w:tc>
        <w:tc>
          <w:tcPr>
            <w:tcW w:w="1350" w:type="dxa"/>
            <w:shd w:val="clear" w:color="auto" w:fill="F2F2F2" w:themeFill="background1" w:themeFillShade="F2"/>
          </w:tcPr>
          <w:p w:rsidR="00724F7C" w:rsidRPr="00B354FD" w:rsidRDefault="00724F7C" w:rsidP="004C5FC9">
            <w:pPr>
              <w:jc w:val="center"/>
              <w:rPr>
                <w:b/>
                <w:bCs/>
              </w:rPr>
            </w:pPr>
            <w:r w:rsidRPr="00B354FD">
              <w:rPr>
                <w:b/>
                <w:bCs/>
              </w:rPr>
              <w:t>242.1</w:t>
            </w:r>
          </w:p>
        </w:tc>
        <w:tc>
          <w:tcPr>
            <w:tcW w:w="1312" w:type="dxa"/>
            <w:shd w:val="clear" w:color="auto" w:fill="F2F2F2" w:themeFill="background1" w:themeFillShade="F2"/>
          </w:tcPr>
          <w:p w:rsidR="00724F7C" w:rsidRPr="00B354FD" w:rsidRDefault="00724F7C" w:rsidP="004C5FC9">
            <w:pPr>
              <w:jc w:val="center"/>
              <w:rPr>
                <w:b/>
                <w:bCs/>
              </w:rPr>
            </w:pPr>
            <w:r w:rsidRPr="00B354FD">
              <w:rPr>
                <w:b/>
                <w:bCs/>
              </w:rPr>
              <w:t>63.5</w:t>
            </w:r>
          </w:p>
        </w:tc>
        <w:tc>
          <w:tcPr>
            <w:tcW w:w="1568" w:type="dxa"/>
            <w:shd w:val="clear" w:color="auto" w:fill="F2F2F2" w:themeFill="background1" w:themeFillShade="F2"/>
          </w:tcPr>
          <w:p w:rsidR="00724F7C" w:rsidRPr="00B354FD" w:rsidRDefault="00724F7C" w:rsidP="004C5FC9">
            <w:pPr>
              <w:jc w:val="center"/>
              <w:rPr>
                <w:b/>
                <w:bCs/>
              </w:rPr>
            </w:pPr>
            <w:r w:rsidRPr="00B354FD">
              <w:rPr>
                <w:b/>
                <w:bCs/>
              </w:rPr>
              <w:t>118.9</w:t>
            </w:r>
          </w:p>
        </w:tc>
        <w:tc>
          <w:tcPr>
            <w:tcW w:w="1440" w:type="dxa"/>
            <w:shd w:val="clear" w:color="auto" w:fill="F2F2F2" w:themeFill="background1" w:themeFillShade="F2"/>
          </w:tcPr>
          <w:p w:rsidR="00724F7C" w:rsidRPr="00B354FD" w:rsidRDefault="00B354FD" w:rsidP="004C5FC9">
            <w:pPr>
              <w:jc w:val="center"/>
              <w:rPr>
                <w:b/>
                <w:bCs/>
              </w:rPr>
            </w:pPr>
            <w:r w:rsidRPr="00B354FD">
              <w:rPr>
                <w:b/>
                <w:bCs/>
              </w:rPr>
              <w:t>78.8</w:t>
            </w:r>
          </w:p>
        </w:tc>
      </w:tr>
      <w:tr w:rsidR="00724F7C" w:rsidTr="00E71DEE">
        <w:trPr>
          <w:trHeight w:val="316"/>
        </w:trPr>
        <w:tc>
          <w:tcPr>
            <w:tcW w:w="510" w:type="dxa"/>
            <w:shd w:val="clear" w:color="auto" w:fill="F2F2F2" w:themeFill="background1" w:themeFillShade="F2"/>
          </w:tcPr>
          <w:p w:rsidR="00724F7C" w:rsidRPr="000C0513" w:rsidRDefault="00724F7C" w:rsidP="004C5FC9">
            <w:pPr>
              <w:autoSpaceDE w:val="0"/>
              <w:autoSpaceDN w:val="0"/>
              <w:adjustRightInd w:val="0"/>
              <w:spacing w:after="0" w:line="360" w:lineRule="auto"/>
              <w:jc w:val="center"/>
              <w:rPr>
                <w:b/>
                <w:bCs/>
                <w:color w:val="000000" w:themeColor="text1"/>
              </w:rPr>
            </w:pPr>
            <w:r w:rsidRPr="000C0513">
              <w:rPr>
                <w:b/>
                <w:bCs/>
                <w:color w:val="000000" w:themeColor="text1"/>
              </w:rPr>
              <w:t>5</w:t>
            </w:r>
          </w:p>
        </w:tc>
        <w:tc>
          <w:tcPr>
            <w:tcW w:w="2748" w:type="dxa"/>
            <w:shd w:val="clear" w:color="auto" w:fill="F2F2F2" w:themeFill="background1" w:themeFillShade="F2"/>
          </w:tcPr>
          <w:p w:rsidR="00724F7C" w:rsidRPr="000C0513" w:rsidRDefault="00354ED2" w:rsidP="004C5FC9">
            <w:pPr>
              <w:autoSpaceDE w:val="0"/>
              <w:autoSpaceDN w:val="0"/>
              <w:adjustRightInd w:val="0"/>
              <w:spacing w:after="0" w:line="360" w:lineRule="auto"/>
              <w:rPr>
                <w:b/>
                <w:bCs/>
                <w:color w:val="000000" w:themeColor="text1"/>
              </w:rPr>
            </w:pPr>
            <w:r>
              <w:rPr>
                <w:b/>
                <w:bCs/>
                <w:color w:val="000000" w:themeColor="text1"/>
              </w:rPr>
              <w:t>Al-Rafah  B</w:t>
            </w:r>
            <w:r w:rsidR="00724F7C" w:rsidRPr="000C0513">
              <w:rPr>
                <w:b/>
                <w:bCs/>
                <w:color w:val="000000" w:themeColor="text1"/>
              </w:rPr>
              <w:t>ank</w:t>
            </w:r>
          </w:p>
        </w:tc>
        <w:tc>
          <w:tcPr>
            <w:tcW w:w="1350" w:type="dxa"/>
            <w:shd w:val="clear" w:color="auto" w:fill="F2F2F2" w:themeFill="background1" w:themeFillShade="F2"/>
          </w:tcPr>
          <w:p w:rsidR="00724F7C" w:rsidRPr="00B354FD" w:rsidRDefault="00724F7C" w:rsidP="004C5FC9">
            <w:pPr>
              <w:jc w:val="center"/>
              <w:rPr>
                <w:b/>
                <w:bCs/>
              </w:rPr>
            </w:pPr>
            <w:r w:rsidRPr="00B354FD">
              <w:rPr>
                <w:b/>
                <w:bCs/>
              </w:rPr>
              <w:t>247.3</w:t>
            </w:r>
          </w:p>
        </w:tc>
        <w:tc>
          <w:tcPr>
            <w:tcW w:w="1312" w:type="dxa"/>
            <w:shd w:val="clear" w:color="auto" w:fill="F2F2F2" w:themeFill="background1" w:themeFillShade="F2"/>
          </w:tcPr>
          <w:p w:rsidR="00724F7C" w:rsidRPr="00B354FD" w:rsidRDefault="00724F7C" w:rsidP="004C5FC9">
            <w:pPr>
              <w:jc w:val="center"/>
              <w:rPr>
                <w:b/>
                <w:bCs/>
              </w:rPr>
            </w:pPr>
            <w:r w:rsidRPr="00B354FD">
              <w:rPr>
                <w:b/>
                <w:bCs/>
              </w:rPr>
              <w:t>29.2</w:t>
            </w:r>
          </w:p>
        </w:tc>
        <w:tc>
          <w:tcPr>
            <w:tcW w:w="1568" w:type="dxa"/>
            <w:shd w:val="clear" w:color="auto" w:fill="F2F2F2" w:themeFill="background1" w:themeFillShade="F2"/>
          </w:tcPr>
          <w:p w:rsidR="00724F7C" w:rsidRPr="00B354FD" w:rsidRDefault="00724F7C" w:rsidP="004C5FC9">
            <w:pPr>
              <w:jc w:val="center"/>
              <w:rPr>
                <w:b/>
                <w:bCs/>
              </w:rPr>
            </w:pPr>
            <w:r w:rsidRPr="00B354FD">
              <w:rPr>
                <w:b/>
                <w:bCs/>
              </w:rPr>
              <w:t>115.9</w:t>
            </w:r>
          </w:p>
        </w:tc>
        <w:tc>
          <w:tcPr>
            <w:tcW w:w="1440" w:type="dxa"/>
            <w:shd w:val="clear" w:color="auto" w:fill="F2F2F2" w:themeFill="background1" w:themeFillShade="F2"/>
          </w:tcPr>
          <w:p w:rsidR="00724F7C" w:rsidRPr="00B354FD" w:rsidRDefault="00B354FD" w:rsidP="004C5FC9">
            <w:pPr>
              <w:jc w:val="center"/>
              <w:rPr>
                <w:b/>
                <w:bCs/>
              </w:rPr>
            </w:pPr>
            <w:r w:rsidRPr="00B354FD">
              <w:rPr>
                <w:b/>
                <w:bCs/>
              </w:rPr>
              <w:t>76.3</w:t>
            </w:r>
          </w:p>
        </w:tc>
      </w:tr>
    </w:tbl>
    <w:p w:rsidR="00863862" w:rsidRDefault="00863862" w:rsidP="00F21A30">
      <w:pPr>
        <w:autoSpaceDE w:val="0"/>
        <w:autoSpaceDN w:val="0"/>
        <w:adjustRightInd w:val="0"/>
        <w:spacing w:after="0" w:line="360" w:lineRule="auto"/>
        <w:rPr>
          <w:rFonts w:asciiTheme="majorBidi" w:hAnsiTheme="majorBidi" w:cstheme="majorBidi"/>
          <w:color w:val="000000" w:themeColor="text1"/>
          <w:sz w:val="20"/>
          <w:szCs w:val="20"/>
        </w:rPr>
      </w:pPr>
    </w:p>
    <w:p w:rsidR="00C539C2" w:rsidRDefault="00C539C2" w:rsidP="00C539C2">
      <w:pPr>
        <w:autoSpaceDE w:val="0"/>
        <w:autoSpaceDN w:val="0"/>
        <w:adjustRightInd w:val="0"/>
        <w:spacing w:after="0" w:line="600" w:lineRule="auto"/>
        <w:jc w:val="center"/>
        <w:rPr>
          <w:rFonts w:asciiTheme="majorBidi" w:hAnsiTheme="majorBidi" w:cstheme="majorBidi"/>
          <w:color w:val="000000" w:themeColor="text1"/>
          <w:sz w:val="20"/>
          <w:szCs w:val="20"/>
        </w:rPr>
      </w:pPr>
      <w:r w:rsidRPr="00BA14F4">
        <w:rPr>
          <w:rFonts w:asciiTheme="majorBidi" w:hAnsiTheme="majorBidi" w:cstheme="majorBidi"/>
          <w:color w:val="000000" w:themeColor="text1"/>
          <w:sz w:val="20"/>
          <w:szCs w:val="20"/>
        </w:rPr>
        <w:t>Source</w:t>
      </w:r>
      <w:r>
        <w:rPr>
          <w:rFonts w:asciiTheme="majorBidi" w:hAnsiTheme="majorBidi" w:cstheme="majorBidi"/>
          <w:color w:val="000000" w:themeColor="text1"/>
          <w:sz w:val="20"/>
          <w:szCs w:val="20"/>
        </w:rPr>
        <w:t>: Palestinian Bank's</w:t>
      </w:r>
      <w:r w:rsidRPr="00BA14F4">
        <w:rPr>
          <w:rFonts w:asciiTheme="majorBidi" w:hAnsiTheme="majorBidi" w:cstheme="majorBidi"/>
          <w:color w:val="000000" w:themeColor="text1"/>
          <w:sz w:val="20"/>
          <w:szCs w:val="20"/>
        </w:rPr>
        <w:t xml:space="preserve"> Annual Reports, 2012</w:t>
      </w:r>
    </w:p>
    <w:p w:rsidR="00C539C2" w:rsidRPr="00BA14F4" w:rsidRDefault="00C539C2" w:rsidP="00F21A30">
      <w:pPr>
        <w:autoSpaceDE w:val="0"/>
        <w:autoSpaceDN w:val="0"/>
        <w:adjustRightInd w:val="0"/>
        <w:spacing w:after="0" w:line="360" w:lineRule="auto"/>
        <w:rPr>
          <w:rFonts w:asciiTheme="majorBidi" w:hAnsiTheme="majorBidi" w:cstheme="majorBidi"/>
          <w:color w:val="000000" w:themeColor="text1"/>
          <w:sz w:val="20"/>
          <w:szCs w:val="20"/>
        </w:rPr>
      </w:pPr>
    </w:p>
    <w:p w:rsidR="00B9043C" w:rsidRDefault="00B9043C"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1B6D4E">
        <w:rPr>
          <w:rFonts w:asciiTheme="majorBidi" w:hAnsiTheme="majorBidi" w:cstheme="majorBidi"/>
          <w:b/>
          <w:bCs/>
          <w:color w:val="000000" w:themeColor="text1"/>
          <w:sz w:val="24"/>
          <w:szCs w:val="24"/>
        </w:rPr>
        <w:t>3.4 Data Collection</w:t>
      </w:r>
    </w:p>
    <w:p w:rsidR="00373537" w:rsidRDefault="00373537" w:rsidP="00CF1868">
      <w:pPr>
        <w:autoSpaceDE w:val="0"/>
        <w:autoSpaceDN w:val="0"/>
        <w:adjustRightInd w:val="0"/>
        <w:spacing w:after="0" w:line="360" w:lineRule="auto"/>
        <w:jc w:val="both"/>
        <w:rPr>
          <w:rFonts w:asciiTheme="majorBidi" w:hAnsiTheme="majorBidi" w:cstheme="majorBidi"/>
          <w:sz w:val="24"/>
          <w:szCs w:val="24"/>
        </w:rPr>
      </w:pPr>
      <w:r w:rsidRPr="00B26F2B">
        <w:rPr>
          <w:rFonts w:asciiTheme="majorBidi" w:hAnsiTheme="majorBidi" w:cstheme="majorBidi"/>
          <w:sz w:val="24"/>
          <w:szCs w:val="24"/>
        </w:rPr>
        <w:t xml:space="preserve">The primary data used for the study </w:t>
      </w:r>
      <w:r w:rsidR="00CF1868" w:rsidRPr="00B26F2B">
        <w:rPr>
          <w:rFonts w:asciiTheme="majorBidi" w:hAnsiTheme="majorBidi" w:cstheme="majorBidi"/>
          <w:sz w:val="24"/>
          <w:szCs w:val="24"/>
        </w:rPr>
        <w:t>were from</w:t>
      </w:r>
      <w:r w:rsidR="00495435">
        <w:rPr>
          <w:rFonts w:asciiTheme="majorBidi" w:hAnsiTheme="majorBidi" w:cstheme="majorBidi"/>
          <w:sz w:val="24"/>
          <w:szCs w:val="24"/>
        </w:rPr>
        <w:t xml:space="preserve"> Annual Reports from</w:t>
      </w:r>
      <w:r w:rsidRPr="00B26F2B">
        <w:rPr>
          <w:rFonts w:asciiTheme="majorBidi" w:hAnsiTheme="majorBidi" w:cstheme="majorBidi"/>
          <w:sz w:val="24"/>
          <w:szCs w:val="24"/>
        </w:rPr>
        <w:t xml:space="preserve"> 2005-2011. The study necessitates looking into credit risk management disclosure, financial statements and notes to financial statements </w:t>
      </w:r>
      <w:r w:rsidR="00CF1868">
        <w:rPr>
          <w:rFonts w:asciiTheme="majorBidi" w:hAnsiTheme="majorBidi" w:cstheme="majorBidi"/>
          <w:sz w:val="24"/>
          <w:szCs w:val="24"/>
        </w:rPr>
        <w:t xml:space="preserve">in </w:t>
      </w:r>
      <w:r w:rsidR="00CF1868" w:rsidRPr="00B26F2B">
        <w:rPr>
          <w:rFonts w:asciiTheme="majorBidi" w:hAnsiTheme="majorBidi" w:cstheme="majorBidi"/>
          <w:sz w:val="24"/>
          <w:szCs w:val="24"/>
        </w:rPr>
        <w:t>the</w:t>
      </w:r>
      <w:r w:rsidRPr="00B26F2B">
        <w:rPr>
          <w:rFonts w:asciiTheme="majorBidi" w:hAnsiTheme="majorBidi" w:cstheme="majorBidi"/>
          <w:sz w:val="24"/>
          <w:szCs w:val="24"/>
        </w:rPr>
        <w:t xml:space="preserve"> annual reports of the sample banks.</w:t>
      </w:r>
      <w:r w:rsidRPr="00B26F2B">
        <w:rPr>
          <w:rFonts w:asciiTheme="majorBidi" w:hAnsiTheme="majorBidi" w:cstheme="majorBidi"/>
          <w:color w:val="000000" w:themeColor="text1"/>
          <w:sz w:val="24"/>
          <w:szCs w:val="24"/>
        </w:rPr>
        <w:t xml:space="preserve"> In Palestine</w:t>
      </w:r>
      <w:r>
        <w:rPr>
          <w:rFonts w:asciiTheme="majorBidi" w:hAnsiTheme="majorBidi" w:cstheme="majorBidi"/>
          <w:color w:val="000000" w:themeColor="text1"/>
          <w:sz w:val="24"/>
          <w:szCs w:val="24"/>
        </w:rPr>
        <w:t>,</w:t>
      </w:r>
      <w:r w:rsidRPr="00B26F2B">
        <w:rPr>
          <w:rFonts w:asciiTheme="majorBidi" w:hAnsiTheme="majorBidi" w:cstheme="majorBidi"/>
          <w:color w:val="000000" w:themeColor="text1"/>
          <w:sz w:val="24"/>
          <w:szCs w:val="24"/>
        </w:rPr>
        <w:t xml:space="preserve"> banks must submit </w:t>
      </w:r>
      <w:r w:rsidR="00CF1868">
        <w:rPr>
          <w:rFonts w:asciiTheme="majorBidi" w:hAnsiTheme="majorBidi" w:cstheme="majorBidi"/>
          <w:color w:val="000000" w:themeColor="text1"/>
          <w:sz w:val="24"/>
          <w:szCs w:val="24"/>
        </w:rPr>
        <w:t xml:space="preserve">their </w:t>
      </w:r>
      <w:r w:rsidR="00CF1868" w:rsidRPr="00B26F2B">
        <w:rPr>
          <w:rFonts w:asciiTheme="majorBidi" w:hAnsiTheme="majorBidi" w:cstheme="majorBidi"/>
          <w:color w:val="000000" w:themeColor="text1"/>
          <w:sz w:val="24"/>
          <w:szCs w:val="24"/>
        </w:rPr>
        <w:t>annual</w:t>
      </w:r>
      <w:r w:rsidRPr="00B26F2B">
        <w:rPr>
          <w:rFonts w:asciiTheme="majorBidi" w:hAnsiTheme="majorBidi" w:cstheme="majorBidi"/>
          <w:color w:val="000000" w:themeColor="text1"/>
          <w:sz w:val="24"/>
          <w:szCs w:val="24"/>
        </w:rPr>
        <w:t xml:space="preserve"> reports to the PMA, so it's easy to get all annual reports of selected banks from the PMA and </w:t>
      </w:r>
      <w:r w:rsidR="00CF1868">
        <w:rPr>
          <w:rFonts w:asciiTheme="majorBidi" w:hAnsiTheme="majorBidi" w:cstheme="majorBidi"/>
          <w:color w:val="000000" w:themeColor="text1"/>
          <w:sz w:val="24"/>
          <w:szCs w:val="24"/>
        </w:rPr>
        <w:t xml:space="preserve">online </w:t>
      </w:r>
      <w:r w:rsidR="00CF1868" w:rsidRPr="00B26F2B">
        <w:rPr>
          <w:rFonts w:asciiTheme="majorBidi" w:hAnsiTheme="majorBidi" w:cstheme="majorBidi"/>
          <w:color w:val="000000" w:themeColor="text1"/>
          <w:sz w:val="24"/>
          <w:szCs w:val="24"/>
        </w:rPr>
        <w:t>.</w:t>
      </w:r>
      <w:r>
        <w:rPr>
          <w:rFonts w:asciiTheme="majorBidi" w:hAnsiTheme="majorBidi" w:cstheme="majorBidi"/>
          <w:sz w:val="24"/>
          <w:szCs w:val="24"/>
        </w:rPr>
        <w:t>The researcher interviewed the</w:t>
      </w:r>
      <w:r w:rsidRPr="00B26F2B">
        <w:rPr>
          <w:rFonts w:asciiTheme="majorBidi" w:hAnsiTheme="majorBidi" w:cstheme="majorBidi"/>
          <w:sz w:val="24"/>
          <w:szCs w:val="24"/>
        </w:rPr>
        <w:t xml:space="preserve"> credit</w:t>
      </w:r>
      <w:r>
        <w:rPr>
          <w:rFonts w:asciiTheme="majorBidi" w:hAnsiTheme="majorBidi" w:cstheme="majorBidi"/>
          <w:sz w:val="24"/>
          <w:szCs w:val="24"/>
        </w:rPr>
        <w:t xml:space="preserve"> </w:t>
      </w:r>
      <w:r w:rsidRPr="00B26F2B">
        <w:rPr>
          <w:rFonts w:asciiTheme="majorBidi" w:hAnsiTheme="majorBidi" w:cstheme="majorBidi"/>
          <w:sz w:val="24"/>
          <w:szCs w:val="24"/>
        </w:rPr>
        <w:t>risk control department</w:t>
      </w:r>
      <w:r>
        <w:rPr>
          <w:rFonts w:asciiTheme="majorBidi" w:hAnsiTheme="majorBidi" w:cstheme="majorBidi"/>
          <w:sz w:val="24"/>
          <w:szCs w:val="24"/>
        </w:rPr>
        <w:t>s’</w:t>
      </w:r>
      <w:r w:rsidRPr="00B26F2B">
        <w:rPr>
          <w:rFonts w:asciiTheme="majorBidi" w:hAnsiTheme="majorBidi" w:cstheme="majorBidi"/>
          <w:sz w:val="24"/>
          <w:szCs w:val="24"/>
        </w:rPr>
        <w:t xml:space="preserve"> officer</w:t>
      </w:r>
      <w:r>
        <w:rPr>
          <w:rFonts w:asciiTheme="majorBidi" w:hAnsiTheme="majorBidi" w:cstheme="majorBidi"/>
          <w:sz w:val="24"/>
          <w:szCs w:val="24"/>
        </w:rPr>
        <w:t>s in the study</w:t>
      </w:r>
      <w:r w:rsidR="004320F9">
        <w:rPr>
          <w:rFonts w:asciiTheme="majorBidi" w:hAnsiTheme="majorBidi" w:cstheme="majorBidi"/>
          <w:sz w:val="24"/>
          <w:szCs w:val="24"/>
        </w:rPr>
        <w:t xml:space="preserve"> sample banks </w:t>
      </w:r>
      <w:r w:rsidR="00CF1868">
        <w:rPr>
          <w:rFonts w:asciiTheme="majorBidi" w:hAnsiTheme="majorBidi" w:cstheme="majorBidi"/>
          <w:sz w:val="24"/>
          <w:szCs w:val="24"/>
        </w:rPr>
        <w:t>except Al</w:t>
      </w:r>
      <w:r w:rsidR="004320F9">
        <w:rPr>
          <w:rFonts w:asciiTheme="majorBidi" w:hAnsiTheme="majorBidi" w:cstheme="majorBidi"/>
          <w:sz w:val="24"/>
          <w:szCs w:val="24"/>
        </w:rPr>
        <w:t>-Rafah B</w:t>
      </w:r>
      <w:r>
        <w:rPr>
          <w:rFonts w:asciiTheme="majorBidi" w:hAnsiTheme="majorBidi" w:cstheme="majorBidi"/>
          <w:sz w:val="24"/>
          <w:szCs w:val="24"/>
        </w:rPr>
        <w:t>ank.</w:t>
      </w:r>
      <w:r w:rsidRPr="00B26F2B">
        <w:rPr>
          <w:rFonts w:asciiTheme="majorBidi" w:hAnsiTheme="majorBidi" w:cstheme="majorBidi"/>
          <w:sz w:val="24"/>
          <w:szCs w:val="24"/>
        </w:rPr>
        <w:t xml:space="preserve"> The interview</w:t>
      </w:r>
      <w:r>
        <w:rPr>
          <w:rFonts w:asciiTheme="majorBidi" w:hAnsiTheme="majorBidi" w:cstheme="majorBidi"/>
          <w:sz w:val="24"/>
          <w:szCs w:val="24"/>
        </w:rPr>
        <w:t>s</w:t>
      </w:r>
      <w:r w:rsidRPr="00B26F2B">
        <w:rPr>
          <w:rFonts w:asciiTheme="majorBidi" w:hAnsiTheme="majorBidi" w:cstheme="majorBidi"/>
          <w:sz w:val="24"/>
          <w:szCs w:val="24"/>
        </w:rPr>
        <w:t xml:space="preserve"> helped</w:t>
      </w:r>
      <w:r w:rsidR="00982F48">
        <w:rPr>
          <w:rFonts w:asciiTheme="majorBidi" w:hAnsiTheme="majorBidi" w:cstheme="majorBidi"/>
          <w:sz w:val="24"/>
          <w:szCs w:val="24"/>
        </w:rPr>
        <w:t xml:space="preserve"> to increase</w:t>
      </w:r>
      <w:r>
        <w:rPr>
          <w:rFonts w:asciiTheme="majorBidi" w:hAnsiTheme="majorBidi" w:cstheme="majorBidi"/>
          <w:sz w:val="24"/>
          <w:szCs w:val="24"/>
        </w:rPr>
        <w:t xml:space="preserve"> knowledge of the policies and practi</w:t>
      </w:r>
      <w:r w:rsidR="00982F48">
        <w:rPr>
          <w:rFonts w:asciiTheme="majorBidi" w:hAnsiTheme="majorBidi" w:cstheme="majorBidi"/>
          <w:sz w:val="24"/>
          <w:szCs w:val="24"/>
        </w:rPr>
        <w:t xml:space="preserve">ces adopted by the sample banks. </w:t>
      </w:r>
      <w:r w:rsidRPr="00B26F2B">
        <w:rPr>
          <w:rFonts w:asciiTheme="majorBidi" w:hAnsiTheme="majorBidi" w:cstheme="majorBidi"/>
          <w:sz w:val="24"/>
          <w:szCs w:val="24"/>
        </w:rPr>
        <w:t>The interview</w:t>
      </w:r>
      <w:r>
        <w:rPr>
          <w:rFonts w:asciiTheme="majorBidi" w:hAnsiTheme="majorBidi" w:cstheme="majorBidi"/>
          <w:sz w:val="24"/>
          <w:szCs w:val="24"/>
        </w:rPr>
        <w:t>s’</w:t>
      </w:r>
      <w:r w:rsidRPr="00B26F2B">
        <w:rPr>
          <w:rFonts w:asciiTheme="majorBidi" w:hAnsiTheme="majorBidi" w:cstheme="majorBidi"/>
          <w:sz w:val="24"/>
          <w:szCs w:val="24"/>
        </w:rPr>
        <w:t xml:space="preserve"> answers</w:t>
      </w:r>
      <w:r>
        <w:rPr>
          <w:rFonts w:asciiTheme="majorBidi" w:hAnsiTheme="majorBidi" w:cstheme="majorBidi"/>
          <w:sz w:val="24"/>
          <w:szCs w:val="24"/>
        </w:rPr>
        <w:t>, however, were not</w:t>
      </w:r>
      <w:r w:rsidRPr="00B26F2B">
        <w:rPr>
          <w:rFonts w:asciiTheme="majorBidi" w:hAnsiTheme="majorBidi" w:cstheme="majorBidi"/>
          <w:sz w:val="24"/>
          <w:szCs w:val="24"/>
        </w:rPr>
        <w:t xml:space="preserve"> used to </w:t>
      </w:r>
      <w:r w:rsidR="00CF1868">
        <w:rPr>
          <w:rFonts w:asciiTheme="majorBidi" w:hAnsiTheme="majorBidi" w:cstheme="majorBidi"/>
          <w:sz w:val="24"/>
          <w:szCs w:val="24"/>
        </w:rPr>
        <w:t xml:space="preserve">make </w:t>
      </w:r>
      <w:r w:rsidR="00CF1868" w:rsidRPr="00B26F2B">
        <w:rPr>
          <w:rFonts w:asciiTheme="majorBidi" w:hAnsiTheme="majorBidi" w:cstheme="majorBidi"/>
          <w:sz w:val="24"/>
          <w:szCs w:val="24"/>
        </w:rPr>
        <w:t>analysis</w:t>
      </w:r>
      <w:r w:rsidR="00CF1868">
        <w:rPr>
          <w:rFonts w:asciiTheme="majorBidi" w:hAnsiTheme="majorBidi" w:cstheme="majorBidi"/>
          <w:sz w:val="24"/>
          <w:szCs w:val="24"/>
        </w:rPr>
        <w:t xml:space="preserve"> or draw </w:t>
      </w:r>
      <w:r w:rsidR="001558CF">
        <w:rPr>
          <w:rFonts w:asciiTheme="majorBidi" w:hAnsiTheme="majorBidi" w:cstheme="majorBidi"/>
          <w:sz w:val="24"/>
          <w:szCs w:val="24"/>
        </w:rPr>
        <w:t>conclusions. The</w:t>
      </w:r>
      <w:r>
        <w:rPr>
          <w:rFonts w:asciiTheme="majorBidi" w:hAnsiTheme="majorBidi" w:cstheme="majorBidi"/>
          <w:sz w:val="24"/>
          <w:szCs w:val="24"/>
        </w:rPr>
        <w:t xml:space="preserve"> data collected were classified into two categories:</w:t>
      </w:r>
    </w:p>
    <w:p w:rsidR="00373537" w:rsidRPr="00D82E1C" w:rsidRDefault="00373537" w:rsidP="00373537">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w:t>
      </w:r>
      <w:r w:rsidRPr="00D82E1C">
        <w:rPr>
          <w:rFonts w:asciiTheme="majorBidi" w:hAnsiTheme="majorBidi" w:cstheme="majorBidi"/>
          <w:sz w:val="24"/>
          <w:szCs w:val="24"/>
        </w:rPr>
        <w:t xml:space="preserve"> Quantitative Data</w:t>
      </w:r>
    </w:p>
    <w:p w:rsidR="00373537" w:rsidRDefault="00373537" w:rsidP="00CF1868">
      <w:pPr>
        <w:autoSpaceDE w:val="0"/>
        <w:autoSpaceDN w:val="0"/>
        <w:adjustRightInd w:val="0"/>
        <w:spacing w:after="0" w:line="360" w:lineRule="auto"/>
        <w:jc w:val="both"/>
        <w:rPr>
          <w:rFonts w:asciiTheme="majorBidi" w:hAnsiTheme="majorBidi" w:cstheme="majorBidi"/>
          <w:color w:val="000000" w:themeColor="text1"/>
          <w:sz w:val="24"/>
          <w:szCs w:val="24"/>
        </w:rPr>
      </w:pPr>
      <w:r w:rsidRPr="00D82E1C">
        <w:rPr>
          <w:rFonts w:asciiTheme="majorBidi" w:hAnsiTheme="majorBidi" w:cstheme="majorBidi"/>
          <w:sz w:val="24"/>
          <w:szCs w:val="24"/>
        </w:rPr>
        <w:t xml:space="preserve">The quantitative </w:t>
      </w:r>
      <w:r>
        <w:rPr>
          <w:rFonts w:asciiTheme="majorBidi" w:hAnsiTheme="majorBidi" w:cstheme="majorBidi"/>
          <w:sz w:val="24"/>
          <w:szCs w:val="24"/>
        </w:rPr>
        <w:t>data were five</w:t>
      </w:r>
      <w:r w:rsidRPr="00D82E1C">
        <w:rPr>
          <w:rFonts w:asciiTheme="majorBidi" w:hAnsiTheme="majorBidi" w:cstheme="majorBidi"/>
          <w:sz w:val="24"/>
          <w:szCs w:val="24"/>
        </w:rPr>
        <w:t xml:space="preserve"> financial ratios</w:t>
      </w:r>
      <w:r>
        <w:rPr>
          <w:rFonts w:asciiTheme="majorBidi" w:hAnsiTheme="majorBidi" w:cstheme="majorBidi"/>
          <w:sz w:val="24"/>
          <w:szCs w:val="24"/>
        </w:rPr>
        <w:t xml:space="preserve"> measuring the five independent variables of the study. They are</w:t>
      </w:r>
      <w:r w:rsidRPr="00D82E1C">
        <w:rPr>
          <w:rFonts w:asciiTheme="majorBidi" w:hAnsiTheme="majorBidi" w:cstheme="majorBidi"/>
          <w:sz w:val="24"/>
          <w:szCs w:val="24"/>
        </w:rPr>
        <w:t xml:space="preserve"> </w:t>
      </w:r>
      <w:r w:rsidR="00CF1868" w:rsidRPr="00D82E1C">
        <w:rPr>
          <w:rFonts w:asciiTheme="majorBidi" w:hAnsiTheme="majorBidi" w:cstheme="majorBidi"/>
          <w:sz w:val="24"/>
          <w:szCs w:val="24"/>
        </w:rPr>
        <w:t>relat</w:t>
      </w:r>
      <w:r w:rsidR="00CF1868">
        <w:rPr>
          <w:rFonts w:asciiTheme="majorBidi" w:hAnsiTheme="majorBidi" w:cstheme="majorBidi"/>
          <w:sz w:val="24"/>
          <w:szCs w:val="24"/>
        </w:rPr>
        <w:t xml:space="preserve">ed </w:t>
      </w:r>
      <w:r w:rsidR="00CF1868" w:rsidRPr="00D82E1C">
        <w:rPr>
          <w:rFonts w:asciiTheme="majorBidi" w:hAnsiTheme="majorBidi" w:cstheme="majorBidi"/>
          <w:sz w:val="24"/>
          <w:szCs w:val="24"/>
        </w:rPr>
        <w:t>mainly</w:t>
      </w:r>
      <w:r w:rsidRPr="00D82E1C">
        <w:rPr>
          <w:rFonts w:asciiTheme="majorBidi" w:hAnsiTheme="majorBidi" w:cstheme="majorBidi"/>
          <w:sz w:val="24"/>
          <w:szCs w:val="24"/>
        </w:rPr>
        <w:t xml:space="preserve"> to banks’ </w:t>
      </w:r>
      <w:r>
        <w:rPr>
          <w:rFonts w:asciiTheme="majorBidi" w:hAnsiTheme="majorBidi" w:cstheme="majorBidi"/>
          <w:sz w:val="24"/>
          <w:szCs w:val="24"/>
        </w:rPr>
        <w:t>credit risk policies and management</w:t>
      </w:r>
      <w:r w:rsidRPr="00342DF9">
        <w:rPr>
          <w:rFonts w:asciiTheme="majorBidi" w:hAnsiTheme="majorBidi" w:cstheme="majorBidi"/>
          <w:sz w:val="24"/>
          <w:szCs w:val="24"/>
        </w:rPr>
        <w:t xml:space="preserve">. </w:t>
      </w:r>
      <w:r>
        <w:rPr>
          <w:rFonts w:asciiTheme="majorBidi" w:hAnsiTheme="majorBidi" w:cstheme="majorBidi"/>
          <w:sz w:val="24"/>
          <w:szCs w:val="24"/>
        </w:rPr>
        <w:t xml:space="preserve">The description of the five ratios was explained in the part </w:t>
      </w:r>
      <w:r w:rsidR="00CF1868">
        <w:rPr>
          <w:rFonts w:asciiTheme="majorBidi" w:hAnsiTheme="majorBidi" w:cstheme="majorBidi"/>
          <w:sz w:val="24"/>
          <w:szCs w:val="24"/>
        </w:rPr>
        <w:t>about the</w:t>
      </w:r>
      <w:r>
        <w:rPr>
          <w:rFonts w:asciiTheme="majorBidi" w:hAnsiTheme="majorBidi" w:cstheme="majorBidi"/>
          <w:color w:val="000000" w:themeColor="text1"/>
          <w:sz w:val="24"/>
          <w:szCs w:val="24"/>
        </w:rPr>
        <w:t xml:space="preserve"> procedural definitions of variables and m</w:t>
      </w:r>
      <w:r w:rsidRPr="00342DF9">
        <w:rPr>
          <w:rFonts w:asciiTheme="majorBidi" w:hAnsiTheme="majorBidi" w:cstheme="majorBidi"/>
          <w:color w:val="000000" w:themeColor="text1"/>
          <w:sz w:val="24"/>
          <w:szCs w:val="24"/>
        </w:rPr>
        <w:t>easurement</w:t>
      </w:r>
      <w:r>
        <w:rPr>
          <w:rFonts w:asciiTheme="majorBidi" w:hAnsiTheme="majorBidi" w:cstheme="majorBidi"/>
          <w:color w:val="000000" w:themeColor="text1"/>
          <w:sz w:val="24"/>
          <w:szCs w:val="24"/>
        </w:rPr>
        <w:t>.</w:t>
      </w:r>
    </w:p>
    <w:p w:rsidR="00373537" w:rsidRPr="00373537" w:rsidRDefault="00373537" w:rsidP="00373537">
      <w:pPr>
        <w:autoSpaceDE w:val="0"/>
        <w:autoSpaceDN w:val="0"/>
        <w:adjustRightInd w:val="0"/>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b. </w:t>
      </w:r>
      <w:r w:rsidRPr="00342DF9">
        <w:rPr>
          <w:rFonts w:asciiTheme="majorBidi" w:hAnsiTheme="majorBidi" w:cstheme="majorBidi"/>
          <w:sz w:val="24"/>
          <w:szCs w:val="24"/>
        </w:rPr>
        <w:t>Qualitative Data</w:t>
      </w:r>
    </w:p>
    <w:p w:rsidR="00373537" w:rsidRDefault="00373537" w:rsidP="00CF1868">
      <w:pPr>
        <w:autoSpaceDE w:val="0"/>
        <w:autoSpaceDN w:val="0"/>
        <w:adjustRightInd w:val="0"/>
        <w:spacing w:after="0" w:line="360" w:lineRule="auto"/>
        <w:jc w:val="both"/>
        <w:rPr>
          <w:rFonts w:asciiTheme="majorBidi" w:hAnsiTheme="majorBidi" w:cstheme="majorBidi"/>
          <w:sz w:val="24"/>
          <w:szCs w:val="24"/>
        </w:rPr>
      </w:pPr>
      <w:r w:rsidRPr="00DB66AF">
        <w:rPr>
          <w:rFonts w:asciiTheme="majorBidi" w:hAnsiTheme="majorBidi" w:cstheme="majorBidi"/>
          <w:sz w:val="24"/>
          <w:szCs w:val="24"/>
        </w:rPr>
        <w:t>The qualitative data needed in this research mainly c</w:t>
      </w:r>
      <w:r>
        <w:rPr>
          <w:rFonts w:asciiTheme="majorBidi" w:hAnsiTheme="majorBidi" w:cstheme="majorBidi"/>
          <w:sz w:val="24"/>
          <w:szCs w:val="24"/>
        </w:rPr>
        <w:t>a</w:t>
      </w:r>
      <w:r w:rsidR="00945AF8">
        <w:rPr>
          <w:rFonts w:asciiTheme="majorBidi" w:hAnsiTheme="majorBidi" w:cstheme="majorBidi"/>
          <w:sz w:val="24"/>
          <w:szCs w:val="24"/>
        </w:rPr>
        <w:t>me from the five audited banks’</w:t>
      </w:r>
      <w:r w:rsidRPr="00DB66AF">
        <w:rPr>
          <w:rFonts w:asciiTheme="majorBidi" w:hAnsiTheme="majorBidi" w:cstheme="majorBidi"/>
          <w:sz w:val="24"/>
          <w:szCs w:val="24"/>
        </w:rPr>
        <w:t xml:space="preserve"> annual reports and other published results. After examining all the reports, it </w:t>
      </w:r>
      <w:r>
        <w:rPr>
          <w:rFonts w:asciiTheme="majorBidi" w:hAnsiTheme="majorBidi" w:cstheme="majorBidi"/>
          <w:sz w:val="24"/>
          <w:szCs w:val="24"/>
        </w:rPr>
        <w:t xml:space="preserve">was </w:t>
      </w:r>
      <w:r w:rsidR="00CF1868">
        <w:rPr>
          <w:rFonts w:asciiTheme="majorBidi" w:hAnsiTheme="majorBidi" w:cstheme="majorBidi"/>
          <w:sz w:val="24"/>
          <w:szCs w:val="24"/>
        </w:rPr>
        <w:t xml:space="preserve">found </w:t>
      </w:r>
      <w:r w:rsidR="00CF1868" w:rsidRPr="00DB66AF">
        <w:rPr>
          <w:rFonts w:asciiTheme="majorBidi" w:hAnsiTheme="majorBidi" w:cstheme="majorBidi"/>
          <w:sz w:val="24"/>
          <w:szCs w:val="24"/>
        </w:rPr>
        <w:t>that</w:t>
      </w:r>
      <w:r w:rsidRPr="00DB66AF">
        <w:rPr>
          <w:rFonts w:asciiTheme="majorBidi" w:hAnsiTheme="majorBidi" w:cstheme="majorBidi"/>
          <w:sz w:val="24"/>
          <w:szCs w:val="24"/>
        </w:rPr>
        <w:t xml:space="preserve"> some of </w:t>
      </w:r>
      <w:r w:rsidR="00CF1868">
        <w:rPr>
          <w:rFonts w:asciiTheme="majorBidi" w:hAnsiTheme="majorBidi" w:cstheme="majorBidi"/>
          <w:sz w:val="24"/>
          <w:szCs w:val="24"/>
        </w:rPr>
        <w:t xml:space="preserve">them </w:t>
      </w:r>
      <w:r w:rsidR="00CF1868" w:rsidRPr="00DB66AF">
        <w:rPr>
          <w:rFonts w:asciiTheme="majorBidi" w:hAnsiTheme="majorBidi" w:cstheme="majorBidi"/>
          <w:sz w:val="24"/>
          <w:szCs w:val="24"/>
        </w:rPr>
        <w:t>had</w:t>
      </w:r>
      <w:r w:rsidR="00CF1868">
        <w:rPr>
          <w:rFonts w:asciiTheme="majorBidi" w:hAnsiTheme="majorBidi" w:cstheme="majorBidi"/>
          <w:sz w:val="24"/>
          <w:szCs w:val="24"/>
        </w:rPr>
        <w:t xml:space="preserve"> </w:t>
      </w:r>
      <w:r w:rsidR="00CF1868" w:rsidRPr="00DB66AF">
        <w:rPr>
          <w:rFonts w:asciiTheme="majorBidi" w:hAnsiTheme="majorBidi" w:cstheme="majorBidi"/>
          <w:sz w:val="24"/>
          <w:szCs w:val="24"/>
        </w:rPr>
        <w:t>independent</w:t>
      </w:r>
      <w:r w:rsidRPr="00DB66AF">
        <w:rPr>
          <w:rFonts w:asciiTheme="majorBidi" w:hAnsiTheme="majorBidi" w:cstheme="majorBidi"/>
          <w:sz w:val="24"/>
          <w:szCs w:val="24"/>
        </w:rPr>
        <w:t xml:space="preserve"> review sections on credit risk management</w:t>
      </w:r>
      <w:r w:rsidR="004320F9">
        <w:rPr>
          <w:rFonts w:asciiTheme="majorBidi" w:hAnsiTheme="majorBidi" w:cstheme="majorBidi"/>
          <w:sz w:val="24"/>
          <w:szCs w:val="24"/>
        </w:rPr>
        <w:t xml:space="preserve">. Those reports </w:t>
      </w:r>
      <w:r w:rsidRPr="00373537">
        <w:rPr>
          <w:rFonts w:asciiTheme="majorBidi" w:hAnsiTheme="majorBidi" w:cstheme="majorBidi"/>
          <w:sz w:val="24"/>
          <w:szCs w:val="24"/>
        </w:rPr>
        <w:t xml:space="preserve">outlined items such </w:t>
      </w:r>
      <w:r w:rsidR="00CF1868" w:rsidRPr="00373537">
        <w:rPr>
          <w:rFonts w:asciiTheme="majorBidi" w:hAnsiTheme="majorBidi" w:cstheme="majorBidi"/>
          <w:sz w:val="24"/>
          <w:szCs w:val="24"/>
        </w:rPr>
        <w:t>as banks’</w:t>
      </w:r>
      <w:r w:rsidRPr="00373537">
        <w:rPr>
          <w:rFonts w:asciiTheme="majorBidi" w:hAnsiTheme="majorBidi" w:cstheme="majorBidi"/>
          <w:sz w:val="24"/>
          <w:szCs w:val="24"/>
        </w:rPr>
        <w:t xml:space="preserve"> credit risk management policies, structures and exposures. Besides, the interviews that have been made with the credit risk control departments’ officers of t</w:t>
      </w:r>
      <w:r w:rsidR="004320F9">
        <w:rPr>
          <w:rFonts w:asciiTheme="majorBidi" w:hAnsiTheme="majorBidi" w:cstheme="majorBidi"/>
          <w:sz w:val="24"/>
          <w:szCs w:val="24"/>
        </w:rPr>
        <w:t>he sample banks provided</w:t>
      </w:r>
      <w:r w:rsidRPr="00373537">
        <w:rPr>
          <w:rFonts w:asciiTheme="majorBidi" w:hAnsiTheme="majorBidi" w:cstheme="majorBidi"/>
          <w:sz w:val="24"/>
          <w:szCs w:val="24"/>
        </w:rPr>
        <w:t xml:space="preserve"> the information </w:t>
      </w:r>
      <w:r w:rsidR="00CF1868" w:rsidRPr="00373537">
        <w:rPr>
          <w:rFonts w:asciiTheme="majorBidi" w:hAnsiTheme="majorBidi" w:cstheme="majorBidi"/>
          <w:sz w:val="24"/>
          <w:szCs w:val="24"/>
        </w:rPr>
        <w:t>necessary to</w:t>
      </w:r>
      <w:r w:rsidRPr="00373537">
        <w:rPr>
          <w:rFonts w:asciiTheme="majorBidi" w:hAnsiTheme="majorBidi" w:cstheme="majorBidi"/>
          <w:sz w:val="24"/>
          <w:szCs w:val="24"/>
        </w:rPr>
        <w:t xml:space="preserve"> </w:t>
      </w:r>
      <w:r w:rsidR="004320F9">
        <w:rPr>
          <w:rFonts w:asciiTheme="majorBidi" w:hAnsiTheme="majorBidi" w:cstheme="majorBidi"/>
          <w:sz w:val="24"/>
          <w:szCs w:val="24"/>
        </w:rPr>
        <w:t>complete this part and achieve</w:t>
      </w:r>
      <w:r w:rsidRPr="00373537">
        <w:rPr>
          <w:rFonts w:asciiTheme="majorBidi" w:hAnsiTheme="majorBidi" w:cstheme="majorBidi"/>
          <w:sz w:val="24"/>
          <w:szCs w:val="24"/>
        </w:rPr>
        <w:t xml:space="preserve"> the research objective</w:t>
      </w:r>
      <w:r w:rsidR="004320F9">
        <w:rPr>
          <w:rFonts w:asciiTheme="majorBidi" w:hAnsiTheme="majorBidi" w:cstheme="majorBidi"/>
          <w:sz w:val="24"/>
          <w:szCs w:val="24"/>
        </w:rPr>
        <w:t xml:space="preserve">s. </w:t>
      </w:r>
      <w:r w:rsidRPr="00373537">
        <w:rPr>
          <w:rFonts w:asciiTheme="majorBidi" w:hAnsiTheme="majorBidi" w:cstheme="majorBidi"/>
          <w:sz w:val="24"/>
          <w:szCs w:val="24"/>
        </w:rPr>
        <w:t xml:space="preserve">The consultative papers issued by Basel (2000) also played an important role </w:t>
      </w:r>
      <w:r w:rsidR="00CF1868" w:rsidRPr="00373537">
        <w:rPr>
          <w:rFonts w:asciiTheme="majorBidi" w:hAnsiTheme="majorBidi" w:cstheme="majorBidi"/>
          <w:sz w:val="24"/>
          <w:szCs w:val="24"/>
        </w:rPr>
        <w:t>given their</w:t>
      </w:r>
      <w:r w:rsidRPr="00373537">
        <w:rPr>
          <w:rFonts w:asciiTheme="majorBidi" w:hAnsiTheme="majorBidi" w:cstheme="majorBidi"/>
          <w:sz w:val="24"/>
          <w:szCs w:val="24"/>
        </w:rPr>
        <w:t xml:space="preserve"> updated and detailed requirements on banks’ credit risk </w:t>
      </w:r>
      <w:r w:rsidR="00CF1868" w:rsidRPr="00373537">
        <w:rPr>
          <w:rFonts w:asciiTheme="majorBidi" w:hAnsiTheme="majorBidi" w:cstheme="majorBidi"/>
          <w:sz w:val="24"/>
          <w:szCs w:val="24"/>
        </w:rPr>
        <w:t>management</w:t>
      </w:r>
      <w:r w:rsidR="00CF1868" w:rsidRPr="00DB66AF">
        <w:rPr>
          <w:rFonts w:asciiTheme="majorBidi" w:hAnsiTheme="majorBidi" w:cstheme="majorBidi"/>
          <w:sz w:val="24"/>
          <w:szCs w:val="24"/>
        </w:rPr>
        <w:t xml:space="preserve"> </w:t>
      </w:r>
      <w:r w:rsidR="00CF1868">
        <w:rPr>
          <w:rFonts w:asciiTheme="majorBidi" w:hAnsiTheme="majorBidi" w:cstheme="majorBidi"/>
          <w:sz w:val="24"/>
          <w:szCs w:val="24"/>
        </w:rPr>
        <w:t>which</w:t>
      </w:r>
      <w:r>
        <w:rPr>
          <w:rFonts w:asciiTheme="majorBidi" w:hAnsiTheme="majorBidi" w:cstheme="majorBidi"/>
          <w:sz w:val="24"/>
          <w:szCs w:val="24"/>
        </w:rPr>
        <w:t xml:space="preserve"> </w:t>
      </w:r>
      <w:r w:rsidRPr="00DB66AF">
        <w:rPr>
          <w:rFonts w:asciiTheme="majorBidi" w:hAnsiTheme="majorBidi" w:cstheme="majorBidi"/>
          <w:sz w:val="24"/>
          <w:szCs w:val="24"/>
        </w:rPr>
        <w:t>serve</w:t>
      </w:r>
      <w:r>
        <w:rPr>
          <w:rFonts w:asciiTheme="majorBidi" w:hAnsiTheme="majorBidi" w:cstheme="majorBidi"/>
          <w:sz w:val="24"/>
          <w:szCs w:val="24"/>
        </w:rPr>
        <w:t>d</w:t>
      </w:r>
      <w:r w:rsidRPr="00DB66AF">
        <w:rPr>
          <w:rFonts w:asciiTheme="majorBidi" w:hAnsiTheme="majorBidi" w:cstheme="majorBidi"/>
          <w:sz w:val="24"/>
          <w:szCs w:val="24"/>
        </w:rPr>
        <w:t xml:space="preserve"> as the benchmarks in achieving the research objectives</w:t>
      </w:r>
      <w:r>
        <w:rPr>
          <w:rFonts w:asciiTheme="majorBidi" w:hAnsiTheme="majorBidi" w:cstheme="majorBidi"/>
          <w:sz w:val="24"/>
          <w:szCs w:val="24"/>
        </w:rPr>
        <w:t>.</w:t>
      </w:r>
    </w:p>
    <w:p w:rsidR="004829D6" w:rsidRDefault="004829D6" w:rsidP="00CF1868">
      <w:pPr>
        <w:autoSpaceDE w:val="0"/>
        <w:autoSpaceDN w:val="0"/>
        <w:adjustRightInd w:val="0"/>
        <w:spacing w:after="0" w:line="360" w:lineRule="auto"/>
        <w:jc w:val="both"/>
        <w:rPr>
          <w:rFonts w:asciiTheme="majorBidi" w:hAnsiTheme="majorBidi" w:cstheme="majorBidi"/>
          <w:sz w:val="24"/>
          <w:szCs w:val="24"/>
        </w:rPr>
      </w:pPr>
    </w:p>
    <w:p w:rsidR="00804F1D" w:rsidRPr="00120161" w:rsidRDefault="001C7647" w:rsidP="00120161">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rPr>
        <w:t>3.5 Data Analyzing I</w:t>
      </w:r>
      <w:r w:rsidR="00804F1D" w:rsidRPr="001B6D4E">
        <w:rPr>
          <w:rFonts w:asciiTheme="majorBidi" w:hAnsiTheme="majorBidi" w:cstheme="majorBidi"/>
          <w:b/>
          <w:bCs/>
        </w:rPr>
        <w:t>nstruments</w:t>
      </w:r>
    </w:p>
    <w:p w:rsidR="00863862" w:rsidRDefault="00373537" w:rsidP="003721D6">
      <w:pPr>
        <w:autoSpaceDE w:val="0"/>
        <w:autoSpaceDN w:val="0"/>
        <w:adjustRightInd w:val="0"/>
        <w:spacing w:after="0" w:line="360" w:lineRule="auto"/>
        <w:jc w:val="both"/>
        <w:rPr>
          <w:rFonts w:asciiTheme="majorBidi" w:hAnsiTheme="majorBidi" w:cstheme="majorBidi"/>
          <w:sz w:val="24"/>
          <w:szCs w:val="24"/>
        </w:rPr>
      </w:pPr>
      <w:r w:rsidRPr="00804F1D">
        <w:rPr>
          <w:rFonts w:asciiTheme="majorBidi" w:hAnsiTheme="majorBidi" w:cstheme="majorBidi"/>
          <w:sz w:val="24"/>
          <w:szCs w:val="24"/>
        </w:rPr>
        <w:t>The researcher use</w:t>
      </w:r>
      <w:r>
        <w:rPr>
          <w:rFonts w:asciiTheme="majorBidi" w:hAnsiTheme="majorBidi" w:cstheme="majorBidi"/>
          <w:sz w:val="24"/>
          <w:szCs w:val="24"/>
        </w:rPr>
        <w:t>d</w:t>
      </w:r>
      <w:r w:rsidRPr="00804F1D">
        <w:rPr>
          <w:rFonts w:asciiTheme="majorBidi" w:hAnsiTheme="majorBidi" w:cstheme="majorBidi"/>
          <w:sz w:val="24"/>
          <w:szCs w:val="24"/>
        </w:rPr>
        <w:t xml:space="preserve"> multiple regressions to analyze the data collected from banks. This means there </w:t>
      </w:r>
      <w:r w:rsidR="00CF1868">
        <w:rPr>
          <w:rFonts w:asciiTheme="majorBidi" w:hAnsiTheme="majorBidi" w:cstheme="majorBidi"/>
          <w:sz w:val="24"/>
          <w:szCs w:val="24"/>
        </w:rPr>
        <w:t xml:space="preserve">was </w:t>
      </w:r>
      <w:r w:rsidR="00CF1868" w:rsidRPr="00804F1D">
        <w:rPr>
          <w:rFonts w:asciiTheme="majorBidi" w:hAnsiTheme="majorBidi" w:cstheme="majorBidi"/>
          <w:sz w:val="24"/>
          <w:szCs w:val="24"/>
        </w:rPr>
        <w:t>a</w:t>
      </w:r>
      <w:r w:rsidRPr="00804F1D">
        <w:rPr>
          <w:rFonts w:asciiTheme="majorBidi" w:hAnsiTheme="majorBidi" w:cstheme="majorBidi"/>
          <w:sz w:val="24"/>
          <w:szCs w:val="24"/>
        </w:rPr>
        <w:t xml:space="preserve"> dependent variable</w:t>
      </w:r>
      <w:r>
        <w:rPr>
          <w:rFonts w:asciiTheme="majorBidi" w:hAnsiTheme="majorBidi" w:cstheme="majorBidi"/>
          <w:sz w:val="24"/>
          <w:szCs w:val="24"/>
        </w:rPr>
        <w:t xml:space="preserve"> and five</w:t>
      </w:r>
      <w:r w:rsidRPr="009614F3">
        <w:rPr>
          <w:rFonts w:asciiTheme="majorBidi" w:hAnsiTheme="majorBidi" w:cstheme="majorBidi"/>
          <w:sz w:val="24"/>
          <w:szCs w:val="24"/>
        </w:rPr>
        <w:t xml:space="preserve"> </w:t>
      </w:r>
      <w:r>
        <w:rPr>
          <w:rFonts w:asciiTheme="majorBidi" w:hAnsiTheme="majorBidi" w:cstheme="majorBidi"/>
          <w:sz w:val="24"/>
          <w:szCs w:val="24"/>
        </w:rPr>
        <w:t xml:space="preserve">independent </w:t>
      </w:r>
      <w:r w:rsidR="00CF1868">
        <w:rPr>
          <w:rFonts w:asciiTheme="majorBidi" w:hAnsiTheme="majorBidi" w:cstheme="majorBidi"/>
          <w:sz w:val="24"/>
          <w:szCs w:val="24"/>
        </w:rPr>
        <w:t xml:space="preserve">variables </w:t>
      </w:r>
      <w:r w:rsidR="00CF1868" w:rsidRPr="00804F1D">
        <w:rPr>
          <w:rFonts w:asciiTheme="majorBidi" w:hAnsiTheme="majorBidi" w:cstheme="majorBidi"/>
          <w:sz w:val="24"/>
          <w:szCs w:val="24"/>
        </w:rPr>
        <w:t>in</w:t>
      </w:r>
      <w:r w:rsidRPr="00804F1D">
        <w:rPr>
          <w:rFonts w:asciiTheme="majorBidi" w:hAnsiTheme="majorBidi" w:cstheme="majorBidi"/>
          <w:sz w:val="24"/>
          <w:szCs w:val="24"/>
        </w:rPr>
        <w:t xml:space="preserve"> the model.</w:t>
      </w:r>
      <w:r w:rsidRPr="00804F1D">
        <w:rPr>
          <w:rFonts w:asciiTheme="majorBidi" w:hAnsiTheme="majorBidi" w:cstheme="majorBidi"/>
          <w:color w:val="000000" w:themeColor="text1"/>
          <w:sz w:val="24"/>
          <w:szCs w:val="24"/>
        </w:rPr>
        <w:t xml:space="preserve"> </w:t>
      </w:r>
      <w:r w:rsidRPr="00804F1D">
        <w:rPr>
          <w:rFonts w:asciiTheme="majorBidi" w:hAnsiTheme="majorBidi" w:cstheme="majorBidi"/>
          <w:sz w:val="24"/>
          <w:szCs w:val="24"/>
        </w:rPr>
        <w:t xml:space="preserve">The regression outputs </w:t>
      </w:r>
      <w:r w:rsidR="00CF1868">
        <w:rPr>
          <w:rFonts w:asciiTheme="majorBidi" w:hAnsiTheme="majorBidi" w:cstheme="majorBidi"/>
          <w:sz w:val="24"/>
          <w:szCs w:val="24"/>
        </w:rPr>
        <w:t xml:space="preserve">were </w:t>
      </w:r>
      <w:r w:rsidR="00CF1868" w:rsidRPr="00804F1D">
        <w:rPr>
          <w:rFonts w:asciiTheme="majorBidi" w:hAnsiTheme="majorBidi" w:cstheme="majorBidi"/>
          <w:sz w:val="24"/>
          <w:szCs w:val="24"/>
        </w:rPr>
        <w:t>obtained</w:t>
      </w:r>
      <w:r w:rsidRPr="00804F1D">
        <w:rPr>
          <w:rFonts w:asciiTheme="majorBidi" w:hAnsiTheme="majorBidi" w:cstheme="majorBidi"/>
          <w:sz w:val="24"/>
          <w:szCs w:val="24"/>
        </w:rPr>
        <w:t xml:space="preserve"> by using SPSS.</w:t>
      </w:r>
    </w:p>
    <w:p w:rsidR="003721D6" w:rsidRPr="003721D6" w:rsidRDefault="003721D6" w:rsidP="003721D6">
      <w:pPr>
        <w:autoSpaceDE w:val="0"/>
        <w:autoSpaceDN w:val="0"/>
        <w:adjustRightInd w:val="0"/>
        <w:spacing w:after="0" w:line="240" w:lineRule="auto"/>
        <w:jc w:val="both"/>
        <w:rPr>
          <w:rFonts w:asciiTheme="majorBidi" w:hAnsiTheme="majorBidi" w:cstheme="majorBidi"/>
          <w:sz w:val="16"/>
          <w:szCs w:val="16"/>
        </w:rPr>
      </w:pPr>
    </w:p>
    <w:p w:rsidR="00502966" w:rsidRDefault="00502966" w:rsidP="003721D6">
      <w:pPr>
        <w:autoSpaceDE w:val="0"/>
        <w:autoSpaceDN w:val="0"/>
        <w:adjustRightInd w:val="0"/>
        <w:spacing w:after="0" w:line="240" w:lineRule="auto"/>
        <w:rPr>
          <w:rFonts w:asciiTheme="majorBidi" w:hAnsiTheme="majorBidi" w:cstheme="majorBidi"/>
          <w:b/>
          <w:bCs/>
          <w:color w:val="000000" w:themeColor="text1"/>
          <w:sz w:val="24"/>
          <w:szCs w:val="24"/>
        </w:rPr>
      </w:pPr>
    </w:p>
    <w:p w:rsidR="00804F1D" w:rsidRPr="001B6D4E" w:rsidRDefault="001C7647" w:rsidP="00D15768">
      <w:pPr>
        <w:autoSpaceDE w:val="0"/>
        <w:autoSpaceDN w:val="0"/>
        <w:adjustRightInd w:val="0"/>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3.6 Applied Regression M</w:t>
      </w:r>
      <w:r w:rsidR="00804F1D" w:rsidRPr="001B6D4E">
        <w:rPr>
          <w:rFonts w:asciiTheme="majorBidi" w:hAnsiTheme="majorBidi" w:cstheme="majorBidi"/>
          <w:b/>
          <w:bCs/>
          <w:color w:val="000000" w:themeColor="text1"/>
          <w:sz w:val="24"/>
          <w:szCs w:val="24"/>
        </w:rPr>
        <w:t>odel</w:t>
      </w:r>
    </w:p>
    <w:p w:rsidR="001B05EC" w:rsidRPr="00965A36" w:rsidRDefault="001B05EC" w:rsidP="00D15768">
      <w:pPr>
        <w:autoSpaceDE w:val="0"/>
        <w:autoSpaceDN w:val="0"/>
        <w:adjustRightInd w:val="0"/>
        <w:spacing w:after="0" w:line="360" w:lineRule="auto"/>
        <w:jc w:val="both"/>
        <w:rPr>
          <w:rFonts w:asciiTheme="majorBidi" w:hAnsiTheme="majorBidi" w:cstheme="majorBidi"/>
          <w:color w:val="000000" w:themeColor="text1"/>
          <w:sz w:val="24"/>
          <w:szCs w:val="24"/>
        </w:rPr>
      </w:pPr>
      <w:r w:rsidRPr="00965A36">
        <w:rPr>
          <w:rFonts w:asciiTheme="majorBidi" w:hAnsiTheme="majorBidi" w:cstheme="majorBidi"/>
          <w:color w:val="000000" w:themeColor="text1"/>
          <w:sz w:val="24"/>
          <w:szCs w:val="24"/>
        </w:rPr>
        <w:t>In the light of the elements and the dimensions of th</w:t>
      </w:r>
      <w:r w:rsidR="00FF1866">
        <w:rPr>
          <w:rFonts w:asciiTheme="majorBidi" w:hAnsiTheme="majorBidi" w:cstheme="majorBidi"/>
          <w:color w:val="000000" w:themeColor="text1"/>
          <w:sz w:val="24"/>
          <w:szCs w:val="24"/>
        </w:rPr>
        <w:t>e problem</w:t>
      </w:r>
      <w:r w:rsidR="00C677F3">
        <w:rPr>
          <w:rFonts w:asciiTheme="majorBidi" w:hAnsiTheme="majorBidi" w:cstheme="majorBidi"/>
          <w:color w:val="000000" w:themeColor="text1"/>
          <w:sz w:val="24"/>
          <w:szCs w:val="24"/>
        </w:rPr>
        <w:t>,</w:t>
      </w:r>
      <w:r w:rsidR="00373537">
        <w:rPr>
          <w:rFonts w:asciiTheme="majorBidi" w:hAnsiTheme="majorBidi" w:cstheme="majorBidi"/>
          <w:color w:val="000000" w:themeColor="text1"/>
          <w:sz w:val="24"/>
          <w:szCs w:val="24"/>
        </w:rPr>
        <w:t xml:space="preserve"> the researcher built</w:t>
      </w:r>
      <w:r w:rsidR="00FF1866">
        <w:rPr>
          <w:rFonts w:asciiTheme="majorBidi" w:hAnsiTheme="majorBidi" w:cstheme="majorBidi"/>
          <w:color w:val="000000" w:themeColor="text1"/>
          <w:sz w:val="24"/>
          <w:szCs w:val="24"/>
        </w:rPr>
        <w:t xml:space="preserve"> two</w:t>
      </w:r>
      <w:r w:rsidRPr="00965A36">
        <w:rPr>
          <w:rFonts w:asciiTheme="majorBidi" w:hAnsiTheme="majorBidi" w:cstheme="majorBidi"/>
          <w:color w:val="000000" w:themeColor="text1"/>
          <w:sz w:val="24"/>
          <w:szCs w:val="24"/>
        </w:rPr>
        <w:t xml:space="preserve"> study model</w:t>
      </w:r>
      <w:r w:rsidR="00FF1866">
        <w:rPr>
          <w:rFonts w:asciiTheme="majorBidi" w:hAnsiTheme="majorBidi" w:cstheme="majorBidi"/>
          <w:color w:val="000000" w:themeColor="text1"/>
          <w:sz w:val="24"/>
          <w:szCs w:val="24"/>
        </w:rPr>
        <w:t>s</w:t>
      </w:r>
      <w:r w:rsidR="00B343F3">
        <w:rPr>
          <w:rFonts w:asciiTheme="majorBidi" w:hAnsiTheme="majorBidi" w:cstheme="majorBidi"/>
          <w:color w:val="000000" w:themeColor="text1"/>
          <w:sz w:val="24"/>
          <w:szCs w:val="24"/>
        </w:rPr>
        <w:t xml:space="preserve"> </w:t>
      </w:r>
      <w:r w:rsidR="006A5890" w:rsidRPr="00965A36">
        <w:rPr>
          <w:rFonts w:asciiTheme="majorBidi" w:hAnsiTheme="majorBidi" w:cstheme="majorBidi"/>
          <w:color w:val="000000" w:themeColor="text1"/>
          <w:sz w:val="24"/>
          <w:szCs w:val="24"/>
        </w:rPr>
        <w:t>on the basis of the relationship betw</w:t>
      </w:r>
      <w:r w:rsidR="00081FC0">
        <w:rPr>
          <w:rFonts w:asciiTheme="majorBidi" w:hAnsiTheme="majorBidi" w:cstheme="majorBidi"/>
          <w:color w:val="000000" w:themeColor="text1"/>
          <w:sz w:val="24"/>
          <w:szCs w:val="24"/>
        </w:rPr>
        <w:t>een the independent variable</w:t>
      </w:r>
      <w:r w:rsidR="00373537">
        <w:rPr>
          <w:rFonts w:asciiTheme="majorBidi" w:hAnsiTheme="majorBidi" w:cstheme="majorBidi"/>
          <w:color w:val="000000" w:themeColor="text1"/>
          <w:sz w:val="24"/>
          <w:szCs w:val="24"/>
        </w:rPr>
        <w:t>s</w:t>
      </w:r>
      <w:r w:rsidR="00081FC0">
        <w:rPr>
          <w:rFonts w:asciiTheme="majorBidi" w:hAnsiTheme="majorBidi" w:cstheme="majorBidi"/>
          <w:color w:val="000000" w:themeColor="text1"/>
          <w:sz w:val="24"/>
          <w:szCs w:val="24"/>
        </w:rPr>
        <w:t xml:space="preserve"> of credit risk management (</w:t>
      </w:r>
      <w:r w:rsidR="00B343F3">
        <w:rPr>
          <w:rFonts w:asciiTheme="majorBidi" w:hAnsiTheme="majorBidi" w:cstheme="majorBidi"/>
          <w:color w:val="000000" w:themeColor="text1"/>
          <w:sz w:val="24"/>
          <w:szCs w:val="24"/>
        </w:rPr>
        <w:t>expressed in terms of Good Lending P</w:t>
      </w:r>
      <w:r w:rsidR="00373537">
        <w:rPr>
          <w:rFonts w:asciiTheme="majorBidi" w:hAnsiTheme="majorBidi" w:cstheme="majorBidi"/>
          <w:color w:val="000000" w:themeColor="text1"/>
          <w:sz w:val="24"/>
          <w:szCs w:val="24"/>
        </w:rPr>
        <w:t>rincip</w:t>
      </w:r>
      <w:r w:rsidR="00B31387">
        <w:rPr>
          <w:rFonts w:asciiTheme="majorBidi" w:hAnsiTheme="majorBidi" w:cstheme="majorBidi"/>
          <w:color w:val="000000" w:themeColor="text1"/>
          <w:sz w:val="24"/>
          <w:szCs w:val="24"/>
        </w:rPr>
        <w:t>l</w:t>
      </w:r>
      <w:r w:rsidR="00373537">
        <w:rPr>
          <w:rFonts w:asciiTheme="majorBidi" w:hAnsiTheme="majorBidi" w:cstheme="majorBidi"/>
          <w:color w:val="000000" w:themeColor="text1"/>
          <w:sz w:val="24"/>
          <w:szCs w:val="24"/>
        </w:rPr>
        <w:t>e</w:t>
      </w:r>
      <w:r w:rsidR="00B31387">
        <w:rPr>
          <w:rFonts w:asciiTheme="majorBidi" w:hAnsiTheme="majorBidi" w:cstheme="majorBidi"/>
          <w:color w:val="000000" w:themeColor="text1"/>
          <w:sz w:val="24"/>
          <w:szCs w:val="24"/>
        </w:rPr>
        <w:t>s</w:t>
      </w:r>
      <w:r w:rsidR="00B343F3">
        <w:rPr>
          <w:rFonts w:asciiTheme="majorBidi" w:hAnsiTheme="majorBidi" w:cstheme="majorBidi"/>
          <w:color w:val="000000" w:themeColor="text1"/>
          <w:sz w:val="24"/>
          <w:szCs w:val="24"/>
        </w:rPr>
        <w:t>, Capital A</w:t>
      </w:r>
      <w:r w:rsidR="006A5890" w:rsidRPr="00965A36">
        <w:rPr>
          <w:rFonts w:asciiTheme="majorBidi" w:hAnsiTheme="majorBidi" w:cstheme="majorBidi"/>
          <w:color w:val="000000" w:themeColor="text1"/>
          <w:sz w:val="24"/>
          <w:szCs w:val="24"/>
        </w:rPr>
        <w:t>d</w:t>
      </w:r>
      <w:r w:rsidR="00081FC0">
        <w:rPr>
          <w:rFonts w:asciiTheme="majorBidi" w:hAnsiTheme="majorBidi" w:cstheme="majorBidi"/>
          <w:color w:val="000000" w:themeColor="text1"/>
          <w:sz w:val="24"/>
          <w:szCs w:val="24"/>
        </w:rPr>
        <w:t>equacy,</w:t>
      </w:r>
      <w:r w:rsidR="00B343F3">
        <w:rPr>
          <w:rFonts w:asciiTheme="majorBidi" w:hAnsiTheme="majorBidi" w:cstheme="majorBidi"/>
          <w:color w:val="000000" w:themeColor="text1"/>
          <w:sz w:val="24"/>
          <w:szCs w:val="24"/>
        </w:rPr>
        <w:t xml:space="preserve"> Credit M</w:t>
      </w:r>
      <w:r w:rsidR="00E96ABB">
        <w:rPr>
          <w:rFonts w:asciiTheme="majorBidi" w:hAnsiTheme="majorBidi" w:cstheme="majorBidi"/>
          <w:color w:val="000000" w:themeColor="text1"/>
          <w:sz w:val="24"/>
          <w:szCs w:val="24"/>
        </w:rPr>
        <w:t>onitoring</w:t>
      </w:r>
      <w:r w:rsidR="00B628DD">
        <w:rPr>
          <w:rFonts w:asciiTheme="majorBidi" w:hAnsiTheme="majorBidi" w:cstheme="majorBidi"/>
          <w:color w:val="000000" w:themeColor="text1"/>
          <w:sz w:val="24"/>
          <w:szCs w:val="24"/>
        </w:rPr>
        <w:t>,</w:t>
      </w:r>
      <w:r w:rsidR="00B343F3">
        <w:rPr>
          <w:rFonts w:asciiTheme="majorBidi" w:hAnsiTheme="majorBidi" w:cstheme="majorBidi"/>
          <w:color w:val="000000" w:themeColor="text1"/>
          <w:sz w:val="24"/>
          <w:szCs w:val="24"/>
        </w:rPr>
        <w:t xml:space="preserve"> D</w:t>
      </w:r>
      <w:r w:rsidR="00081FC0">
        <w:rPr>
          <w:rFonts w:asciiTheme="majorBidi" w:hAnsiTheme="majorBidi" w:cstheme="majorBidi"/>
          <w:color w:val="000000" w:themeColor="text1"/>
          <w:sz w:val="24"/>
          <w:szCs w:val="24"/>
        </w:rPr>
        <w:t>iversification</w:t>
      </w:r>
      <w:r w:rsidR="00B343F3">
        <w:rPr>
          <w:rFonts w:asciiTheme="majorBidi" w:hAnsiTheme="majorBidi" w:cstheme="majorBidi"/>
          <w:color w:val="000000" w:themeColor="text1"/>
          <w:sz w:val="24"/>
          <w:szCs w:val="24"/>
        </w:rPr>
        <w:t xml:space="preserve"> and O</w:t>
      </w:r>
      <w:r w:rsidR="00ED5F92">
        <w:rPr>
          <w:rFonts w:asciiTheme="majorBidi" w:hAnsiTheme="majorBidi" w:cstheme="majorBidi"/>
          <w:color w:val="000000" w:themeColor="text1"/>
          <w:sz w:val="24"/>
          <w:szCs w:val="24"/>
        </w:rPr>
        <w:t>perational</w:t>
      </w:r>
      <w:r w:rsidR="00B343F3">
        <w:rPr>
          <w:rFonts w:asciiTheme="majorBidi" w:hAnsiTheme="majorBidi" w:cstheme="majorBidi"/>
          <w:color w:val="000000" w:themeColor="text1"/>
          <w:sz w:val="24"/>
          <w:szCs w:val="24"/>
        </w:rPr>
        <w:t xml:space="preserve"> e</w:t>
      </w:r>
      <w:r w:rsidR="00B628DD">
        <w:rPr>
          <w:rFonts w:asciiTheme="majorBidi" w:hAnsiTheme="majorBidi" w:cstheme="majorBidi"/>
          <w:color w:val="000000" w:themeColor="text1"/>
          <w:sz w:val="24"/>
          <w:szCs w:val="24"/>
        </w:rPr>
        <w:t xml:space="preserve">fficiency </w:t>
      </w:r>
      <w:r w:rsidR="006A5890" w:rsidRPr="00965A36">
        <w:rPr>
          <w:rFonts w:asciiTheme="majorBidi" w:hAnsiTheme="majorBidi" w:cstheme="majorBidi"/>
          <w:color w:val="000000" w:themeColor="text1"/>
          <w:sz w:val="24"/>
          <w:szCs w:val="24"/>
        </w:rPr>
        <w:t>on the one ha</w:t>
      </w:r>
      <w:r w:rsidR="00B343F3">
        <w:rPr>
          <w:rFonts w:asciiTheme="majorBidi" w:hAnsiTheme="majorBidi" w:cstheme="majorBidi"/>
          <w:color w:val="000000" w:themeColor="text1"/>
          <w:sz w:val="24"/>
          <w:szCs w:val="24"/>
        </w:rPr>
        <w:t>nd and the dependent variable (B</w:t>
      </w:r>
      <w:r w:rsidR="006A5890" w:rsidRPr="00965A36">
        <w:rPr>
          <w:rFonts w:asciiTheme="majorBidi" w:hAnsiTheme="majorBidi" w:cstheme="majorBidi"/>
          <w:color w:val="000000" w:themeColor="text1"/>
          <w:sz w:val="24"/>
          <w:szCs w:val="24"/>
        </w:rPr>
        <w:t>ank</w:t>
      </w:r>
      <w:r w:rsidR="00B343F3">
        <w:rPr>
          <w:rFonts w:asciiTheme="majorBidi" w:hAnsiTheme="majorBidi" w:cstheme="majorBidi"/>
          <w:color w:val="000000" w:themeColor="text1"/>
          <w:sz w:val="24"/>
          <w:szCs w:val="24"/>
        </w:rPr>
        <w:t>'s P</w:t>
      </w:r>
      <w:r w:rsidR="006A5890" w:rsidRPr="00965A36">
        <w:rPr>
          <w:rFonts w:asciiTheme="majorBidi" w:hAnsiTheme="majorBidi" w:cstheme="majorBidi"/>
          <w:color w:val="000000" w:themeColor="text1"/>
          <w:sz w:val="24"/>
          <w:szCs w:val="24"/>
        </w:rPr>
        <w:t>rofitability) on the other hand</w:t>
      </w:r>
      <w:r w:rsidR="00B343F3">
        <w:rPr>
          <w:rFonts w:asciiTheme="majorBidi" w:hAnsiTheme="majorBidi" w:cstheme="majorBidi"/>
          <w:color w:val="000000" w:themeColor="text1"/>
          <w:sz w:val="24"/>
          <w:szCs w:val="24"/>
        </w:rPr>
        <w:t xml:space="preserve"> </w:t>
      </w:r>
      <w:r w:rsidR="00CA3111" w:rsidRPr="0062789E">
        <w:rPr>
          <w:rFonts w:asciiTheme="majorBidi" w:hAnsiTheme="majorBidi" w:cstheme="majorBidi"/>
          <w:sz w:val="24"/>
          <w:szCs w:val="24"/>
        </w:rPr>
        <w:t>(see</w:t>
      </w:r>
      <w:r w:rsidR="00EC1FAF">
        <w:rPr>
          <w:rFonts w:asciiTheme="majorBidi" w:hAnsiTheme="majorBidi" w:cstheme="majorBidi"/>
          <w:sz w:val="24"/>
          <w:szCs w:val="24"/>
        </w:rPr>
        <w:t xml:space="preserve"> F</w:t>
      </w:r>
      <w:r w:rsidR="00E972DC" w:rsidRPr="0062789E">
        <w:rPr>
          <w:rFonts w:asciiTheme="majorBidi" w:hAnsiTheme="majorBidi" w:cstheme="majorBidi"/>
          <w:sz w:val="24"/>
          <w:szCs w:val="24"/>
        </w:rPr>
        <w:t xml:space="preserve">igure </w:t>
      </w:r>
      <w:r w:rsidR="00945AF8" w:rsidRPr="0062789E">
        <w:rPr>
          <w:rFonts w:asciiTheme="majorBidi" w:hAnsiTheme="majorBidi" w:cstheme="majorBidi"/>
          <w:sz w:val="24"/>
          <w:szCs w:val="24"/>
        </w:rPr>
        <w:t>3.15</w:t>
      </w:r>
      <w:r w:rsidR="00945AF8">
        <w:rPr>
          <w:rFonts w:asciiTheme="majorBidi" w:hAnsiTheme="majorBidi" w:cstheme="majorBidi"/>
          <w:color w:val="000000" w:themeColor="text1"/>
          <w:sz w:val="24"/>
          <w:szCs w:val="24"/>
        </w:rPr>
        <w:t>)</w:t>
      </w:r>
      <w:r w:rsidR="00945E04">
        <w:rPr>
          <w:rFonts w:asciiTheme="majorBidi" w:hAnsiTheme="majorBidi" w:cstheme="majorBidi"/>
          <w:color w:val="000000" w:themeColor="text1"/>
          <w:sz w:val="24"/>
          <w:szCs w:val="24"/>
        </w:rPr>
        <w:t xml:space="preserve">. </w:t>
      </w:r>
      <w:r w:rsidR="00CA3111" w:rsidRPr="00965A36">
        <w:rPr>
          <w:rFonts w:asciiTheme="majorBidi" w:hAnsiTheme="majorBidi" w:cstheme="majorBidi"/>
          <w:color w:val="000000" w:themeColor="text1"/>
          <w:sz w:val="24"/>
          <w:szCs w:val="24"/>
        </w:rPr>
        <w:t xml:space="preserve">Based on that, the researcher used multiple regression </w:t>
      </w:r>
      <w:r w:rsidR="00945AF8" w:rsidRPr="00965A36">
        <w:rPr>
          <w:rFonts w:asciiTheme="majorBidi" w:hAnsiTheme="majorBidi" w:cstheme="majorBidi"/>
          <w:color w:val="000000" w:themeColor="text1"/>
          <w:sz w:val="24"/>
          <w:szCs w:val="24"/>
        </w:rPr>
        <w:t>m</w:t>
      </w:r>
      <w:r w:rsidR="00945AF8">
        <w:rPr>
          <w:rFonts w:asciiTheme="majorBidi" w:hAnsiTheme="majorBidi" w:cstheme="majorBidi"/>
          <w:color w:val="000000" w:themeColor="text1"/>
          <w:sz w:val="24"/>
          <w:szCs w:val="24"/>
        </w:rPr>
        <w:t>odels</w:t>
      </w:r>
      <w:r w:rsidR="00E46303">
        <w:rPr>
          <w:rFonts w:asciiTheme="majorBidi" w:hAnsiTheme="majorBidi" w:cstheme="majorBidi"/>
          <w:color w:val="000000" w:themeColor="text1"/>
          <w:sz w:val="24"/>
          <w:szCs w:val="24"/>
        </w:rPr>
        <w:t xml:space="preserve"> with one dependent and</w:t>
      </w:r>
      <w:r w:rsidR="00134995">
        <w:rPr>
          <w:rFonts w:asciiTheme="majorBidi" w:hAnsiTheme="majorBidi" w:cstheme="majorBidi"/>
          <w:color w:val="000000" w:themeColor="text1"/>
          <w:sz w:val="24"/>
          <w:szCs w:val="24"/>
        </w:rPr>
        <w:t xml:space="preserve"> </w:t>
      </w:r>
      <w:r w:rsidR="0062789E" w:rsidRPr="007209B1">
        <w:rPr>
          <w:rFonts w:asciiTheme="majorBidi" w:hAnsiTheme="majorBidi" w:cstheme="majorBidi"/>
          <w:sz w:val="24"/>
          <w:szCs w:val="24"/>
        </w:rPr>
        <w:t>f</w:t>
      </w:r>
      <w:r w:rsidR="00B628DD">
        <w:rPr>
          <w:rFonts w:asciiTheme="majorBidi" w:hAnsiTheme="majorBidi" w:cstheme="majorBidi"/>
          <w:sz w:val="24"/>
          <w:szCs w:val="24"/>
        </w:rPr>
        <w:t>ive</w:t>
      </w:r>
      <w:r w:rsidR="00CA3111" w:rsidRPr="00965A36">
        <w:rPr>
          <w:rFonts w:asciiTheme="majorBidi" w:hAnsiTheme="majorBidi" w:cstheme="majorBidi"/>
          <w:color w:val="000000" w:themeColor="text1"/>
          <w:sz w:val="24"/>
          <w:szCs w:val="24"/>
        </w:rPr>
        <w:t xml:space="preserve"> independent variables in this study.</w:t>
      </w:r>
    </w:p>
    <w:p w:rsidR="00B343F3" w:rsidRDefault="00B343F3" w:rsidP="00F976D3">
      <w:pPr>
        <w:autoSpaceDE w:val="0"/>
        <w:autoSpaceDN w:val="0"/>
        <w:adjustRightInd w:val="0"/>
        <w:spacing w:after="0" w:line="360" w:lineRule="auto"/>
        <w:jc w:val="center"/>
        <w:rPr>
          <w:rFonts w:asciiTheme="majorBidi" w:hAnsiTheme="majorBidi" w:cstheme="majorBidi"/>
          <w:b/>
        </w:rPr>
      </w:pPr>
    </w:p>
    <w:p w:rsidR="009366A3" w:rsidRPr="001C7647" w:rsidRDefault="009366A3" w:rsidP="001558CF">
      <w:pPr>
        <w:autoSpaceDE w:val="0"/>
        <w:autoSpaceDN w:val="0"/>
        <w:adjustRightInd w:val="0"/>
        <w:spacing w:after="0" w:line="360" w:lineRule="auto"/>
        <w:jc w:val="center"/>
        <w:rPr>
          <w:rFonts w:asciiTheme="majorBidi" w:hAnsiTheme="majorBidi" w:cstheme="majorBidi"/>
          <w:b/>
          <w:color w:val="000000" w:themeColor="text1"/>
        </w:rPr>
      </w:pPr>
      <w:r w:rsidRPr="001C7647">
        <w:rPr>
          <w:rFonts w:asciiTheme="majorBidi" w:hAnsiTheme="majorBidi" w:cstheme="majorBidi"/>
          <w:b/>
        </w:rPr>
        <w:t>Figure</w:t>
      </w:r>
      <w:r w:rsidR="00701996" w:rsidRPr="001C7647">
        <w:rPr>
          <w:rFonts w:asciiTheme="majorBidi" w:hAnsiTheme="majorBidi" w:cstheme="majorBidi"/>
          <w:b/>
        </w:rPr>
        <w:t xml:space="preserve"> 3</w:t>
      </w:r>
      <w:r w:rsidR="00BC7B1B" w:rsidRPr="001C7647">
        <w:rPr>
          <w:rFonts w:asciiTheme="majorBidi" w:hAnsiTheme="majorBidi" w:cstheme="majorBidi"/>
          <w:b/>
        </w:rPr>
        <w:t>.1</w:t>
      </w:r>
      <w:r w:rsidR="00237994" w:rsidRPr="001C7647">
        <w:rPr>
          <w:rFonts w:asciiTheme="majorBidi" w:hAnsiTheme="majorBidi" w:cstheme="majorBidi"/>
          <w:b/>
        </w:rPr>
        <w:t>5</w:t>
      </w:r>
      <w:r w:rsidR="00BC7B1B" w:rsidRPr="001C7647">
        <w:rPr>
          <w:rFonts w:asciiTheme="majorBidi" w:hAnsiTheme="majorBidi" w:cstheme="majorBidi"/>
          <w:b/>
          <w:color w:val="000000" w:themeColor="text1"/>
        </w:rPr>
        <w:t>:</w:t>
      </w:r>
      <w:r w:rsidRPr="001C7647">
        <w:rPr>
          <w:rFonts w:asciiTheme="majorBidi" w:hAnsiTheme="majorBidi" w:cstheme="majorBidi"/>
          <w:b/>
          <w:color w:val="000000" w:themeColor="text1"/>
        </w:rPr>
        <w:t xml:space="preserve"> Study Model</w:t>
      </w:r>
    </w:p>
    <w:p w:rsidR="00C149F4" w:rsidRDefault="007A78D1" w:rsidP="00B9043C">
      <w:pPr>
        <w:autoSpaceDE w:val="0"/>
        <w:autoSpaceDN w:val="0"/>
        <w:adjustRightInd w:val="0"/>
        <w:spacing w:after="0" w:line="360" w:lineRule="auto"/>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82" style="position:absolute;margin-left:302.25pt;margin-top:16.3pt;width:106.5pt;height:49.2pt;z-index:251702272" arcsize="10923f" fillcolor="gray [1629]" strokeweight="3pt">
            <v:textbox>
              <w:txbxContent>
                <w:p w:rsidR="00095056" w:rsidRDefault="00095056" w:rsidP="009D3FE5">
                  <w:pPr>
                    <w:spacing w:line="240" w:lineRule="auto"/>
                    <w:jc w:val="center"/>
                    <w:rPr>
                      <w:rFonts w:asciiTheme="majorBidi" w:hAnsiTheme="majorBidi" w:cstheme="majorBidi"/>
                      <w:b/>
                      <w:bCs/>
                      <w:sz w:val="24"/>
                      <w:szCs w:val="24"/>
                    </w:rPr>
                  </w:pPr>
                  <w:r w:rsidRPr="00A125C1">
                    <w:rPr>
                      <w:rFonts w:asciiTheme="majorBidi" w:hAnsiTheme="majorBidi" w:cstheme="majorBidi"/>
                      <w:b/>
                      <w:bCs/>
                      <w:sz w:val="24"/>
                      <w:szCs w:val="24"/>
                    </w:rPr>
                    <w:t>Dependent</w:t>
                  </w:r>
                </w:p>
                <w:p w:rsidR="00095056" w:rsidRPr="00E46303" w:rsidRDefault="00095056" w:rsidP="009D3FE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Variable</w:t>
                  </w:r>
                </w:p>
              </w:txbxContent>
            </v:textbox>
            <w10:wrap anchorx="page"/>
          </v:roundrect>
        </w:pict>
      </w:r>
      <w:r>
        <w:rPr>
          <w:rFonts w:asciiTheme="majorBidi" w:hAnsiTheme="majorBidi" w:cstheme="majorBidi"/>
          <w:noProof/>
          <w:color w:val="000000" w:themeColor="text1"/>
          <w:sz w:val="28"/>
          <w:szCs w:val="28"/>
        </w:rPr>
        <w:pict>
          <v:roundrect id="_x0000_s1081" style="position:absolute;margin-left:9pt;margin-top:11.6pt;width:106.5pt;height:49.8pt;z-index:251701248" arcsize="10923f" fillcolor="gray [1629]" strokeweight="3pt">
            <v:textbox>
              <w:txbxContent>
                <w:p w:rsidR="00095056" w:rsidRDefault="00095056" w:rsidP="009D3FE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Ind</w:t>
                  </w:r>
                  <w:r w:rsidRPr="00A125C1">
                    <w:rPr>
                      <w:rFonts w:asciiTheme="majorBidi" w:hAnsiTheme="majorBidi" w:cstheme="majorBidi"/>
                      <w:b/>
                      <w:bCs/>
                      <w:sz w:val="24"/>
                      <w:szCs w:val="24"/>
                    </w:rPr>
                    <w:t>ependent</w:t>
                  </w:r>
                </w:p>
                <w:p w:rsidR="00095056" w:rsidRDefault="00095056" w:rsidP="009D3FE5">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Variables</w:t>
                  </w:r>
                </w:p>
                <w:p w:rsidR="00095056" w:rsidRPr="00A125C1" w:rsidRDefault="00095056" w:rsidP="00C149F4">
                  <w:pPr>
                    <w:jc w:val="center"/>
                    <w:rPr>
                      <w:rFonts w:asciiTheme="majorBidi" w:hAnsiTheme="majorBidi" w:cstheme="majorBidi"/>
                      <w:b/>
                      <w:bCs/>
                      <w:sz w:val="24"/>
                      <w:szCs w:val="24"/>
                    </w:rPr>
                  </w:pPr>
                </w:p>
              </w:txbxContent>
            </v:textbox>
            <w10:wrap anchorx="page"/>
          </v:roundrect>
        </w:pict>
      </w:r>
    </w:p>
    <w:p w:rsidR="00C149F4" w:rsidRDefault="00C149F4" w:rsidP="00B9043C">
      <w:pPr>
        <w:autoSpaceDE w:val="0"/>
        <w:autoSpaceDN w:val="0"/>
        <w:adjustRightInd w:val="0"/>
        <w:spacing w:after="0" w:line="360" w:lineRule="auto"/>
        <w:rPr>
          <w:rFonts w:asciiTheme="majorBidi" w:hAnsiTheme="majorBidi" w:cstheme="majorBidi"/>
          <w:color w:val="000000" w:themeColor="text1"/>
          <w:sz w:val="28"/>
          <w:szCs w:val="28"/>
        </w:rPr>
      </w:pPr>
    </w:p>
    <w:p w:rsidR="00C149F4" w:rsidRDefault="00C149F4" w:rsidP="00B9043C">
      <w:pPr>
        <w:autoSpaceDE w:val="0"/>
        <w:autoSpaceDN w:val="0"/>
        <w:adjustRightInd w:val="0"/>
        <w:spacing w:after="0" w:line="360" w:lineRule="auto"/>
        <w:rPr>
          <w:rFonts w:asciiTheme="majorBidi" w:hAnsiTheme="majorBidi" w:cstheme="majorBidi"/>
          <w:color w:val="000000" w:themeColor="text1"/>
          <w:sz w:val="28"/>
          <w:szCs w:val="28"/>
        </w:rPr>
      </w:pPr>
    </w:p>
    <w:p w:rsidR="00C149F4" w:rsidRPr="009366A3" w:rsidRDefault="007A78D1" w:rsidP="00B9043C">
      <w:pPr>
        <w:autoSpaceDE w:val="0"/>
        <w:autoSpaceDN w:val="0"/>
        <w:adjustRightInd w:val="0"/>
        <w:spacing w:after="0" w:line="360" w:lineRule="auto"/>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roundrect id="_x0000_s1158" style="position:absolute;margin-left:9pt;margin-top:19.65pt;width:114pt;height:39pt;z-index:251758592" arcsize="10923f" fillcolor="#ddd8c2 [2894]" strokecolor="black [3213]" strokeweight="1.5pt">
            <v:textbox>
              <w:txbxContent>
                <w:p w:rsidR="00095056" w:rsidRPr="00E107D2" w:rsidRDefault="00095056" w:rsidP="00E107D2">
                  <w:pPr>
                    <w:jc w:val="center"/>
                    <w:rPr>
                      <w:rFonts w:asciiTheme="majorBidi" w:hAnsiTheme="majorBidi" w:cstheme="majorBidi"/>
                      <w:b/>
                      <w:bCs/>
                    </w:rPr>
                  </w:pPr>
                  <w:r w:rsidRPr="00E107D2">
                    <w:rPr>
                      <w:rFonts w:asciiTheme="majorBidi" w:hAnsiTheme="majorBidi" w:cstheme="majorBidi"/>
                      <w:b/>
                      <w:bCs/>
                    </w:rPr>
                    <w:t>Credit Risk Management</w:t>
                  </w:r>
                </w:p>
              </w:txbxContent>
            </v:textbox>
          </v:roundrect>
        </w:pict>
      </w:r>
    </w:p>
    <w:p w:rsidR="00CA3111" w:rsidRPr="00E60080" w:rsidRDefault="00CA3111" w:rsidP="00B9043C">
      <w:pPr>
        <w:autoSpaceDE w:val="0"/>
        <w:autoSpaceDN w:val="0"/>
        <w:adjustRightInd w:val="0"/>
        <w:spacing w:after="0" w:line="360" w:lineRule="auto"/>
        <w:rPr>
          <w:rFonts w:asciiTheme="majorBidi" w:hAnsiTheme="majorBidi" w:cstheme="majorBidi"/>
          <w:color w:val="000000" w:themeColor="text1"/>
          <w:sz w:val="24"/>
          <w:szCs w:val="24"/>
        </w:rPr>
      </w:pPr>
    </w:p>
    <w:p w:rsidR="00C95EDC" w:rsidRDefault="007A78D1" w:rsidP="00973932">
      <w:pPr>
        <w:autoSpaceDE w:val="0"/>
        <w:autoSpaceDN w:val="0"/>
        <w:adjustRightInd w:val="0"/>
        <w:spacing w:after="0" w:line="360" w:lineRule="auto"/>
        <w:rPr>
          <w:color w:val="000000" w:themeColor="text1"/>
          <w:sz w:val="44"/>
          <w:szCs w:val="44"/>
        </w:rPr>
      </w:pPr>
      <w:r>
        <w:rPr>
          <w:noProof/>
          <w:color w:val="000000" w:themeColor="text1"/>
          <w:sz w:val="44"/>
          <w:szCs w:val="44"/>
        </w:rPr>
        <w:pict>
          <v:roundrect id="_x0000_s1164" style="position:absolute;margin-left:308.25pt;margin-top:29.1pt;width:111.75pt;height:190.85pt;z-index:251764736" arcsize="10923f" fillcolor="#ddd8c2 [2894]" strokeweight="1.5pt">
            <v:textbox>
              <w:txbxContent>
                <w:p w:rsidR="00095056" w:rsidRDefault="00095056" w:rsidP="000E6D66">
                  <w:pPr>
                    <w:jc w:val="center"/>
                    <w:rPr>
                      <w:rFonts w:asciiTheme="majorBidi" w:hAnsiTheme="majorBidi" w:cstheme="majorBidi"/>
                      <w:b/>
                      <w:bCs/>
                    </w:rPr>
                  </w:pPr>
                </w:p>
                <w:p w:rsidR="00095056" w:rsidRPr="00E60080" w:rsidRDefault="00095056" w:rsidP="00EC1FAF">
                  <w:pPr>
                    <w:jc w:val="center"/>
                    <w:rPr>
                      <w:rFonts w:asciiTheme="majorBidi" w:hAnsiTheme="majorBidi" w:cstheme="majorBidi"/>
                      <w:b/>
                      <w:bCs/>
                      <w:sz w:val="24"/>
                      <w:szCs w:val="24"/>
                    </w:rPr>
                  </w:pPr>
                  <w:r w:rsidRPr="00E60080">
                    <w:rPr>
                      <w:rFonts w:asciiTheme="majorBidi" w:hAnsiTheme="majorBidi" w:cstheme="majorBidi"/>
                      <w:b/>
                      <w:bCs/>
                      <w:sz w:val="24"/>
                      <w:szCs w:val="24"/>
                    </w:rPr>
                    <w:t xml:space="preserve"> Banks</w:t>
                  </w:r>
                  <w:r>
                    <w:rPr>
                      <w:rFonts w:asciiTheme="majorBidi" w:hAnsiTheme="majorBidi" w:cstheme="majorBidi"/>
                      <w:b/>
                      <w:bCs/>
                      <w:sz w:val="24"/>
                      <w:szCs w:val="24"/>
                    </w:rPr>
                    <w:t>’</w:t>
                  </w:r>
                  <w:r w:rsidRPr="00E60080">
                    <w:rPr>
                      <w:rFonts w:asciiTheme="majorBidi" w:hAnsiTheme="majorBidi" w:cstheme="majorBidi"/>
                      <w:b/>
                      <w:bCs/>
                      <w:sz w:val="24"/>
                      <w:szCs w:val="24"/>
                    </w:rPr>
                    <w:t xml:space="preserve"> Profitability</w:t>
                  </w:r>
                </w:p>
                <w:p w:rsidR="00095056" w:rsidRPr="00E60080" w:rsidRDefault="00095056" w:rsidP="00EC1FAF">
                  <w:pPr>
                    <w:jc w:val="center"/>
                    <w:rPr>
                      <w:rFonts w:asciiTheme="majorBidi" w:hAnsiTheme="majorBidi" w:cstheme="majorBidi"/>
                      <w:b/>
                      <w:bCs/>
                      <w:sz w:val="24"/>
                      <w:szCs w:val="24"/>
                    </w:rPr>
                  </w:pPr>
                  <w:r w:rsidRPr="00E60080">
                    <w:rPr>
                      <w:rFonts w:asciiTheme="majorBidi" w:hAnsiTheme="majorBidi" w:cstheme="majorBidi"/>
                      <w:b/>
                      <w:bCs/>
                      <w:sz w:val="24"/>
                      <w:szCs w:val="24"/>
                    </w:rPr>
                    <w:t xml:space="preserve"> (ROA)</w:t>
                  </w:r>
                </w:p>
                <w:p w:rsidR="00095056" w:rsidRPr="00E60080" w:rsidRDefault="00095056" w:rsidP="00E60080">
                  <w:pPr>
                    <w:jc w:val="center"/>
                    <w:rPr>
                      <w:rFonts w:asciiTheme="majorBidi" w:hAnsiTheme="majorBidi" w:cstheme="majorBidi"/>
                      <w:b/>
                      <w:bCs/>
                      <w:sz w:val="24"/>
                      <w:szCs w:val="24"/>
                    </w:rPr>
                  </w:pPr>
                  <w:r w:rsidRPr="00E60080">
                    <w:rPr>
                      <w:rFonts w:asciiTheme="majorBidi" w:hAnsiTheme="majorBidi" w:cstheme="majorBidi"/>
                      <w:b/>
                      <w:bCs/>
                      <w:sz w:val="24"/>
                      <w:szCs w:val="24"/>
                    </w:rPr>
                    <w:t>+</w:t>
                  </w:r>
                </w:p>
                <w:p w:rsidR="00095056" w:rsidRPr="00E60080" w:rsidRDefault="00095056" w:rsidP="00E60080">
                  <w:pPr>
                    <w:jc w:val="center"/>
                    <w:rPr>
                      <w:rFonts w:asciiTheme="majorBidi" w:hAnsiTheme="majorBidi" w:cstheme="majorBidi"/>
                      <w:b/>
                      <w:bCs/>
                      <w:sz w:val="24"/>
                      <w:szCs w:val="24"/>
                    </w:rPr>
                  </w:pPr>
                  <w:r w:rsidRPr="00E60080">
                    <w:rPr>
                      <w:rFonts w:asciiTheme="majorBidi" w:hAnsiTheme="majorBidi" w:cstheme="majorBidi"/>
                      <w:b/>
                      <w:bCs/>
                      <w:sz w:val="24"/>
                      <w:szCs w:val="24"/>
                    </w:rPr>
                    <w:t>(ROE</w:t>
                  </w:r>
                  <w:r>
                    <w:t>)</w:t>
                  </w:r>
                </w:p>
              </w:txbxContent>
            </v:textbox>
          </v:roundrect>
        </w:pict>
      </w:r>
      <w:r>
        <w:rPr>
          <w:noProof/>
          <w:color w:val="000000" w:themeColor="text1"/>
          <w:sz w:val="44"/>
          <w:szCs w:val="44"/>
        </w:rPr>
        <w:pict>
          <v:roundrect id="_x0000_s1160" style="position:absolute;margin-left:9pt;margin-top:29.1pt;width:114pt;height:37.5pt;z-index:251760640" arcsize="10923f" fillcolor="#ddd8c2 [2894]">
            <v:textbox>
              <w:txbxContent>
                <w:p w:rsidR="00095056" w:rsidRPr="00E107D2" w:rsidRDefault="00095056" w:rsidP="00E107D2">
                  <w:pPr>
                    <w:jc w:val="center"/>
                    <w:rPr>
                      <w:rFonts w:asciiTheme="majorBidi" w:hAnsiTheme="majorBidi" w:cstheme="majorBidi"/>
                      <w:b/>
                      <w:bCs/>
                    </w:rPr>
                  </w:pPr>
                  <w:r>
                    <w:rPr>
                      <w:rFonts w:asciiTheme="majorBidi" w:hAnsiTheme="majorBidi" w:cstheme="majorBidi"/>
                      <w:b/>
                      <w:bCs/>
                    </w:rPr>
                    <w:t>Good Lending Princip</w:t>
                  </w:r>
                  <w:r w:rsidRPr="00E107D2">
                    <w:rPr>
                      <w:rFonts w:asciiTheme="majorBidi" w:hAnsiTheme="majorBidi" w:cstheme="majorBidi"/>
                      <w:b/>
                      <w:bCs/>
                    </w:rPr>
                    <w:t>l</w:t>
                  </w:r>
                  <w:r>
                    <w:rPr>
                      <w:rFonts w:asciiTheme="majorBidi" w:hAnsiTheme="majorBidi" w:cstheme="majorBidi"/>
                      <w:b/>
                      <w:bCs/>
                    </w:rPr>
                    <w:t>e</w:t>
                  </w:r>
                  <w:r w:rsidRPr="00E107D2">
                    <w:rPr>
                      <w:rFonts w:asciiTheme="majorBidi" w:hAnsiTheme="majorBidi" w:cstheme="majorBidi"/>
                      <w:b/>
                      <w:bCs/>
                    </w:rPr>
                    <w:t>s</w:t>
                  </w:r>
                </w:p>
              </w:txbxContent>
            </v:textbox>
          </v:roundrect>
        </w:pict>
      </w:r>
      <w:r>
        <w:rPr>
          <w:noProof/>
          <w:color w:val="000000" w:themeColor="text1"/>
          <w:sz w:val="44"/>
          <w:szCs w:val="44"/>
        </w:rPr>
        <w:pict>
          <v:shape id="_x0000_s1159" type="#_x0000_t67" style="position:absolute;margin-left:64.15pt;margin-top:10.35pt;width:7.15pt;height:18.75pt;z-index:251759616">
            <v:textbox style="layout-flow:vertical-ideographic"/>
          </v:shape>
        </w:pict>
      </w:r>
    </w:p>
    <w:p w:rsidR="00C95EDC" w:rsidRDefault="007A78D1" w:rsidP="00973932">
      <w:pPr>
        <w:autoSpaceDE w:val="0"/>
        <w:autoSpaceDN w:val="0"/>
        <w:adjustRightInd w:val="0"/>
        <w:spacing w:after="0" w:line="360" w:lineRule="auto"/>
        <w:rPr>
          <w:color w:val="000000" w:themeColor="text1"/>
          <w:sz w:val="44"/>
          <w:szCs w:val="44"/>
        </w:rPr>
      </w:pPr>
      <w:r>
        <w:rPr>
          <w:noProof/>
          <w:color w:val="000000" w:themeColor="text1"/>
          <w:sz w:val="44"/>
          <w:szCs w:val="44"/>
        </w:rPr>
        <w:pict>
          <v:shape id="_x0000_s1179" type="#_x0000_t32" style="position:absolute;margin-left:146.25pt;margin-top:9.1pt;width:.05pt;height:184.9pt;flip:x;z-index:251774976" o:connectortype="straight" strokeweight="1.25pt"/>
        </w:pict>
      </w:r>
      <w:r>
        <w:rPr>
          <w:noProof/>
          <w:color w:val="000000" w:themeColor="text1"/>
          <w:sz w:val="44"/>
          <w:szCs w:val="44"/>
        </w:rPr>
        <w:pict>
          <v:shape id="_x0000_s1167" type="#_x0000_t32" style="position:absolute;margin-left:123pt;margin-top:7.6pt;width:23.3pt;height:0;z-index:251767808" o:connectortype="straight" strokeweight="1.25pt"/>
        </w:pict>
      </w:r>
      <w:r>
        <w:rPr>
          <w:noProof/>
          <w:color w:val="000000" w:themeColor="text1"/>
          <w:sz w:val="44"/>
          <w:szCs w:val="44"/>
        </w:rPr>
        <w:pict>
          <v:shape id="_x0000_s1166" type="#_x0000_t32" style="position:absolute;margin-left:123pt;margin-top:7.6pt;width:0;height:1.5pt;z-index:251766784" o:connectortype="straight"/>
        </w:pict>
      </w:r>
      <w:r>
        <w:rPr>
          <w:noProof/>
          <w:color w:val="000000" w:themeColor="text1"/>
          <w:sz w:val="44"/>
          <w:szCs w:val="44"/>
        </w:rPr>
        <w:pict>
          <v:shape id="_x0000_s1165" type="#_x0000_t32" style="position:absolute;margin-left:122.25pt;margin-top:8.35pt;width:1.5pt;height:0;rotation:90;z-index:251765760" o:connectortype="elbow" adj="-2808000,-1,-2808000"/>
        </w:pict>
      </w:r>
    </w:p>
    <w:p w:rsidR="00C95EDC" w:rsidRDefault="007A78D1" w:rsidP="00AC4C3A">
      <w:pPr>
        <w:tabs>
          <w:tab w:val="left" w:pos="5520"/>
        </w:tabs>
        <w:autoSpaceDE w:val="0"/>
        <w:autoSpaceDN w:val="0"/>
        <w:adjustRightInd w:val="0"/>
        <w:spacing w:after="0" w:line="360" w:lineRule="auto"/>
        <w:rPr>
          <w:color w:val="000000" w:themeColor="text1"/>
          <w:sz w:val="44"/>
          <w:szCs w:val="44"/>
        </w:rPr>
      </w:pPr>
      <w:r>
        <w:rPr>
          <w:noProof/>
          <w:color w:val="000000" w:themeColor="text1"/>
          <w:sz w:val="44"/>
          <w:szCs w:val="44"/>
        </w:rPr>
        <w:pict>
          <v:roundrect id="_x0000_s1161" style="position:absolute;margin-left:9pt;margin-top:3.75pt;width:114pt;height:36.55pt;z-index:251761664" arcsize="10923f" fillcolor="#ddd8c2 [2894]">
            <v:textbox>
              <w:txbxContent>
                <w:p w:rsidR="00095056" w:rsidRPr="00E107D2" w:rsidRDefault="00095056" w:rsidP="00E107D2">
                  <w:pPr>
                    <w:jc w:val="center"/>
                    <w:rPr>
                      <w:rFonts w:asciiTheme="majorBidi" w:hAnsiTheme="majorBidi" w:cstheme="majorBidi"/>
                      <w:b/>
                      <w:bCs/>
                    </w:rPr>
                  </w:pPr>
                  <w:r w:rsidRPr="00E107D2">
                    <w:rPr>
                      <w:rFonts w:asciiTheme="majorBidi" w:hAnsiTheme="majorBidi" w:cstheme="majorBidi"/>
                      <w:b/>
                      <w:bCs/>
                    </w:rPr>
                    <w:t>Capital Adequacy</w:t>
                  </w:r>
                </w:p>
              </w:txbxContent>
            </v:textbox>
          </v:roundrect>
        </w:pict>
      </w:r>
      <w:r>
        <w:rPr>
          <w:noProof/>
          <w:color w:val="000000" w:themeColor="text1"/>
          <w:sz w:val="44"/>
          <w:szCs w:val="44"/>
        </w:rPr>
        <w:pict>
          <v:shape id="_x0000_s1168" type="#_x0000_t32" style="position:absolute;margin-left:123pt;margin-top:21.3pt;width:23.3pt;height:0;z-index:251768832" o:connectortype="straight" strokeweight="1.25pt"/>
        </w:pict>
      </w:r>
    </w:p>
    <w:p w:rsidR="00C95EDC" w:rsidRDefault="007A78D1" w:rsidP="00AC4C3A">
      <w:pPr>
        <w:tabs>
          <w:tab w:val="left" w:pos="5520"/>
        </w:tabs>
        <w:autoSpaceDE w:val="0"/>
        <w:autoSpaceDN w:val="0"/>
        <w:adjustRightInd w:val="0"/>
        <w:spacing w:after="0" w:line="360" w:lineRule="auto"/>
        <w:rPr>
          <w:color w:val="000000" w:themeColor="text1"/>
          <w:sz w:val="44"/>
          <w:szCs w:val="44"/>
        </w:rPr>
      </w:pPr>
      <w:r>
        <w:rPr>
          <w:noProof/>
          <w:color w:val="000000" w:themeColor="text1"/>
          <w:sz w:val="44"/>
          <w:szCs w:val="44"/>
        </w:rPr>
        <w:pict>
          <v:roundrect id="_x0000_s1162" style="position:absolute;margin-left:14.25pt;margin-top:11pt;width:108.75pt;height:34.9pt;z-index:251762688" arcsize="10923f" fillcolor="#ddd8c2 [2894]">
            <v:textbox>
              <w:txbxContent>
                <w:p w:rsidR="00095056" w:rsidRPr="00E107D2" w:rsidRDefault="00095056" w:rsidP="00E107D2">
                  <w:pPr>
                    <w:jc w:val="center"/>
                    <w:rPr>
                      <w:rFonts w:asciiTheme="majorBidi" w:hAnsiTheme="majorBidi" w:cstheme="majorBidi"/>
                      <w:b/>
                      <w:bCs/>
                    </w:rPr>
                  </w:pPr>
                  <w:r w:rsidRPr="00E107D2">
                    <w:rPr>
                      <w:rFonts w:asciiTheme="majorBidi" w:hAnsiTheme="majorBidi" w:cstheme="majorBidi"/>
                      <w:b/>
                      <w:bCs/>
                    </w:rPr>
                    <w:t>Credit Monitoring</w:t>
                  </w:r>
                </w:p>
              </w:txbxContent>
            </v:textbox>
          </v:roundrect>
        </w:pict>
      </w:r>
      <w:r>
        <w:rPr>
          <w:noProof/>
          <w:color w:val="000000" w:themeColor="text1"/>
          <w:sz w:val="44"/>
          <w:szCs w:val="4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6" type="#_x0000_t13" style="position:absolute;margin-left:146.25pt;margin-top:11pt;width:162pt;height:19.05pt;z-index:251772928" strokeweight="1.75pt"/>
        </w:pict>
      </w:r>
      <w:r>
        <w:rPr>
          <w:noProof/>
          <w:color w:val="000000" w:themeColor="text1"/>
          <w:sz w:val="44"/>
          <w:szCs w:val="44"/>
        </w:rPr>
        <w:pict>
          <v:shape id="_x0000_s1171" type="#_x0000_t32" style="position:absolute;margin-left:123pt;margin-top:23pt;width:23.25pt;height:.75pt;flip:y;z-index:251771904" o:connectortype="straight" strokeweight="1.25pt"/>
        </w:pict>
      </w:r>
      <w:r>
        <w:rPr>
          <w:noProof/>
          <w:color w:val="000000" w:themeColor="text1"/>
          <w:sz w:val="44"/>
          <w:szCs w:val="44"/>
        </w:rPr>
        <w:pict>
          <v:shape id="_x0000_s1104" type="#_x0000_t32" style="position:absolute;margin-left:146.25pt;margin-top:.05pt;width:25.5pt;height:0;z-index:251719680" o:connectortype="straight" strokecolor="#f2f2f2 [3041]" strokeweight="3pt">
            <v:shadow type="perspective" color="#7f7f7f [1601]" opacity=".5" offset="1pt" offset2="-1pt"/>
            <w10:wrap anchorx="page"/>
          </v:shape>
        </w:pict>
      </w:r>
      <w:r>
        <w:rPr>
          <w:noProof/>
          <w:color w:val="000000" w:themeColor="text1"/>
          <w:sz w:val="44"/>
          <w:szCs w:val="44"/>
        </w:rPr>
        <w:pict>
          <v:shape id="_x0000_s1102" type="#_x0000_t32" style="position:absolute;margin-left:146.25pt;margin-top:5.3pt;width:.05pt;height:.05pt;z-index:251718656" o:connectortype="straight" strokecolor="#f2f2f2 [3041]" strokeweight="3pt">
            <v:shadow type="perspective" color="#7f7f7f [1601]" opacity=".5" offset="1pt" offset2="-1pt"/>
            <w10:wrap anchorx="page"/>
          </v:shape>
        </w:pict>
      </w:r>
    </w:p>
    <w:p w:rsidR="00520DDD" w:rsidRDefault="007A78D1" w:rsidP="00973932">
      <w:pPr>
        <w:autoSpaceDE w:val="0"/>
        <w:autoSpaceDN w:val="0"/>
        <w:adjustRightInd w:val="0"/>
        <w:spacing w:after="0" w:line="360" w:lineRule="auto"/>
        <w:rPr>
          <w:color w:val="000000" w:themeColor="text1"/>
          <w:sz w:val="44"/>
          <w:szCs w:val="44"/>
        </w:rPr>
      </w:pPr>
      <w:r>
        <w:rPr>
          <w:noProof/>
          <w:color w:val="000000" w:themeColor="text1"/>
          <w:sz w:val="44"/>
          <w:szCs w:val="44"/>
        </w:rPr>
        <w:pict>
          <v:shape id="_x0000_s1260" type="#_x0000_t32" style="position:absolute;margin-left:123.05pt;margin-top:31.1pt;width:23.2pt;height:0;z-index:251849728" o:connectortype="straight" strokecolor="black [3213]" strokeweight="1.25pt">
            <w10:wrap anchorx="page"/>
          </v:shape>
        </w:pict>
      </w:r>
      <w:r>
        <w:rPr>
          <w:noProof/>
          <w:color w:val="000000" w:themeColor="text1"/>
          <w:sz w:val="44"/>
          <w:szCs w:val="44"/>
        </w:rPr>
        <w:pict>
          <v:roundrect id="_x0000_s1163" style="position:absolute;margin-left:14.25pt;margin-top:14.25pt;width:108.75pt;height:30.35pt;z-index:251763712" arcsize="10923f" fillcolor="#ddd8c2 [2894]">
            <v:textbox>
              <w:txbxContent>
                <w:p w:rsidR="00095056" w:rsidRPr="000E6D66" w:rsidRDefault="00095056" w:rsidP="000E6D66">
                  <w:pPr>
                    <w:jc w:val="center"/>
                    <w:rPr>
                      <w:rFonts w:asciiTheme="majorBidi" w:hAnsiTheme="majorBidi" w:cstheme="majorBidi"/>
                      <w:b/>
                      <w:bCs/>
                    </w:rPr>
                  </w:pPr>
                  <w:r w:rsidRPr="000E6D66">
                    <w:rPr>
                      <w:rFonts w:asciiTheme="majorBidi" w:hAnsiTheme="majorBidi" w:cstheme="majorBidi"/>
                      <w:b/>
                      <w:bCs/>
                    </w:rPr>
                    <w:t>Diversification</w:t>
                  </w:r>
                </w:p>
              </w:txbxContent>
            </v:textbox>
          </v:roundrect>
        </w:pict>
      </w:r>
    </w:p>
    <w:p w:rsidR="00ED2621" w:rsidRPr="00C539C2" w:rsidRDefault="007A78D1" w:rsidP="00B515F4">
      <w:pPr>
        <w:autoSpaceDE w:val="0"/>
        <w:autoSpaceDN w:val="0"/>
        <w:adjustRightInd w:val="0"/>
        <w:spacing w:after="0" w:line="360" w:lineRule="auto"/>
        <w:jc w:val="both"/>
        <w:rPr>
          <w:color w:val="000000" w:themeColor="text1"/>
          <w:sz w:val="24"/>
          <w:szCs w:val="24"/>
        </w:rPr>
      </w:pPr>
      <w:r w:rsidRPr="007A78D1">
        <w:rPr>
          <w:noProof/>
          <w:color w:val="000000" w:themeColor="text1"/>
          <w:sz w:val="28"/>
          <w:szCs w:val="28"/>
        </w:rPr>
        <w:pict>
          <v:roundrect id="_x0000_s1178" style="position:absolute;left:0;text-align:left;margin-left:14.25pt;margin-top:12.45pt;width:108.75pt;height:40.05pt;z-index:251773952" arcsize="10923f" fillcolor="#ddd8c2 [2894]">
            <v:textbox style="mso-next-textbox:#_x0000_s1178">
              <w:txbxContent>
                <w:p w:rsidR="00095056" w:rsidRPr="00E60080" w:rsidRDefault="00095056" w:rsidP="00E60080">
                  <w:pPr>
                    <w:jc w:val="center"/>
                    <w:rPr>
                      <w:rFonts w:asciiTheme="majorBidi" w:hAnsiTheme="majorBidi" w:cstheme="majorBidi"/>
                      <w:b/>
                      <w:bCs/>
                    </w:rPr>
                  </w:pPr>
                  <w:r>
                    <w:rPr>
                      <w:rFonts w:asciiTheme="majorBidi" w:hAnsiTheme="majorBidi" w:cstheme="majorBidi"/>
                      <w:b/>
                      <w:bCs/>
                    </w:rPr>
                    <w:t>Operational</w:t>
                  </w:r>
                  <w:r w:rsidRPr="00E60080">
                    <w:rPr>
                      <w:rFonts w:asciiTheme="majorBidi" w:hAnsiTheme="majorBidi" w:cstheme="majorBidi"/>
                      <w:b/>
                      <w:bCs/>
                    </w:rPr>
                    <w:t xml:space="preserve"> Efficiency</w:t>
                  </w:r>
                </w:p>
              </w:txbxContent>
            </v:textbox>
          </v:roundrect>
        </w:pict>
      </w:r>
      <w:r w:rsidR="00C539C2">
        <w:rPr>
          <w:color w:val="000000" w:themeColor="text1"/>
          <w:sz w:val="24"/>
          <w:szCs w:val="24"/>
        </w:rPr>
        <w:t>z</w:t>
      </w:r>
    </w:p>
    <w:p w:rsidR="00ED2621" w:rsidRDefault="007A78D1"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7A78D1">
        <w:rPr>
          <w:noProof/>
          <w:color w:val="000000" w:themeColor="text1"/>
          <w:sz w:val="44"/>
          <w:szCs w:val="44"/>
        </w:rPr>
        <w:pict>
          <v:shape id="_x0000_s1170" type="#_x0000_t32" style="position:absolute;left:0;text-align:left;margin-left:123pt;margin-top:10.85pt;width:23.25pt;height:0;flip:x;z-index:251770880" o:connectortype="straight" strokeweight="1.25pt"/>
        </w:pict>
      </w:r>
    </w:p>
    <w:p w:rsidR="00C539C2" w:rsidRDefault="00C539C2"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02966" w:rsidRDefault="00502966"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02966" w:rsidRDefault="00502966"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02966" w:rsidRDefault="00502966"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02966" w:rsidRDefault="00502966"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652DE8" w:rsidRPr="00747AF2" w:rsidRDefault="00EC1FAF"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3.6.1 </w:t>
      </w:r>
      <w:r w:rsidR="00CA3BF4">
        <w:rPr>
          <w:rFonts w:asciiTheme="majorBidi" w:hAnsiTheme="majorBidi" w:cstheme="majorBidi"/>
          <w:b/>
          <w:bCs/>
          <w:color w:val="000000" w:themeColor="text1"/>
          <w:sz w:val="24"/>
          <w:szCs w:val="24"/>
        </w:rPr>
        <w:t>P</w:t>
      </w:r>
      <w:r w:rsidR="00652DE8" w:rsidRPr="00747AF2">
        <w:rPr>
          <w:rFonts w:asciiTheme="majorBidi" w:hAnsiTheme="majorBidi" w:cstheme="majorBidi"/>
          <w:b/>
          <w:bCs/>
          <w:color w:val="000000" w:themeColor="text1"/>
          <w:sz w:val="24"/>
          <w:szCs w:val="24"/>
        </w:rPr>
        <w:t>rocedural Definition of Variables and Measurement</w:t>
      </w:r>
    </w:p>
    <w:p w:rsidR="00863862" w:rsidRDefault="00B22E34" w:rsidP="00B515F4">
      <w:pPr>
        <w:autoSpaceDE w:val="0"/>
        <w:autoSpaceDN w:val="0"/>
        <w:adjustRightInd w:val="0"/>
        <w:spacing w:after="0" w:line="360" w:lineRule="auto"/>
        <w:jc w:val="both"/>
        <w:rPr>
          <w:rFonts w:asciiTheme="majorBidi" w:hAnsiTheme="majorBidi" w:cstheme="majorBidi"/>
          <w:sz w:val="24"/>
          <w:szCs w:val="24"/>
        </w:rPr>
      </w:pPr>
      <w:r w:rsidRPr="00262D96">
        <w:rPr>
          <w:rFonts w:asciiTheme="majorBidi" w:hAnsiTheme="majorBidi" w:cstheme="majorBidi"/>
          <w:sz w:val="24"/>
          <w:szCs w:val="24"/>
        </w:rPr>
        <w:t>In the regression model, the researcher considered the following:</w:t>
      </w:r>
    </w:p>
    <w:p w:rsidR="004829D6" w:rsidRPr="00502966" w:rsidRDefault="004829D6" w:rsidP="00B515F4">
      <w:pPr>
        <w:autoSpaceDE w:val="0"/>
        <w:autoSpaceDN w:val="0"/>
        <w:adjustRightInd w:val="0"/>
        <w:spacing w:after="0" w:line="360" w:lineRule="auto"/>
        <w:jc w:val="both"/>
        <w:rPr>
          <w:rFonts w:asciiTheme="majorBidi" w:hAnsiTheme="majorBidi" w:cstheme="majorBidi"/>
          <w:sz w:val="24"/>
          <w:szCs w:val="24"/>
        </w:rPr>
      </w:pPr>
    </w:p>
    <w:p w:rsidR="00B22E34" w:rsidRPr="00747AF2" w:rsidRDefault="00B22E34" w:rsidP="00B515F4">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747AF2">
        <w:rPr>
          <w:rFonts w:asciiTheme="majorBidi" w:hAnsiTheme="majorBidi" w:cstheme="majorBidi"/>
          <w:b/>
          <w:bCs/>
          <w:color w:val="000000" w:themeColor="text1"/>
          <w:sz w:val="24"/>
          <w:szCs w:val="24"/>
        </w:rPr>
        <w:t>3.6.1</w:t>
      </w:r>
      <w:r w:rsidR="00652DE8" w:rsidRPr="00747AF2">
        <w:rPr>
          <w:rFonts w:asciiTheme="majorBidi" w:hAnsiTheme="majorBidi" w:cstheme="majorBidi"/>
          <w:b/>
          <w:bCs/>
          <w:color w:val="000000" w:themeColor="text1"/>
          <w:sz w:val="24"/>
          <w:szCs w:val="24"/>
        </w:rPr>
        <w:t>.1</w:t>
      </w:r>
      <w:r w:rsidRPr="00747AF2">
        <w:rPr>
          <w:rFonts w:asciiTheme="majorBidi" w:hAnsiTheme="majorBidi" w:cstheme="majorBidi"/>
          <w:b/>
          <w:bCs/>
          <w:color w:val="000000" w:themeColor="text1"/>
          <w:sz w:val="24"/>
          <w:szCs w:val="24"/>
        </w:rPr>
        <w:t xml:space="preserve"> Dependent </w:t>
      </w:r>
      <w:r w:rsidR="00B97B3F" w:rsidRPr="00747AF2">
        <w:rPr>
          <w:rFonts w:asciiTheme="majorBidi" w:hAnsiTheme="majorBidi" w:cstheme="majorBidi"/>
          <w:b/>
          <w:bCs/>
          <w:color w:val="000000" w:themeColor="text1"/>
          <w:sz w:val="24"/>
          <w:szCs w:val="24"/>
        </w:rPr>
        <w:t>v</w:t>
      </w:r>
      <w:r w:rsidRPr="00747AF2">
        <w:rPr>
          <w:rFonts w:asciiTheme="majorBidi" w:hAnsiTheme="majorBidi" w:cstheme="majorBidi"/>
          <w:b/>
          <w:bCs/>
          <w:color w:val="000000" w:themeColor="text1"/>
          <w:sz w:val="24"/>
          <w:szCs w:val="24"/>
        </w:rPr>
        <w:t>ariable</w:t>
      </w:r>
    </w:p>
    <w:p w:rsidR="00EC1FAF" w:rsidRPr="00DE205C" w:rsidRDefault="00EC1FAF" w:rsidP="00CF186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researcher</w:t>
      </w:r>
      <w:r w:rsidRPr="00DE205C">
        <w:rPr>
          <w:rFonts w:asciiTheme="majorBidi" w:hAnsiTheme="majorBidi" w:cstheme="majorBidi"/>
          <w:sz w:val="24"/>
          <w:szCs w:val="24"/>
        </w:rPr>
        <w:t xml:space="preserve"> use</w:t>
      </w:r>
      <w:r w:rsidR="009330BC">
        <w:rPr>
          <w:rFonts w:asciiTheme="majorBidi" w:hAnsiTheme="majorBidi" w:cstheme="majorBidi"/>
          <w:sz w:val="24"/>
          <w:szCs w:val="24"/>
        </w:rPr>
        <w:t xml:space="preserve">d Return </w:t>
      </w:r>
      <w:r w:rsidR="00CF1868">
        <w:rPr>
          <w:rFonts w:asciiTheme="majorBidi" w:hAnsiTheme="majorBidi" w:cstheme="majorBidi"/>
          <w:sz w:val="24"/>
          <w:szCs w:val="24"/>
        </w:rPr>
        <w:t>on</w:t>
      </w:r>
      <w:r w:rsidR="009330BC">
        <w:rPr>
          <w:rFonts w:asciiTheme="majorBidi" w:hAnsiTheme="majorBidi" w:cstheme="majorBidi"/>
          <w:sz w:val="24"/>
          <w:szCs w:val="24"/>
        </w:rPr>
        <w:t xml:space="preserve"> Assets</w:t>
      </w:r>
      <w:r w:rsidRPr="00DE205C">
        <w:rPr>
          <w:rFonts w:asciiTheme="majorBidi" w:hAnsiTheme="majorBidi" w:cstheme="majorBidi"/>
          <w:sz w:val="24"/>
          <w:szCs w:val="24"/>
        </w:rPr>
        <w:t xml:space="preserve"> </w:t>
      </w:r>
      <w:r>
        <w:rPr>
          <w:rFonts w:asciiTheme="majorBidi" w:hAnsiTheme="majorBidi" w:cstheme="majorBidi"/>
          <w:sz w:val="24"/>
          <w:szCs w:val="24"/>
        </w:rPr>
        <w:t>(</w:t>
      </w:r>
      <w:r w:rsidRPr="00DE205C">
        <w:rPr>
          <w:rFonts w:asciiTheme="majorBidi" w:hAnsiTheme="majorBidi" w:cstheme="majorBidi"/>
          <w:sz w:val="24"/>
          <w:szCs w:val="24"/>
        </w:rPr>
        <w:t>ROA</w:t>
      </w:r>
      <w:r>
        <w:rPr>
          <w:rFonts w:asciiTheme="majorBidi" w:hAnsiTheme="majorBidi" w:cstheme="majorBidi"/>
          <w:sz w:val="24"/>
          <w:szCs w:val="24"/>
        </w:rPr>
        <w:t>)</w:t>
      </w:r>
      <w:r w:rsidRPr="00DE205C">
        <w:rPr>
          <w:rFonts w:asciiTheme="majorBidi" w:hAnsiTheme="majorBidi" w:cstheme="majorBidi"/>
          <w:sz w:val="24"/>
          <w:szCs w:val="24"/>
        </w:rPr>
        <w:t xml:space="preserve"> and </w:t>
      </w:r>
      <w:r>
        <w:rPr>
          <w:rFonts w:asciiTheme="majorBidi" w:hAnsiTheme="majorBidi" w:cstheme="majorBidi"/>
          <w:sz w:val="24"/>
          <w:szCs w:val="24"/>
        </w:rPr>
        <w:t xml:space="preserve">Return </w:t>
      </w:r>
      <w:r w:rsidR="00CF1868">
        <w:rPr>
          <w:rFonts w:asciiTheme="majorBidi" w:hAnsiTheme="majorBidi" w:cstheme="majorBidi"/>
          <w:sz w:val="24"/>
          <w:szCs w:val="24"/>
        </w:rPr>
        <w:t>on</w:t>
      </w:r>
      <w:r>
        <w:rPr>
          <w:rFonts w:asciiTheme="majorBidi" w:hAnsiTheme="majorBidi" w:cstheme="majorBidi"/>
          <w:sz w:val="24"/>
          <w:szCs w:val="24"/>
        </w:rPr>
        <w:t xml:space="preserve"> Equity (</w:t>
      </w:r>
      <w:r w:rsidRPr="00DE205C">
        <w:rPr>
          <w:rFonts w:asciiTheme="majorBidi" w:hAnsiTheme="majorBidi" w:cstheme="majorBidi"/>
          <w:sz w:val="24"/>
          <w:szCs w:val="24"/>
        </w:rPr>
        <w:t>ROE</w:t>
      </w:r>
      <w:r>
        <w:rPr>
          <w:rFonts w:asciiTheme="majorBidi" w:hAnsiTheme="majorBidi" w:cstheme="majorBidi"/>
          <w:sz w:val="24"/>
          <w:szCs w:val="24"/>
        </w:rPr>
        <w:t xml:space="preserve">) </w:t>
      </w:r>
      <w:r w:rsidR="00CF1868">
        <w:rPr>
          <w:rFonts w:asciiTheme="majorBidi" w:hAnsiTheme="majorBidi" w:cstheme="majorBidi"/>
          <w:sz w:val="24"/>
          <w:szCs w:val="24"/>
        </w:rPr>
        <w:t>as profitability</w:t>
      </w:r>
      <w:r>
        <w:rPr>
          <w:rFonts w:asciiTheme="majorBidi" w:hAnsiTheme="majorBidi" w:cstheme="majorBidi"/>
          <w:sz w:val="24"/>
          <w:szCs w:val="24"/>
        </w:rPr>
        <w:t xml:space="preserve"> </w:t>
      </w:r>
      <w:r w:rsidRPr="00DE205C">
        <w:rPr>
          <w:rFonts w:asciiTheme="majorBidi" w:hAnsiTheme="majorBidi" w:cstheme="majorBidi"/>
          <w:sz w:val="24"/>
          <w:szCs w:val="24"/>
        </w:rPr>
        <w:t>indicator</w:t>
      </w:r>
      <w:r>
        <w:rPr>
          <w:rFonts w:asciiTheme="majorBidi" w:hAnsiTheme="majorBidi" w:cstheme="majorBidi"/>
          <w:sz w:val="24"/>
          <w:szCs w:val="24"/>
        </w:rPr>
        <w:t>s</w:t>
      </w:r>
      <w:r w:rsidRPr="00DE205C">
        <w:rPr>
          <w:rFonts w:asciiTheme="majorBidi" w:hAnsiTheme="majorBidi" w:cstheme="majorBidi"/>
          <w:sz w:val="24"/>
          <w:szCs w:val="24"/>
        </w:rPr>
        <w:t xml:space="preserve"> in the regression analysis because</w:t>
      </w:r>
      <w:r>
        <w:rPr>
          <w:rFonts w:asciiTheme="majorBidi" w:hAnsiTheme="majorBidi" w:cstheme="majorBidi"/>
          <w:sz w:val="24"/>
          <w:szCs w:val="24"/>
        </w:rPr>
        <w:t xml:space="preserve"> the former and the latter </w:t>
      </w:r>
      <w:r w:rsidRPr="00DE205C">
        <w:rPr>
          <w:rFonts w:asciiTheme="majorBidi" w:hAnsiTheme="majorBidi" w:cstheme="majorBidi"/>
          <w:sz w:val="24"/>
          <w:szCs w:val="24"/>
        </w:rPr>
        <w:t>ROE ha</w:t>
      </w:r>
      <w:r>
        <w:rPr>
          <w:rFonts w:asciiTheme="majorBidi" w:hAnsiTheme="majorBidi" w:cstheme="majorBidi"/>
          <w:sz w:val="24"/>
          <w:szCs w:val="24"/>
        </w:rPr>
        <w:t>ve</w:t>
      </w:r>
      <w:r w:rsidRPr="00DE205C">
        <w:rPr>
          <w:rFonts w:asciiTheme="majorBidi" w:hAnsiTheme="majorBidi" w:cstheme="majorBidi"/>
          <w:sz w:val="24"/>
          <w:szCs w:val="24"/>
        </w:rPr>
        <w:t xml:space="preserve"> been widely used in previous research.</w:t>
      </w:r>
    </w:p>
    <w:p w:rsidR="00EC1FAF" w:rsidRPr="00B85C16" w:rsidRDefault="00B85C16" w:rsidP="008638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CF1868" w:rsidRPr="00B85C16">
        <w:rPr>
          <w:rFonts w:ascii="Times New Roman" w:hAnsi="Times New Roman" w:cs="Times New Roman"/>
          <w:sz w:val="24"/>
          <w:szCs w:val="24"/>
        </w:rPr>
        <w:t>ROA</w:t>
      </w:r>
      <w:r w:rsidR="00EC1FAF" w:rsidRPr="00B85C16">
        <w:rPr>
          <w:rFonts w:ascii="Times New Roman" w:hAnsi="Times New Roman" w:cs="Times New Roman"/>
          <w:sz w:val="24"/>
          <w:szCs w:val="24"/>
        </w:rPr>
        <w:t xml:space="preserve">: </w:t>
      </w:r>
      <w:r w:rsidRPr="00B85C16">
        <w:rPr>
          <w:rFonts w:ascii="Times New Roman" w:hAnsi="Times New Roman" w:cs="Times New Roman"/>
          <w:sz w:val="24"/>
          <w:szCs w:val="24"/>
        </w:rPr>
        <w:t xml:space="preserve">ROA ratio explains the relationship between net income and total assets. The reason for selecting this ratio as profitability measurement is attributed to the fact that using net income for funding purposes forms an incentive and goal for institution’s management to increase their return on investment. </w:t>
      </w:r>
      <w:r w:rsidR="00EC1FAF" w:rsidRPr="00B85C16">
        <w:rPr>
          <w:rFonts w:ascii="Times New Roman" w:hAnsi="Times New Roman" w:cs="Times New Roman"/>
          <w:sz w:val="24"/>
          <w:szCs w:val="24"/>
        </w:rPr>
        <w:t xml:space="preserve">ROA has been used in most of the studies for the </w:t>
      </w:r>
      <w:r w:rsidR="00CF1868" w:rsidRPr="00B85C16">
        <w:rPr>
          <w:rFonts w:ascii="Times New Roman" w:hAnsi="Times New Roman" w:cs="Times New Roman"/>
          <w:sz w:val="24"/>
          <w:szCs w:val="24"/>
        </w:rPr>
        <w:t>measurement of</w:t>
      </w:r>
      <w:r w:rsidR="00EC1FAF" w:rsidRPr="00B85C16">
        <w:rPr>
          <w:rFonts w:ascii="Times New Roman" w:hAnsi="Times New Roman" w:cs="Times New Roman"/>
          <w:sz w:val="24"/>
          <w:szCs w:val="24"/>
        </w:rPr>
        <w:t xml:space="preserve"> the profitability of the banks. ROA measures </w:t>
      </w:r>
      <w:r w:rsidRPr="00B85C16">
        <w:rPr>
          <w:rFonts w:ascii="Times New Roman" w:hAnsi="Times New Roman" w:cs="Times New Roman"/>
          <w:sz w:val="24"/>
          <w:szCs w:val="24"/>
        </w:rPr>
        <w:t xml:space="preserve">how much the company </w:t>
      </w:r>
      <w:r w:rsidR="00EC1FAF" w:rsidRPr="00B85C16">
        <w:rPr>
          <w:rFonts w:ascii="Times New Roman" w:hAnsi="Times New Roman" w:cs="Times New Roman"/>
          <w:sz w:val="24"/>
          <w:szCs w:val="24"/>
        </w:rPr>
        <w:t>earned</w:t>
      </w:r>
      <w:r w:rsidRPr="00B85C16">
        <w:rPr>
          <w:rFonts w:ascii="Times New Roman" w:hAnsi="Times New Roman" w:cs="Times New Roman"/>
          <w:sz w:val="24"/>
          <w:szCs w:val="24"/>
        </w:rPr>
        <w:t xml:space="preserve"> as a profit</w:t>
      </w:r>
      <w:r w:rsidR="00EC1FAF" w:rsidRPr="00B85C16">
        <w:rPr>
          <w:rFonts w:ascii="Times New Roman" w:hAnsi="Times New Roman" w:cs="Times New Roman"/>
          <w:sz w:val="24"/>
          <w:szCs w:val="24"/>
        </w:rPr>
        <w:t xml:space="preserve"> per dollar of assets and reflects how </w:t>
      </w:r>
      <w:r w:rsidR="00EC1FAF" w:rsidRPr="00B85C16">
        <w:rPr>
          <w:rFonts w:asciiTheme="majorBidi" w:hAnsiTheme="majorBidi" w:cstheme="majorBidi"/>
          <w:sz w:val="24"/>
          <w:szCs w:val="24"/>
        </w:rPr>
        <w:t xml:space="preserve">well bank management uses the bank’s real investments resources to generate profits </w:t>
      </w:r>
      <w:r w:rsidR="00CF1868" w:rsidRPr="00B85C16">
        <w:rPr>
          <w:rFonts w:asciiTheme="majorBidi" w:hAnsiTheme="majorBidi" w:cstheme="majorBidi"/>
          <w:sz w:val="24"/>
          <w:szCs w:val="24"/>
        </w:rPr>
        <w:t>(Naceur</w:t>
      </w:r>
      <w:r w:rsidR="00420D73" w:rsidRPr="00B85C16">
        <w:rPr>
          <w:rFonts w:asciiTheme="majorBidi" w:hAnsiTheme="majorBidi" w:cstheme="majorBidi"/>
          <w:sz w:val="24"/>
          <w:szCs w:val="24"/>
        </w:rPr>
        <w:t>, 2003</w:t>
      </w:r>
      <w:r w:rsidR="00EC1FAF" w:rsidRPr="00B85C16">
        <w:rPr>
          <w:rFonts w:asciiTheme="majorBidi" w:hAnsiTheme="majorBidi" w:cstheme="majorBidi"/>
          <w:sz w:val="24"/>
          <w:szCs w:val="24"/>
        </w:rPr>
        <w:t>; Alkassim</w:t>
      </w:r>
      <w:r w:rsidR="00420D73" w:rsidRPr="00B85C16">
        <w:rPr>
          <w:rFonts w:asciiTheme="majorBidi" w:hAnsiTheme="majorBidi" w:cstheme="majorBidi"/>
          <w:sz w:val="24"/>
          <w:szCs w:val="24"/>
        </w:rPr>
        <w:t>, 2005</w:t>
      </w:r>
      <w:r w:rsidR="00EC1FAF" w:rsidRPr="00B85C16">
        <w:rPr>
          <w:rFonts w:asciiTheme="majorBidi" w:hAnsiTheme="majorBidi" w:cstheme="majorBidi"/>
          <w:sz w:val="24"/>
          <w:szCs w:val="24"/>
        </w:rPr>
        <w:t>; Bashir, Abdel Hamid, (2003; and Laeven and Majnoni</w:t>
      </w:r>
      <w:r w:rsidR="00420D73" w:rsidRPr="00B85C16">
        <w:rPr>
          <w:rFonts w:asciiTheme="majorBidi" w:hAnsiTheme="majorBidi" w:cstheme="majorBidi"/>
          <w:sz w:val="24"/>
          <w:szCs w:val="24"/>
        </w:rPr>
        <w:t>, 2003</w:t>
      </w:r>
      <w:r w:rsidR="00EC1FAF" w:rsidRPr="00B85C16">
        <w:rPr>
          <w:rFonts w:asciiTheme="majorBidi" w:hAnsiTheme="majorBidi" w:cstheme="majorBidi"/>
          <w:sz w:val="24"/>
          <w:szCs w:val="24"/>
        </w:rPr>
        <w:t xml:space="preserve">). </w:t>
      </w:r>
    </w:p>
    <w:p w:rsidR="00791B74" w:rsidRPr="00A32112" w:rsidRDefault="00791B74" w:rsidP="00863862">
      <w:pPr>
        <w:autoSpaceDE w:val="0"/>
        <w:autoSpaceDN w:val="0"/>
        <w:adjustRightInd w:val="0"/>
        <w:spacing w:after="0" w:line="360" w:lineRule="auto"/>
        <w:rPr>
          <w:rFonts w:asciiTheme="majorBidi" w:hAnsiTheme="majorBidi" w:cstheme="majorBidi"/>
          <w:b/>
          <w:bCs/>
        </w:rPr>
      </w:pPr>
      <w:r w:rsidRPr="00A32112">
        <w:rPr>
          <w:rFonts w:asciiTheme="majorBidi" w:hAnsiTheme="majorBidi" w:cstheme="majorBidi"/>
          <w:b/>
          <w:bCs/>
        </w:rPr>
        <w:t>ROA= Net Income</w:t>
      </w:r>
      <w:r w:rsidR="00945E04">
        <w:rPr>
          <w:rFonts w:asciiTheme="majorBidi" w:hAnsiTheme="majorBidi" w:cstheme="majorBidi"/>
          <w:b/>
          <w:bCs/>
        </w:rPr>
        <w:t xml:space="preserve"> a</w:t>
      </w:r>
      <w:r w:rsidR="00B12553">
        <w:rPr>
          <w:rFonts w:asciiTheme="majorBidi" w:hAnsiTheme="majorBidi" w:cstheme="majorBidi"/>
          <w:b/>
          <w:bCs/>
        </w:rPr>
        <w:t>fter Tax</w:t>
      </w:r>
      <w:r w:rsidRPr="00A32112">
        <w:rPr>
          <w:rFonts w:asciiTheme="majorBidi" w:hAnsiTheme="majorBidi" w:cstheme="majorBidi"/>
          <w:b/>
          <w:bCs/>
        </w:rPr>
        <w:t>/ Total Assets</w:t>
      </w:r>
    </w:p>
    <w:p w:rsidR="00A3798B" w:rsidRPr="00C81DB9" w:rsidRDefault="00A3798B" w:rsidP="00C81DB9">
      <w:pPr>
        <w:spacing w:line="360" w:lineRule="auto"/>
        <w:contextualSpacing/>
        <w:jc w:val="both"/>
        <w:rPr>
          <w:rFonts w:ascii="Times New Roman" w:hAnsi="Times New Roman" w:cs="Times New Roman"/>
          <w:color w:val="000000" w:themeColor="text1"/>
          <w:sz w:val="24"/>
          <w:szCs w:val="24"/>
        </w:rPr>
      </w:pPr>
      <w:r>
        <w:rPr>
          <w:rFonts w:asciiTheme="majorBidi" w:hAnsiTheme="majorBidi" w:cstheme="majorBidi"/>
          <w:sz w:val="24"/>
          <w:szCs w:val="24"/>
        </w:rPr>
        <w:t>2-</w:t>
      </w:r>
      <w:r w:rsidR="00791B74" w:rsidRPr="00C81DB9">
        <w:rPr>
          <w:rFonts w:ascii="Times New Roman" w:hAnsi="Times New Roman" w:cs="Times New Roman"/>
          <w:sz w:val="24"/>
          <w:szCs w:val="24"/>
        </w:rPr>
        <w:t>ROE</w:t>
      </w:r>
      <w:r w:rsidR="00B85C16" w:rsidRPr="00C81DB9">
        <w:rPr>
          <w:rFonts w:ascii="Times New Roman" w:hAnsi="Times New Roman" w:cs="Times New Roman"/>
          <w:sz w:val="24"/>
          <w:szCs w:val="24"/>
        </w:rPr>
        <w:t>:</w:t>
      </w:r>
      <w:r w:rsidR="00B85C16" w:rsidRPr="00C81DB9">
        <w:rPr>
          <w:rFonts w:ascii="Times New Roman" w:hAnsi="Times New Roman" w:cs="Times New Roman"/>
          <w:color w:val="000000" w:themeColor="text1"/>
          <w:sz w:val="24"/>
          <w:szCs w:val="24"/>
        </w:rPr>
        <w:t xml:space="preserve"> Return On Equity </w:t>
      </w:r>
      <w:r w:rsidRPr="00C81DB9">
        <w:rPr>
          <w:rFonts w:ascii="Times New Roman" w:hAnsi="Times New Roman" w:cs="Times New Roman"/>
          <w:color w:val="000000" w:themeColor="text1"/>
          <w:sz w:val="24"/>
          <w:szCs w:val="24"/>
        </w:rPr>
        <w:t>(ROE) is an</w:t>
      </w:r>
      <w:r w:rsidR="00CF1868" w:rsidRPr="00C81DB9">
        <w:rPr>
          <w:rFonts w:ascii="Times New Roman" w:hAnsi="Times New Roman" w:cs="Times New Roman"/>
          <w:color w:val="000000" w:themeColor="text1"/>
          <w:sz w:val="24"/>
          <w:szCs w:val="24"/>
        </w:rPr>
        <w:t xml:space="preserve"> </w:t>
      </w:r>
      <w:r w:rsidRPr="00C81DB9">
        <w:rPr>
          <w:rFonts w:ascii="Times New Roman" w:hAnsi="Times New Roman" w:cs="Times New Roman"/>
          <w:color w:val="000000" w:themeColor="text1"/>
          <w:sz w:val="24"/>
          <w:szCs w:val="24"/>
        </w:rPr>
        <w:t>indication to the company profitability</w:t>
      </w:r>
      <w:r w:rsidR="00BB0218" w:rsidRPr="00C81DB9">
        <w:rPr>
          <w:rFonts w:ascii="Times New Roman" w:hAnsi="Times New Roman" w:cs="Times New Roman"/>
          <w:sz w:val="24"/>
          <w:szCs w:val="24"/>
        </w:rPr>
        <w:t xml:space="preserve"> by comparing its net income to its average shareholders' equi</w:t>
      </w:r>
      <w:r w:rsidR="00EC1FAF" w:rsidRPr="00C81DB9">
        <w:rPr>
          <w:rFonts w:ascii="Times New Roman" w:hAnsi="Times New Roman" w:cs="Times New Roman"/>
          <w:sz w:val="24"/>
          <w:szCs w:val="24"/>
        </w:rPr>
        <w:t>ty. ROE</w:t>
      </w:r>
      <w:r w:rsidR="00BB0218" w:rsidRPr="00C81DB9">
        <w:rPr>
          <w:rFonts w:ascii="Times New Roman" w:hAnsi="Times New Roman" w:cs="Times New Roman"/>
          <w:sz w:val="24"/>
          <w:szCs w:val="24"/>
        </w:rPr>
        <w:t xml:space="preserve"> measures how </w:t>
      </w:r>
      <w:r w:rsidR="00EC1FAF" w:rsidRPr="00C81DB9">
        <w:rPr>
          <w:rFonts w:ascii="Times New Roman" w:hAnsi="Times New Roman" w:cs="Times New Roman"/>
          <w:sz w:val="24"/>
          <w:szCs w:val="24"/>
        </w:rPr>
        <w:t>much the shareholders earned from</w:t>
      </w:r>
      <w:r w:rsidR="00BB0218" w:rsidRPr="00C81DB9">
        <w:rPr>
          <w:rFonts w:ascii="Times New Roman" w:hAnsi="Times New Roman" w:cs="Times New Roman"/>
          <w:sz w:val="24"/>
          <w:szCs w:val="24"/>
        </w:rPr>
        <w:t xml:space="preserve"> their investment in the company.</w:t>
      </w:r>
      <w:r w:rsidRPr="00C81DB9">
        <w:rPr>
          <w:rFonts w:ascii="Times New Roman" w:hAnsi="Times New Roman" w:cs="Times New Roman"/>
          <w:color w:val="000000" w:themeColor="text1"/>
          <w:sz w:val="24"/>
          <w:szCs w:val="24"/>
        </w:rPr>
        <w:t xml:space="preserve"> The higher the </w:t>
      </w:r>
      <w:r w:rsidR="00C81DB9" w:rsidRPr="00C81DB9">
        <w:rPr>
          <w:rFonts w:ascii="Times New Roman" w:hAnsi="Times New Roman" w:cs="Times New Roman"/>
          <w:color w:val="000000" w:themeColor="text1"/>
          <w:sz w:val="24"/>
          <w:szCs w:val="24"/>
        </w:rPr>
        <w:t>ratio</w:t>
      </w:r>
      <w:r w:rsidRPr="00C81DB9">
        <w:rPr>
          <w:rFonts w:ascii="Times New Roman" w:hAnsi="Times New Roman" w:cs="Times New Roman"/>
          <w:color w:val="000000" w:themeColor="text1"/>
          <w:sz w:val="24"/>
          <w:szCs w:val="24"/>
        </w:rPr>
        <w:t xml:space="preserve"> is better for shareholders, since it’s an indication of companies’ management in utilizing their funds.</w:t>
      </w:r>
    </w:p>
    <w:p w:rsidR="00B22E34" w:rsidRPr="00C81DB9" w:rsidRDefault="003C1835" w:rsidP="00C81DB9">
      <w:pPr>
        <w:spacing w:line="360" w:lineRule="auto"/>
        <w:contextualSpacing/>
        <w:jc w:val="both"/>
        <w:rPr>
          <w:rFonts w:ascii="Times New Roman" w:hAnsi="Times New Roman" w:cs="Times New Roman"/>
          <w:sz w:val="24"/>
          <w:szCs w:val="24"/>
        </w:rPr>
      </w:pPr>
      <w:r w:rsidRPr="00C81DB9">
        <w:rPr>
          <w:rFonts w:ascii="Times New Roman" w:hAnsi="Times New Roman" w:cs="Times New Roman"/>
          <w:sz w:val="24"/>
          <w:szCs w:val="24"/>
        </w:rPr>
        <w:t>This</w:t>
      </w:r>
      <w:r w:rsidR="00904493" w:rsidRPr="00C81DB9">
        <w:rPr>
          <w:rFonts w:ascii="Times New Roman" w:hAnsi="Times New Roman" w:cs="Times New Roman"/>
          <w:sz w:val="24"/>
          <w:szCs w:val="24"/>
        </w:rPr>
        <w:t xml:space="preserve"> ratio is intended to measure the risks to which the commercial banking are subjected</w:t>
      </w:r>
      <w:r w:rsidRPr="00C81DB9">
        <w:rPr>
          <w:rFonts w:ascii="Times New Roman" w:hAnsi="Times New Roman" w:cs="Times New Roman"/>
          <w:sz w:val="24"/>
          <w:szCs w:val="24"/>
        </w:rPr>
        <w:t xml:space="preserve"> </w:t>
      </w:r>
      <w:r w:rsidR="00904493" w:rsidRPr="00C81DB9">
        <w:rPr>
          <w:rFonts w:ascii="Times New Roman" w:hAnsi="Times New Roman" w:cs="Times New Roman"/>
          <w:sz w:val="24"/>
          <w:szCs w:val="24"/>
        </w:rPr>
        <w:t>through depending on money borrowed for financ</w:t>
      </w:r>
      <w:r w:rsidR="00C81DB9" w:rsidRPr="00C81DB9">
        <w:rPr>
          <w:rFonts w:ascii="Times New Roman" w:hAnsi="Times New Roman" w:cs="Times New Roman"/>
          <w:sz w:val="24"/>
          <w:szCs w:val="24"/>
        </w:rPr>
        <w:t xml:space="preserve">ing its assets. Regarding this area, a lower indicator </w:t>
      </w:r>
      <w:r w:rsidR="00904493" w:rsidRPr="00C81DB9">
        <w:rPr>
          <w:rFonts w:ascii="Times New Roman" w:hAnsi="Times New Roman" w:cs="Times New Roman"/>
          <w:sz w:val="24"/>
          <w:szCs w:val="24"/>
        </w:rPr>
        <w:t>means that</w:t>
      </w:r>
      <w:r w:rsidRPr="00C81DB9">
        <w:rPr>
          <w:rFonts w:ascii="Times New Roman" w:hAnsi="Times New Roman" w:cs="Times New Roman"/>
          <w:sz w:val="24"/>
          <w:szCs w:val="24"/>
        </w:rPr>
        <w:t xml:space="preserve"> </w:t>
      </w:r>
      <w:r w:rsidR="00904493" w:rsidRPr="00C81DB9">
        <w:rPr>
          <w:rFonts w:ascii="Times New Roman" w:hAnsi="Times New Roman" w:cs="Times New Roman"/>
          <w:sz w:val="24"/>
          <w:szCs w:val="24"/>
        </w:rPr>
        <w:t>the</w:t>
      </w:r>
      <w:r w:rsidR="00C81DB9" w:rsidRPr="00C81DB9">
        <w:rPr>
          <w:rFonts w:ascii="Times New Roman" w:hAnsi="Times New Roman" w:cs="Times New Roman"/>
          <w:sz w:val="24"/>
          <w:szCs w:val="24"/>
        </w:rPr>
        <w:t xml:space="preserve"> bank depends on borrowed funds </w:t>
      </w:r>
      <w:r w:rsidR="00904493" w:rsidRPr="00C81DB9">
        <w:rPr>
          <w:rFonts w:ascii="Times New Roman" w:hAnsi="Times New Roman" w:cs="Times New Roman"/>
          <w:sz w:val="24"/>
          <w:szCs w:val="24"/>
        </w:rPr>
        <w:t xml:space="preserve">for financing its assets, thereby </w:t>
      </w:r>
      <w:r w:rsidR="00C81DB9" w:rsidRPr="00C81DB9">
        <w:rPr>
          <w:rFonts w:ascii="Times New Roman" w:hAnsi="Times New Roman" w:cs="Times New Roman"/>
          <w:sz w:val="24"/>
          <w:szCs w:val="24"/>
        </w:rPr>
        <w:t xml:space="preserve">increasing </w:t>
      </w:r>
      <w:r w:rsidR="00904493" w:rsidRPr="00C81DB9">
        <w:rPr>
          <w:rFonts w:ascii="Times New Roman" w:hAnsi="Times New Roman" w:cs="Times New Roman"/>
          <w:sz w:val="24"/>
          <w:szCs w:val="24"/>
        </w:rPr>
        <w:t>capital risks.</w:t>
      </w:r>
      <w:r w:rsidR="00C81DB9" w:rsidRPr="00C81DB9">
        <w:rPr>
          <w:rFonts w:ascii="Times New Roman" w:hAnsi="Times New Roman" w:cs="Times New Roman"/>
          <w:sz w:val="24"/>
          <w:szCs w:val="24"/>
        </w:rPr>
        <w:t xml:space="preserve"> ROE ratio</w:t>
      </w:r>
      <w:r w:rsidR="00904493" w:rsidRPr="00C81DB9">
        <w:rPr>
          <w:rFonts w:ascii="Times New Roman" w:hAnsi="Times New Roman" w:cs="Times New Roman"/>
          <w:sz w:val="24"/>
          <w:szCs w:val="24"/>
        </w:rPr>
        <w:t xml:space="preserve"> </w:t>
      </w:r>
      <w:r w:rsidR="00C81DB9" w:rsidRPr="00C81DB9">
        <w:rPr>
          <w:rFonts w:ascii="Times New Roman" w:hAnsi="Times New Roman" w:cs="Times New Roman"/>
          <w:sz w:val="24"/>
          <w:szCs w:val="24"/>
        </w:rPr>
        <w:t>has been widely used in previous researches (</w:t>
      </w:r>
      <w:r w:rsidR="00904493" w:rsidRPr="00C81DB9">
        <w:rPr>
          <w:rFonts w:ascii="Times New Roman" w:hAnsi="Times New Roman" w:cs="Times New Roman"/>
          <w:sz w:val="24"/>
          <w:szCs w:val="24"/>
        </w:rPr>
        <w:t xml:space="preserve">Bikker and Metzemakers (2004), Davis and Zhu </w:t>
      </w:r>
      <w:r w:rsidR="00420D73" w:rsidRPr="00C81DB9">
        <w:rPr>
          <w:rFonts w:ascii="Times New Roman" w:hAnsi="Times New Roman" w:cs="Times New Roman"/>
          <w:sz w:val="24"/>
          <w:szCs w:val="24"/>
        </w:rPr>
        <w:t>(2005)</w:t>
      </w:r>
      <w:r w:rsidR="00904493" w:rsidRPr="00C81DB9">
        <w:rPr>
          <w:rFonts w:ascii="Times New Roman" w:hAnsi="Times New Roman" w:cs="Times New Roman"/>
          <w:sz w:val="24"/>
          <w:szCs w:val="24"/>
        </w:rPr>
        <w:t xml:space="preserve"> and </w:t>
      </w:r>
      <w:r w:rsidRPr="00C81DB9">
        <w:rPr>
          <w:rFonts w:ascii="Times New Roman" w:hAnsi="Times New Roman" w:cs="Times New Roman"/>
          <w:sz w:val="24"/>
          <w:szCs w:val="24"/>
        </w:rPr>
        <w:t>Abu rime</w:t>
      </w:r>
      <w:r w:rsidR="00904493" w:rsidRPr="00C81DB9">
        <w:rPr>
          <w:rFonts w:ascii="Times New Roman" w:hAnsi="Times New Roman" w:cs="Times New Roman"/>
          <w:sz w:val="24"/>
          <w:szCs w:val="24"/>
        </w:rPr>
        <w:t xml:space="preserve">, Toni Uhomoibhi </w:t>
      </w:r>
      <w:r w:rsidR="00420D73" w:rsidRPr="00C81DB9">
        <w:rPr>
          <w:rFonts w:ascii="Times New Roman" w:hAnsi="Times New Roman" w:cs="Times New Roman"/>
          <w:sz w:val="24"/>
          <w:szCs w:val="24"/>
        </w:rPr>
        <w:t>(2008)</w:t>
      </w:r>
      <w:r w:rsidR="00904493" w:rsidRPr="00C81DB9">
        <w:rPr>
          <w:rFonts w:ascii="Times New Roman" w:hAnsi="Times New Roman" w:cs="Times New Roman"/>
          <w:sz w:val="24"/>
          <w:szCs w:val="24"/>
        </w:rPr>
        <w:t>.</w:t>
      </w:r>
    </w:p>
    <w:p w:rsidR="00863862" w:rsidRDefault="003F0917" w:rsidP="00B515F4">
      <w:pPr>
        <w:autoSpaceDE w:val="0"/>
        <w:autoSpaceDN w:val="0"/>
        <w:adjustRightInd w:val="0"/>
        <w:spacing w:after="0" w:line="360" w:lineRule="auto"/>
        <w:jc w:val="both"/>
        <w:rPr>
          <w:rFonts w:asciiTheme="majorBidi" w:hAnsiTheme="majorBidi" w:cstheme="majorBidi"/>
          <w:b/>
          <w:bCs/>
          <w:color w:val="000000" w:themeColor="text1"/>
        </w:rPr>
      </w:pPr>
      <w:r w:rsidRPr="00A32112">
        <w:rPr>
          <w:rFonts w:asciiTheme="majorBidi" w:hAnsiTheme="majorBidi" w:cstheme="majorBidi"/>
          <w:b/>
          <w:bCs/>
          <w:color w:val="000000" w:themeColor="text1"/>
        </w:rPr>
        <w:t>ROE</w:t>
      </w:r>
      <w:r w:rsidR="00BB0218" w:rsidRPr="00A32112">
        <w:rPr>
          <w:rFonts w:asciiTheme="majorBidi" w:hAnsiTheme="majorBidi" w:cstheme="majorBidi"/>
          <w:b/>
          <w:bCs/>
          <w:color w:val="000000" w:themeColor="text1"/>
        </w:rPr>
        <w:t xml:space="preserve"> = Ne</w:t>
      </w:r>
      <w:r w:rsidR="00412570" w:rsidRPr="00A32112">
        <w:rPr>
          <w:rFonts w:asciiTheme="majorBidi" w:hAnsiTheme="majorBidi" w:cstheme="majorBidi"/>
          <w:b/>
          <w:bCs/>
          <w:color w:val="000000" w:themeColor="text1"/>
        </w:rPr>
        <w:t>t Income</w:t>
      </w:r>
      <w:r w:rsidR="00BA4104">
        <w:rPr>
          <w:rFonts w:asciiTheme="majorBidi" w:hAnsiTheme="majorBidi" w:cstheme="majorBidi"/>
          <w:b/>
          <w:bCs/>
          <w:color w:val="000000" w:themeColor="text1"/>
        </w:rPr>
        <w:t xml:space="preserve"> </w:t>
      </w:r>
      <w:r w:rsidR="00CF1868">
        <w:rPr>
          <w:rFonts w:asciiTheme="majorBidi" w:hAnsiTheme="majorBidi" w:cstheme="majorBidi"/>
          <w:b/>
          <w:bCs/>
          <w:color w:val="000000" w:themeColor="text1"/>
        </w:rPr>
        <w:t>after</w:t>
      </w:r>
      <w:r w:rsidR="00BA4104">
        <w:rPr>
          <w:rFonts w:asciiTheme="majorBidi" w:hAnsiTheme="majorBidi" w:cstheme="majorBidi"/>
          <w:b/>
          <w:bCs/>
          <w:color w:val="000000" w:themeColor="text1"/>
        </w:rPr>
        <w:t xml:space="preserve"> T</w:t>
      </w:r>
      <w:r w:rsidR="00DE205C">
        <w:rPr>
          <w:rFonts w:asciiTheme="majorBidi" w:hAnsiTheme="majorBidi" w:cstheme="majorBidi"/>
          <w:b/>
          <w:bCs/>
          <w:color w:val="000000" w:themeColor="text1"/>
        </w:rPr>
        <w:t>ax</w:t>
      </w:r>
      <w:r w:rsidR="00412570" w:rsidRPr="00A32112">
        <w:rPr>
          <w:rFonts w:asciiTheme="majorBidi" w:hAnsiTheme="majorBidi" w:cstheme="majorBidi"/>
          <w:b/>
          <w:bCs/>
          <w:color w:val="000000" w:themeColor="text1"/>
        </w:rPr>
        <w:t>/ Total</w:t>
      </w:r>
      <w:r w:rsidR="00BB0218" w:rsidRPr="00A32112">
        <w:rPr>
          <w:rFonts w:asciiTheme="majorBidi" w:hAnsiTheme="majorBidi" w:cstheme="majorBidi"/>
          <w:b/>
          <w:bCs/>
          <w:color w:val="000000" w:themeColor="text1"/>
        </w:rPr>
        <w:t xml:space="preserve"> Equity</w:t>
      </w:r>
    </w:p>
    <w:p w:rsidR="004829D6" w:rsidRPr="00502966" w:rsidRDefault="004829D6" w:rsidP="00B515F4">
      <w:pPr>
        <w:autoSpaceDE w:val="0"/>
        <w:autoSpaceDN w:val="0"/>
        <w:adjustRightInd w:val="0"/>
        <w:spacing w:after="0" w:line="360" w:lineRule="auto"/>
        <w:jc w:val="both"/>
        <w:rPr>
          <w:rFonts w:asciiTheme="majorBidi" w:hAnsiTheme="majorBidi" w:cstheme="majorBidi"/>
          <w:b/>
          <w:bCs/>
          <w:color w:val="000000" w:themeColor="text1"/>
        </w:rPr>
      </w:pPr>
    </w:p>
    <w:p w:rsidR="00B97B3F" w:rsidRPr="00747AF2" w:rsidRDefault="00652DE8" w:rsidP="00A32112">
      <w:pPr>
        <w:autoSpaceDE w:val="0"/>
        <w:autoSpaceDN w:val="0"/>
        <w:adjustRightInd w:val="0"/>
        <w:spacing w:after="0" w:line="360" w:lineRule="auto"/>
        <w:jc w:val="both"/>
        <w:rPr>
          <w:rFonts w:asciiTheme="majorBidi" w:hAnsiTheme="majorBidi" w:cstheme="majorBidi"/>
          <w:b/>
          <w:bCs/>
          <w:sz w:val="24"/>
          <w:szCs w:val="24"/>
        </w:rPr>
      </w:pPr>
      <w:r w:rsidRPr="00747AF2">
        <w:rPr>
          <w:rFonts w:asciiTheme="majorBidi" w:hAnsiTheme="majorBidi" w:cstheme="majorBidi"/>
          <w:b/>
          <w:bCs/>
          <w:sz w:val="24"/>
          <w:szCs w:val="24"/>
        </w:rPr>
        <w:t>3.6.1.2</w:t>
      </w:r>
      <w:r w:rsidR="001C7647">
        <w:rPr>
          <w:rFonts w:asciiTheme="majorBidi" w:hAnsiTheme="majorBidi" w:cstheme="majorBidi"/>
          <w:b/>
          <w:bCs/>
          <w:sz w:val="24"/>
          <w:szCs w:val="24"/>
        </w:rPr>
        <w:t xml:space="preserve"> Independent V</w:t>
      </w:r>
      <w:r w:rsidR="00B97B3F" w:rsidRPr="00747AF2">
        <w:rPr>
          <w:rFonts w:asciiTheme="majorBidi" w:hAnsiTheme="majorBidi" w:cstheme="majorBidi"/>
          <w:b/>
          <w:bCs/>
          <w:sz w:val="24"/>
          <w:szCs w:val="24"/>
        </w:rPr>
        <w:t>ariables</w:t>
      </w:r>
    </w:p>
    <w:p w:rsidR="00CF1868" w:rsidRPr="00ED2621" w:rsidRDefault="00863862" w:rsidP="00C21F14">
      <w:pPr>
        <w:tabs>
          <w:tab w:val="right" w:pos="5850"/>
          <w:tab w:val="right" w:pos="6480"/>
          <w:tab w:val="right" w:pos="6570"/>
          <w:tab w:val="right" w:pos="7650"/>
          <w:tab w:val="right" w:pos="8280"/>
        </w:tabs>
        <w:autoSpaceDE w:val="0"/>
        <w:autoSpaceDN w:val="0"/>
        <w:bidi/>
        <w:adjustRightInd w:val="0"/>
        <w:spacing w:after="0" w:line="360" w:lineRule="auto"/>
        <w:jc w:val="both"/>
        <w:rPr>
          <w:rFonts w:asciiTheme="majorBidi" w:hAnsiTheme="majorBidi" w:cstheme="majorBidi"/>
          <w:sz w:val="24"/>
          <w:szCs w:val="24"/>
        </w:rPr>
      </w:pPr>
      <w:r w:rsidRPr="00ED2621">
        <w:rPr>
          <w:rFonts w:asciiTheme="majorBidi" w:eastAsia="Times New Roman" w:hAnsiTheme="majorBidi" w:cstheme="majorBidi"/>
          <w:color w:val="222222"/>
          <w:sz w:val="24"/>
          <w:szCs w:val="24"/>
        </w:rPr>
        <w:t xml:space="preserve">The researcher chose credit risk management as an explanatory variable which is measured by five independent variables namely Good Lending Principles, Capital Adequacy, Credit </w:t>
      </w:r>
      <w:r w:rsidRPr="00ED2621">
        <w:rPr>
          <w:rFonts w:asciiTheme="majorBidi" w:eastAsia="Times New Roman" w:hAnsiTheme="majorBidi" w:cstheme="majorBidi"/>
          <w:color w:val="222222"/>
          <w:sz w:val="24"/>
          <w:szCs w:val="24"/>
        </w:rPr>
        <w:lastRenderedPageBreak/>
        <w:t>Monitoring, Diversification of Income and Operational cost Efficiency. These variables are indicators of credit risk management and affect the profitability of banks. These variables were measured, using financial ratios available in the financial statements of Palestinian commercial banks. These ratios are NPLR, EQTA, LLPI, NDLR and OPNI. These five ratios are the indicators of credit risk management and affect the profitability of banks (see Table 3.10). The first ratio, NPLR, is incorporated as a proxy of asset credit quality (good lending principles) that affects bank's profitability. EQTA ratio is incorporated as proxy of Capital Adequacy. LLPI ratio is incorporated as a proxy of credit monitoring after issuing the credit. NIDR ratio is incorporated as a proxy of diversification of bank's income. Finally, OPNI is incorporated as a proxy of operational cost efficiency in controlling overhead cost</w:t>
      </w:r>
    </w:p>
    <w:p w:rsidR="00CF1868" w:rsidRDefault="00CF1868" w:rsidP="00ED2621">
      <w:pPr>
        <w:autoSpaceDE w:val="0"/>
        <w:autoSpaceDN w:val="0"/>
        <w:bidi/>
        <w:adjustRightInd w:val="0"/>
        <w:spacing w:after="0" w:line="360" w:lineRule="auto"/>
        <w:rPr>
          <w:rFonts w:asciiTheme="majorBidi" w:hAnsiTheme="majorBidi" w:cstheme="majorBidi"/>
          <w:sz w:val="24"/>
          <w:szCs w:val="24"/>
          <w:lang w:bidi="ar-JO"/>
        </w:rPr>
      </w:pPr>
    </w:p>
    <w:p w:rsidR="00B14B0B" w:rsidRDefault="00417132" w:rsidP="00CF1868">
      <w:pPr>
        <w:autoSpaceDE w:val="0"/>
        <w:autoSpaceDN w:val="0"/>
        <w:bidi/>
        <w:adjustRightInd w:val="0"/>
        <w:spacing w:after="0" w:line="360" w:lineRule="auto"/>
        <w:jc w:val="center"/>
        <w:rPr>
          <w:rFonts w:asciiTheme="majorBidi" w:hAnsiTheme="majorBidi" w:cstheme="majorBidi"/>
          <w:b/>
          <w:bCs/>
        </w:rPr>
      </w:pPr>
      <w:r>
        <w:rPr>
          <w:rFonts w:asciiTheme="majorBidi" w:hAnsiTheme="majorBidi" w:cstheme="majorBidi"/>
          <w:b/>
          <w:bCs/>
        </w:rPr>
        <w:t>Table 3.12</w:t>
      </w:r>
      <w:r w:rsidR="00B14B0B" w:rsidRPr="001C7647">
        <w:rPr>
          <w:rFonts w:asciiTheme="majorBidi" w:hAnsiTheme="majorBidi" w:cstheme="majorBidi"/>
          <w:b/>
          <w:bCs/>
        </w:rPr>
        <w:t>: Summary of the independent</w:t>
      </w:r>
      <w:r w:rsidR="001558CF">
        <w:rPr>
          <w:rFonts w:asciiTheme="majorBidi" w:hAnsiTheme="majorBidi" w:cstheme="majorBidi"/>
          <w:b/>
          <w:bCs/>
        </w:rPr>
        <w:t xml:space="preserve"> variables employed in the study</w:t>
      </w:r>
    </w:p>
    <w:p w:rsidR="00D15768" w:rsidRPr="00D15768" w:rsidRDefault="00D15768" w:rsidP="00D15768">
      <w:pPr>
        <w:autoSpaceDE w:val="0"/>
        <w:autoSpaceDN w:val="0"/>
        <w:bidi/>
        <w:adjustRightInd w:val="0"/>
        <w:spacing w:after="0" w:line="360" w:lineRule="auto"/>
        <w:jc w:val="center"/>
        <w:rPr>
          <w:rFonts w:asciiTheme="majorBidi" w:hAnsiTheme="majorBidi" w:cstheme="majorBidi"/>
          <w:b/>
          <w:bCs/>
          <w:sz w:val="16"/>
          <w:szCs w:val="16"/>
          <w:rtl/>
          <w:lang w:bidi="ar-JO"/>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hemeFill="background2"/>
        <w:tblLook w:val="04A0"/>
      </w:tblPr>
      <w:tblGrid>
        <w:gridCol w:w="3192"/>
        <w:gridCol w:w="3192"/>
        <w:gridCol w:w="3084"/>
      </w:tblGrid>
      <w:tr w:rsidR="00116F64" w:rsidTr="0042214F">
        <w:trPr>
          <w:trHeight w:val="343"/>
        </w:trPr>
        <w:tc>
          <w:tcPr>
            <w:tcW w:w="3192" w:type="dxa"/>
            <w:shd w:val="clear" w:color="auto" w:fill="EEECE1" w:themeFill="background2"/>
          </w:tcPr>
          <w:p w:rsidR="00116F64" w:rsidRPr="00B7136D" w:rsidRDefault="00116F64" w:rsidP="0080162E">
            <w:pPr>
              <w:jc w:val="center"/>
              <w:rPr>
                <w:rFonts w:asciiTheme="majorBidi" w:hAnsiTheme="majorBidi" w:cstheme="majorBidi"/>
              </w:rPr>
            </w:pPr>
            <w:r w:rsidRPr="00B7136D">
              <w:rPr>
                <w:rFonts w:asciiTheme="majorBidi" w:hAnsiTheme="majorBidi" w:cstheme="majorBidi"/>
                <w:b/>
                <w:bCs/>
              </w:rPr>
              <w:t>Variable</w:t>
            </w:r>
          </w:p>
        </w:tc>
        <w:tc>
          <w:tcPr>
            <w:tcW w:w="3192" w:type="dxa"/>
            <w:shd w:val="clear" w:color="auto" w:fill="EEECE1" w:themeFill="background2"/>
          </w:tcPr>
          <w:p w:rsidR="00116F64" w:rsidRPr="00B7136D" w:rsidRDefault="00116F64" w:rsidP="0080162E">
            <w:pPr>
              <w:jc w:val="center"/>
              <w:rPr>
                <w:rFonts w:asciiTheme="majorBidi" w:hAnsiTheme="majorBidi" w:cstheme="majorBidi"/>
              </w:rPr>
            </w:pPr>
            <w:r w:rsidRPr="00B7136D">
              <w:rPr>
                <w:rFonts w:asciiTheme="majorBidi" w:hAnsiTheme="majorBidi" w:cstheme="majorBidi"/>
                <w:b/>
                <w:bCs/>
              </w:rPr>
              <w:t>Measurement</w:t>
            </w:r>
          </w:p>
        </w:tc>
        <w:tc>
          <w:tcPr>
            <w:tcW w:w="3084" w:type="dxa"/>
            <w:shd w:val="clear" w:color="auto" w:fill="EEECE1" w:themeFill="background2"/>
          </w:tcPr>
          <w:p w:rsidR="00116F64" w:rsidRPr="00B7136D" w:rsidRDefault="00116F64" w:rsidP="0080162E">
            <w:pPr>
              <w:jc w:val="center"/>
              <w:rPr>
                <w:rFonts w:asciiTheme="majorBidi" w:hAnsiTheme="majorBidi" w:cstheme="majorBidi"/>
              </w:rPr>
            </w:pPr>
            <w:r w:rsidRPr="00B7136D">
              <w:rPr>
                <w:rFonts w:asciiTheme="majorBidi" w:hAnsiTheme="majorBidi" w:cstheme="majorBidi"/>
                <w:b/>
                <w:bCs/>
              </w:rPr>
              <w:t>Description</w:t>
            </w:r>
          </w:p>
        </w:tc>
      </w:tr>
      <w:tr w:rsidR="00116F64" w:rsidTr="0042214F">
        <w:tc>
          <w:tcPr>
            <w:tcW w:w="3192" w:type="dxa"/>
            <w:shd w:val="clear" w:color="auto" w:fill="EEECE1" w:themeFill="background2"/>
          </w:tcPr>
          <w:p w:rsidR="00116F64" w:rsidRPr="00E71DEE" w:rsidRDefault="00116F64" w:rsidP="0080162E">
            <w:pPr>
              <w:jc w:val="center"/>
            </w:pPr>
            <w:r w:rsidRPr="00E71DEE">
              <w:rPr>
                <w:rFonts w:asciiTheme="majorBidi" w:hAnsiTheme="majorBidi" w:cstheme="majorBidi"/>
                <w:sz w:val="24"/>
                <w:szCs w:val="24"/>
              </w:rPr>
              <w:t>Good lending Principals</w:t>
            </w:r>
          </w:p>
        </w:tc>
        <w:tc>
          <w:tcPr>
            <w:tcW w:w="3192" w:type="dxa"/>
            <w:shd w:val="clear" w:color="auto" w:fill="EEECE1" w:themeFill="background2"/>
          </w:tcPr>
          <w:p w:rsidR="00116F64" w:rsidRPr="00E71DEE" w:rsidRDefault="0052787A" w:rsidP="0080162E">
            <w:pPr>
              <w:jc w:val="center"/>
            </w:pPr>
            <w:r>
              <w:rPr>
                <w:rFonts w:asciiTheme="majorBidi" w:hAnsiTheme="majorBidi" w:cstheme="majorBidi"/>
                <w:sz w:val="24"/>
                <w:szCs w:val="24"/>
                <w:lang w:bidi="ar-JO"/>
              </w:rPr>
              <w:t>Non-performing Loans to Gross Loans R</w:t>
            </w:r>
            <w:r w:rsidR="00116F64" w:rsidRPr="00E71DEE">
              <w:rPr>
                <w:rFonts w:asciiTheme="majorBidi" w:hAnsiTheme="majorBidi" w:cstheme="majorBidi"/>
                <w:sz w:val="24"/>
                <w:szCs w:val="24"/>
                <w:lang w:bidi="ar-JO"/>
              </w:rPr>
              <w:t>atio</w:t>
            </w:r>
          </w:p>
        </w:tc>
        <w:tc>
          <w:tcPr>
            <w:tcW w:w="3084" w:type="dxa"/>
            <w:shd w:val="clear" w:color="auto" w:fill="EEECE1" w:themeFill="background2"/>
          </w:tcPr>
          <w:p w:rsidR="00116F64" w:rsidRPr="00E71DEE" w:rsidRDefault="00116F64" w:rsidP="0080162E">
            <w:pPr>
              <w:jc w:val="center"/>
              <w:rPr>
                <w:rFonts w:asciiTheme="majorBidi" w:hAnsiTheme="majorBidi" w:cstheme="majorBidi"/>
                <w:sz w:val="24"/>
                <w:szCs w:val="24"/>
              </w:rPr>
            </w:pPr>
            <w:r w:rsidRPr="00E71DEE">
              <w:rPr>
                <w:rFonts w:asciiTheme="majorBidi" w:hAnsiTheme="majorBidi" w:cstheme="majorBidi"/>
                <w:sz w:val="24"/>
                <w:szCs w:val="24"/>
              </w:rPr>
              <w:t>NPLR</w:t>
            </w:r>
          </w:p>
        </w:tc>
      </w:tr>
      <w:tr w:rsidR="00116F64" w:rsidTr="0042214F">
        <w:trPr>
          <w:trHeight w:val="503"/>
        </w:trPr>
        <w:tc>
          <w:tcPr>
            <w:tcW w:w="3192" w:type="dxa"/>
            <w:shd w:val="clear" w:color="auto" w:fill="EEECE1" w:themeFill="background2"/>
          </w:tcPr>
          <w:p w:rsidR="00116F64" w:rsidRPr="00E71DEE" w:rsidRDefault="00116F64" w:rsidP="0080162E">
            <w:pPr>
              <w:jc w:val="center"/>
            </w:pPr>
            <w:r w:rsidRPr="00E71DEE">
              <w:rPr>
                <w:rFonts w:asciiTheme="majorBidi" w:hAnsiTheme="majorBidi" w:cstheme="majorBidi"/>
                <w:sz w:val="24"/>
                <w:szCs w:val="24"/>
              </w:rPr>
              <w:t>Capital Adequacy</w:t>
            </w:r>
          </w:p>
        </w:tc>
        <w:tc>
          <w:tcPr>
            <w:tcW w:w="3192" w:type="dxa"/>
            <w:shd w:val="clear" w:color="auto" w:fill="EEECE1" w:themeFill="background2"/>
          </w:tcPr>
          <w:p w:rsidR="00116F64" w:rsidRPr="00E71DEE" w:rsidRDefault="0052787A" w:rsidP="0080162E">
            <w:pPr>
              <w:jc w:val="center"/>
            </w:pPr>
            <w:r>
              <w:rPr>
                <w:rFonts w:asciiTheme="majorBidi" w:hAnsiTheme="majorBidi" w:cstheme="majorBidi"/>
                <w:sz w:val="24"/>
                <w:szCs w:val="24"/>
                <w:lang w:val="en-GB"/>
              </w:rPr>
              <w:t>Equity to Asset R</w:t>
            </w:r>
            <w:r w:rsidR="00116F64" w:rsidRPr="00E71DEE">
              <w:rPr>
                <w:rFonts w:asciiTheme="majorBidi" w:hAnsiTheme="majorBidi" w:cstheme="majorBidi"/>
                <w:sz w:val="24"/>
                <w:szCs w:val="24"/>
                <w:lang w:val="en-GB"/>
              </w:rPr>
              <w:t>atio</w:t>
            </w:r>
          </w:p>
        </w:tc>
        <w:tc>
          <w:tcPr>
            <w:tcW w:w="3084" w:type="dxa"/>
            <w:shd w:val="clear" w:color="auto" w:fill="EEECE1" w:themeFill="background2"/>
          </w:tcPr>
          <w:p w:rsidR="00116F64" w:rsidRPr="00E71DEE" w:rsidRDefault="00116F64" w:rsidP="0080162E">
            <w:pPr>
              <w:jc w:val="center"/>
              <w:rPr>
                <w:rFonts w:asciiTheme="majorBidi" w:hAnsiTheme="majorBidi" w:cstheme="majorBidi"/>
                <w:sz w:val="24"/>
                <w:szCs w:val="24"/>
              </w:rPr>
            </w:pPr>
            <w:r w:rsidRPr="00E71DEE">
              <w:rPr>
                <w:rFonts w:asciiTheme="majorBidi" w:hAnsiTheme="majorBidi" w:cstheme="majorBidi"/>
                <w:sz w:val="24"/>
                <w:szCs w:val="24"/>
              </w:rPr>
              <w:t>EQTA</w:t>
            </w:r>
          </w:p>
        </w:tc>
      </w:tr>
      <w:tr w:rsidR="00116F64" w:rsidTr="0042214F">
        <w:tc>
          <w:tcPr>
            <w:tcW w:w="3192" w:type="dxa"/>
            <w:shd w:val="clear" w:color="auto" w:fill="EEECE1" w:themeFill="background2"/>
          </w:tcPr>
          <w:p w:rsidR="00116F64" w:rsidRPr="00E71DEE" w:rsidRDefault="00116F64" w:rsidP="0080162E">
            <w:pPr>
              <w:jc w:val="center"/>
            </w:pPr>
            <w:r w:rsidRPr="00E71DEE">
              <w:rPr>
                <w:rFonts w:asciiTheme="majorBidi" w:hAnsiTheme="majorBidi" w:cstheme="majorBidi"/>
                <w:sz w:val="24"/>
                <w:szCs w:val="24"/>
              </w:rPr>
              <w:t>Credit Monitoring</w:t>
            </w:r>
          </w:p>
        </w:tc>
        <w:tc>
          <w:tcPr>
            <w:tcW w:w="3192" w:type="dxa"/>
            <w:shd w:val="clear" w:color="auto" w:fill="EEECE1" w:themeFill="background2"/>
          </w:tcPr>
          <w:p w:rsidR="00116F64" w:rsidRPr="00E71DEE" w:rsidRDefault="00116F64" w:rsidP="0080162E">
            <w:pPr>
              <w:jc w:val="center"/>
            </w:pPr>
            <w:r w:rsidRPr="00E71DEE">
              <w:rPr>
                <w:rFonts w:asciiTheme="majorBidi" w:hAnsiTheme="majorBidi" w:cstheme="majorBidi"/>
                <w:sz w:val="24"/>
                <w:szCs w:val="24"/>
                <w:lang w:bidi="ar-JO"/>
              </w:rPr>
              <w:t>Loan loss Provisions to Net Interest Income</w:t>
            </w:r>
          </w:p>
        </w:tc>
        <w:tc>
          <w:tcPr>
            <w:tcW w:w="3084" w:type="dxa"/>
            <w:shd w:val="clear" w:color="auto" w:fill="EEECE1" w:themeFill="background2"/>
          </w:tcPr>
          <w:p w:rsidR="00116F64" w:rsidRPr="00E71DEE" w:rsidRDefault="00116F64" w:rsidP="0080162E">
            <w:pPr>
              <w:jc w:val="center"/>
              <w:rPr>
                <w:rFonts w:asciiTheme="majorBidi" w:hAnsiTheme="majorBidi" w:cstheme="majorBidi"/>
                <w:sz w:val="24"/>
                <w:szCs w:val="24"/>
              </w:rPr>
            </w:pPr>
            <w:r w:rsidRPr="00E71DEE">
              <w:rPr>
                <w:rFonts w:asciiTheme="majorBidi" w:hAnsiTheme="majorBidi" w:cstheme="majorBidi"/>
                <w:sz w:val="24"/>
                <w:szCs w:val="24"/>
              </w:rPr>
              <w:t>LLPI</w:t>
            </w:r>
          </w:p>
        </w:tc>
      </w:tr>
      <w:tr w:rsidR="00116F64" w:rsidTr="00302060">
        <w:trPr>
          <w:trHeight w:val="1153"/>
        </w:trPr>
        <w:tc>
          <w:tcPr>
            <w:tcW w:w="3192" w:type="dxa"/>
            <w:shd w:val="clear" w:color="auto" w:fill="EEECE1" w:themeFill="background2"/>
          </w:tcPr>
          <w:p w:rsidR="00116F64" w:rsidRPr="00E71DEE" w:rsidRDefault="00005532" w:rsidP="0080162E">
            <w:pPr>
              <w:jc w:val="center"/>
              <w:rPr>
                <w:rFonts w:asciiTheme="majorBidi" w:hAnsiTheme="majorBidi" w:cstheme="majorBidi"/>
                <w:sz w:val="24"/>
                <w:szCs w:val="24"/>
              </w:rPr>
            </w:pPr>
            <w:r>
              <w:rPr>
                <w:rFonts w:asciiTheme="majorBidi" w:hAnsiTheme="majorBidi" w:cstheme="majorBidi"/>
                <w:sz w:val="24"/>
                <w:szCs w:val="24"/>
              </w:rPr>
              <w:t xml:space="preserve">Income </w:t>
            </w:r>
            <w:r w:rsidR="00116F64" w:rsidRPr="00E71DEE">
              <w:rPr>
                <w:rFonts w:asciiTheme="majorBidi" w:hAnsiTheme="majorBidi" w:cstheme="majorBidi"/>
                <w:sz w:val="24"/>
                <w:szCs w:val="24"/>
              </w:rPr>
              <w:t>Diversification</w:t>
            </w:r>
          </w:p>
          <w:p w:rsidR="001E3FC5" w:rsidRPr="00E71DEE" w:rsidRDefault="001E3FC5" w:rsidP="0080162E">
            <w:pPr>
              <w:jc w:val="center"/>
              <w:rPr>
                <w:rFonts w:asciiTheme="majorBidi" w:hAnsiTheme="majorBidi" w:cstheme="majorBidi"/>
                <w:sz w:val="24"/>
                <w:szCs w:val="24"/>
              </w:rPr>
            </w:pPr>
          </w:p>
          <w:p w:rsidR="001E3FC5" w:rsidRPr="00E71DEE" w:rsidRDefault="007A78D1" w:rsidP="0080162E">
            <w:pPr>
              <w:jc w:val="center"/>
              <w:rPr>
                <w:rFonts w:asciiTheme="majorBidi" w:hAnsiTheme="majorBidi" w:cstheme="majorBidi"/>
                <w:sz w:val="24"/>
                <w:szCs w:val="24"/>
              </w:rPr>
            </w:pPr>
            <w:r>
              <w:rPr>
                <w:rFonts w:asciiTheme="majorBidi" w:hAnsiTheme="majorBidi" w:cstheme="majorBidi"/>
                <w:noProof/>
                <w:sz w:val="24"/>
                <w:szCs w:val="24"/>
              </w:rPr>
              <w:pict>
                <v:shape id="_x0000_s1181" type="#_x0000_t32" style="position:absolute;left:0;text-align:left;margin-left:-5.45pt;margin-top:2.2pt;width:472.75pt;height:1.4pt;flip:y;z-index:251776000" o:connectortype="straight"/>
              </w:pict>
            </w:r>
          </w:p>
          <w:p w:rsidR="001E3FC5" w:rsidRPr="00E71DEE" w:rsidRDefault="00ED5F92" w:rsidP="00112402">
            <w:pPr>
              <w:jc w:val="center"/>
              <w:rPr>
                <w:rFonts w:asciiTheme="majorBidi" w:hAnsiTheme="majorBidi" w:cstheme="majorBidi"/>
                <w:sz w:val="24"/>
                <w:szCs w:val="24"/>
              </w:rPr>
            </w:pPr>
            <w:r w:rsidRPr="00E71DEE">
              <w:rPr>
                <w:rFonts w:asciiTheme="majorBidi" w:hAnsiTheme="majorBidi" w:cstheme="majorBidi"/>
                <w:sz w:val="24"/>
                <w:szCs w:val="24"/>
              </w:rPr>
              <w:t>Operational</w:t>
            </w:r>
            <w:r w:rsidR="0052787A">
              <w:rPr>
                <w:rFonts w:asciiTheme="majorBidi" w:hAnsiTheme="majorBidi" w:cstheme="majorBidi"/>
                <w:sz w:val="24"/>
                <w:szCs w:val="24"/>
              </w:rPr>
              <w:t xml:space="preserve"> Cost</w:t>
            </w:r>
            <w:r w:rsidR="00112402" w:rsidRPr="00E71DEE">
              <w:rPr>
                <w:rFonts w:asciiTheme="majorBidi" w:hAnsiTheme="majorBidi" w:cstheme="majorBidi"/>
                <w:sz w:val="24"/>
                <w:szCs w:val="24"/>
              </w:rPr>
              <w:t xml:space="preserve"> Efficiency</w:t>
            </w:r>
          </w:p>
          <w:p w:rsidR="001E3FC5" w:rsidRPr="00E71DEE" w:rsidRDefault="001E3FC5" w:rsidP="0080162E">
            <w:pPr>
              <w:jc w:val="center"/>
            </w:pPr>
          </w:p>
        </w:tc>
        <w:tc>
          <w:tcPr>
            <w:tcW w:w="3192" w:type="dxa"/>
            <w:shd w:val="clear" w:color="auto" w:fill="EEECE1" w:themeFill="background2"/>
          </w:tcPr>
          <w:p w:rsidR="00116F64" w:rsidRPr="00E71DEE" w:rsidRDefault="00116F64" w:rsidP="0080162E">
            <w:pPr>
              <w:jc w:val="center"/>
              <w:rPr>
                <w:rFonts w:asciiTheme="majorBidi" w:hAnsiTheme="majorBidi" w:cstheme="majorBidi"/>
                <w:sz w:val="24"/>
                <w:szCs w:val="24"/>
              </w:rPr>
            </w:pPr>
            <w:r w:rsidRPr="00E71DEE">
              <w:rPr>
                <w:rFonts w:asciiTheme="majorBidi" w:hAnsiTheme="majorBidi" w:cstheme="majorBidi"/>
                <w:sz w:val="24"/>
                <w:szCs w:val="24"/>
              </w:rPr>
              <w:t>Total Revenue-Interest Income to Total revenue</w:t>
            </w:r>
          </w:p>
          <w:p w:rsidR="00112402" w:rsidRPr="00E71DEE" w:rsidRDefault="00112402" w:rsidP="0080162E">
            <w:pPr>
              <w:jc w:val="center"/>
              <w:rPr>
                <w:rFonts w:asciiTheme="majorBidi" w:hAnsiTheme="majorBidi" w:cstheme="majorBidi"/>
                <w:sz w:val="24"/>
                <w:szCs w:val="24"/>
              </w:rPr>
            </w:pPr>
          </w:p>
          <w:p w:rsidR="00112402" w:rsidRPr="00E71DEE" w:rsidRDefault="0094208F" w:rsidP="0080162E">
            <w:pPr>
              <w:jc w:val="center"/>
            </w:pPr>
            <w:r w:rsidRPr="00E71DEE">
              <w:rPr>
                <w:rFonts w:asciiTheme="majorBidi" w:hAnsiTheme="majorBidi" w:cstheme="majorBidi"/>
                <w:sz w:val="24"/>
                <w:szCs w:val="24"/>
              </w:rPr>
              <w:t>Non- Interest Expense</w:t>
            </w:r>
            <w:r w:rsidR="00112402" w:rsidRPr="00E71DEE">
              <w:rPr>
                <w:rFonts w:asciiTheme="majorBidi" w:hAnsiTheme="majorBidi" w:cstheme="majorBidi"/>
                <w:sz w:val="24"/>
                <w:szCs w:val="24"/>
              </w:rPr>
              <w:t xml:space="preserve"> to Net Interest </w:t>
            </w:r>
            <w:r w:rsidR="0052787A">
              <w:rPr>
                <w:rFonts w:asciiTheme="majorBidi" w:hAnsiTheme="majorBidi" w:cstheme="majorBidi"/>
                <w:sz w:val="24"/>
                <w:szCs w:val="24"/>
              </w:rPr>
              <w:t>Income + Noninterest I</w:t>
            </w:r>
            <w:r w:rsidRPr="00E71DEE">
              <w:rPr>
                <w:rFonts w:asciiTheme="majorBidi" w:hAnsiTheme="majorBidi" w:cstheme="majorBidi"/>
                <w:sz w:val="24"/>
                <w:szCs w:val="24"/>
              </w:rPr>
              <w:t>ncome</w:t>
            </w:r>
          </w:p>
        </w:tc>
        <w:tc>
          <w:tcPr>
            <w:tcW w:w="3084" w:type="dxa"/>
            <w:shd w:val="clear" w:color="auto" w:fill="EEECE1" w:themeFill="background2"/>
          </w:tcPr>
          <w:p w:rsidR="00116F64" w:rsidRPr="00E71DEE" w:rsidRDefault="00116F64" w:rsidP="0080162E">
            <w:pPr>
              <w:jc w:val="center"/>
              <w:rPr>
                <w:rFonts w:asciiTheme="majorBidi" w:hAnsiTheme="majorBidi" w:cstheme="majorBidi"/>
                <w:sz w:val="24"/>
                <w:szCs w:val="24"/>
              </w:rPr>
            </w:pPr>
            <w:r w:rsidRPr="00E71DEE">
              <w:rPr>
                <w:rFonts w:asciiTheme="majorBidi" w:hAnsiTheme="majorBidi" w:cstheme="majorBidi"/>
                <w:sz w:val="24"/>
                <w:szCs w:val="24"/>
              </w:rPr>
              <w:t>NIDR</w:t>
            </w:r>
          </w:p>
          <w:p w:rsidR="00112402" w:rsidRPr="00E71DEE" w:rsidRDefault="00112402" w:rsidP="0080162E">
            <w:pPr>
              <w:jc w:val="center"/>
              <w:rPr>
                <w:rFonts w:asciiTheme="majorBidi" w:hAnsiTheme="majorBidi" w:cstheme="majorBidi"/>
                <w:sz w:val="24"/>
                <w:szCs w:val="24"/>
              </w:rPr>
            </w:pPr>
          </w:p>
          <w:p w:rsidR="00112402" w:rsidRPr="00E71DEE" w:rsidRDefault="00112402" w:rsidP="0080162E">
            <w:pPr>
              <w:jc w:val="center"/>
              <w:rPr>
                <w:rFonts w:asciiTheme="majorBidi" w:hAnsiTheme="majorBidi" w:cstheme="majorBidi"/>
                <w:sz w:val="24"/>
                <w:szCs w:val="24"/>
              </w:rPr>
            </w:pPr>
          </w:p>
          <w:p w:rsidR="00112402" w:rsidRPr="00E71DEE" w:rsidRDefault="0094208F" w:rsidP="0080162E">
            <w:pPr>
              <w:jc w:val="center"/>
              <w:rPr>
                <w:rFonts w:asciiTheme="majorBidi" w:hAnsiTheme="majorBidi" w:cstheme="majorBidi"/>
                <w:sz w:val="24"/>
                <w:szCs w:val="24"/>
              </w:rPr>
            </w:pPr>
            <w:r w:rsidRPr="00E71DEE">
              <w:rPr>
                <w:rFonts w:asciiTheme="majorBidi" w:hAnsiTheme="majorBidi" w:cstheme="majorBidi"/>
                <w:sz w:val="24"/>
                <w:szCs w:val="24"/>
              </w:rPr>
              <w:t>OPNI</w:t>
            </w:r>
          </w:p>
        </w:tc>
      </w:tr>
    </w:tbl>
    <w:p w:rsidR="00CA1BF3" w:rsidRDefault="00CA1BF3" w:rsidP="00C539C2">
      <w:pPr>
        <w:pStyle w:val="ListParagraph"/>
        <w:autoSpaceDE w:val="0"/>
        <w:autoSpaceDN w:val="0"/>
        <w:bidi/>
        <w:adjustRightInd w:val="0"/>
        <w:spacing w:after="0" w:line="240" w:lineRule="auto"/>
        <w:jc w:val="right"/>
        <w:rPr>
          <w:rFonts w:asciiTheme="majorBidi" w:hAnsiTheme="majorBidi" w:cstheme="majorBidi"/>
          <w:b/>
          <w:bCs/>
          <w:color w:val="000000" w:themeColor="text1"/>
          <w:sz w:val="24"/>
          <w:szCs w:val="24"/>
          <w:rtl/>
          <w:lang w:bidi="ar-JO"/>
        </w:rPr>
      </w:pPr>
    </w:p>
    <w:p w:rsidR="00C539C2" w:rsidRPr="00BA3A6E" w:rsidRDefault="00C539C2" w:rsidP="00C539C2">
      <w:pPr>
        <w:autoSpaceDE w:val="0"/>
        <w:autoSpaceDN w:val="0"/>
        <w:bidi/>
        <w:adjustRightInd w:val="0"/>
        <w:spacing w:after="0" w:line="240" w:lineRule="auto"/>
        <w:jc w:val="center"/>
        <w:rPr>
          <w:rFonts w:asciiTheme="majorBidi" w:hAnsiTheme="majorBidi" w:cstheme="majorBidi"/>
          <w:sz w:val="20"/>
          <w:szCs w:val="20"/>
          <w:lang w:bidi="ar-JO"/>
        </w:rPr>
      </w:pPr>
      <w:r>
        <w:rPr>
          <w:rFonts w:asciiTheme="majorBidi" w:hAnsiTheme="majorBidi" w:cstheme="majorBidi"/>
          <w:sz w:val="20"/>
          <w:szCs w:val="20"/>
        </w:rPr>
        <w:t>Source: Zidan (Auther),</w:t>
      </w:r>
      <w:r w:rsidRPr="00BA3A6E">
        <w:rPr>
          <w:rFonts w:asciiTheme="majorBidi" w:hAnsiTheme="majorBidi" w:cstheme="majorBidi"/>
          <w:sz w:val="20"/>
          <w:szCs w:val="20"/>
        </w:rPr>
        <w:t xml:space="preserve"> 2013</w:t>
      </w:r>
    </w:p>
    <w:p w:rsidR="00C539C2" w:rsidRDefault="00C539C2" w:rsidP="00C539C2">
      <w:pPr>
        <w:pStyle w:val="ListParagraph"/>
        <w:autoSpaceDE w:val="0"/>
        <w:autoSpaceDN w:val="0"/>
        <w:bidi/>
        <w:adjustRightInd w:val="0"/>
        <w:spacing w:after="0" w:line="240" w:lineRule="auto"/>
        <w:jc w:val="right"/>
        <w:rPr>
          <w:rFonts w:asciiTheme="majorBidi" w:hAnsiTheme="majorBidi" w:cstheme="majorBidi"/>
          <w:b/>
          <w:bCs/>
          <w:color w:val="000000" w:themeColor="text1"/>
          <w:sz w:val="24"/>
          <w:szCs w:val="24"/>
          <w:lang w:bidi="ar-JO"/>
        </w:rPr>
      </w:pPr>
    </w:p>
    <w:p w:rsidR="0052787A" w:rsidRDefault="008D3CA6" w:rsidP="00CA1BF3">
      <w:pPr>
        <w:pStyle w:val="ListParagraph"/>
        <w:autoSpaceDE w:val="0"/>
        <w:autoSpaceDN w:val="0"/>
        <w:bidi/>
        <w:adjustRightInd w:val="0"/>
        <w:spacing w:after="0" w:line="360" w:lineRule="auto"/>
        <w:jc w:val="right"/>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w:t>
      </w:r>
      <w:r w:rsidR="0052787A">
        <w:rPr>
          <w:rFonts w:asciiTheme="majorBidi" w:hAnsiTheme="majorBidi" w:cstheme="majorBidi"/>
          <w:b/>
          <w:bCs/>
          <w:color w:val="000000" w:themeColor="text1"/>
          <w:sz w:val="24"/>
          <w:szCs w:val="24"/>
        </w:rPr>
        <w:t>. Good Lending Princip</w:t>
      </w:r>
      <w:r>
        <w:rPr>
          <w:rFonts w:asciiTheme="majorBidi" w:hAnsiTheme="majorBidi" w:cstheme="majorBidi"/>
          <w:b/>
          <w:bCs/>
          <w:color w:val="000000" w:themeColor="text1"/>
          <w:sz w:val="24"/>
          <w:szCs w:val="24"/>
        </w:rPr>
        <w:t>l</w:t>
      </w:r>
      <w:r w:rsidR="0052787A">
        <w:rPr>
          <w:rFonts w:asciiTheme="majorBidi" w:hAnsiTheme="majorBidi" w:cstheme="majorBidi"/>
          <w:b/>
          <w:bCs/>
          <w:color w:val="000000" w:themeColor="text1"/>
          <w:sz w:val="24"/>
          <w:szCs w:val="24"/>
        </w:rPr>
        <w:t>e</w:t>
      </w:r>
      <w:r>
        <w:rPr>
          <w:rFonts w:asciiTheme="majorBidi" w:hAnsiTheme="majorBidi" w:cstheme="majorBidi"/>
          <w:b/>
          <w:bCs/>
          <w:color w:val="000000" w:themeColor="text1"/>
          <w:sz w:val="24"/>
          <w:szCs w:val="24"/>
        </w:rPr>
        <w:t>s</w:t>
      </w:r>
    </w:p>
    <w:p w:rsidR="00BA3A6E" w:rsidRPr="00BA3A6E" w:rsidRDefault="00BA3A6E" w:rsidP="00BA3A6E">
      <w:pPr>
        <w:spacing w:line="360" w:lineRule="auto"/>
        <w:contextualSpacing/>
        <w:jc w:val="both"/>
        <w:rPr>
          <w:rFonts w:asciiTheme="majorBidi" w:hAnsiTheme="majorBidi" w:cstheme="majorBidi"/>
          <w:color w:val="000000" w:themeColor="text1"/>
          <w:sz w:val="24"/>
          <w:szCs w:val="24"/>
        </w:rPr>
      </w:pPr>
      <w:r w:rsidRPr="00BA3A6E">
        <w:rPr>
          <w:rFonts w:asciiTheme="majorBidi" w:hAnsiTheme="majorBidi" w:cstheme="majorBidi"/>
          <w:color w:val="000000" w:themeColor="text1"/>
          <w:sz w:val="24"/>
          <w:szCs w:val="24"/>
        </w:rPr>
        <w:t>The use of good lending principles mitigates the portfolio credit risk to minimum levels, and maintains levels of returns up, which positively affects the bank's value. The reliance on good lending principles in the credit risk mitigation takes several forms, including:</w:t>
      </w:r>
    </w:p>
    <w:p w:rsidR="00BA3A6E" w:rsidRPr="00BA3A6E" w:rsidRDefault="00BA3A6E" w:rsidP="00BA3A6E">
      <w:pPr>
        <w:spacing w:line="360" w:lineRule="auto"/>
        <w:contextualSpacing/>
        <w:jc w:val="both"/>
        <w:rPr>
          <w:rFonts w:asciiTheme="majorBidi" w:hAnsiTheme="majorBidi" w:cstheme="majorBidi"/>
          <w:color w:val="000000" w:themeColor="text1"/>
          <w:sz w:val="24"/>
          <w:szCs w:val="24"/>
        </w:rPr>
      </w:pPr>
      <w:r w:rsidRPr="00BA3A6E">
        <w:rPr>
          <w:rFonts w:asciiTheme="majorBidi" w:hAnsiTheme="majorBidi" w:cstheme="majorBidi"/>
          <w:color w:val="000000" w:themeColor="text1"/>
          <w:sz w:val="24"/>
          <w:szCs w:val="24"/>
        </w:rPr>
        <w:t xml:space="preserve">- Safety (the money will definitely come back): The bank ensures that the money advanced to the borrower goes to the right type of borrower and is utilized in such a way that it will not only be </w:t>
      </w:r>
      <w:r w:rsidRPr="00BA3A6E">
        <w:rPr>
          <w:rFonts w:asciiTheme="majorBidi" w:hAnsiTheme="majorBidi" w:cstheme="majorBidi"/>
          <w:color w:val="000000" w:themeColor="text1"/>
          <w:sz w:val="24"/>
          <w:szCs w:val="24"/>
        </w:rPr>
        <w:lastRenderedPageBreak/>
        <w:t>safe at the time of lending but will remain so throughout, and after servicing a useful purpose, it is repaid with interest.</w:t>
      </w:r>
    </w:p>
    <w:p w:rsidR="00BA3A6E" w:rsidRPr="00BA3A6E" w:rsidRDefault="00BA3A6E" w:rsidP="00BA3A6E">
      <w:pPr>
        <w:spacing w:line="360" w:lineRule="auto"/>
        <w:contextualSpacing/>
        <w:jc w:val="both"/>
        <w:rPr>
          <w:rFonts w:asciiTheme="majorBidi" w:hAnsiTheme="majorBidi" w:cstheme="majorBidi"/>
          <w:color w:val="000000" w:themeColor="text1"/>
          <w:sz w:val="24"/>
          <w:szCs w:val="24"/>
        </w:rPr>
      </w:pPr>
      <w:r w:rsidRPr="00BA3A6E">
        <w:rPr>
          <w:rFonts w:asciiTheme="majorBidi" w:hAnsiTheme="majorBidi" w:cstheme="majorBidi"/>
          <w:color w:val="000000" w:themeColor="text1"/>
          <w:sz w:val="24"/>
          <w:szCs w:val="24"/>
        </w:rPr>
        <w:t>- Liquidity: Liquidity as good lending principle is an indication to the bank's ability in bringing back the loaned money on demand, upon the agreed terms of repayment. And the bank also must identify source of repayment by the borrower.</w:t>
      </w:r>
    </w:p>
    <w:p w:rsidR="00BA3A6E" w:rsidRPr="00BA3A6E" w:rsidRDefault="00BA3A6E" w:rsidP="00BA3A6E">
      <w:pPr>
        <w:spacing w:line="360" w:lineRule="auto"/>
        <w:contextualSpacing/>
        <w:jc w:val="both"/>
        <w:rPr>
          <w:rFonts w:asciiTheme="majorBidi" w:hAnsiTheme="majorBidi" w:cstheme="majorBidi"/>
          <w:color w:val="000000" w:themeColor="text1"/>
          <w:sz w:val="24"/>
          <w:szCs w:val="24"/>
        </w:rPr>
      </w:pPr>
      <w:r w:rsidRPr="00BA3A6E">
        <w:rPr>
          <w:rFonts w:asciiTheme="majorBidi" w:hAnsiTheme="majorBidi" w:cstheme="majorBidi"/>
          <w:color w:val="000000" w:themeColor="text1"/>
          <w:sz w:val="24"/>
          <w:szCs w:val="24"/>
        </w:rPr>
        <w:t>-Purpose: The purpose of the loan is considered an important factor in the credit analysis process. The loaned funds must be invested or used in a productive way and provide a definite source of repayment. Also the bank analyze wither credit funds is employed in investments that comply with the bank's strategy, for example, some banks does not credit money used in real state.</w:t>
      </w:r>
    </w:p>
    <w:p w:rsidR="00BA3A6E" w:rsidRPr="00BA3A6E" w:rsidRDefault="00BA3A6E" w:rsidP="00BA3A6E">
      <w:pPr>
        <w:spacing w:line="360" w:lineRule="auto"/>
        <w:contextualSpacing/>
        <w:jc w:val="both"/>
        <w:rPr>
          <w:rFonts w:asciiTheme="majorBidi" w:hAnsiTheme="majorBidi" w:cstheme="majorBidi"/>
          <w:color w:val="000000" w:themeColor="text1"/>
          <w:sz w:val="24"/>
          <w:szCs w:val="24"/>
        </w:rPr>
      </w:pPr>
      <w:r w:rsidRPr="00BA3A6E">
        <w:rPr>
          <w:rFonts w:asciiTheme="majorBidi" w:hAnsiTheme="majorBidi" w:cstheme="majorBidi"/>
          <w:color w:val="000000" w:themeColor="text1"/>
          <w:sz w:val="24"/>
          <w:szCs w:val="24"/>
        </w:rPr>
        <w:t>-Profitability: Since commercial banks are profit-earning institutions, they must utilize their funds in profitable investments and activities. In other words earn sufficient funds (profits) after covering all its interests and meeting different other establishment expenses.</w:t>
      </w:r>
    </w:p>
    <w:p w:rsidR="00BA3A6E" w:rsidRPr="00ED2621" w:rsidRDefault="00BA3A6E" w:rsidP="00ED2621">
      <w:pPr>
        <w:autoSpaceDE w:val="0"/>
        <w:autoSpaceDN w:val="0"/>
        <w:adjustRightInd w:val="0"/>
        <w:spacing w:after="0" w:line="360" w:lineRule="auto"/>
        <w:jc w:val="both"/>
        <w:rPr>
          <w:rFonts w:ascii="Times New Roman" w:hAnsi="Times New Roman" w:cs="Times New Roman"/>
          <w:bCs/>
          <w:sz w:val="24"/>
          <w:szCs w:val="24"/>
        </w:rPr>
      </w:pPr>
      <w:r w:rsidRPr="00BA3A6E">
        <w:rPr>
          <w:rFonts w:asciiTheme="majorBidi" w:hAnsiTheme="majorBidi" w:cstheme="majorBidi"/>
          <w:color w:val="000000" w:themeColor="text1"/>
          <w:sz w:val="24"/>
          <w:szCs w:val="24"/>
        </w:rPr>
        <w:t> Good lending principles (Asset quality) are one of the most critical areas in determining the overall condition of a bank.</w:t>
      </w:r>
      <w:r w:rsidR="00ED2621" w:rsidRPr="00ED2621">
        <w:rPr>
          <w:rFonts w:ascii="Times New Roman" w:hAnsi="Times New Roman" w:cs="Times New Roman"/>
          <w:bCs/>
          <w:sz w:val="24"/>
          <w:szCs w:val="24"/>
        </w:rPr>
        <w:t xml:space="preserve"> </w:t>
      </w:r>
      <w:r w:rsidR="00ED2621">
        <w:rPr>
          <w:rFonts w:ascii="Times New Roman" w:hAnsi="Times New Roman" w:cs="Times New Roman"/>
          <w:bCs/>
          <w:sz w:val="24"/>
          <w:szCs w:val="24"/>
        </w:rPr>
        <w:t xml:space="preserve">The </w:t>
      </w:r>
      <w:r w:rsidR="00C539C2">
        <w:rPr>
          <w:rFonts w:ascii="Times New Roman" w:hAnsi="Times New Roman" w:cs="Times New Roman"/>
          <w:bCs/>
          <w:sz w:val="24"/>
          <w:szCs w:val="24"/>
        </w:rPr>
        <w:t>quality of the credit portfolio and credit administration function is</w:t>
      </w:r>
      <w:r w:rsidR="00ED2621">
        <w:rPr>
          <w:rFonts w:ascii="Times New Roman" w:hAnsi="Times New Roman" w:cs="Times New Roman"/>
          <w:bCs/>
          <w:sz w:val="24"/>
          <w:szCs w:val="24"/>
        </w:rPr>
        <w:t xml:space="preserve"> the fundamental </w:t>
      </w:r>
      <w:r w:rsidR="00C539C2">
        <w:rPr>
          <w:rFonts w:ascii="Times New Roman" w:hAnsi="Times New Roman" w:cs="Times New Roman"/>
          <w:bCs/>
          <w:sz w:val="24"/>
          <w:szCs w:val="24"/>
        </w:rPr>
        <w:t>factors affect</w:t>
      </w:r>
      <w:r w:rsidR="00ED2621">
        <w:rPr>
          <w:rFonts w:ascii="Times New Roman" w:hAnsi="Times New Roman" w:cs="Times New Roman"/>
          <w:bCs/>
          <w:sz w:val="24"/>
          <w:szCs w:val="24"/>
        </w:rPr>
        <w:t xml:space="preserve"> the total asset quality. </w:t>
      </w:r>
      <w:r w:rsidRPr="00BA3A6E">
        <w:rPr>
          <w:rFonts w:asciiTheme="majorBidi" w:hAnsiTheme="majorBidi" w:cstheme="majorBidi"/>
          <w:color w:val="000000" w:themeColor="text1"/>
          <w:sz w:val="24"/>
          <w:szCs w:val="24"/>
        </w:rPr>
        <w:t xml:space="preserve">Loans are usually the largest of the asset </w:t>
      </w:r>
      <w:r w:rsidR="00A8566C">
        <w:rPr>
          <w:rFonts w:asciiTheme="majorBidi" w:hAnsiTheme="majorBidi" w:cstheme="majorBidi"/>
          <w:color w:val="000000" w:themeColor="text1"/>
          <w:sz w:val="24"/>
          <w:szCs w:val="24"/>
        </w:rPr>
        <w:t>items and can also hold</w:t>
      </w:r>
      <w:r w:rsidRPr="00BA3A6E">
        <w:rPr>
          <w:rFonts w:asciiTheme="majorBidi" w:hAnsiTheme="majorBidi" w:cstheme="majorBidi"/>
          <w:color w:val="000000" w:themeColor="text1"/>
          <w:sz w:val="24"/>
          <w:szCs w:val="24"/>
        </w:rPr>
        <w:t xml:space="preserve"> the greatest amount of potential risk to the bank's capital account.</w:t>
      </w:r>
    </w:p>
    <w:p w:rsidR="00BA3A6E" w:rsidRPr="00BA3A6E" w:rsidRDefault="00BA3A6E" w:rsidP="00BA3A6E">
      <w:pPr>
        <w:spacing w:line="360" w:lineRule="auto"/>
        <w:contextualSpacing/>
        <w:jc w:val="both"/>
        <w:rPr>
          <w:rFonts w:asciiTheme="majorBidi" w:hAnsiTheme="majorBidi" w:cstheme="majorBidi"/>
          <w:color w:val="000000" w:themeColor="text1"/>
          <w:sz w:val="24"/>
          <w:szCs w:val="24"/>
        </w:rPr>
      </w:pPr>
      <w:r w:rsidRPr="00BA3A6E">
        <w:rPr>
          <w:rFonts w:asciiTheme="majorBidi" w:hAnsiTheme="majorBidi" w:cstheme="majorBidi"/>
          <w:color w:val="000000" w:themeColor="text1"/>
          <w:sz w:val="24"/>
          <w:szCs w:val="24"/>
        </w:rPr>
        <w:t> Several ratios can be used for measuring lending principles; however, not all information on the loans is always available. The researcher chooses one ratio, namely NPLR, because this ratio is the major indicator of asset quality (credit risk management) which affects the profitability of banks. NPLR: This is one of the most important criteria to assess the quality of loans or asset of a commercial bank. It measures the percentage of gross loans which are doubtful in bank's portfolio, the lower the ratio of NPLR is, the better the asset / credit profitability of a commercial bank is. The credit profitability of the banks moves adversely with this ratio.</w:t>
      </w:r>
    </w:p>
    <w:p w:rsidR="00BA3A6E" w:rsidRDefault="00BA3A6E" w:rsidP="00BA3A6E">
      <w:pPr>
        <w:spacing w:line="360" w:lineRule="auto"/>
        <w:contextualSpacing/>
        <w:jc w:val="both"/>
        <w:rPr>
          <w:rFonts w:asciiTheme="majorBidi" w:hAnsiTheme="majorBidi" w:cstheme="majorBidi"/>
          <w:b/>
          <w:bCs/>
        </w:rPr>
      </w:pPr>
      <w:r w:rsidRPr="00BA3A6E">
        <w:rPr>
          <w:rFonts w:asciiTheme="majorBidi" w:hAnsiTheme="majorBidi" w:cstheme="majorBidi"/>
          <w:color w:val="000000" w:themeColor="text1"/>
          <w:sz w:val="24"/>
          <w:szCs w:val="24"/>
        </w:rPr>
        <w:t xml:space="preserve">To calculate this ratio, the researcher used the data provided in the annual report of each bank. From 2005 until 2011, NPL amount had been presented using different names: impaired loans, problem loans, doubtful claims and loan allowances. However, the definitions of those are similar to the definition of NPLs. NPLs amount is provided in the notes of financial statements under loans </w:t>
      </w:r>
      <w:r w:rsidR="003721D6" w:rsidRPr="00BA3A6E">
        <w:rPr>
          <w:rFonts w:asciiTheme="majorBidi" w:hAnsiTheme="majorBidi" w:cstheme="majorBidi"/>
          <w:color w:val="000000" w:themeColor="text1"/>
          <w:sz w:val="24"/>
          <w:szCs w:val="24"/>
        </w:rPr>
        <w:t>section. The</w:t>
      </w:r>
      <w:r w:rsidRPr="00BA3A6E">
        <w:rPr>
          <w:rFonts w:asciiTheme="majorBidi" w:hAnsiTheme="majorBidi" w:cstheme="majorBidi"/>
          <w:color w:val="000000" w:themeColor="text1"/>
          <w:sz w:val="24"/>
          <w:szCs w:val="24"/>
        </w:rPr>
        <w:t xml:space="preserve"> researcher collected the loan amount provided in the balance sheet of the banks in their annual reports. Thus, calculation of the NPLR was accomplished in the following way:</w:t>
      </w:r>
    </w:p>
    <w:p w:rsidR="004829D6" w:rsidRPr="009F1144" w:rsidRDefault="0052787A" w:rsidP="009F1144">
      <w:pPr>
        <w:spacing w:line="360" w:lineRule="auto"/>
        <w:contextualSpacing/>
        <w:jc w:val="both"/>
        <w:rPr>
          <w:rFonts w:asciiTheme="majorBidi" w:hAnsiTheme="majorBidi" w:cstheme="majorBidi"/>
          <w:b/>
          <w:bCs/>
        </w:rPr>
      </w:pPr>
      <w:r w:rsidRPr="00435278">
        <w:rPr>
          <w:rFonts w:asciiTheme="majorBidi" w:hAnsiTheme="majorBidi" w:cstheme="majorBidi"/>
          <w:b/>
          <w:bCs/>
        </w:rPr>
        <w:t>NPL</w:t>
      </w:r>
      <w:r w:rsidR="00945E04" w:rsidRPr="00435278">
        <w:rPr>
          <w:rFonts w:asciiTheme="majorBidi" w:hAnsiTheme="majorBidi" w:cstheme="majorBidi"/>
          <w:b/>
          <w:bCs/>
        </w:rPr>
        <w:t>R= Non-performing Loans/ Total L</w:t>
      </w:r>
      <w:r w:rsidRPr="00435278">
        <w:rPr>
          <w:rFonts w:asciiTheme="majorBidi" w:hAnsiTheme="majorBidi" w:cstheme="majorBidi"/>
          <w:b/>
          <w:bCs/>
        </w:rPr>
        <w:t>oans</w:t>
      </w:r>
    </w:p>
    <w:p w:rsidR="004829D6" w:rsidRDefault="004829D6" w:rsidP="00BA3A6E">
      <w:pPr>
        <w:spacing w:line="360" w:lineRule="auto"/>
        <w:contextualSpacing/>
        <w:rPr>
          <w:rFonts w:asciiTheme="majorBidi" w:hAnsiTheme="majorBidi" w:cstheme="majorBidi"/>
          <w:b/>
          <w:bCs/>
          <w:sz w:val="24"/>
          <w:szCs w:val="24"/>
        </w:rPr>
      </w:pPr>
    </w:p>
    <w:p w:rsidR="00FD4D51" w:rsidRPr="001B6D4E" w:rsidRDefault="00FD4D51" w:rsidP="00BA3A6E">
      <w:pPr>
        <w:spacing w:line="360" w:lineRule="auto"/>
        <w:contextualSpacing/>
        <w:rPr>
          <w:b/>
          <w:bCs/>
          <w:sz w:val="24"/>
          <w:szCs w:val="24"/>
        </w:rPr>
      </w:pPr>
      <w:r w:rsidRPr="001B6D4E">
        <w:rPr>
          <w:rFonts w:asciiTheme="majorBidi" w:hAnsiTheme="majorBidi" w:cstheme="majorBidi"/>
          <w:b/>
          <w:bCs/>
          <w:sz w:val="24"/>
          <w:szCs w:val="24"/>
        </w:rPr>
        <w:t xml:space="preserve">B. </w:t>
      </w:r>
      <w:r w:rsidR="004502E8" w:rsidRPr="001B6D4E">
        <w:rPr>
          <w:rFonts w:asciiTheme="majorBidi" w:hAnsiTheme="majorBidi" w:cstheme="majorBidi"/>
          <w:b/>
          <w:bCs/>
          <w:sz w:val="24"/>
          <w:szCs w:val="24"/>
        </w:rPr>
        <w:t>Capital</w:t>
      </w:r>
      <w:r w:rsidR="008A038C" w:rsidRPr="001B6D4E">
        <w:rPr>
          <w:rFonts w:asciiTheme="majorBidi" w:hAnsiTheme="majorBidi" w:cstheme="majorBidi"/>
          <w:b/>
          <w:bCs/>
          <w:sz w:val="24"/>
          <w:szCs w:val="24"/>
        </w:rPr>
        <w:t xml:space="preserve"> Adequacy</w:t>
      </w:r>
    </w:p>
    <w:p w:rsidR="00234B73" w:rsidRDefault="00C9348F" w:rsidP="00F51EFE">
      <w:pPr>
        <w:autoSpaceDE w:val="0"/>
        <w:autoSpaceDN w:val="0"/>
        <w:adjustRightInd w:val="0"/>
        <w:spacing w:after="0" w:line="360" w:lineRule="auto"/>
        <w:contextualSpacing/>
        <w:jc w:val="both"/>
        <w:rPr>
          <w:rFonts w:asciiTheme="majorBidi" w:hAnsiTheme="majorBidi" w:cstheme="majorBidi"/>
          <w:sz w:val="24"/>
          <w:szCs w:val="24"/>
        </w:rPr>
      </w:pPr>
      <w:r w:rsidRPr="00234B73">
        <w:rPr>
          <w:rFonts w:asciiTheme="majorBidi" w:hAnsiTheme="majorBidi" w:cstheme="majorBidi"/>
          <w:sz w:val="24"/>
          <w:szCs w:val="24"/>
        </w:rPr>
        <w:t xml:space="preserve">Capital adequacy refers to </w:t>
      </w:r>
      <w:r w:rsidR="00A71AFE">
        <w:rPr>
          <w:rFonts w:asciiTheme="majorBidi" w:hAnsiTheme="majorBidi" w:cstheme="majorBidi"/>
          <w:sz w:val="24"/>
          <w:szCs w:val="24"/>
        </w:rPr>
        <w:t>“</w:t>
      </w:r>
      <w:r w:rsidRPr="00234B73">
        <w:rPr>
          <w:rFonts w:asciiTheme="majorBidi" w:hAnsiTheme="majorBidi" w:cstheme="majorBidi"/>
          <w:sz w:val="24"/>
          <w:szCs w:val="24"/>
        </w:rPr>
        <w:t>the sufficiency of the amount of equity to absorb any shocks that the bank may experience</w:t>
      </w:r>
      <w:r w:rsidR="00A71AFE">
        <w:rPr>
          <w:rFonts w:asciiTheme="majorBidi" w:hAnsiTheme="majorBidi" w:cstheme="majorBidi"/>
          <w:sz w:val="24"/>
          <w:szCs w:val="24"/>
        </w:rPr>
        <w:t>”</w:t>
      </w:r>
      <w:r w:rsidRPr="00234B73">
        <w:rPr>
          <w:rFonts w:asciiTheme="majorBidi" w:hAnsiTheme="majorBidi" w:cstheme="majorBidi"/>
          <w:sz w:val="24"/>
          <w:szCs w:val="24"/>
        </w:rPr>
        <w:t xml:space="preserve"> (Kosmidou, 2009).</w:t>
      </w:r>
      <w:r w:rsidRPr="00234B73">
        <w:rPr>
          <w:sz w:val="20"/>
          <w:szCs w:val="20"/>
        </w:rPr>
        <w:t xml:space="preserve"> </w:t>
      </w:r>
      <w:r w:rsidR="00234B73" w:rsidRPr="00234B73">
        <w:rPr>
          <w:rFonts w:asciiTheme="majorBidi" w:hAnsiTheme="majorBidi" w:cstheme="majorBidi"/>
          <w:sz w:val="24"/>
          <w:szCs w:val="24"/>
        </w:rPr>
        <w:t>Capital</w:t>
      </w:r>
      <w:r w:rsidR="00234B73">
        <w:rPr>
          <w:rFonts w:asciiTheme="majorBidi" w:hAnsiTheme="majorBidi" w:cstheme="majorBidi"/>
          <w:color w:val="000000"/>
          <w:sz w:val="24"/>
          <w:szCs w:val="24"/>
        </w:rPr>
        <w:t xml:space="preserve"> adequacy is a</w:t>
      </w:r>
      <w:r w:rsidR="00234B73" w:rsidRPr="005F0F39">
        <w:rPr>
          <w:rFonts w:asciiTheme="majorBidi" w:hAnsiTheme="majorBidi" w:cstheme="majorBidi"/>
          <w:color w:val="000000"/>
          <w:sz w:val="24"/>
          <w:szCs w:val="24"/>
        </w:rPr>
        <w:t xml:space="preserve"> measure of the financial strength of </w:t>
      </w:r>
      <w:r w:rsidR="005A1E0B">
        <w:rPr>
          <w:rFonts w:asciiTheme="majorBidi" w:hAnsiTheme="majorBidi" w:cstheme="majorBidi"/>
          <w:color w:val="000000"/>
          <w:sz w:val="24"/>
          <w:szCs w:val="24"/>
        </w:rPr>
        <w:t xml:space="preserve">a </w:t>
      </w:r>
      <w:r w:rsidR="00420D73">
        <w:rPr>
          <w:rFonts w:asciiTheme="majorBidi" w:hAnsiTheme="majorBidi" w:cstheme="majorBidi"/>
          <w:color w:val="000000"/>
          <w:sz w:val="24"/>
          <w:szCs w:val="24"/>
        </w:rPr>
        <w:t>bank;</w:t>
      </w:r>
      <w:r w:rsidR="005A1E0B">
        <w:rPr>
          <w:rFonts w:asciiTheme="majorBidi" w:hAnsiTheme="majorBidi" w:cstheme="majorBidi"/>
          <w:color w:val="000000"/>
          <w:sz w:val="24"/>
          <w:szCs w:val="24"/>
        </w:rPr>
        <w:t xml:space="preserve"> it is commonly expressed as</w:t>
      </w:r>
      <w:r w:rsidR="00234B73" w:rsidRPr="005F0F39">
        <w:rPr>
          <w:rFonts w:asciiTheme="majorBidi" w:hAnsiTheme="majorBidi" w:cstheme="majorBidi"/>
          <w:color w:val="000000"/>
          <w:sz w:val="24"/>
          <w:szCs w:val="24"/>
        </w:rPr>
        <w:t xml:space="preserve"> capital to its assets</w:t>
      </w:r>
      <w:r w:rsidR="005A1E0B">
        <w:rPr>
          <w:rFonts w:asciiTheme="majorBidi" w:hAnsiTheme="majorBidi" w:cstheme="majorBidi"/>
          <w:color w:val="000000"/>
          <w:sz w:val="24"/>
          <w:szCs w:val="24"/>
        </w:rPr>
        <w:t xml:space="preserve"> ratio.</w:t>
      </w:r>
      <w:r w:rsidR="00234B73">
        <w:rPr>
          <w:rFonts w:asciiTheme="majorBidi" w:hAnsiTheme="majorBidi" w:cstheme="majorBidi"/>
          <w:sz w:val="24"/>
          <w:szCs w:val="24"/>
        </w:rPr>
        <w:t xml:space="preserve"> </w:t>
      </w:r>
      <w:r w:rsidR="00234B73" w:rsidRPr="000A4D11">
        <w:rPr>
          <w:rFonts w:asciiTheme="majorBidi" w:hAnsiTheme="majorBidi" w:cstheme="majorBidi"/>
          <w:sz w:val="24"/>
          <w:szCs w:val="24"/>
        </w:rPr>
        <w:t>Capital ratios are based on a set of key items in both assets and liabilities of banks. They reflect</w:t>
      </w:r>
      <w:r w:rsidR="00234B73">
        <w:rPr>
          <w:rFonts w:asciiTheme="majorBidi" w:hAnsiTheme="majorBidi" w:cstheme="majorBidi"/>
          <w:sz w:val="24"/>
          <w:szCs w:val="24"/>
        </w:rPr>
        <w:t xml:space="preserve"> </w:t>
      </w:r>
      <w:r w:rsidR="00234B73" w:rsidRPr="000A4D11">
        <w:rPr>
          <w:rFonts w:asciiTheme="majorBidi" w:hAnsiTheme="majorBidi" w:cstheme="majorBidi"/>
          <w:sz w:val="24"/>
          <w:szCs w:val="24"/>
        </w:rPr>
        <w:t>the readiness of the capital of banks to withstand some of the expected and unexpected risks</w:t>
      </w:r>
      <w:r w:rsidR="00234B73">
        <w:rPr>
          <w:rFonts w:asciiTheme="majorBidi" w:hAnsiTheme="majorBidi" w:cstheme="majorBidi"/>
          <w:sz w:val="24"/>
          <w:szCs w:val="24"/>
        </w:rPr>
        <w:t xml:space="preserve"> </w:t>
      </w:r>
      <w:r w:rsidR="00234B73" w:rsidRPr="000A4D11">
        <w:rPr>
          <w:rFonts w:asciiTheme="majorBidi" w:hAnsiTheme="majorBidi" w:cstheme="majorBidi"/>
          <w:sz w:val="24"/>
          <w:szCs w:val="24"/>
        </w:rPr>
        <w:t xml:space="preserve">that may arise, or risks that may face the banking industry at large, especially </w:t>
      </w:r>
      <w:r w:rsidR="00234B73">
        <w:rPr>
          <w:rFonts w:asciiTheme="majorBidi" w:hAnsiTheme="majorBidi" w:cstheme="majorBidi"/>
          <w:sz w:val="24"/>
          <w:szCs w:val="24"/>
        </w:rPr>
        <w:t xml:space="preserve">because the </w:t>
      </w:r>
      <w:r w:rsidR="00234B73" w:rsidRPr="000A4D11">
        <w:rPr>
          <w:rFonts w:asciiTheme="majorBidi" w:hAnsiTheme="majorBidi" w:cstheme="majorBidi"/>
          <w:sz w:val="24"/>
          <w:szCs w:val="24"/>
        </w:rPr>
        <w:t>capital</w:t>
      </w:r>
      <w:r w:rsidR="00234B73">
        <w:rPr>
          <w:rFonts w:asciiTheme="majorBidi" w:hAnsiTheme="majorBidi" w:cstheme="majorBidi"/>
          <w:sz w:val="24"/>
          <w:szCs w:val="24"/>
        </w:rPr>
        <w:t xml:space="preserve"> </w:t>
      </w:r>
      <w:r w:rsidR="00234B73" w:rsidRPr="000A4D11">
        <w:rPr>
          <w:rFonts w:asciiTheme="majorBidi" w:hAnsiTheme="majorBidi" w:cstheme="majorBidi"/>
          <w:sz w:val="24"/>
          <w:szCs w:val="24"/>
        </w:rPr>
        <w:t>represents the first line of defense in such situations.</w:t>
      </w:r>
    </w:p>
    <w:p w:rsidR="00A153A5" w:rsidRPr="005A1E0B" w:rsidRDefault="00234B73" w:rsidP="00F51EFE">
      <w:pPr>
        <w:autoSpaceDE w:val="0"/>
        <w:autoSpaceDN w:val="0"/>
        <w:adjustRightInd w:val="0"/>
        <w:spacing w:after="0" w:line="360" w:lineRule="auto"/>
        <w:jc w:val="both"/>
        <w:rPr>
          <w:rFonts w:asciiTheme="majorBidi" w:hAnsiTheme="majorBidi" w:cstheme="majorBidi"/>
          <w:bCs/>
          <w:sz w:val="24"/>
          <w:szCs w:val="24"/>
        </w:rPr>
      </w:pPr>
      <w:r w:rsidRPr="00084A9D">
        <w:rPr>
          <w:rFonts w:asciiTheme="majorBidi" w:hAnsiTheme="majorBidi" w:cstheme="majorBidi"/>
          <w:sz w:val="24"/>
          <w:szCs w:val="24"/>
        </w:rPr>
        <w:t>Several ratios can be used for measuring</w:t>
      </w:r>
      <w:r>
        <w:rPr>
          <w:rFonts w:asciiTheme="majorBidi" w:hAnsiTheme="majorBidi" w:cstheme="majorBidi"/>
          <w:sz w:val="24"/>
          <w:szCs w:val="24"/>
        </w:rPr>
        <w:t xml:space="preserve"> Capital Adequacy. </w:t>
      </w:r>
      <w:r w:rsidRPr="00DB37FF">
        <w:rPr>
          <w:rFonts w:asciiTheme="majorBidi" w:hAnsiTheme="majorBidi" w:cstheme="majorBidi"/>
          <w:sz w:val="24"/>
          <w:szCs w:val="24"/>
        </w:rPr>
        <w:t>Th</w:t>
      </w:r>
      <w:r>
        <w:rPr>
          <w:rFonts w:asciiTheme="majorBidi" w:hAnsiTheme="majorBidi" w:cstheme="majorBidi"/>
          <w:sz w:val="24"/>
          <w:szCs w:val="24"/>
        </w:rPr>
        <w:t xml:space="preserve">e researcher </w:t>
      </w:r>
      <w:r w:rsidR="007A26D0">
        <w:rPr>
          <w:rFonts w:asciiTheme="majorBidi" w:hAnsiTheme="majorBidi" w:cstheme="majorBidi"/>
          <w:sz w:val="24"/>
          <w:szCs w:val="24"/>
        </w:rPr>
        <w:t>chose the</w:t>
      </w:r>
      <w:r>
        <w:rPr>
          <w:rFonts w:asciiTheme="majorBidi" w:hAnsiTheme="majorBidi" w:cstheme="majorBidi"/>
          <w:sz w:val="24"/>
          <w:szCs w:val="24"/>
        </w:rPr>
        <w:t xml:space="preserve"> ratio of </w:t>
      </w:r>
      <w:r w:rsidRPr="009722E0">
        <w:rPr>
          <w:rFonts w:asciiTheme="majorBidi" w:hAnsiTheme="majorBidi" w:cstheme="majorBidi"/>
          <w:sz w:val="24"/>
          <w:szCs w:val="24"/>
        </w:rPr>
        <w:t>EQTA</w:t>
      </w:r>
      <w:r w:rsidRPr="00DB37FF">
        <w:rPr>
          <w:rFonts w:asciiTheme="majorBidi" w:hAnsiTheme="majorBidi" w:cstheme="majorBidi"/>
          <w:sz w:val="24"/>
          <w:szCs w:val="24"/>
        </w:rPr>
        <w:t xml:space="preserve"> </w:t>
      </w:r>
      <w:r>
        <w:rPr>
          <w:rFonts w:asciiTheme="majorBidi" w:hAnsiTheme="majorBidi" w:cstheme="majorBidi"/>
          <w:sz w:val="24"/>
          <w:szCs w:val="24"/>
        </w:rPr>
        <w:t>(</w:t>
      </w:r>
      <w:r w:rsidRPr="00616FAF">
        <w:rPr>
          <w:rFonts w:asciiTheme="majorBidi" w:hAnsiTheme="majorBidi" w:cstheme="majorBidi"/>
          <w:sz w:val="24"/>
          <w:szCs w:val="24"/>
        </w:rPr>
        <w:t>Total</w:t>
      </w:r>
      <w:r>
        <w:rPr>
          <w:rFonts w:asciiTheme="majorBidi" w:hAnsiTheme="majorBidi" w:cstheme="majorBidi"/>
          <w:sz w:val="24"/>
          <w:szCs w:val="24"/>
        </w:rPr>
        <w:t xml:space="preserve"> shareholder’s equity/ Net assets). </w:t>
      </w:r>
      <w:r w:rsidR="007A26D0">
        <w:rPr>
          <w:rFonts w:asciiTheme="majorBidi" w:hAnsiTheme="majorBidi" w:cstheme="majorBidi"/>
          <w:sz w:val="24"/>
          <w:szCs w:val="24"/>
        </w:rPr>
        <w:t>This has</w:t>
      </w:r>
      <w:r w:rsidRPr="00A771F7">
        <w:rPr>
          <w:rFonts w:asciiTheme="majorBidi" w:hAnsiTheme="majorBidi" w:cstheme="majorBidi"/>
          <w:bCs/>
          <w:sz w:val="24"/>
          <w:szCs w:val="24"/>
        </w:rPr>
        <w:t xml:space="preserve"> been </w:t>
      </w:r>
      <w:r>
        <w:rPr>
          <w:rFonts w:asciiTheme="majorBidi" w:hAnsiTheme="majorBidi" w:cstheme="majorBidi"/>
          <w:bCs/>
          <w:sz w:val="24"/>
          <w:szCs w:val="24"/>
        </w:rPr>
        <w:t>used as an indicator of capital a</w:t>
      </w:r>
      <w:r w:rsidRPr="00A771F7">
        <w:rPr>
          <w:rFonts w:asciiTheme="majorBidi" w:hAnsiTheme="majorBidi" w:cstheme="majorBidi"/>
          <w:bCs/>
          <w:sz w:val="24"/>
          <w:szCs w:val="24"/>
        </w:rPr>
        <w:t>dequacy.</w:t>
      </w:r>
    </w:p>
    <w:p w:rsidR="00234B73" w:rsidRPr="009722E0" w:rsidRDefault="00234B73" w:rsidP="00F51EFE">
      <w:pPr>
        <w:autoSpaceDE w:val="0"/>
        <w:autoSpaceDN w:val="0"/>
        <w:adjustRightInd w:val="0"/>
        <w:spacing w:after="0" w:line="360" w:lineRule="auto"/>
        <w:jc w:val="both"/>
        <w:rPr>
          <w:rFonts w:asciiTheme="majorBidi" w:hAnsiTheme="majorBidi" w:cstheme="majorBidi"/>
          <w:sz w:val="24"/>
          <w:szCs w:val="24"/>
        </w:rPr>
      </w:pPr>
      <w:r w:rsidRPr="009722E0">
        <w:rPr>
          <w:rFonts w:asciiTheme="majorBidi" w:hAnsiTheme="majorBidi" w:cstheme="majorBidi"/>
          <w:bCs/>
          <w:sz w:val="24"/>
          <w:szCs w:val="24"/>
          <w:lang w:val="en-GB"/>
        </w:rPr>
        <w:t>EQTA</w:t>
      </w:r>
      <w:r>
        <w:rPr>
          <w:rFonts w:asciiTheme="majorBidi" w:hAnsiTheme="majorBidi" w:cstheme="majorBidi"/>
          <w:bCs/>
          <w:sz w:val="24"/>
          <w:szCs w:val="24"/>
          <w:lang w:val="en-GB"/>
        </w:rPr>
        <w:t xml:space="preserve"> ratio</w:t>
      </w:r>
      <w:r w:rsidRPr="009722E0">
        <w:rPr>
          <w:rFonts w:asciiTheme="majorBidi" w:hAnsiTheme="majorBidi" w:cstheme="majorBidi"/>
          <w:bCs/>
          <w:sz w:val="24"/>
          <w:szCs w:val="24"/>
          <w:lang w:val="en-GB"/>
        </w:rPr>
        <w:t>: It</w:t>
      </w:r>
      <w:r w:rsidRPr="009722E0">
        <w:rPr>
          <w:rFonts w:asciiTheme="majorBidi" w:hAnsiTheme="majorBidi" w:cstheme="majorBidi"/>
          <w:sz w:val="24"/>
          <w:szCs w:val="24"/>
          <w:lang w:val="en-GB"/>
        </w:rPr>
        <w:t xml:space="preserve"> measures equity capital as percentage of total assets; EQ</w:t>
      </w:r>
      <w:r w:rsidR="00A8566C">
        <w:rPr>
          <w:rFonts w:asciiTheme="majorBidi" w:hAnsiTheme="majorBidi" w:cstheme="majorBidi"/>
          <w:sz w:val="24"/>
          <w:szCs w:val="24"/>
          <w:lang w:val="en-GB"/>
        </w:rPr>
        <w:t>TA</w:t>
      </w:r>
      <w:r w:rsidRPr="009722E0">
        <w:rPr>
          <w:rFonts w:asciiTheme="majorBidi" w:hAnsiTheme="majorBidi" w:cstheme="majorBidi"/>
          <w:sz w:val="24"/>
          <w:szCs w:val="24"/>
          <w:lang w:val="en-GB"/>
        </w:rPr>
        <w:t xml:space="preserve"> measures the </w:t>
      </w:r>
      <w:r w:rsidR="00A8566C">
        <w:rPr>
          <w:rFonts w:asciiTheme="majorBidi" w:hAnsiTheme="majorBidi" w:cstheme="majorBidi"/>
          <w:sz w:val="24"/>
          <w:szCs w:val="24"/>
          <w:lang w:val="en-GB"/>
        </w:rPr>
        <w:t xml:space="preserve">total bank's </w:t>
      </w:r>
      <w:r w:rsidR="00420D73">
        <w:rPr>
          <w:rFonts w:asciiTheme="majorBidi" w:hAnsiTheme="majorBidi" w:cstheme="majorBidi"/>
          <w:sz w:val="24"/>
          <w:szCs w:val="24"/>
          <w:lang w:val="en-GB"/>
        </w:rPr>
        <w:t>ability or</w:t>
      </w:r>
      <w:r w:rsidR="00A8566C">
        <w:rPr>
          <w:rFonts w:asciiTheme="majorBidi" w:hAnsiTheme="majorBidi" w:cstheme="majorBidi"/>
          <w:sz w:val="24"/>
          <w:szCs w:val="24"/>
          <w:lang w:val="en-GB"/>
        </w:rPr>
        <w:t xml:space="preserve"> capacity to absorb</w:t>
      </w:r>
      <w:r w:rsidRPr="009722E0">
        <w:rPr>
          <w:rFonts w:asciiTheme="majorBidi" w:hAnsiTheme="majorBidi" w:cstheme="majorBidi"/>
          <w:sz w:val="24"/>
          <w:szCs w:val="24"/>
          <w:lang w:val="en-GB"/>
        </w:rPr>
        <w:t xml:space="preserve"> for potential loan asset losses</w:t>
      </w:r>
      <w:r>
        <w:rPr>
          <w:rFonts w:asciiTheme="majorBidi" w:hAnsiTheme="majorBidi" w:cstheme="majorBidi"/>
          <w:sz w:val="24"/>
          <w:szCs w:val="24"/>
          <w:lang w:val="en-GB"/>
        </w:rPr>
        <w:t>.</w:t>
      </w:r>
      <w:r w:rsidRPr="009722E0">
        <w:rPr>
          <w:rFonts w:asciiTheme="majorBidi" w:hAnsiTheme="majorBidi" w:cstheme="majorBidi"/>
          <w:sz w:val="24"/>
          <w:szCs w:val="24"/>
          <w:lang w:val="en-GB"/>
        </w:rPr>
        <w:t xml:space="preserve"> </w:t>
      </w:r>
      <w:r>
        <w:rPr>
          <w:rFonts w:asciiTheme="majorBidi" w:hAnsiTheme="majorBidi" w:cstheme="majorBidi"/>
          <w:sz w:val="24"/>
          <w:szCs w:val="24"/>
          <w:lang w:val="en-GB"/>
        </w:rPr>
        <w:t>I</w:t>
      </w:r>
      <w:r w:rsidRPr="009722E0">
        <w:rPr>
          <w:rFonts w:asciiTheme="majorBidi" w:hAnsiTheme="majorBidi" w:cstheme="majorBidi"/>
          <w:sz w:val="24"/>
          <w:szCs w:val="24"/>
          <w:lang w:val="en-GB"/>
        </w:rPr>
        <w:t xml:space="preserve">n other words, </w:t>
      </w:r>
      <w:r w:rsidRPr="009722E0">
        <w:rPr>
          <w:rFonts w:asciiTheme="majorBidi" w:hAnsiTheme="majorBidi" w:cstheme="majorBidi"/>
          <w:sz w:val="24"/>
          <w:szCs w:val="24"/>
        </w:rPr>
        <w:t>it indicates the ability of a bank to absorb losses and handle risk ex</w:t>
      </w:r>
      <w:r w:rsidR="00A8566C">
        <w:rPr>
          <w:rFonts w:asciiTheme="majorBidi" w:hAnsiTheme="majorBidi" w:cstheme="majorBidi"/>
          <w:sz w:val="24"/>
          <w:szCs w:val="24"/>
        </w:rPr>
        <w:t xml:space="preserve">posure with </w:t>
      </w:r>
      <w:r w:rsidR="003721D6">
        <w:rPr>
          <w:rFonts w:asciiTheme="majorBidi" w:hAnsiTheme="majorBidi" w:cstheme="majorBidi"/>
          <w:sz w:val="24"/>
          <w:szCs w:val="24"/>
        </w:rPr>
        <w:t>shareholders.</w:t>
      </w:r>
      <w:r w:rsidR="003721D6" w:rsidRPr="00234B73">
        <w:rPr>
          <w:rFonts w:asciiTheme="majorBidi" w:hAnsiTheme="majorBidi" w:cstheme="majorBidi"/>
          <w:sz w:val="24"/>
          <w:szCs w:val="24"/>
        </w:rPr>
        <w:t xml:space="preserve"> This</w:t>
      </w:r>
      <w:r>
        <w:rPr>
          <w:rFonts w:asciiTheme="majorBidi" w:hAnsiTheme="majorBidi" w:cstheme="majorBidi"/>
          <w:sz w:val="24"/>
          <w:szCs w:val="24"/>
        </w:rPr>
        <w:t xml:space="preserve"> </w:t>
      </w:r>
      <w:r w:rsidRPr="00234B73">
        <w:rPr>
          <w:rFonts w:asciiTheme="majorBidi" w:hAnsiTheme="majorBidi" w:cstheme="majorBidi"/>
          <w:sz w:val="24"/>
          <w:szCs w:val="24"/>
        </w:rPr>
        <w:t>ratio</w:t>
      </w:r>
      <w:r>
        <w:rPr>
          <w:rFonts w:asciiTheme="majorBidi" w:hAnsiTheme="majorBidi" w:cstheme="majorBidi"/>
          <w:sz w:val="24"/>
          <w:szCs w:val="24"/>
        </w:rPr>
        <w:t xml:space="preserve"> </w:t>
      </w:r>
      <w:r w:rsidRPr="00234B73">
        <w:rPr>
          <w:rFonts w:asciiTheme="majorBidi" w:hAnsiTheme="majorBidi" w:cstheme="majorBidi"/>
          <w:sz w:val="24"/>
          <w:szCs w:val="24"/>
        </w:rPr>
        <w:t>is expected to</w:t>
      </w:r>
      <w:r>
        <w:rPr>
          <w:rFonts w:asciiTheme="majorBidi" w:hAnsiTheme="majorBidi" w:cstheme="majorBidi"/>
          <w:sz w:val="24"/>
          <w:szCs w:val="24"/>
        </w:rPr>
        <w:t xml:space="preserve"> have a </w:t>
      </w:r>
      <w:r w:rsidRPr="009722E0">
        <w:rPr>
          <w:rFonts w:asciiTheme="majorBidi" w:hAnsiTheme="majorBidi" w:cstheme="majorBidi"/>
          <w:sz w:val="24"/>
          <w:szCs w:val="24"/>
        </w:rPr>
        <w:t>s</w:t>
      </w:r>
      <w:r>
        <w:rPr>
          <w:rFonts w:asciiTheme="majorBidi" w:hAnsiTheme="majorBidi" w:cstheme="majorBidi"/>
          <w:sz w:val="24"/>
          <w:szCs w:val="24"/>
        </w:rPr>
        <w:t>ignificant positive effect on ROA and ROE</w:t>
      </w:r>
      <w:r w:rsidRPr="009722E0">
        <w:rPr>
          <w:rFonts w:asciiTheme="majorBidi" w:hAnsiTheme="majorBidi" w:cstheme="majorBidi"/>
          <w:sz w:val="24"/>
          <w:szCs w:val="24"/>
        </w:rPr>
        <w:t>.</w:t>
      </w:r>
    </w:p>
    <w:p w:rsidR="00BA3A6E" w:rsidRDefault="00234B73" w:rsidP="00502966">
      <w:pPr>
        <w:autoSpaceDE w:val="0"/>
        <w:autoSpaceDN w:val="0"/>
        <w:adjustRightInd w:val="0"/>
        <w:spacing w:after="0" w:line="360" w:lineRule="auto"/>
        <w:contextualSpacing/>
        <w:jc w:val="both"/>
        <w:rPr>
          <w:rFonts w:asciiTheme="majorBidi" w:hAnsiTheme="majorBidi" w:cstheme="majorBidi"/>
          <w:b/>
          <w:bCs/>
        </w:rPr>
      </w:pPr>
      <w:r w:rsidRPr="00A32112">
        <w:rPr>
          <w:rFonts w:asciiTheme="majorBidi" w:hAnsiTheme="majorBidi" w:cstheme="majorBidi"/>
          <w:b/>
          <w:bCs/>
          <w:lang w:val="en-GB"/>
        </w:rPr>
        <w:t>EQTA=</w:t>
      </w:r>
      <w:r w:rsidRPr="00A32112">
        <w:rPr>
          <w:rFonts w:asciiTheme="majorBidi" w:hAnsiTheme="majorBidi" w:cstheme="majorBidi"/>
          <w:lang w:val="en-GB"/>
        </w:rPr>
        <w:t xml:space="preserve"> </w:t>
      </w:r>
      <w:r w:rsidR="00945E04">
        <w:rPr>
          <w:rFonts w:asciiTheme="majorBidi" w:hAnsiTheme="majorBidi" w:cstheme="majorBidi"/>
          <w:b/>
          <w:bCs/>
        </w:rPr>
        <w:t>Total Shareholder’s E</w:t>
      </w:r>
      <w:r w:rsidRPr="00A32112">
        <w:rPr>
          <w:rFonts w:asciiTheme="majorBidi" w:hAnsiTheme="majorBidi" w:cstheme="majorBidi"/>
          <w:b/>
          <w:bCs/>
        </w:rPr>
        <w:t>quity/ Total Assets</w:t>
      </w:r>
    </w:p>
    <w:p w:rsidR="004829D6" w:rsidRPr="00502966" w:rsidRDefault="004829D6" w:rsidP="00502966">
      <w:pPr>
        <w:autoSpaceDE w:val="0"/>
        <w:autoSpaceDN w:val="0"/>
        <w:adjustRightInd w:val="0"/>
        <w:spacing w:after="0" w:line="360" w:lineRule="auto"/>
        <w:contextualSpacing/>
        <w:jc w:val="both"/>
        <w:rPr>
          <w:rFonts w:asciiTheme="majorBidi" w:hAnsiTheme="majorBidi" w:cstheme="majorBidi"/>
          <w:b/>
          <w:bCs/>
        </w:rPr>
      </w:pPr>
    </w:p>
    <w:p w:rsidR="00A153A5" w:rsidRDefault="000C2843" w:rsidP="00BA3A6E">
      <w:pPr>
        <w:autoSpaceDE w:val="0"/>
        <w:autoSpaceDN w:val="0"/>
        <w:adjustRightInd w:val="0"/>
        <w:spacing w:after="0" w:line="360" w:lineRule="auto"/>
        <w:contextualSpacing/>
        <w:rPr>
          <w:rFonts w:asciiTheme="majorBidi" w:hAnsiTheme="majorBidi" w:cstheme="majorBidi"/>
          <w:b/>
          <w:bCs/>
          <w:sz w:val="24"/>
          <w:szCs w:val="24"/>
        </w:rPr>
      </w:pPr>
      <w:r w:rsidRPr="001B6D4E">
        <w:rPr>
          <w:rFonts w:asciiTheme="majorBidi" w:hAnsiTheme="majorBidi" w:cstheme="majorBidi"/>
          <w:b/>
          <w:bCs/>
          <w:color w:val="000000" w:themeColor="text1"/>
          <w:sz w:val="24"/>
          <w:szCs w:val="24"/>
        </w:rPr>
        <w:t>C. Credit Monitoring</w:t>
      </w:r>
    </w:p>
    <w:p w:rsidR="000C2843" w:rsidRPr="00B77F83" w:rsidRDefault="00B77F83" w:rsidP="00A20A5B">
      <w:pPr>
        <w:spacing w:after="0" w:line="360" w:lineRule="auto"/>
        <w:contextualSpacing/>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Usually the monitoring process starts after loans are disbursed. The primary purpose of credit monitoring process is to identify any changes or possible changes on the borrower’s financial position or its repayment capacity of the credit funds. </w:t>
      </w:r>
      <w:r w:rsidR="000C2843" w:rsidRPr="00DC66BA">
        <w:rPr>
          <w:rFonts w:ascii="Times New Roman" w:hAnsi="Times New Roman" w:cs="Times New Roman"/>
          <w:color w:val="000000" w:themeColor="text1"/>
          <w:sz w:val="24"/>
          <w:szCs w:val="24"/>
        </w:rPr>
        <w:t>These may be weaknesses in the borrower’s industry, financial cond</w:t>
      </w:r>
      <w:r w:rsidR="00603616">
        <w:rPr>
          <w:rFonts w:ascii="Times New Roman" w:hAnsi="Times New Roman" w:cs="Times New Roman"/>
          <w:color w:val="000000" w:themeColor="text1"/>
          <w:sz w:val="24"/>
          <w:szCs w:val="24"/>
        </w:rPr>
        <w:t xml:space="preserve">ition or performance, changes </w:t>
      </w:r>
      <w:r w:rsidR="000C2843" w:rsidRPr="00DC66BA">
        <w:rPr>
          <w:rFonts w:ascii="Times New Roman" w:hAnsi="Times New Roman" w:cs="Times New Roman"/>
          <w:color w:val="000000" w:themeColor="text1"/>
          <w:sz w:val="24"/>
          <w:szCs w:val="24"/>
        </w:rPr>
        <w:t xml:space="preserve">which could impact the borrower’s capacity to repay the loan in accordance with the credit agreement. </w:t>
      </w:r>
    </w:p>
    <w:p w:rsidR="00A20A5B" w:rsidRPr="007F6087" w:rsidRDefault="0021758C" w:rsidP="00A20A5B">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heme="majorBidi" w:hAnsiTheme="majorBidi" w:cstheme="majorBidi"/>
          <w:color w:val="000000" w:themeColor="text1"/>
          <w:sz w:val="24"/>
          <w:szCs w:val="24"/>
        </w:rPr>
        <w:t xml:space="preserve">Receiving continues financial statements, close review and contact with the borrower are an important and effective credit monitoring key. </w:t>
      </w:r>
      <w:r w:rsidRPr="00DC66BA">
        <w:rPr>
          <w:rFonts w:asciiTheme="majorBidi" w:hAnsiTheme="majorBidi" w:cstheme="majorBidi"/>
          <w:color w:val="000000" w:themeColor="text1"/>
          <w:sz w:val="24"/>
          <w:szCs w:val="24"/>
        </w:rPr>
        <w:t>The analytical framework</w:t>
      </w:r>
      <w:r>
        <w:rPr>
          <w:rFonts w:asciiTheme="majorBidi" w:hAnsiTheme="majorBidi" w:cstheme="majorBidi"/>
          <w:color w:val="000000" w:themeColor="text1"/>
          <w:sz w:val="24"/>
          <w:szCs w:val="24"/>
        </w:rPr>
        <w:t xml:space="preserve"> analyz</w:t>
      </w:r>
      <w:r w:rsidR="00DE75E3">
        <w:rPr>
          <w:rFonts w:asciiTheme="majorBidi" w:hAnsiTheme="majorBidi" w:cstheme="majorBidi"/>
          <w:color w:val="000000" w:themeColor="text1"/>
          <w:sz w:val="24"/>
          <w:szCs w:val="24"/>
        </w:rPr>
        <w:t xml:space="preserve">ed and developed in the early </w:t>
      </w:r>
      <w:r>
        <w:rPr>
          <w:rFonts w:asciiTheme="majorBidi" w:hAnsiTheme="majorBidi" w:cstheme="majorBidi"/>
          <w:color w:val="000000" w:themeColor="text1"/>
          <w:sz w:val="24"/>
          <w:szCs w:val="24"/>
        </w:rPr>
        <w:t xml:space="preserve">stage should be used to </w:t>
      </w:r>
      <w:r w:rsidR="00DE75E3">
        <w:rPr>
          <w:rFonts w:asciiTheme="majorBidi" w:hAnsiTheme="majorBidi" w:cstheme="majorBidi"/>
          <w:color w:val="000000" w:themeColor="text1"/>
          <w:sz w:val="24"/>
          <w:szCs w:val="24"/>
        </w:rPr>
        <w:t>path</w:t>
      </w:r>
      <w:r w:rsidRPr="00DC66BA">
        <w:rPr>
          <w:rFonts w:asciiTheme="majorBidi" w:hAnsiTheme="majorBidi" w:cstheme="majorBidi"/>
          <w:color w:val="000000" w:themeColor="text1"/>
          <w:sz w:val="24"/>
          <w:szCs w:val="24"/>
        </w:rPr>
        <w:t xml:space="preserve"> borrower</w:t>
      </w:r>
      <w:r>
        <w:rPr>
          <w:rFonts w:asciiTheme="majorBidi" w:hAnsiTheme="majorBidi" w:cstheme="majorBidi"/>
          <w:color w:val="000000" w:themeColor="text1"/>
          <w:sz w:val="24"/>
          <w:szCs w:val="24"/>
        </w:rPr>
        <w:t>'s</w:t>
      </w:r>
      <w:r w:rsidRPr="00DC66BA">
        <w:rPr>
          <w:rFonts w:asciiTheme="majorBidi" w:hAnsiTheme="majorBidi" w:cstheme="majorBidi"/>
          <w:color w:val="000000" w:themeColor="text1"/>
          <w:sz w:val="24"/>
          <w:szCs w:val="24"/>
        </w:rPr>
        <w:t xml:space="preserve"> performance</w:t>
      </w:r>
      <w:r>
        <w:rPr>
          <w:rFonts w:asciiTheme="majorBidi" w:hAnsiTheme="majorBidi" w:cstheme="majorBidi"/>
          <w:color w:val="000000" w:themeColor="text1"/>
          <w:sz w:val="24"/>
          <w:szCs w:val="24"/>
        </w:rPr>
        <w:t xml:space="preserve">. </w:t>
      </w:r>
      <w:r w:rsidR="00A20A5B" w:rsidRPr="007F6087">
        <w:rPr>
          <w:rFonts w:ascii="Times New Roman" w:hAnsi="Times New Roman" w:cs="Times New Roman"/>
          <w:color w:val="000000" w:themeColor="text1"/>
          <w:sz w:val="24"/>
          <w:szCs w:val="24"/>
        </w:rPr>
        <w:t>Credit officer should monitor any negative changes and weakness and inspect any identified decline in the borrower strengths. Also the bank must have clear and close attention to the borrower’s ability to repay the loan by continues checking of sources of repayment and collateral.</w:t>
      </w:r>
    </w:p>
    <w:p w:rsidR="000C2843" w:rsidRPr="00603616" w:rsidRDefault="00014A16" w:rsidP="00F51EFE">
      <w:pPr>
        <w:spacing w:line="360" w:lineRule="auto"/>
        <w:contextualSpacing/>
        <w:jc w:val="both"/>
        <w:rPr>
          <w:rFonts w:asciiTheme="majorBidi" w:hAnsiTheme="majorBidi" w:cstheme="majorBidi"/>
          <w:color w:val="000000" w:themeColor="text1"/>
          <w:sz w:val="24"/>
          <w:szCs w:val="24"/>
        </w:rPr>
      </w:pPr>
      <w:r w:rsidRPr="00DC66BA">
        <w:rPr>
          <w:rFonts w:asciiTheme="majorBidi" w:hAnsiTheme="majorBidi" w:cstheme="majorBidi"/>
          <w:color w:val="000000" w:themeColor="text1"/>
          <w:sz w:val="24"/>
          <w:szCs w:val="24"/>
          <w:lang w:bidi="ar-JO"/>
        </w:rPr>
        <w:lastRenderedPageBreak/>
        <w:t>This</w:t>
      </w:r>
      <w:r w:rsidR="000C2843" w:rsidRPr="00DC66BA">
        <w:rPr>
          <w:rFonts w:asciiTheme="majorBidi" w:hAnsiTheme="majorBidi" w:cstheme="majorBidi"/>
          <w:color w:val="000000" w:themeColor="text1"/>
          <w:sz w:val="24"/>
          <w:szCs w:val="24"/>
          <w:lang w:bidi="ar-JO"/>
        </w:rPr>
        <w:t xml:space="preserve"> variable was measured t</w:t>
      </w:r>
      <w:r w:rsidR="00603616">
        <w:rPr>
          <w:rFonts w:asciiTheme="majorBidi" w:hAnsiTheme="majorBidi" w:cstheme="majorBidi"/>
          <w:color w:val="000000" w:themeColor="text1"/>
          <w:sz w:val="24"/>
          <w:szCs w:val="24"/>
          <w:lang w:bidi="ar-JO"/>
        </w:rPr>
        <w:t>hrough financial ratios</w:t>
      </w:r>
      <w:r w:rsidR="000C2843" w:rsidRPr="00DC66BA">
        <w:rPr>
          <w:rFonts w:asciiTheme="majorBidi" w:hAnsiTheme="majorBidi" w:cstheme="majorBidi"/>
          <w:color w:val="000000" w:themeColor="text1"/>
          <w:sz w:val="24"/>
          <w:szCs w:val="24"/>
          <w:lang w:bidi="ar-JO"/>
        </w:rPr>
        <w:t xml:space="preserve"> available in the financial statements </w:t>
      </w:r>
      <w:r w:rsidR="00616FAF" w:rsidRPr="00DC66BA">
        <w:rPr>
          <w:rFonts w:asciiTheme="majorBidi" w:hAnsiTheme="majorBidi" w:cstheme="majorBidi"/>
          <w:color w:val="000000" w:themeColor="text1"/>
          <w:sz w:val="24"/>
          <w:szCs w:val="24"/>
          <w:lang w:bidi="ar-JO"/>
        </w:rPr>
        <w:t>of Palestinian</w:t>
      </w:r>
      <w:r w:rsidR="000C2843" w:rsidRPr="00DC66BA">
        <w:rPr>
          <w:rFonts w:asciiTheme="majorBidi" w:hAnsiTheme="majorBidi" w:cstheme="majorBidi"/>
          <w:color w:val="000000" w:themeColor="text1"/>
          <w:sz w:val="24"/>
          <w:szCs w:val="24"/>
          <w:lang w:bidi="ar-JO"/>
        </w:rPr>
        <w:t xml:space="preserve"> commercial Banks</w:t>
      </w:r>
      <w:r w:rsidR="00050A54">
        <w:rPr>
          <w:rFonts w:asciiTheme="majorBidi" w:hAnsiTheme="majorBidi" w:cstheme="majorBidi"/>
          <w:color w:val="000000" w:themeColor="text1"/>
          <w:sz w:val="24"/>
          <w:szCs w:val="24"/>
          <w:lang w:bidi="ar-JO"/>
        </w:rPr>
        <w:t>.</w:t>
      </w:r>
      <w:r w:rsidR="00721BF0">
        <w:rPr>
          <w:rFonts w:asciiTheme="majorBidi" w:hAnsiTheme="majorBidi" w:cstheme="majorBidi"/>
          <w:sz w:val="24"/>
          <w:szCs w:val="24"/>
          <w:shd w:val="clear" w:color="auto" w:fill="FFFFFF"/>
        </w:rPr>
        <w:t xml:space="preserve"> </w:t>
      </w:r>
      <w:r w:rsidR="00EC0716" w:rsidRPr="00EC0716">
        <w:rPr>
          <w:rFonts w:asciiTheme="majorBidi" w:hAnsiTheme="majorBidi" w:cstheme="majorBidi"/>
          <w:sz w:val="24"/>
          <w:szCs w:val="24"/>
          <w:shd w:val="clear" w:color="auto" w:fill="FFFFFF"/>
        </w:rPr>
        <w:t>The ratio of loa</w:t>
      </w:r>
      <w:r w:rsidR="00616FAF">
        <w:rPr>
          <w:rFonts w:asciiTheme="majorBidi" w:hAnsiTheme="majorBidi" w:cstheme="majorBidi"/>
          <w:sz w:val="24"/>
          <w:szCs w:val="24"/>
          <w:shd w:val="clear" w:color="auto" w:fill="FFFFFF"/>
        </w:rPr>
        <w:t xml:space="preserve">n loss provisions to net interest </w:t>
      </w:r>
      <w:r w:rsidR="00616FAF" w:rsidRPr="009722E0">
        <w:rPr>
          <w:rFonts w:asciiTheme="majorBidi" w:hAnsiTheme="majorBidi" w:cstheme="majorBidi"/>
          <w:sz w:val="24"/>
          <w:szCs w:val="24"/>
          <w:shd w:val="clear" w:color="auto" w:fill="FFFFFF"/>
        </w:rPr>
        <w:t>income</w:t>
      </w:r>
      <w:r w:rsidR="00EC0716" w:rsidRPr="009722E0">
        <w:rPr>
          <w:rFonts w:asciiTheme="majorBidi" w:hAnsiTheme="majorBidi" w:cstheme="majorBidi"/>
          <w:sz w:val="24"/>
          <w:szCs w:val="24"/>
          <w:shd w:val="clear" w:color="auto" w:fill="FFFFFF"/>
        </w:rPr>
        <w:t xml:space="preserve"> </w:t>
      </w:r>
      <w:r w:rsidR="00EC0716" w:rsidRPr="00603616">
        <w:rPr>
          <w:rFonts w:asciiTheme="majorBidi" w:hAnsiTheme="majorBidi" w:cstheme="majorBidi"/>
          <w:sz w:val="24"/>
          <w:szCs w:val="24"/>
          <w:shd w:val="clear" w:color="auto" w:fill="FFFFFF"/>
        </w:rPr>
        <w:t>(LL</w:t>
      </w:r>
      <w:r w:rsidR="00616FAF" w:rsidRPr="00603616">
        <w:rPr>
          <w:rFonts w:asciiTheme="majorBidi" w:hAnsiTheme="majorBidi" w:cstheme="majorBidi"/>
          <w:sz w:val="24"/>
          <w:szCs w:val="24"/>
          <w:shd w:val="clear" w:color="auto" w:fill="FFFFFF"/>
        </w:rPr>
        <w:t>PI)</w:t>
      </w:r>
      <w:r w:rsidR="00603616">
        <w:rPr>
          <w:rFonts w:asciiTheme="majorBidi" w:hAnsiTheme="majorBidi" w:cstheme="majorBidi"/>
          <w:sz w:val="24"/>
          <w:szCs w:val="24"/>
          <w:shd w:val="clear" w:color="auto" w:fill="FFFFFF"/>
        </w:rPr>
        <w:t xml:space="preserve"> was</w:t>
      </w:r>
      <w:r w:rsidR="00DD061D" w:rsidRPr="00603616">
        <w:rPr>
          <w:rFonts w:asciiTheme="majorBidi" w:hAnsiTheme="majorBidi" w:cstheme="majorBidi"/>
          <w:sz w:val="24"/>
          <w:szCs w:val="24"/>
          <w:shd w:val="clear" w:color="auto" w:fill="FFFFFF"/>
        </w:rPr>
        <w:t xml:space="preserve"> used as proxy of credit monitoring.</w:t>
      </w:r>
    </w:p>
    <w:p w:rsidR="00A153A5" w:rsidRDefault="00603616" w:rsidP="00F51EFE">
      <w:pPr>
        <w:spacing w:line="360" w:lineRule="auto"/>
        <w:contextualSpacing/>
        <w:jc w:val="both"/>
        <w:rPr>
          <w:rFonts w:asciiTheme="majorBidi" w:hAnsiTheme="majorBidi" w:cstheme="majorBidi"/>
          <w:sz w:val="24"/>
          <w:szCs w:val="24"/>
        </w:rPr>
      </w:pPr>
      <w:r w:rsidRPr="00603616">
        <w:rPr>
          <w:rFonts w:asciiTheme="majorBidi" w:hAnsiTheme="majorBidi" w:cstheme="majorBidi"/>
          <w:sz w:val="24"/>
          <w:szCs w:val="24"/>
        </w:rPr>
        <w:t>LLPI</w:t>
      </w:r>
      <w:r w:rsidR="00616FAF" w:rsidRPr="00603616">
        <w:rPr>
          <w:rFonts w:asciiTheme="majorBidi" w:hAnsiTheme="majorBidi" w:cstheme="majorBidi"/>
          <w:sz w:val="28"/>
          <w:szCs w:val="28"/>
        </w:rPr>
        <w:t>:</w:t>
      </w:r>
      <w:r w:rsidR="00616FAF" w:rsidRPr="00603616">
        <w:rPr>
          <w:rFonts w:asciiTheme="majorBidi" w:hAnsiTheme="majorBidi" w:cstheme="majorBidi"/>
          <w:sz w:val="24"/>
          <w:szCs w:val="24"/>
        </w:rPr>
        <w:t xml:space="preserve"> It</w:t>
      </w:r>
      <w:r>
        <w:rPr>
          <w:rFonts w:asciiTheme="majorBidi" w:hAnsiTheme="majorBidi" w:cstheme="majorBidi"/>
          <w:sz w:val="24"/>
          <w:szCs w:val="24"/>
        </w:rPr>
        <w:t xml:space="preserve"> </w:t>
      </w:r>
      <w:r w:rsidR="00616FAF" w:rsidRPr="00603616">
        <w:rPr>
          <w:rFonts w:asciiTheme="majorBidi" w:hAnsiTheme="majorBidi" w:cstheme="majorBidi"/>
          <w:sz w:val="24"/>
          <w:szCs w:val="24"/>
        </w:rPr>
        <w:t xml:space="preserve">is a measure of credit quality, which indicates high credit quality by </w:t>
      </w:r>
      <w:r w:rsidR="0021758C">
        <w:rPr>
          <w:rFonts w:asciiTheme="majorBidi" w:hAnsiTheme="majorBidi" w:cstheme="majorBidi"/>
          <w:sz w:val="24"/>
          <w:szCs w:val="24"/>
        </w:rPr>
        <w:t xml:space="preserve">having </w:t>
      </w:r>
      <w:r w:rsidR="00616FAF" w:rsidRPr="00603616">
        <w:rPr>
          <w:rFonts w:asciiTheme="majorBidi" w:hAnsiTheme="majorBidi" w:cstheme="majorBidi"/>
          <w:sz w:val="24"/>
          <w:szCs w:val="24"/>
        </w:rPr>
        <w:t>low</w:t>
      </w:r>
      <w:r w:rsidR="0021758C">
        <w:rPr>
          <w:rFonts w:asciiTheme="majorBidi" w:hAnsiTheme="majorBidi" w:cstheme="majorBidi"/>
          <w:sz w:val="24"/>
          <w:szCs w:val="24"/>
        </w:rPr>
        <w:t xml:space="preserve"> numbers</w:t>
      </w:r>
      <w:r w:rsidR="00616FAF" w:rsidRPr="00603616">
        <w:rPr>
          <w:rFonts w:asciiTheme="majorBidi" w:hAnsiTheme="majorBidi" w:cstheme="majorBidi"/>
          <w:sz w:val="24"/>
          <w:szCs w:val="24"/>
        </w:rPr>
        <w:t>. It’s an</w:t>
      </w:r>
      <w:r w:rsidR="00616FAF" w:rsidRPr="008506FF">
        <w:rPr>
          <w:rFonts w:asciiTheme="majorBidi" w:hAnsiTheme="majorBidi" w:cstheme="majorBidi"/>
          <w:sz w:val="24"/>
          <w:szCs w:val="24"/>
        </w:rPr>
        <w:t xml:space="preserve"> indicator of the </w:t>
      </w:r>
      <w:r w:rsidR="00616FAF">
        <w:rPr>
          <w:rFonts w:asciiTheme="majorBidi" w:hAnsiTheme="majorBidi" w:cstheme="majorBidi"/>
          <w:sz w:val="24"/>
          <w:szCs w:val="24"/>
        </w:rPr>
        <w:t>quality</w:t>
      </w:r>
      <w:r w:rsidR="00616FAF" w:rsidRPr="008506FF">
        <w:rPr>
          <w:rFonts w:asciiTheme="majorBidi" w:hAnsiTheme="majorBidi" w:cstheme="majorBidi"/>
          <w:sz w:val="24"/>
          <w:szCs w:val="24"/>
        </w:rPr>
        <w:t xml:space="preserve"> of the bank’s loan portfolio and, therefore, it can be seen </w:t>
      </w:r>
    </w:p>
    <w:p w:rsidR="006B1803" w:rsidRDefault="00616FAF" w:rsidP="00F51EFE">
      <w:pPr>
        <w:spacing w:line="360" w:lineRule="auto"/>
        <w:contextualSpacing/>
        <w:jc w:val="both"/>
        <w:rPr>
          <w:rFonts w:asciiTheme="majorBidi" w:hAnsiTheme="majorBidi" w:cstheme="majorBidi"/>
          <w:sz w:val="24"/>
          <w:szCs w:val="24"/>
        </w:rPr>
      </w:pPr>
      <w:r w:rsidRPr="008506FF">
        <w:rPr>
          <w:rFonts w:asciiTheme="majorBidi" w:hAnsiTheme="majorBidi" w:cstheme="majorBidi"/>
          <w:sz w:val="24"/>
          <w:szCs w:val="24"/>
        </w:rPr>
        <w:t xml:space="preserve">as a proxy of credit </w:t>
      </w:r>
      <w:r>
        <w:rPr>
          <w:rFonts w:asciiTheme="majorBidi" w:hAnsiTheme="majorBidi" w:cstheme="majorBidi"/>
          <w:sz w:val="24"/>
          <w:szCs w:val="24"/>
        </w:rPr>
        <w:t>risk</w:t>
      </w:r>
      <w:r w:rsidRPr="008506FF">
        <w:rPr>
          <w:rFonts w:asciiTheme="majorBidi" w:hAnsiTheme="majorBidi" w:cstheme="majorBidi"/>
          <w:sz w:val="24"/>
          <w:szCs w:val="24"/>
        </w:rPr>
        <w:t>. This variable is considered in the analysis in order to examine whether there exists a systematic relationship between t</w:t>
      </w:r>
      <w:r>
        <w:rPr>
          <w:rFonts w:asciiTheme="majorBidi" w:hAnsiTheme="majorBidi" w:cstheme="majorBidi"/>
          <w:sz w:val="24"/>
          <w:szCs w:val="24"/>
        </w:rPr>
        <w:t>he levels of credit risk and ROE</w:t>
      </w:r>
      <w:r w:rsidRPr="008506FF">
        <w:rPr>
          <w:rFonts w:asciiTheme="majorBidi" w:hAnsiTheme="majorBidi" w:cstheme="majorBidi"/>
          <w:sz w:val="24"/>
          <w:szCs w:val="24"/>
        </w:rPr>
        <w:t xml:space="preserve"> borne </w:t>
      </w:r>
      <w:r>
        <w:rPr>
          <w:rFonts w:asciiTheme="majorBidi" w:hAnsiTheme="majorBidi" w:cstheme="majorBidi"/>
          <w:sz w:val="24"/>
          <w:szCs w:val="24"/>
        </w:rPr>
        <w:t xml:space="preserve">by Palestinian </w:t>
      </w:r>
      <w:r w:rsidRPr="008506FF">
        <w:rPr>
          <w:rFonts w:asciiTheme="majorBidi" w:hAnsiTheme="majorBidi" w:cstheme="majorBidi"/>
          <w:sz w:val="24"/>
          <w:szCs w:val="24"/>
        </w:rPr>
        <w:t>banks.</w:t>
      </w:r>
      <w:r w:rsidR="00721BF0">
        <w:rPr>
          <w:rFonts w:asciiTheme="majorBidi" w:hAnsiTheme="majorBidi" w:cstheme="majorBidi"/>
          <w:sz w:val="24"/>
          <w:szCs w:val="24"/>
        </w:rPr>
        <w:t xml:space="preserve"> </w:t>
      </w:r>
      <w:r w:rsidRPr="001749F7">
        <w:rPr>
          <w:rFonts w:asciiTheme="majorBidi" w:hAnsiTheme="majorBidi" w:cstheme="majorBidi"/>
          <w:sz w:val="24"/>
          <w:szCs w:val="24"/>
        </w:rPr>
        <w:t>It is a ratio which measures the credit risk provision relative to net interest income, indicating the respective subjacent effect of credit risk in both numerator and denominator.</w:t>
      </w:r>
    </w:p>
    <w:p w:rsidR="00BA3A6E" w:rsidRDefault="00BA4104" w:rsidP="006B1803">
      <w:pPr>
        <w:spacing w:line="360" w:lineRule="auto"/>
        <w:contextualSpacing/>
        <w:jc w:val="both"/>
        <w:rPr>
          <w:rFonts w:asciiTheme="majorBidi" w:hAnsiTheme="majorBidi" w:cstheme="majorBidi"/>
          <w:sz w:val="24"/>
          <w:szCs w:val="24"/>
        </w:rPr>
      </w:pPr>
      <w:r>
        <w:rPr>
          <w:rFonts w:asciiTheme="majorBidi" w:hAnsiTheme="majorBidi" w:cstheme="majorBidi"/>
          <w:b/>
          <w:bCs/>
        </w:rPr>
        <w:t>LLPI = Loan Loss Provisions / Net Interest I</w:t>
      </w:r>
      <w:r w:rsidR="00616FAF" w:rsidRPr="00A32112">
        <w:rPr>
          <w:rFonts w:asciiTheme="majorBidi" w:hAnsiTheme="majorBidi" w:cstheme="majorBidi"/>
          <w:b/>
          <w:bCs/>
        </w:rPr>
        <w:t>ncome</w:t>
      </w:r>
    </w:p>
    <w:p w:rsidR="004829D6" w:rsidRPr="00502966" w:rsidRDefault="004829D6" w:rsidP="006B1803">
      <w:pPr>
        <w:spacing w:line="360" w:lineRule="auto"/>
        <w:contextualSpacing/>
        <w:jc w:val="both"/>
        <w:rPr>
          <w:rFonts w:asciiTheme="majorBidi" w:hAnsiTheme="majorBidi" w:cstheme="majorBidi"/>
          <w:sz w:val="24"/>
          <w:szCs w:val="24"/>
        </w:rPr>
      </w:pPr>
    </w:p>
    <w:p w:rsidR="00050A54" w:rsidRDefault="00616FAF" w:rsidP="000C2843">
      <w:pPr>
        <w:autoSpaceDE w:val="0"/>
        <w:autoSpaceDN w:val="0"/>
        <w:adjustRightInd w:val="0"/>
        <w:spacing w:after="0" w:line="360" w:lineRule="auto"/>
        <w:contextualSpacing/>
        <w:rPr>
          <w:rFonts w:asciiTheme="majorBidi" w:hAnsiTheme="majorBidi" w:cstheme="majorBidi"/>
          <w:b/>
          <w:bCs/>
          <w:color w:val="000000" w:themeColor="text1"/>
          <w:sz w:val="24"/>
          <w:szCs w:val="24"/>
        </w:rPr>
      </w:pPr>
      <w:r w:rsidRPr="001B6D4E">
        <w:rPr>
          <w:rFonts w:asciiTheme="majorBidi" w:hAnsiTheme="majorBidi" w:cstheme="majorBidi"/>
          <w:b/>
          <w:bCs/>
          <w:color w:val="000000" w:themeColor="text1"/>
          <w:sz w:val="24"/>
          <w:szCs w:val="24"/>
          <w:lang w:bidi="ar-JO"/>
        </w:rPr>
        <w:t xml:space="preserve">D. </w:t>
      </w:r>
      <w:r w:rsidR="00005532" w:rsidRPr="00603616">
        <w:rPr>
          <w:rFonts w:asciiTheme="majorBidi" w:hAnsiTheme="majorBidi" w:cstheme="majorBidi"/>
          <w:b/>
          <w:bCs/>
          <w:sz w:val="24"/>
          <w:szCs w:val="24"/>
          <w:lang w:bidi="ar-JO"/>
        </w:rPr>
        <w:t xml:space="preserve">Income </w:t>
      </w:r>
      <w:r w:rsidRPr="00603616">
        <w:rPr>
          <w:rFonts w:asciiTheme="majorBidi" w:hAnsiTheme="majorBidi" w:cstheme="majorBidi"/>
          <w:b/>
          <w:bCs/>
          <w:sz w:val="24"/>
          <w:szCs w:val="24"/>
          <w:lang w:bidi="ar-JO"/>
        </w:rPr>
        <w:t>Diversification</w:t>
      </w:r>
    </w:p>
    <w:p w:rsidR="00E972BF" w:rsidRPr="007F6087" w:rsidRDefault="00B219ED" w:rsidP="00E972B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heme="majorBidi" w:hAnsiTheme="majorBidi" w:cstheme="majorBidi"/>
          <w:bCs/>
          <w:color w:val="000000"/>
          <w:sz w:val="24"/>
          <w:szCs w:val="24"/>
        </w:rPr>
        <w:t>The mixture of banks activities is an important indicator of the overall level of risk the bank engages</w:t>
      </w:r>
      <w:r w:rsidR="0025183B">
        <w:rPr>
          <w:rFonts w:asciiTheme="majorBidi" w:hAnsiTheme="majorBidi" w:cstheme="majorBidi"/>
          <w:bCs/>
          <w:color w:val="000000"/>
          <w:sz w:val="24"/>
          <w:szCs w:val="24"/>
        </w:rPr>
        <w:t xml:space="preserve"> in. For commercial banks</w:t>
      </w:r>
      <w:r>
        <w:rPr>
          <w:rFonts w:asciiTheme="majorBidi" w:hAnsiTheme="majorBidi" w:cstheme="majorBidi"/>
          <w:bCs/>
          <w:color w:val="000000"/>
          <w:sz w:val="24"/>
          <w:szCs w:val="24"/>
        </w:rPr>
        <w:t xml:space="preserve"> as financial intermediary, the concept of </w:t>
      </w:r>
      <w:r w:rsidR="0025183B">
        <w:rPr>
          <w:rFonts w:asciiTheme="majorBidi" w:hAnsiTheme="majorBidi" w:cstheme="majorBidi"/>
          <w:sz w:val="24"/>
          <w:szCs w:val="24"/>
        </w:rPr>
        <w:t>d</w:t>
      </w:r>
      <w:r w:rsidRPr="00D90ED3">
        <w:rPr>
          <w:rFonts w:asciiTheme="majorBidi" w:hAnsiTheme="majorBidi" w:cstheme="majorBidi"/>
          <w:sz w:val="24"/>
          <w:szCs w:val="24"/>
        </w:rPr>
        <w:t>iversification</w:t>
      </w:r>
      <w:r>
        <w:rPr>
          <w:rFonts w:asciiTheme="majorBidi" w:hAnsiTheme="majorBidi" w:cstheme="majorBidi"/>
          <w:sz w:val="24"/>
          <w:szCs w:val="24"/>
        </w:rPr>
        <w:t xml:space="preserve"> is crucial for the bank as risk management technique, in which the risks involved in the bank’s operations spread over various numbers of borrowers, industries and sectors.</w:t>
      </w:r>
      <w:r>
        <w:rPr>
          <w:rFonts w:asciiTheme="majorBidi" w:hAnsiTheme="majorBidi" w:cstheme="majorBidi"/>
          <w:bCs/>
          <w:color w:val="000000"/>
          <w:sz w:val="24"/>
          <w:szCs w:val="24"/>
        </w:rPr>
        <w:t xml:space="preserve"> </w:t>
      </w:r>
      <w:r>
        <w:rPr>
          <w:rFonts w:asciiTheme="majorBidi" w:hAnsiTheme="majorBidi" w:cstheme="majorBidi"/>
          <w:sz w:val="24"/>
          <w:szCs w:val="24"/>
        </w:rPr>
        <w:t>The bank may find it difficult to apply g</w:t>
      </w:r>
      <w:r w:rsidRPr="00D90ED3">
        <w:rPr>
          <w:rFonts w:asciiTheme="majorBidi" w:hAnsiTheme="majorBidi" w:cstheme="majorBidi"/>
          <w:sz w:val="24"/>
          <w:szCs w:val="24"/>
        </w:rPr>
        <w:t xml:space="preserve">eographic </w:t>
      </w:r>
      <w:r>
        <w:rPr>
          <w:rFonts w:asciiTheme="majorBidi" w:hAnsiTheme="majorBidi" w:cstheme="majorBidi"/>
          <w:sz w:val="24"/>
          <w:szCs w:val="24"/>
        </w:rPr>
        <w:t>d</w:t>
      </w:r>
      <w:r w:rsidRPr="00D90ED3">
        <w:rPr>
          <w:rFonts w:asciiTheme="majorBidi" w:hAnsiTheme="majorBidi" w:cstheme="majorBidi"/>
          <w:sz w:val="24"/>
          <w:szCs w:val="24"/>
        </w:rPr>
        <w:t xml:space="preserve">iversification </w:t>
      </w:r>
      <w:r>
        <w:rPr>
          <w:rFonts w:asciiTheme="majorBidi" w:hAnsiTheme="majorBidi" w:cstheme="majorBidi"/>
          <w:sz w:val="24"/>
          <w:szCs w:val="24"/>
        </w:rPr>
        <w:t>t</w:t>
      </w:r>
      <w:r w:rsidRPr="00D90ED3">
        <w:rPr>
          <w:rFonts w:asciiTheme="majorBidi" w:hAnsiTheme="majorBidi" w:cstheme="majorBidi"/>
          <w:sz w:val="24"/>
          <w:szCs w:val="24"/>
        </w:rPr>
        <w:t>echnique</w:t>
      </w:r>
      <w:r>
        <w:rPr>
          <w:rFonts w:asciiTheme="majorBidi" w:hAnsiTheme="majorBidi" w:cstheme="majorBidi"/>
          <w:sz w:val="24"/>
          <w:szCs w:val="24"/>
        </w:rPr>
        <w:t>, i</w:t>
      </w:r>
      <w:r w:rsidRPr="00D90ED3">
        <w:rPr>
          <w:rFonts w:asciiTheme="majorBidi" w:hAnsiTheme="majorBidi" w:cstheme="majorBidi"/>
          <w:sz w:val="24"/>
          <w:szCs w:val="24"/>
        </w:rPr>
        <w:t xml:space="preserve">f the country </w:t>
      </w:r>
      <w:r>
        <w:rPr>
          <w:rFonts w:asciiTheme="majorBidi" w:hAnsiTheme="majorBidi" w:cstheme="majorBidi"/>
          <w:sz w:val="24"/>
          <w:szCs w:val="24"/>
        </w:rPr>
        <w:t xml:space="preserve">where the bank operates </w:t>
      </w:r>
      <w:r w:rsidRPr="00D90ED3">
        <w:rPr>
          <w:rFonts w:asciiTheme="majorBidi" w:hAnsiTheme="majorBidi" w:cstheme="majorBidi"/>
          <w:sz w:val="24"/>
          <w:szCs w:val="24"/>
        </w:rPr>
        <w:t>is small</w:t>
      </w:r>
      <w:r>
        <w:rPr>
          <w:rFonts w:asciiTheme="majorBidi" w:hAnsiTheme="majorBidi" w:cstheme="majorBidi"/>
          <w:sz w:val="24"/>
          <w:szCs w:val="24"/>
        </w:rPr>
        <w:t xml:space="preserve"> or its capital is weak or constrained.</w:t>
      </w:r>
      <w:r w:rsidRPr="00D90ED3">
        <w:rPr>
          <w:rFonts w:asciiTheme="majorBidi" w:hAnsiTheme="majorBidi" w:cstheme="majorBidi"/>
          <w:sz w:val="24"/>
          <w:szCs w:val="24"/>
        </w:rPr>
        <w:t xml:space="preserve"> </w:t>
      </w:r>
      <w:r w:rsidR="00751AFC" w:rsidRPr="00D90ED3">
        <w:rPr>
          <w:rFonts w:asciiTheme="majorBidi" w:hAnsiTheme="majorBidi" w:cstheme="majorBidi"/>
          <w:sz w:val="24"/>
          <w:szCs w:val="24"/>
        </w:rPr>
        <w:t xml:space="preserve">Since Palestine is a small country and Palestinian banks </w:t>
      </w:r>
      <w:r w:rsidR="00751AFC">
        <w:rPr>
          <w:rFonts w:asciiTheme="majorBidi" w:hAnsiTheme="majorBidi" w:cstheme="majorBidi"/>
          <w:sz w:val="24"/>
          <w:szCs w:val="24"/>
        </w:rPr>
        <w:t>do</w:t>
      </w:r>
      <w:r w:rsidR="00751AFC" w:rsidRPr="00D90ED3">
        <w:rPr>
          <w:rFonts w:asciiTheme="majorBidi" w:hAnsiTheme="majorBidi" w:cstheme="majorBidi"/>
          <w:sz w:val="24"/>
          <w:szCs w:val="24"/>
        </w:rPr>
        <w:t xml:space="preserve"> </w:t>
      </w:r>
      <w:r w:rsidR="007A26D0" w:rsidRPr="00D90ED3">
        <w:rPr>
          <w:rFonts w:asciiTheme="majorBidi" w:hAnsiTheme="majorBidi" w:cstheme="majorBidi"/>
          <w:sz w:val="24"/>
          <w:szCs w:val="24"/>
        </w:rPr>
        <w:t xml:space="preserve">not </w:t>
      </w:r>
      <w:r w:rsidR="007A26D0">
        <w:rPr>
          <w:rFonts w:asciiTheme="majorBidi" w:hAnsiTheme="majorBidi" w:cstheme="majorBidi"/>
          <w:sz w:val="24"/>
          <w:szCs w:val="24"/>
        </w:rPr>
        <w:t>have</w:t>
      </w:r>
      <w:r w:rsidR="00751AFC">
        <w:rPr>
          <w:rFonts w:asciiTheme="majorBidi" w:hAnsiTheme="majorBidi" w:cstheme="majorBidi"/>
          <w:sz w:val="24"/>
          <w:szCs w:val="24"/>
        </w:rPr>
        <w:t xml:space="preserve"> </w:t>
      </w:r>
      <w:r w:rsidR="007A26D0">
        <w:rPr>
          <w:rFonts w:asciiTheme="majorBidi" w:hAnsiTheme="majorBidi" w:cstheme="majorBidi"/>
          <w:sz w:val="24"/>
          <w:szCs w:val="24"/>
        </w:rPr>
        <w:t xml:space="preserve">strong </w:t>
      </w:r>
      <w:r w:rsidR="007A26D0" w:rsidRPr="00D90ED3">
        <w:rPr>
          <w:rFonts w:asciiTheme="majorBidi" w:hAnsiTheme="majorBidi" w:cstheme="majorBidi"/>
          <w:sz w:val="24"/>
          <w:szCs w:val="24"/>
        </w:rPr>
        <w:t>capital</w:t>
      </w:r>
      <w:r w:rsidR="00751AFC" w:rsidRPr="00D90ED3">
        <w:rPr>
          <w:rFonts w:asciiTheme="majorBidi" w:hAnsiTheme="majorBidi" w:cstheme="majorBidi"/>
          <w:sz w:val="24"/>
          <w:szCs w:val="24"/>
        </w:rPr>
        <w:t xml:space="preserve">, </w:t>
      </w:r>
      <w:r w:rsidR="00751AFC">
        <w:rPr>
          <w:rFonts w:asciiTheme="majorBidi" w:hAnsiTheme="majorBidi" w:cstheme="majorBidi"/>
          <w:sz w:val="24"/>
          <w:szCs w:val="24"/>
        </w:rPr>
        <w:t xml:space="preserve">the researcher </w:t>
      </w:r>
      <w:r w:rsidR="007A26D0">
        <w:rPr>
          <w:rFonts w:asciiTheme="majorBidi" w:hAnsiTheme="majorBidi" w:cstheme="majorBidi"/>
          <w:sz w:val="24"/>
          <w:szCs w:val="24"/>
        </w:rPr>
        <w:t xml:space="preserve">has </w:t>
      </w:r>
      <w:r w:rsidR="007A26D0" w:rsidRPr="00D90ED3">
        <w:rPr>
          <w:rFonts w:asciiTheme="majorBidi" w:hAnsiTheme="majorBidi" w:cstheme="majorBidi"/>
          <w:sz w:val="24"/>
          <w:szCs w:val="24"/>
        </w:rPr>
        <w:t>focused</w:t>
      </w:r>
      <w:r w:rsidR="00751AFC" w:rsidRPr="00D90ED3">
        <w:rPr>
          <w:rFonts w:asciiTheme="majorBidi" w:hAnsiTheme="majorBidi" w:cstheme="majorBidi"/>
          <w:sz w:val="24"/>
          <w:szCs w:val="24"/>
        </w:rPr>
        <w:t xml:space="preserve"> </w:t>
      </w:r>
      <w:r w:rsidR="00751AFC">
        <w:rPr>
          <w:rFonts w:asciiTheme="majorBidi" w:hAnsiTheme="majorBidi" w:cstheme="majorBidi"/>
          <w:sz w:val="24"/>
          <w:szCs w:val="24"/>
        </w:rPr>
        <w:t xml:space="preserve">on bank’s diversification of its income (activity mix). In other words, the concentration </w:t>
      </w:r>
      <w:r w:rsidR="007A26D0">
        <w:rPr>
          <w:rFonts w:asciiTheme="majorBidi" w:hAnsiTheme="majorBidi" w:cstheme="majorBidi"/>
          <w:sz w:val="24"/>
          <w:szCs w:val="24"/>
        </w:rPr>
        <w:t>was on</w:t>
      </w:r>
      <w:r w:rsidR="00751AFC">
        <w:rPr>
          <w:rFonts w:asciiTheme="majorBidi" w:hAnsiTheme="majorBidi" w:cstheme="majorBidi"/>
          <w:sz w:val="24"/>
          <w:szCs w:val="24"/>
        </w:rPr>
        <w:t xml:space="preserve"> non-traditional activities (fee-based services).</w:t>
      </w:r>
      <w:r w:rsidR="00E972BF" w:rsidRPr="00E972BF">
        <w:rPr>
          <w:rFonts w:ascii="Times New Roman" w:hAnsi="Times New Roman" w:cs="Times New Roman"/>
          <w:color w:val="000000" w:themeColor="text1"/>
          <w:sz w:val="24"/>
          <w:szCs w:val="24"/>
        </w:rPr>
        <w:t xml:space="preserve"> </w:t>
      </w:r>
      <w:r w:rsidR="00E972BF">
        <w:rPr>
          <w:rFonts w:ascii="Times New Roman" w:hAnsi="Times New Roman" w:cs="Times New Roman"/>
          <w:color w:val="000000" w:themeColor="text1"/>
          <w:sz w:val="24"/>
          <w:szCs w:val="24"/>
        </w:rPr>
        <w:t xml:space="preserve">The diversity of bank’s activities is considered an important indicator of the whole risk level performed by the bank, since various sources of return are </w:t>
      </w:r>
      <w:r w:rsidR="00E972BF" w:rsidRPr="007E541D">
        <w:rPr>
          <w:rFonts w:asciiTheme="majorBidi" w:hAnsiTheme="majorBidi" w:cstheme="majorBidi"/>
          <w:sz w:val="24"/>
          <w:szCs w:val="24"/>
        </w:rPr>
        <w:t>characterized by different</w:t>
      </w:r>
      <w:r w:rsidR="00E972BF">
        <w:rPr>
          <w:rFonts w:asciiTheme="majorBidi" w:hAnsiTheme="majorBidi" w:cstheme="majorBidi"/>
          <w:sz w:val="24"/>
          <w:szCs w:val="24"/>
        </w:rPr>
        <w:t xml:space="preserve"> levels of credit risks.</w:t>
      </w:r>
    </w:p>
    <w:p w:rsidR="00751AFC" w:rsidRPr="00EA3D3B" w:rsidRDefault="00883074" w:rsidP="00EA3D3B">
      <w:pPr>
        <w:autoSpaceDE w:val="0"/>
        <w:autoSpaceDN w:val="0"/>
        <w:adjustRightInd w:val="0"/>
        <w:spacing w:after="0" w:line="360" w:lineRule="auto"/>
        <w:contextualSpacing/>
        <w:jc w:val="both"/>
        <w:rPr>
          <w:rFonts w:asciiTheme="majorBidi" w:hAnsiTheme="majorBidi" w:cstheme="majorBidi"/>
          <w:bCs/>
          <w:color w:val="000000"/>
          <w:sz w:val="24"/>
          <w:szCs w:val="24"/>
        </w:rPr>
      </w:pPr>
      <w:r>
        <w:rPr>
          <w:rFonts w:asciiTheme="majorBidi" w:hAnsiTheme="majorBidi" w:cstheme="majorBidi"/>
          <w:sz w:val="24"/>
          <w:szCs w:val="24"/>
        </w:rPr>
        <w:t>The</w:t>
      </w:r>
      <w:r w:rsidR="00751AFC">
        <w:rPr>
          <w:rFonts w:asciiTheme="majorBidi" w:hAnsiTheme="majorBidi" w:cstheme="majorBidi"/>
          <w:sz w:val="24"/>
          <w:szCs w:val="24"/>
        </w:rPr>
        <w:t xml:space="preserve"> ratio </w:t>
      </w:r>
      <w:r w:rsidR="00751AFC" w:rsidRPr="009722E0">
        <w:rPr>
          <w:rFonts w:asciiTheme="majorBidi" w:hAnsiTheme="majorBidi" w:cstheme="majorBidi"/>
          <w:sz w:val="24"/>
          <w:szCs w:val="24"/>
        </w:rPr>
        <w:t xml:space="preserve">of non-interest income to total </w:t>
      </w:r>
      <w:r w:rsidR="007A26D0" w:rsidRPr="009722E0">
        <w:rPr>
          <w:rFonts w:asciiTheme="majorBidi" w:hAnsiTheme="majorBidi" w:cstheme="majorBidi"/>
          <w:sz w:val="24"/>
          <w:szCs w:val="24"/>
        </w:rPr>
        <w:t>income</w:t>
      </w:r>
      <w:r w:rsidR="007A26D0">
        <w:rPr>
          <w:rFonts w:asciiTheme="majorBidi" w:hAnsiTheme="majorBidi" w:cstheme="majorBidi"/>
          <w:sz w:val="24"/>
          <w:szCs w:val="24"/>
        </w:rPr>
        <w:t xml:space="preserve"> (</w:t>
      </w:r>
      <w:r w:rsidR="00E972BF">
        <w:rPr>
          <w:rFonts w:asciiTheme="majorBidi" w:hAnsiTheme="majorBidi" w:cstheme="majorBidi"/>
          <w:sz w:val="24"/>
          <w:szCs w:val="24"/>
        </w:rPr>
        <w:t>NIDR) was used as an</w:t>
      </w:r>
      <w:r w:rsidR="00751AFC">
        <w:rPr>
          <w:rFonts w:asciiTheme="majorBidi" w:hAnsiTheme="majorBidi" w:cstheme="majorBidi"/>
          <w:sz w:val="24"/>
          <w:szCs w:val="24"/>
        </w:rPr>
        <w:t xml:space="preserve"> indicator of activity </w:t>
      </w:r>
      <w:r w:rsidR="001558CF">
        <w:rPr>
          <w:rFonts w:asciiTheme="majorBidi" w:hAnsiTheme="majorBidi" w:cstheme="majorBidi"/>
          <w:sz w:val="24"/>
          <w:szCs w:val="24"/>
        </w:rPr>
        <w:t>mix. Therefore</w:t>
      </w:r>
      <w:r w:rsidR="00751AFC">
        <w:rPr>
          <w:rFonts w:asciiTheme="majorBidi" w:hAnsiTheme="majorBidi" w:cstheme="majorBidi"/>
          <w:sz w:val="24"/>
          <w:szCs w:val="24"/>
        </w:rPr>
        <w:t xml:space="preserve">, </w:t>
      </w:r>
      <w:r w:rsidR="007A26D0">
        <w:rPr>
          <w:rFonts w:asciiTheme="majorBidi" w:hAnsiTheme="majorBidi" w:cstheme="majorBidi"/>
          <w:sz w:val="24"/>
          <w:szCs w:val="24"/>
        </w:rPr>
        <w:t>the NIDR</w:t>
      </w:r>
      <w:r w:rsidR="00751AFC">
        <w:rPr>
          <w:rFonts w:asciiTheme="majorBidi" w:hAnsiTheme="majorBidi" w:cstheme="majorBidi"/>
          <w:sz w:val="24"/>
          <w:szCs w:val="24"/>
        </w:rPr>
        <w:t xml:space="preserve"> </w:t>
      </w:r>
      <w:r w:rsidR="007A26D0">
        <w:rPr>
          <w:rFonts w:asciiTheme="majorBidi" w:hAnsiTheme="majorBidi" w:cstheme="majorBidi"/>
          <w:sz w:val="24"/>
          <w:szCs w:val="24"/>
          <w:shd w:val="clear" w:color="auto" w:fill="FFFFFF"/>
        </w:rPr>
        <w:t>was used</w:t>
      </w:r>
      <w:r w:rsidR="00751AFC">
        <w:rPr>
          <w:rFonts w:asciiTheme="majorBidi" w:hAnsiTheme="majorBidi" w:cstheme="majorBidi"/>
          <w:sz w:val="24"/>
          <w:szCs w:val="24"/>
          <w:shd w:val="clear" w:color="auto" w:fill="FFFFFF"/>
        </w:rPr>
        <w:t xml:space="preserve"> as proxy of diversification.</w:t>
      </w:r>
    </w:p>
    <w:p w:rsidR="009F1144" w:rsidRDefault="00751AFC" w:rsidP="009F1144">
      <w:pPr>
        <w:spacing w:line="360" w:lineRule="auto"/>
        <w:rPr>
          <w:rFonts w:asciiTheme="majorBidi" w:hAnsiTheme="majorBidi" w:cstheme="majorBidi"/>
          <w:sz w:val="24"/>
          <w:szCs w:val="24"/>
          <w:lang w:bidi="ar-JO"/>
        </w:rPr>
      </w:pPr>
      <w:r w:rsidRPr="009722E0">
        <w:rPr>
          <w:rFonts w:asciiTheme="majorBidi" w:hAnsiTheme="majorBidi" w:cstheme="majorBidi"/>
          <w:sz w:val="24"/>
          <w:szCs w:val="24"/>
        </w:rPr>
        <w:t xml:space="preserve">NIDR </w:t>
      </w:r>
      <w:r>
        <w:rPr>
          <w:rFonts w:asciiTheme="majorBidi" w:hAnsiTheme="majorBidi" w:cstheme="majorBidi"/>
          <w:sz w:val="24"/>
          <w:szCs w:val="24"/>
        </w:rPr>
        <w:t>r</w:t>
      </w:r>
      <w:r w:rsidRPr="009722E0">
        <w:rPr>
          <w:rFonts w:asciiTheme="majorBidi" w:hAnsiTheme="majorBidi" w:cstheme="majorBidi"/>
          <w:sz w:val="24"/>
          <w:szCs w:val="24"/>
        </w:rPr>
        <w:t>atio:</w:t>
      </w:r>
      <w:r w:rsidRPr="007E541D">
        <w:rPr>
          <w:rFonts w:asciiTheme="majorBidi" w:hAnsiTheme="majorBidi" w:cstheme="majorBidi"/>
          <w:b/>
          <w:bCs/>
          <w:sz w:val="24"/>
          <w:szCs w:val="24"/>
        </w:rPr>
        <w:t xml:space="preserve"> </w:t>
      </w:r>
      <w:r w:rsidRPr="00751AFC">
        <w:rPr>
          <w:rFonts w:asciiTheme="majorBidi" w:hAnsiTheme="majorBidi" w:cstheme="majorBidi"/>
          <w:sz w:val="24"/>
          <w:szCs w:val="24"/>
        </w:rPr>
        <w:t>This ratio</w:t>
      </w:r>
      <w:r w:rsidR="00EA3D3B" w:rsidRPr="00EA3D3B">
        <w:rPr>
          <w:rFonts w:asciiTheme="majorBidi" w:eastAsia="Times New Roman" w:hAnsiTheme="majorBidi" w:cstheme="majorBidi"/>
          <w:sz w:val="24"/>
          <w:szCs w:val="24"/>
        </w:rPr>
        <w:t xml:space="preserve"> </w:t>
      </w:r>
      <w:r w:rsidR="00EA3D3B">
        <w:rPr>
          <w:rFonts w:asciiTheme="majorBidi" w:eastAsia="Times New Roman" w:hAnsiTheme="majorBidi" w:cstheme="majorBidi"/>
          <w:sz w:val="24"/>
          <w:szCs w:val="24"/>
        </w:rPr>
        <w:t>measures the rate of non-interest income as a share from the bank's total income (such as fees and commissions)</w:t>
      </w:r>
      <w:r w:rsidR="00EA3D3B">
        <w:rPr>
          <w:rFonts w:asciiTheme="majorBidi" w:hAnsiTheme="majorBidi" w:cstheme="majorBidi"/>
          <w:sz w:val="24"/>
          <w:szCs w:val="24"/>
          <w:lang w:bidi="ar-JO"/>
        </w:rPr>
        <w:t>.</w:t>
      </w:r>
      <w:r w:rsidRPr="00751AFC">
        <w:rPr>
          <w:rFonts w:asciiTheme="majorBidi" w:hAnsiTheme="majorBidi" w:cstheme="majorBidi"/>
          <w:sz w:val="24"/>
          <w:szCs w:val="24"/>
        </w:rPr>
        <w:t xml:space="preserve"> </w:t>
      </w:r>
      <w:r w:rsidRPr="007E541D">
        <w:rPr>
          <w:rFonts w:asciiTheme="majorBidi" w:hAnsiTheme="majorBidi" w:cstheme="majorBidi"/>
          <w:sz w:val="24"/>
          <w:szCs w:val="24"/>
        </w:rPr>
        <w:t xml:space="preserve">Although fee-based services add income to banks, those services in general generate </w:t>
      </w:r>
      <w:r w:rsidR="007A26D0" w:rsidRPr="007E541D">
        <w:rPr>
          <w:rFonts w:asciiTheme="majorBidi" w:hAnsiTheme="majorBidi" w:cstheme="majorBidi"/>
          <w:sz w:val="24"/>
          <w:szCs w:val="24"/>
        </w:rPr>
        <w:t>less profit</w:t>
      </w:r>
      <w:r w:rsidR="00201EC3">
        <w:rPr>
          <w:rFonts w:asciiTheme="majorBidi" w:hAnsiTheme="majorBidi" w:cstheme="majorBidi"/>
          <w:sz w:val="24"/>
          <w:szCs w:val="24"/>
        </w:rPr>
        <w:t xml:space="preserve"> when compared to loans. </w:t>
      </w:r>
      <w:r w:rsidR="00201EC3">
        <w:rPr>
          <w:rFonts w:asciiTheme="majorBidi" w:hAnsiTheme="majorBidi" w:cstheme="majorBidi"/>
          <w:sz w:val="24"/>
          <w:szCs w:val="24"/>
          <w:lang w:bidi="ar-JO"/>
        </w:rPr>
        <w:t>When banks depend largely on non-interest income services, bank's profitability may</w:t>
      </w:r>
      <w:r w:rsidRPr="007E541D">
        <w:rPr>
          <w:rFonts w:asciiTheme="majorBidi" w:hAnsiTheme="majorBidi" w:cstheme="majorBidi"/>
          <w:sz w:val="24"/>
          <w:szCs w:val="24"/>
        </w:rPr>
        <w:t xml:space="preserve"> decline. Therefore, the ratio is expected to have a negative effect on profitability</w:t>
      </w:r>
      <w:r>
        <w:rPr>
          <w:rFonts w:asciiTheme="majorBidi" w:hAnsiTheme="majorBidi" w:cstheme="majorBidi"/>
          <w:sz w:val="24"/>
          <w:szCs w:val="24"/>
        </w:rPr>
        <w:t>.</w:t>
      </w:r>
    </w:p>
    <w:p w:rsidR="00F51EFE" w:rsidRPr="009F1144" w:rsidRDefault="00751AFC" w:rsidP="009F1144">
      <w:pPr>
        <w:spacing w:line="360" w:lineRule="auto"/>
        <w:rPr>
          <w:rFonts w:asciiTheme="majorBidi" w:hAnsiTheme="majorBidi" w:cstheme="majorBidi"/>
          <w:sz w:val="24"/>
          <w:szCs w:val="24"/>
          <w:lang w:bidi="ar-JO"/>
        </w:rPr>
      </w:pPr>
      <w:r w:rsidRPr="00A32112">
        <w:rPr>
          <w:rFonts w:asciiTheme="majorBidi" w:hAnsiTheme="majorBidi" w:cstheme="majorBidi"/>
          <w:b/>
          <w:bCs/>
        </w:rPr>
        <w:lastRenderedPageBreak/>
        <w:t xml:space="preserve">NIDR </w:t>
      </w:r>
      <w:r w:rsidRPr="00A32112">
        <w:rPr>
          <w:rFonts w:asciiTheme="majorBidi" w:eastAsia="Times New Roman" w:hAnsiTheme="majorBidi" w:cstheme="majorBidi"/>
          <w:b/>
          <w:bCs/>
        </w:rPr>
        <w:t>=</w:t>
      </w:r>
      <w:r w:rsidRPr="00A32112">
        <w:rPr>
          <w:rFonts w:asciiTheme="majorBidi" w:eastAsia="Times New Roman" w:hAnsiTheme="majorBidi" w:cstheme="majorBidi"/>
        </w:rPr>
        <w:t xml:space="preserve"> </w:t>
      </w:r>
      <w:r w:rsidRPr="00A32112">
        <w:rPr>
          <w:rFonts w:asciiTheme="majorBidi" w:eastAsia="Times New Roman" w:hAnsiTheme="majorBidi" w:cstheme="majorBidi"/>
          <w:b/>
          <w:bCs/>
        </w:rPr>
        <w:t>(Total Income - Interest Income) / Total Income</w:t>
      </w:r>
    </w:p>
    <w:p w:rsidR="00112402" w:rsidRPr="00751AFC" w:rsidRDefault="00BA3A6E" w:rsidP="00751AFC">
      <w:pPr>
        <w:autoSpaceDE w:val="0"/>
        <w:autoSpaceDN w:val="0"/>
        <w:adjustRightInd w:val="0"/>
        <w:spacing w:after="0" w:line="360" w:lineRule="auto"/>
        <w:rPr>
          <w:rFonts w:asciiTheme="majorBidi" w:hAnsiTheme="majorBidi" w:cstheme="majorBidi"/>
          <w:b/>
          <w:bCs/>
          <w:color w:val="000000" w:themeColor="text1"/>
          <w:sz w:val="24"/>
          <w:szCs w:val="24"/>
        </w:rPr>
      </w:pPr>
      <w:r>
        <w:rPr>
          <w:rFonts w:asciiTheme="majorBidi" w:hAnsiTheme="majorBidi" w:cstheme="majorBidi"/>
          <w:b/>
          <w:bCs/>
          <w:sz w:val="24"/>
          <w:szCs w:val="24"/>
        </w:rPr>
        <w:t>E</w:t>
      </w:r>
      <w:r w:rsidR="00ED5F92">
        <w:rPr>
          <w:rFonts w:asciiTheme="majorBidi" w:hAnsiTheme="majorBidi" w:cstheme="majorBidi"/>
          <w:b/>
          <w:bCs/>
          <w:sz w:val="24"/>
          <w:szCs w:val="24"/>
        </w:rPr>
        <w:t>. Operational</w:t>
      </w:r>
      <w:r w:rsidR="00751AFC">
        <w:rPr>
          <w:rFonts w:asciiTheme="majorBidi" w:hAnsiTheme="majorBidi" w:cstheme="majorBidi"/>
          <w:b/>
          <w:bCs/>
          <w:sz w:val="24"/>
          <w:szCs w:val="24"/>
        </w:rPr>
        <w:t xml:space="preserve"> Cost</w:t>
      </w:r>
      <w:r w:rsidR="00112402">
        <w:rPr>
          <w:rFonts w:asciiTheme="majorBidi" w:hAnsiTheme="majorBidi" w:cstheme="majorBidi"/>
          <w:b/>
          <w:bCs/>
          <w:sz w:val="24"/>
          <w:szCs w:val="24"/>
        </w:rPr>
        <w:t xml:space="preserve"> Efficiency</w:t>
      </w:r>
    </w:p>
    <w:p w:rsidR="00F75372" w:rsidRPr="007F6087" w:rsidRDefault="00CB6F65" w:rsidP="00F75372">
      <w:pPr>
        <w:autoSpaceDE w:val="0"/>
        <w:autoSpaceDN w:val="0"/>
        <w:adjustRightInd w:val="0"/>
        <w:spacing w:after="0" w:line="360" w:lineRule="auto"/>
        <w:jc w:val="both"/>
        <w:rPr>
          <w:rFonts w:ascii="Times New Roman" w:hAnsi="Times New Roman" w:cs="Times New Roman"/>
          <w:color w:val="000000" w:themeColor="text1"/>
          <w:sz w:val="24"/>
          <w:szCs w:val="24"/>
        </w:rPr>
      </w:pPr>
      <w:r w:rsidRPr="00CB6F65">
        <w:rPr>
          <w:rFonts w:asciiTheme="majorBidi" w:hAnsiTheme="majorBidi" w:cstheme="majorBidi"/>
          <w:sz w:val="24"/>
          <w:szCs w:val="24"/>
        </w:rPr>
        <w:t xml:space="preserve"> </w:t>
      </w:r>
      <w:r w:rsidR="00F75372">
        <w:rPr>
          <w:rFonts w:ascii="Times New Roman" w:hAnsi="Times New Roman" w:cs="Times New Roman"/>
          <w:color w:val="000000" w:themeColor="text1"/>
          <w:sz w:val="24"/>
          <w:szCs w:val="24"/>
        </w:rPr>
        <w:t>A major contributor to insufficient level of profitability is a weak or poor expense management</w:t>
      </w:r>
    </w:p>
    <w:p w:rsidR="00F75372" w:rsidRPr="007F6087" w:rsidRDefault="00F75372" w:rsidP="00F75372">
      <w:pPr>
        <w:autoSpaceDE w:val="0"/>
        <w:autoSpaceDN w:val="0"/>
        <w:adjustRightInd w:val="0"/>
        <w:spacing w:after="0" w:line="360" w:lineRule="auto"/>
        <w:jc w:val="both"/>
        <w:rPr>
          <w:rFonts w:ascii="Times New Roman" w:hAnsi="Times New Roman" w:cs="Times New Roman"/>
          <w:color w:val="000000" w:themeColor="text1"/>
          <w:sz w:val="24"/>
          <w:szCs w:val="24"/>
        </w:rPr>
      </w:pPr>
      <w:r w:rsidRPr="00CB6F65">
        <w:rPr>
          <w:rFonts w:asciiTheme="majorBidi" w:hAnsiTheme="majorBidi" w:cstheme="majorBidi"/>
          <w:sz w:val="24"/>
          <w:szCs w:val="24"/>
        </w:rPr>
        <w:t xml:space="preserve"> </w:t>
      </w:r>
      <w:r w:rsidR="009F1144">
        <w:rPr>
          <w:rFonts w:asciiTheme="majorBidi" w:hAnsiTheme="majorBidi" w:cstheme="majorBidi"/>
          <w:sz w:val="24"/>
          <w:szCs w:val="24"/>
        </w:rPr>
        <w:t xml:space="preserve">(Sufian and Chong, </w:t>
      </w:r>
      <w:r w:rsidR="00EC770A">
        <w:rPr>
          <w:rFonts w:asciiTheme="majorBidi" w:hAnsiTheme="majorBidi" w:cstheme="majorBidi"/>
          <w:sz w:val="24"/>
          <w:szCs w:val="24"/>
        </w:rPr>
        <w:t xml:space="preserve"> </w:t>
      </w:r>
      <w:r w:rsidR="006B7F55">
        <w:rPr>
          <w:rFonts w:asciiTheme="majorBidi" w:hAnsiTheme="majorBidi" w:cstheme="majorBidi"/>
          <w:sz w:val="24"/>
          <w:szCs w:val="24"/>
        </w:rPr>
        <w:t xml:space="preserve"> </w:t>
      </w:r>
      <w:r w:rsidR="00CB6F65" w:rsidRPr="00CB6F65">
        <w:rPr>
          <w:rFonts w:asciiTheme="majorBidi" w:hAnsiTheme="majorBidi" w:cstheme="majorBidi"/>
          <w:sz w:val="24"/>
          <w:szCs w:val="24"/>
        </w:rPr>
        <w:t>2008). In the literature on bank performance, operational expense efficiency is usually used to assess managerial efficiency in banks.</w:t>
      </w:r>
      <w:r w:rsidRPr="00F75372">
        <w:rPr>
          <w:rFonts w:asciiTheme="majorBidi" w:hAnsiTheme="majorBidi" w:cstheme="majorBidi"/>
          <w:sz w:val="24"/>
          <w:szCs w:val="24"/>
        </w:rPr>
        <w:t xml:space="preserve"> </w:t>
      </w:r>
      <w:r>
        <w:rPr>
          <w:rFonts w:asciiTheme="majorBidi" w:hAnsiTheme="majorBidi" w:cstheme="majorBidi"/>
          <w:sz w:val="24"/>
          <w:szCs w:val="24"/>
        </w:rPr>
        <w:t xml:space="preserve">One of the significant and major objectives for bank’s management is the efficiency </w:t>
      </w:r>
      <w:r w:rsidRPr="00385279">
        <w:rPr>
          <w:rFonts w:asciiTheme="majorBidi" w:hAnsiTheme="majorBidi" w:cstheme="majorBidi"/>
          <w:sz w:val="24"/>
          <w:szCs w:val="24"/>
        </w:rPr>
        <w:t>and effective</w:t>
      </w:r>
      <w:r>
        <w:rPr>
          <w:rFonts w:asciiTheme="majorBidi" w:hAnsiTheme="majorBidi" w:cstheme="majorBidi"/>
          <w:sz w:val="24"/>
          <w:szCs w:val="24"/>
        </w:rPr>
        <w:t>ness of</w:t>
      </w:r>
      <w:r w:rsidRPr="00385279">
        <w:rPr>
          <w:rFonts w:asciiTheme="majorBidi" w:hAnsiTheme="majorBidi" w:cstheme="majorBidi"/>
          <w:sz w:val="24"/>
          <w:szCs w:val="24"/>
        </w:rPr>
        <w:t xml:space="preserve"> utilization </w:t>
      </w:r>
      <w:r>
        <w:rPr>
          <w:rFonts w:asciiTheme="majorBidi" w:hAnsiTheme="majorBidi" w:cstheme="majorBidi"/>
          <w:sz w:val="24"/>
          <w:szCs w:val="24"/>
        </w:rPr>
        <w:t>of resources.</w:t>
      </w:r>
    </w:p>
    <w:p w:rsidR="00112402" w:rsidRPr="008656EC" w:rsidRDefault="00F75372" w:rsidP="00F75372">
      <w:pPr>
        <w:spacing w:after="0" w:line="360" w:lineRule="auto"/>
        <w:jc w:val="both"/>
        <w:rPr>
          <w:rFonts w:ascii="Times New Roman" w:hAnsi="Times New Roman" w:cs="Times New Roman"/>
          <w:sz w:val="24"/>
          <w:szCs w:val="24"/>
        </w:rPr>
      </w:pPr>
      <w:r>
        <w:rPr>
          <w:rFonts w:asciiTheme="majorBidi" w:hAnsiTheme="majorBidi" w:cstheme="majorBidi"/>
          <w:sz w:val="24"/>
          <w:szCs w:val="24"/>
        </w:rPr>
        <w:t>In response to the increasing competition</w:t>
      </w:r>
      <w:r w:rsidR="00385279">
        <w:rPr>
          <w:rFonts w:asciiTheme="majorBidi" w:hAnsiTheme="majorBidi" w:cstheme="majorBidi"/>
          <w:sz w:val="24"/>
          <w:szCs w:val="24"/>
        </w:rPr>
        <w:t xml:space="preserve"> from nonbank institutions and from ban</w:t>
      </w:r>
      <w:r>
        <w:rPr>
          <w:rFonts w:asciiTheme="majorBidi" w:hAnsiTheme="majorBidi" w:cstheme="majorBidi"/>
          <w:sz w:val="24"/>
          <w:szCs w:val="24"/>
        </w:rPr>
        <w:t>ks expanding into new markets, banks should</w:t>
      </w:r>
      <w:r w:rsidR="00385279">
        <w:rPr>
          <w:rFonts w:asciiTheme="majorBidi" w:hAnsiTheme="majorBidi" w:cstheme="majorBidi"/>
          <w:sz w:val="24"/>
          <w:szCs w:val="24"/>
        </w:rPr>
        <w:t xml:space="preserve"> improve their return and to control </w:t>
      </w:r>
      <w:r w:rsidR="006B1803">
        <w:rPr>
          <w:rFonts w:asciiTheme="majorBidi" w:hAnsiTheme="majorBidi" w:cstheme="majorBidi"/>
          <w:sz w:val="24"/>
          <w:szCs w:val="24"/>
        </w:rPr>
        <w:t>costs.</w:t>
      </w:r>
      <w:r w:rsidR="006B1803" w:rsidRPr="000F34ED">
        <w:rPr>
          <w:rFonts w:asciiTheme="majorBidi" w:hAnsiTheme="majorBidi" w:cstheme="majorBidi"/>
          <w:sz w:val="24"/>
          <w:szCs w:val="24"/>
        </w:rPr>
        <w:t xml:space="preserve"> </w:t>
      </w:r>
      <w:r w:rsidR="008656EC">
        <w:rPr>
          <w:rFonts w:ascii="Times New Roman" w:hAnsi="Times New Roman" w:cs="Times New Roman"/>
          <w:sz w:val="24"/>
          <w:szCs w:val="24"/>
        </w:rPr>
        <w:t xml:space="preserve">The concept of efficiency had different meanings and definitions in the literate. The most common, seems to be cost efficiency management, which indicate to bank’s ability to avoid </w:t>
      </w:r>
      <w:r w:rsidR="008656EC" w:rsidRPr="008324C0">
        <w:rPr>
          <w:rFonts w:ascii="Times New Roman" w:hAnsi="Times New Roman" w:cs="Times New Roman"/>
          <w:sz w:val="24"/>
          <w:szCs w:val="24"/>
        </w:rPr>
        <w:t>dispensable</w:t>
      </w:r>
      <w:r w:rsidR="008656EC">
        <w:rPr>
          <w:rFonts w:ascii="Times New Roman" w:hAnsi="Times New Roman" w:cs="Times New Roman"/>
          <w:sz w:val="24"/>
          <w:szCs w:val="24"/>
        </w:rPr>
        <w:t xml:space="preserve"> costs</w:t>
      </w:r>
      <w:r w:rsidR="008656EC">
        <w:rPr>
          <w:rFonts w:asciiTheme="majorBidi" w:hAnsiTheme="majorBidi" w:cstheme="majorBidi"/>
          <w:sz w:val="24"/>
          <w:szCs w:val="24"/>
        </w:rPr>
        <w:t xml:space="preserve"> </w:t>
      </w:r>
      <w:r w:rsidR="000F34ED">
        <w:rPr>
          <w:rFonts w:asciiTheme="majorBidi" w:hAnsiTheme="majorBidi" w:cstheme="majorBidi"/>
          <w:sz w:val="24"/>
          <w:szCs w:val="24"/>
        </w:rPr>
        <w:t>(Weill, 2004).</w:t>
      </w:r>
      <w:r w:rsidR="000F34ED" w:rsidRPr="000F34ED">
        <w:rPr>
          <w:rFonts w:asciiTheme="majorBidi" w:hAnsiTheme="majorBidi" w:cstheme="majorBidi"/>
          <w:sz w:val="24"/>
          <w:szCs w:val="24"/>
        </w:rPr>
        <w:t xml:space="preserve"> This efficiency </w:t>
      </w:r>
      <w:r w:rsidR="000F34ED">
        <w:rPr>
          <w:rFonts w:asciiTheme="majorBidi" w:hAnsiTheme="majorBidi" w:cstheme="majorBidi"/>
          <w:sz w:val="24"/>
          <w:szCs w:val="24"/>
        </w:rPr>
        <w:t xml:space="preserve">concept has often been used as </w:t>
      </w:r>
      <w:r w:rsidR="000F34ED" w:rsidRPr="000F34ED">
        <w:rPr>
          <w:rFonts w:asciiTheme="majorBidi" w:hAnsiTheme="majorBidi" w:cstheme="majorBidi"/>
          <w:sz w:val="24"/>
          <w:szCs w:val="24"/>
        </w:rPr>
        <w:t>the only definition</w:t>
      </w:r>
      <w:r w:rsidR="000F34ED">
        <w:rPr>
          <w:rFonts w:asciiTheme="majorBidi" w:hAnsiTheme="majorBidi" w:cstheme="majorBidi"/>
          <w:sz w:val="24"/>
          <w:szCs w:val="24"/>
        </w:rPr>
        <w:t xml:space="preserve">. </w:t>
      </w:r>
      <w:r w:rsidR="000F34ED" w:rsidRPr="00DC66BA">
        <w:rPr>
          <w:rFonts w:asciiTheme="majorBidi" w:hAnsiTheme="majorBidi" w:cstheme="majorBidi"/>
          <w:color w:val="000000" w:themeColor="text1"/>
          <w:sz w:val="24"/>
          <w:szCs w:val="24"/>
          <w:lang w:bidi="ar-JO"/>
        </w:rPr>
        <w:t>This variable was measured th</w:t>
      </w:r>
      <w:r w:rsidR="00751AFC">
        <w:rPr>
          <w:rFonts w:asciiTheme="majorBidi" w:hAnsiTheme="majorBidi" w:cstheme="majorBidi"/>
          <w:color w:val="000000" w:themeColor="text1"/>
          <w:sz w:val="24"/>
          <w:szCs w:val="24"/>
          <w:lang w:bidi="ar-JO"/>
        </w:rPr>
        <w:t xml:space="preserve">rough financial ratios </w:t>
      </w:r>
      <w:r w:rsidR="000F34ED" w:rsidRPr="00DC66BA">
        <w:rPr>
          <w:rFonts w:asciiTheme="majorBidi" w:hAnsiTheme="majorBidi" w:cstheme="majorBidi"/>
          <w:color w:val="000000" w:themeColor="text1"/>
          <w:sz w:val="24"/>
          <w:szCs w:val="24"/>
          <w:lang w:bidi="ar-JO"/>
        </w:rPr>
        <w:t>available in the financial statem</w:t>
      </w:r>
      <w:r w:rsidR="00751AFC">
        <w:rPr>
          <w:rFonts w:asciiTheme="majorBidi" w:hAnsiTheme="majorBidi" w:cstheme="majorBidi"/>
          <w:color w:val="000000" w:themeColor="text1"/>
          <w:sz w:val="24"/>
          <w:szCs w:val="24"/>
          <w:lang w:bidi="ar-JO"/>
        </w:rPr>
        <w:t>ents of Palestinian commercial b</w:t>
      </w:r>
      <w:r w:rsidR="000F34ED" w:rsidRPr="00DC66BA">
        <w:rPr>
          <w:rFonts w:asciiTheme="majorBidi" w:hAnsiTheme="majorBidi" w:cstheme="majorBidi"/>
          <w:color w:val="000000" w:themeColor="text1"/>
          <w:sz w:val="24"/>
          <w:szCs w:val="24"/>
          <w:lang w:bidi="ar-JO"/>
        </w:rPr>
        <w:t>anks</w:t>
      </w:r>
      <w:r w:rsidR="000F34ED">
        <w:rPr>
          <w:rFonts w:asciiTheme="majorBidi" w:hAnsiTheme="majorBidi" w:cstheme="majorBidi"/>
          <w:color w:val="000000" w:themeColor="text1"/>
          <w:sz w:val="24"/>
          <w:szCs w:val="24"/>
          <w:lang w:bidi="ar-JO"/>
        </w:rPr>
        <w:t xml:space="preserve">. </w:t>
      </w:r>
      <w:r w:rsidR="007A26D0">
        <w:rPr>
          <w:rFonts w:asciiTheme="majorBidi" w:hAnsiTheme="majorBidi" w:cstheme="majorBidi"/>
          <w:sz w:val="24"/>
          <w:szCs w:val="24"/>
          <w:shd w:val="clear" w:color="auto" w:fill="FFFFFF"/>
        </w:rPr>
        <w:t xml:space="preserve">The ratio </w:t>
      </w:r>
      <w:r w:rsidR="000F34ED" w:rsidRPr="00EC0716">
        <w:rPr>
          <w:rFonts w:asciiTheme="majorBidi" w:hAnsiTheme="majorBidi" w:cstheme="majorBidi"/>
          <w:sz w:val="24"/>
          <w:szCs w:val="24"/>
          <w:shd w:val="clear" w:color="auto" w:fill="FFFFFF"/>
        </w:rPr>
        <w:t>of</w:t>
      </w:r>
      <w:r w:rsidR="00302060">
        <w:rPr>
          <w:rFonts w:asciiTheme="majorBidi" w:hAnsiTheme="majorBidi" w:cstheme="majorBidi"/>
          <w:sz w:val="24"/>
          <w:szCs w:val="24"/>
          <w:shd w:val="clear" w:color="auto" w:fill="FFFFFF"/>
        </w:rPr>
        <w:t xml:space="preserve"> N</w:t>
      </w:r>
      <w:r w:rsidR="000D1311">
        <w:rPr>
          <w:rFonts w:asciiTheme="majorBidi" w:hAnsiTheme="majorBidi" w:cstheme="majorBidi"/>
          <w:sz w:val="24"/>
          <w:szCs w:val="24"/>
          <w:shd w:val="clear" w:color="auto" w:fill="FFFFFF"/>
        </w:rPr>
        <w:t xml:space="preserve">on-interest expense divided by </w:t>
      </w:r>
      <w:r w:rsidR="000F34ED">
        <w:rPr>
          <w:rFonts w:asciiTheme="majorBidi" w:hAnsiTheme="majorBidi" w:cstheme="majorBidi"/>
          <w:sz w:val="24"/>
          <w:szCs w:val="24"/>
          <w:shd w:val="clear" w:color="auto" w:fill="FFFFFF"/>
        </w:rPr>
        <w:t xml:space="preserve">Net interest income plus </w:t>
      </w:r>
      <w:r w:rsidR="00431F8F">
        <w:rPr>
          <w:rFonts w:asciiTheme="majorBidi" w:hAnsiTheme="majorBidi" w:cstheme="majorBidi"/>
          <w:sz w:val="24"/>
          <w:szCs w:val="24"/>
          <w:shd w:val="clear" w:color="auto" w:fill="FFFFFF"/>
        </w:rPr>
        <w:t>Noninterest</w:t>
      </w:r>
      <w:r w:rsidR="00302060">
        <w:rPr>
          <w:rFonts w:asciiTheme="majorBidi" w:hAnsiTheme="majorBidi" w:cstheme="majorBidi"/>
          <w:sz w:val="24"/>
          <w:szCs w:val="24"/>
          <w:shd w:val="clear" w:color="auto" w:fill="FFFFFF"/>
        </w:rPr>
        <w:t xml:space="preserve"> income (OPNI) </w:t>
      </w:r>
      <w:r w:rsidR="00431F8F">
        <w:rPr>
          <w:rFonts w:asciiTheme="majorBidi" w:hAnsiTheme="majorBidi" w:cstheme="majorBidi"/>
          <w:sz w:val="24"/>
          <w:szCs w:val="24"/>
          <w:shd w:val="clear" w:color="auto" w:fill="FFFFFF"/>
        </w:rPr>
        <w:t>is expected to have a negative</w:t>
      </w:r>
      <w:r w:rsidR="00751AFC">
        <w:rPr>
          <w:rFonts w:asciiTheme="majorBidi" w:hAnsiTheme="majorBidi" w:cstheme="majorBidi"/>
          <w:sz w:val="24"/>
          <w:szCs w:val="24"/>
          <w:shd w:val="clear" w:color="auto" w:fill="FFFFFF"/>
        </w:rPr>
        <w:t xml:space="preserve"> significant effect on the</w:t>
      </w:r>
      <w:r w:rsidR="00431F8F">
        <w:rPr>
          <w:rFonts w:asciiTheme="majorBidi" w:hAnsiTheme="majorBidi" w:cstheme="majorBidi"/>
          <w:sz w:val="24"/>
          <w:szCs w:val="24"/>
          <w:shd w:val="clear" w:color="auto" w:fill="FFFFFF"/>
        </w:rPr>
        <w:t xml:space="preserve"> bank’s profitability, in whic</w:t>
      </w:r>
      <w:r w:rsidR="00751AFC">
        <w:rPr>
          <w:rFonts w:asciiTheme="majorBidi" w:hAnsiTheme="majorBidi" w:cstheme="majorBidi"/>
          <w:sz w:val="24"/>
          <w:szCs w:val="24"/>
          <w:shd w:val="clear" w:color="auto" w:fill="FFFFFF"/>
        </w:rPr>
        <w:t>h a lower ratio is the better for the</w:t>
      </w:r>
      <w:r w:rsidR="00431F8F">
        <w:rPr>
          <w:rFonts w:asciiTheme="majorBidi" w:hAnsiTheme="majorBidi" w:cstheme="majorBidi"/>
          <w:sz w:val="24"/>
          <w:szCs w:val="24"/>
          <w:shd w:val="clear" w:color="auto" w:fill="FFFFFF"/>
        </w:rPr>
        <w:t xml:space="preserve"> bank’s efficiency. </w:t>
      </w:r>
    </w:p>
    <w:p w:rsidR="008656EC" w:rsidRDefault="00431F8F" w:rsidP="00AD7619">
      <w:pPr>
        <w:autoSpaceDE w:val="0"/>
        <w:autoSpaceDN w:val="0"/>
        <w:adjustRightInd w:val="0"/>
        <w:spacing w:after="0" w:line="360" w:lineRule="auto"/>
        <w:rPr>
          <w:rFonts w:asciiTheme="majorBidi" w:hAnsiTheme="majorBidi" w:cstheme="majorBidi"/>
          <w:b/>
          <w:bCs/>
          <w:shd w:val="clear" w:color="auto" w:fill="FFFFFF"/>
        </w:rPr>
      </w:pPr>
      <w:r w:rsidRPr="00431F8F">
        <w:rPr>
          <w:rFonts w:asciiTheme="majorBidi" w:hAnsiTheme="majorBidi" w:cstheme="majorBidi"/>
          <w:b/>
          <w:bCs/>
          <w:shd w:val="clear" w:color="auto" w:fill="FFFFFF"/>
        </w:rPr>
        <w:t xml:space="preserve">OPNI= </w:t>
      </w:r>
      <w:r w:rsidR="00751AFC">
        <w:rPr>
          <w:rFonts w:asciiTheme="majorBidi" w:hAnsiTheme="majorBidi" w:cstheme="majorBidi"/>
          <w:b/>
          <w:bCs/>
        </w:rPr>
        <w:t xml:space="preserve">Non- Interest Expense </w:t>
      </w:r>
      <w:r w:rsidR="00C7681F">
        <w:rPr>
          <w:rFonts w:asciiTheme="majorBidi" w:hAnsiTheme="majorBidi" w:cstheme="majorBidi"/>
          <w:b/>
          <w:bCs/>
        </w:rPr>
        <w:t>/ (</w:t>
      </w:r>
      <w:r w:rsidR="00C7681F" w:rsidRPr="00431F8F">
        <w:rPr>
          <w:rFonts w:asciiTheme="majorBidi" w:hAnsiTheme="majorBidi" w:cstheme="majorBidi"/>
          <w:b/>
          <w:bCs/>
        </w:rPr>
        <w:t>Net</w:t>
      </w:r>
      <w:r w:rsidRPr="00431F8F">
        <w:rPr>
          <w:rFonts w:asciiTheme="majorBidi" w:hAnsiTheme="majorBidi" w:cstheme="majorBidi"/>
          <w:b/>
          <w:bCs/>
        </w:rPr>
        <w:t xml:space="preserve"> Interest Income + Noninterest income</w:t>
      </w:r>
      <w:r w:rsidR="002F6F71">
        <w:rPr>
          <w:rFonts w:asciiTheme="majorBidi" w:hAnsiTheme="majorBidi" w:cstheme="majorBidi"/>
          <w:b/>
          <w:bCs/>
        </w:rPr>
        <w:t>)</w:t>
      </w:r>
    </w:p>
    <w:p w:rsidR="004829D6" w:rsidRPr="00502966" w:rsidRDefault="004829D6" w:rsidP="00AD7619">
      <w:pPr>
        <w:autoSpaceDE w:val="0"/>
        <w:autoSpaceDN w:val="0"/>
        <w:adjustRightInd w:val="0"/>
        <w:spacing w:after="0" w:line="360" w:lineRule="auto"/>
        <w:rPr>
          <w:rFonts w:asciiTheme="majorBidi" w:hAnsiTheme="majorBidi" w:cstheme="majorBidi"/>
          <w:b/>
          <w:bCs/>
          <w:shd w:val="clear" w:color="auto" w:fill="FFFFFF"/>
        </w:rPr>
      </w:pPr>
    </w:p>
    <w:p w:rsidR="00616FAF" w:rsidRPr="00F21A30" w:rsidRDefault="001C7647" w:rsidP="00F21A30">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3.6.3 Regression Analysis E</w:t>
      </w:r>
      <w:r w:rsidR="00405046" w:rsidRPr="001B6D4E">
        <w:rPr>
          <w:rFonts w:asciiTheme="majorBidi" w:hAnsiTheme="majorBidi" w:cstheme="majorBidi"/>
          <w:b/>
          <w:bCs/>
          <w:sz w:val="24"/>
          <w:szCs w:val="24"/>
        </w:rPr>
        <w:t>xplained</w:t>
      </w:r>
      <w:r>
        <w:rPr>
          <w:rFonts w:asciiTheme="majorBidi" w:hAnsiTheme="majorBidi" w:cstheme="majorBidi"/>
          <w:b/>
          <w:bCs/>
          <w:sz w:val="24"/>
          <w:szCs w:val="24"/>
        </w:rPr>
        <w:t xml:space="preserve"> and Hypothesis D</w:t>
      </w:r>
      <w:r w:rsidR="00A76935" w:rsidRPr="001B6D4E">
        <w:rPr>
          <w:rFonts w:asciiTheme="majorBidi" w:hAnsiTheme="majorBidi" w:cstheme="majorBidi"/>
          <w:b/>
          <w:bCs/>
          <w:sz w:val="24"/>
          <w:szCs w:val="24"/>
        </w:rPr>
        <w:t>evelopment</w:t>
      </w:r>
    </w:p>
    <w:p w:rsidR="00751AFC" w:rsidRDefault="00751AFC" w:rsidP="00AD7619">
      <w:pPr>
        <w:autoSpaceDE w:val="0"/>
        <w:autoSpaceDN w:val="0"/>
        <w:adjustRightInd w:val="0"/>
        <w:spacing w:line="360" w:lineRule="auto"/>
        <w:contextualSpacing/>
        <w:jc w:val="both"/>
        <w:rPr>
          <w:rFonts w:asciiTheme="majorBidi" w:hAnsiTheme="majorBidi" w:cstheme="majorBidi"/>
          <w:b/>
          <w:bCs/>
          <w:sz w:val="24"/>
          <w:szCs w:val="24"/>
        </w:rPr>
      </w:pPr>
      <w:r w:rsidRPr="00405046">
        <w:rPr>
          <w:rFonts w:asciiTheme="majorBidi" w:hAnsiTheme="majorBidi" w:cstheme="majorBidi"/>
          <w:sz w:val="24"/>
          <w:szCs w:val="24"/>
        </w:rPr>
        <w:t xml:space="preserve">The regression analysis </w:t>
      </w:r>
      <w:r w:rsidR="00B56017">
        <w:rPr>
          <w:rFonts w:asciiTheme="majorBidi" w:hAnsiTheme="majorBidi" w:cstheme="majorBidi"/>
          <w:sz w:val="24"/>
          <w:szCs w:val="24"/>
        </w:rPr>
        <w:t xml:space="preserve">was </w:t>
      </w:r>
      <w:r w:rsidR="00B56017" w:rsidRPr="00405046">
        <w:rPr>
          <w:rFonts w:asciiTheme="majorBidi" w:hAnsiTheme="majorBidi" w:cstheme="majorBidi"/>
          <w:sz w:val="24"/>
          <w:szCs w:val="24"/>
        </w:rPr>
        <w:t>conducted</w:t>
      </w:r>
      <w:r w:rsidRPr="00405046">
        <w:rPr>
          <w:rFonts w:asciiTheme="majorBidi" w:hAnsiTheme="majorBidi" w:cstheme="majorBidi"/>
          <w:sz w:val="24"/>
          <w:szCs w:val="24"/>
        </w:rPr>
        <w:t xml:space="preserve"> to find out the following:</w:t>
      </w:r>
    </w:p>
    <w:p w:rsidR="00751AFC" w:rsidRPr="00751AFC" w:rsidRDefault="00751AFC" w:rsidP="00AD7619">
      <w:pPr>
        <w:autoSpaceDE w:val="0"/>
        <w:autoSpaceDN w:val="0"/>
        <w:adjustRightInd w:val="0"/>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w:t>
      </w:r>
      <w:r w:rsidRPr="00405046">
        <w:rPr>
          <w:rFonts w:asciiTheme="majorBidi" w:hAnsiTheme="majorBidi" w:cstheme="majorBidi"/>
          <w:sz w:val="24"/>
          <w:szCs w:val="24"/>
        </w:rPr>
        <w:t xml:space="preserve"> The relati</w:t>
      </w:r>
      <w:r w:rsidR="00201EC3">
        <w:rPr>
          <w:rFonts w:asciiTheme="majorBidi" w:hAnsiTheme="majorBidi" w:cstheme="majorBidi"/>
          <w:sz w:val="24"/>
          <w:szCs w:val="24"/>
        </w:rPr>
        <w:t>onship between credit risk policies</w:t>
      </w:r>
      <w:r>
        <w:rPr>
          <w:rFonts w:asciiTheme="majorBidi" w:hAnsiTheme="majorBidi" w:cstheme="majorBidi"/>
          <w:sz w:val="24"/>
          <w:szCs w:val="24"/>
        </w:rPr>
        <w:t xml:space="preserve"> and profitability in five banks: the researcher used 7 year period (2005-2011) </w:t>
      </w:r>
      <w:r w:rsidR="00B56017">
        <w:rPr>
          <w:rFonts w:asciiTheme="majorBidi" w:hAnsiTheme="majorBidi" w:cstheme="majorBidi"/>
          <w:sz w:val="24"/>
          <w:szCs w:val="24"/>
        </w:rPr>
        <w:t>for five banks</w:t>
      </w:r>
      <w:r>
        <w:rPr>
          <w:rFonts w:asciiTheme="majorBidi" w:hAnsiTheme="majorBidi" w:cstheme="majorBidi"/>
          <w:sz w:val="24"/>
          <w:szCs w:val="24"/>
        </w:rPr>
        <w:t xml:space="preserve"> with </w:t>
      </w:r>
      <w:r w:rsidR="00B56017">
        <w:rPr>
          <w:rFonts w:asciiTheme="majorBidi" w:hAnsiTheme="majorBidi" w:cstheme="majorBidi"/>
          <w:sz w:val="24"/>
          <w:szCs w:val="24"/>
        </w:rPr>
        <w:t>a total</w:t>
      </w:r>
      <w:r>
        <w:rPr>
          <w:rFonts w:asciiTheme="majorBidi" w:hAnsiTheme="majorBidi" w:cstheme="majorBidi"/>
          <w:sz w:val="24"/>
          <w:szCs w:val="24"/>
        </w:rPr>
        <w:t xml:space="preserve"> of 35</w:t>
      </w:r>
      <w:r w:rsidRPr="00405046">
        <w:rPr>
          <w:rFonts w:asciiTheme="majorBidi" w:hAnsiTheme="majorBidi" w:cstheme="majorBidi"/>
          <w:sz w:val="24"/>
          <w:szCs w:val="24"/>
        </w:rPr>
        <w:t xml:space="preserve"> observations</w:t>
      </w:r>
      <w:r>
        <w:rPr>
          <w:rFonts w:asciiTheme="majorBidi" w:hAnsiTheme="majorBidi" w:cstheme="majorBidi"/>
          <w:sz w:val="24"/>
          <w:szCs w:val="24"/>
        </w:rPr>
        <w:t>.</w:t>
      </w:r>
    </w:p>
    <w:p w:rsidR="00751AFC" w:rsidRPr="00D92646" w:rsidRDefault="00201EC3" w:rsidP="00AD7619">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 Credit Risk Management </w:t>
      </w:r>
      <w:r w:rsidR="00751AFC" w:rsidRPr="00D92646">
        <w:rPr>
          <w:rFonts w:asciiTheme="majorBidi" w:hAnsiTheme="majorBidi" w:cstheme="majorBidi"/>
          <w:sz w:val="24"/>
          <w:szCs w:val="24"/>
        </w:rPr>
        <w:t>Techniques and Practices at Palestinian commercial banks</w:t>
      </w:r>
      <w:r w:rsidR="00751AFC">
        <w:rPr>
          <w:rFonts w:asciiTheme="majorBidi" w:hAnsiTheme="majorBidi" w:cstheme="majorBidi"/>
          <w:sz w:val="24"/>
          <w:szCs w:val="24"/>
        </w:rPr>
        <w:t xml:space="preserve"> and </w:t>
      </w:r>
      <w:r w:rsidR="00B56017">
        <w:rPr>
          <w:rFonts w:asciiTheme="majorBidi" w:hAnsiTheme="majorBidi" w:cstheme="majorBidi"/>
          <w:sz w:val="24"/>
          <w:szCs w:val="24"/>
        </w:rPr>
        <w:t>their effect</w:t>
      </w:r>
      <w:r w:rsidR="00751AFC">
        <w:rPr>
          <w:rFonts w:asciiTheme="majorBidi" w:hAnsiTheme="majorBidi" w:cstheme="majorBidi"/>
          <w:sz w:val="24"/>
          <w:szCs w:val="24"/>
        </w:rPr>
        <w:t xml:space="preserve"> on bank’s profitability.</w:t>
      </w:r>
    </w:p>
    <w:p w:rsidR="00751AFC" w:rsidRPr="009722E0" w:rsidRDefault="00751AFC" w:rsidP="00AD7619">
      <w:pPr>
        <w:autoSpaceDE w:val="0"/>
        <w:autoSpaceDN w:val="0"/>
        <w:adjustRightInd w:val="0"/>
        <w:spacing w:after="0" w:line="360" w:lineRule="auto"/>
        <w:jc w:val="both"/>
        <w:rPr>
          <w:rFonts w:asciiTheme="majorBidi" w:hAnsiTheme="majorBidi" w:cstheme="majorBidi"/>
          <w:sz w:val="24"/>
          <w:szCs w:val="24"/>
        </w:rPr>
      </w:pPr>
      <w:r w:rsidRPr="009722E0">
        <w:rPr>
          <w:rFonts w:asciiTheme="majorBidi" w:hAnsiTheme="majorBidi" w:cstheme="majorBidi"/>
          <w:sz w:val="24"/>
          <w:szCs w:val="24"/>
        </w:rPr>
        <w:t xml:space="preserve">In the light of study objectives, the present study </w:t>
      </w:r>
      <w:r w:rsidR="00B56017">
        <w:rPr>
          <w:rFonts w:asciiTheme="majorBidi" w:hAnsiTheme="majorBidi" w:cstheme="majorBidi"/>
          <w:sz w:val="24"/>
          <w:szCs w:val="24"/>
        </w:rPr>
        <w:t xml:space="preserve">sought </w:t>
      </w:r>
      <w:r w:rsidR="00B56017" w:rsidRPr="009722E0">
        <w:rPr>
          <w:rFonts w:asciiTheme="majorBidi" w:hAnsiTheme="majorBidi" w:cstheme="majorBidi"/>
          <w:sz w:val="24"/>
          <w:szCs w:val="24"/>
        </w:rPr>
        <w:t>to</w:t>
      </w:r>
      <w:r w:rsidRPr="009722E0">
        <w:rPr>
          <w:rFonts w:asciiTheme="majorBidi" w:hAnsiTheme="majorBidi" w:cstheme="majorBidi"/>
          <w:sz w:val="24"/>
          <w:szCs w:val="24"/>
        </w:rPr>
        <w:t xml:space="preserve"> test the following </w:t>
      </w:r>
      <w:r>
        <w:rPr>
          <w:rFonts w:asciiTheme="majorBidi" w:hAnsiTheme="majorBidi" w:cstheme="majorBidi"/>
          <w:sz w:val="24"/>
          <w:szCs w:val="24"/>
        </w:rPr>
        <w:t>h</w:t>
      </w:r>
      <w:r w:rsidRPr="009722E0">
        <w:rPr>
          <w:rFonts w:asciiTheme="majorBidi" w:hAnsiTheme="majorBidi" w:cstheme="majorBidi"/>
          <w:sz w:val="24"/>
          <w:szCs w:val="24"/>
        </w:rPr>
        <w:t>ypothes</w:t>
      </w:r>
      <w:r>
        <w:rPr>
          <w:rFonts w:asciiTheme="majorBidi" w:hAnsiTheme="majorBidi" w:cstheme="majorBidi"/>
          <w:sz w:val="24"/>
          <w:szCs w:val="24"/>
        </w:rPr>
        <w:t>e</w:t>
      </w:r>
      <w:r w:rsidRPr="009722E0">
        <w:rPr>
          <w:rFonts w:asciiTheme="majorBidi" w:hAnsiTheme="majorBidi" w:cstheme="majorBidi"/>
          <w:sz w:val="24"/>
          <w:szCs w:val="24"/>
        </w:rPr>
        <w:t xml:space="preserve">s; </w:t>
      </w:r>
      <w:r w:rsidRPr="009722E0">
        <w:rPr>
          <w:rFonts w:asciiTheme="majorBidi" w:hAnsiTheme="majorBidi" w:cstheme="majorBidi"/>
          <w:sz w:val="24"/>
          <w:szCs w:val="24"/>
          <w:lang w:bidi="ar-JO"/>
        </w:rPr>
        <w:t>Hypotheses can be</w:t>
      </w:r>
      <w:r>
        <w:rPr>
          <w:rFonts w:asciiTheme="majorBidi" w:hAnsiTheme="majorBidi" w:cstheme="majorBidi"/>
          <w:sz w:val="24"/>
          <w:szCs w:val="24"/>
          <w:lang w:bidi="ar-JO"/>
        </w:rPr>
        <w:t xml:space="preserve"> classified into</w:t>
      </w:r>
      <w:r w:rsidRPr="009722E0">
        <w:rPr>
          <w:rFonts w:asciiTheme="majorBidi" w:hAnsiTheme="majorBidi" w:cstheme="majorBidi"/>
          <w:sz w:val="24"/>
          <w:szCs w:val="24"/>
          <w:lang w:bidi="ar-JO"/>
        </w:rPr>
        <w:t xml:space="preserve"> one major hypothesis subdivided </w:t>
      </w:r>
      <w:r>
        <w:rPr>
          <w:rFonts w:asciiTheme="majorBidi" w:hAnsiTheme="majorBidi" w:cstheme="majorBidi"/>
          <w:sz w:val="24"/>
          <w:szCs w:val="24"/>
          <w:lang w:bidi="ar-JO"/>
        </w:rPr>
        <w:t>into</w:t>
      </w:r>
      <w:r w:rsidRPr="009722E0">
        <w:rPr>
          <w:rFonts w:asciiTheme="majorBidi" w:hAnsiTheme="majorBidi" w:cstheme="majorBidi"/>
          <w:sz w:val="24"/>
          <w:szCs w:val="24"/>
          <w:lang w:bidi="ar-JO"/>
        </w:rPr>
        <w:t xml:space="preserve"> five sub-hypotheses:</w:t>
      </w:r>
    </w:p>
    <w:p w:rsidR="00751AFC" w:rsidRPr="009722E0" w:rsidRDefault="00751AFC" w:rsidP="00AD7619">
      <w:pPr>
        <w:autoSpaceDE w:val="0"/>
        <w:autoSpaceDN w:val="0"/>
        <w:adjustRightInd w:val="0"/>
        <w:spacing w:line="360" w:lineRule="auto"/>
        <w:jc w:val="both"/>
        <w:rPr>
          <w:rFonts w:asciiTheme="majorBidi" w:hAnsiTheme="majorBidi" w:cstheme="majorBidi"/>
          <w:sz w:val="24"/>
          <w:szCs w:val="24"/>
        </w:rPr>
      </w:pPr>
      <w:r w:rsidRPr="009722E0">
        <w:rPr>
          <w:rFonts w:asciiTheme="majorBidi" w:hAnsiTheme="majorBidi" w:cstheme="majorBidi"/>
          <w:sz w:val="24"/>
          <w:szCs w:val="24"/>
          <w:lang w:bidi="ar-JO"/>
        </w:rPr>
        <w:t xml:space="preserve">Major premise: There is no significant relationship between credit risks </w:t>
      </w:r>
      <w:r w:rsidRPr="009722E0">
        <w:rPr>
          <w:rFonts w:asciiTheme="majorBidi" w:hAnsiTheme="majorBidi" w:cstheme="majorBidi"/>
          <w:sz w:val="24"/>
          <w:szCs w:val="24"/>
        </w:rPr>
        <w:t>management and banks</w:t>
      </w:r>
      <w:r>
        <w:rPr>
          <w:rFonts w:asciiTheme="majorBidi" w:hAnsiTheme="majorBidi" w:cstheme="majorBidi"/>
          <w:sz w:val="24"/>
          <w:szCs w:val="24"/>
        </w:rPr>
        <w:t>’</w:t>
      </w:r>
      <w:r w:rsidRPr="009722E0">
        <w:rPr>
          <w:rFonts w:asciiTheme="majorBidi" w:hAnsiTheme="majorBidi" w:cstheme="majorBidi"/>
          <w:sz w:val="24"/>
          <w:szCs w:val="24"/>
        </w:rPr>
        <w:t xml:space="preserve"> profitability.  </w:t>
      </w:r>
      <w:r>
        <w:rPr>
          <w:rFonts w:asciiTheme="majorBidi" w:hAnsiTheme="majorBidi" w:cstheme="majorBidi"/>
          <w:sz w:val="24"/>
          <w:szCs w:val="24"/>
        </w:rPr>
        <w:t>A s</w:t>
      </w:r>
      <w:r w:rsidRPr="009722E0">
        <w:rPr>
          <w:rFonts w:asciiTheme="majorBidi" w:hAnsiTheme="majorBidi" w:cstheme="majorBidi"/>
          <w:sz w:val="24"/>
          <w:szCs w:val="24"/>
        </w:rPr>
        <w:t xml:space="preserve">ub-hypothesis </w:t>
      </w:r>
      <w:r w:rsidR="00B56017">
        <w:rPr>
          <w:rFonts w:asciiTheme="majorBidi" w:hAnsiTheme="majorBidi" w:cstheme="majorBidi"/>
          <w:sz w:val="24"/>
          <w:szCs w:val="24"/>
        </w:rPr>
        <w:t>emerges from</w:t>
      </w:r>
      <w:r>
        <w:rPr>
          <w:rFonts w:asciiTheme="majorBidi" w:hAnsiTheme="majorBidi" w:cstheme="majorBidi"/>
          <w:sz w:val="24"/>
          <w:szCs w:val="24"/>
        </w:rPr>
        <w:t xml:space="preserve"> the major one</w:t>
      </w:r>
      <w:r>
        <w:rPr>
          <w:rFonts w:ascii="Times New Roman" w:hAnsi="Times New Roman" w:cs="Times New Roman"/>
          <w:sz w:val="24"/>
          <w:szCs w:val="24"/>
        </w:rPr>
        <w:t xml:space="preserve">. </w:t>
      </w:r>
    </w:p>
    <w:p w:rsidR="00E1499E" w:rsidRPr="00B53A16" w:rsidRDefault="00E1499E" w:rsidP="00AD7619">
      <w:pPr>
        <w:pStyle w:val="Subtitle"/>
        <w:jc w:val="both"/>
        <w:rPr>
          <w:rFonts w:asciiTheme="majorBidi" w:hAnsiTheme="majorBidi"/>
          <w:b/>
          <w:bCs/>
          <w:color w:val="auto"/>
        </w:rPr>
      </w:pPr>
      <w:r w:rsidRPr="00B53A16">
        <w:rPr>
          <w:rFonts w:asciiTheme="majorBidi" w:hAnsiTheme="majorBidi"/>
          <w:b/>
          <w:bCs/>
          <w:color w:val="000000" w:themeColor="text1"/>
        </w:rPr>
        <w:t>H0 1</w:t>
      </w:r>
      <w:r w:rsidR="00B56017" w:rsidRPr="00B53A16">
        <w:rPr>
          <w:rFonts w:asciiTheme="majorBidi" w:hAnsiTheme="majorBidi"/>
          <w:b/>
          <w:bCs/>
          <w:color w:val="000000" w:themeColor="text1"/>
        </w:rPr>
        <w:t>:</w:t>
      </w:r>
      <w:r w:rsidR="00B56017" w:rsidRPr="00B53A16">
        <w:rPr>
          <w:rFonts w:asciiTheme="majorBidi" w:hAnsiTheme="majorBidi"/>
          <w:b/>
          <w:bCs/>
          <w:color w:val="auto"/>
        </w:rPr>
        <w:t xml:space="preserve"> There</w:t>
      </w:r>
      <w:r w:rsidRPr="00B53A16">
        <w:rPr>
          <w:rFonts w:asciiTheme="majorBidi" w:hAnsiTheme="majorBidi"/>
          <w:b/>
          <w:bCs/>
          <w:color w:val="auto"/>
        </w:rPr>
        <w:t xml:space="preserve"> is no significant relationship between asset credit quality</w:t>
      </w:r>
      <w:r w:rsidR="000272E3" w:rsidRPr="00B53A16">
        <w:rPr>
          <w:rFonts w:asciiTheme="majorBidi" w:hAnsiTheme="majorBidi"/>
          <w:b/>
          <w:bCs/>
          <w:color w:val="auto"/>
        </w:rPr>
        <w:t xml:space="preserve"> (good lending principles)</w:t>
      </w:r>
      <w:r w:rsidR="0030340F" w:rsidRPr="00B53A16">
        <w:rPr>
          <w:rFonts w:asciiTheme="majorBidi" w:hAnsiTheme="majorBidi"/>
          <w:b/>
          <w:bCs/>
          <w:color w:val="auto"/>
        </w:rPr>
        <w:t xml:space="preserve"> and bank’s</w:t>
      </w:r>
      <w:r w:rsidR="00DA3074" w:rsidRPr="00B53A16">
        <w:rPr>
          <w:rFonts w:asciiTheme="majorBidi" w:hAnsiTheme="majorBidi"/>
          <w:b/>
          <w:bCs/>
          <w:color w:val="auto"/>
        </w:rPr>
        <w:t xml:space="preserve"> profitability.</w:t>
      </w:r>
    </w:p>
    <w:p w:rsidR="000272E3" w:rsidRPr="00B53A16" w:rsidRDefault="000272E3" w:rsidP="00AD7619">
      <w:pPr>
        <w:pStyle w:val="Subtitle"/>
        <w:jc w:val="both"/>
        <w:rPr>
          <w:rFonts w:asciiTheme="majorBidi" w:hAnsiTheme="majorBidi"/>
          <w:b/>
          <w:bCs/>
          <w:color w:val="auto"/>
        </w:rPr>
      </w:pPr>
      <w:r w:rsidRPr="00B53A16">
        <w:rPr>
          <w:rFonts w:asciiTheme="majorBidi" w:hAnsiTheme="majorBidi"/>
          <w:b/>
          <w:bCs/>
          <w:color w:val="auto"/>
        </w:rPr>
        <w:lastRenderedPageBreak/>
        <w:t>Ho 2: There is no significant relationship be</w:t>
      </w:r>
      <w:r w:rsidR="0030340F" w:rsidRPr="00B53A16">
        <w:rPr>
          <w:rFonts w:asciiTheme="majorBidi" w:hAnsiTheme="majorBidi"/>
          <w:b/>
          <w:bCs/>
          <w:color w:val="auto"/>
        </w:rPr>
        <w:t>tween capital adequacy and bank’s</w:t>
      </w:r>
      <w:r w:rsidRPr="00B53A16">
        <w:rPr>
          <w:rFonts w:asciiTheme="majorBidi" w:hAnsiTheme="majorBidi"/>
          <w:b/>
          <w:bCs/>
          <w:color w:val="auto"/>
        </w:rPr>
        <w:t xml:space="preserve"> profitability.</w:t>
      </w:r>
    </w:p>
    <w:p w:rsidR="00DC7F21" w:rsidRPr="00B53A16" w:rsidRDefault="00DC7F21" w:rsidP="00AD7619">
      <w:pPr>
        <w:pStyle w:val="Subtitle"/>
        <w:jc w:val="both"/>
        <w:rPr>
          <w:rFonts w:asciiTheme="majorBidi" w:hAnsiTheme="majorBidi"/>
          <w:b/>
          <w:bCs/>
          <w:color w:val="auto"/>
        </w:rPr>
      </w:pPr>
      <w:r w:rsidRPr="00B53A16">
        <w:rPr>
          <w:rFonts w:asciiTheme="majorBidi" w:hAnsiTheme="majorBidi"/>
          <w:b/>
          <w:bCs/>
          <w:color w:val="auto"/>
        </w:rPr>
        <w:t>H0 3: There is no significant relationship bet</w:t>
      </w:r>
      <w:r w:rsidR="0030340F" w:rsidRPr="00B53A16">
        <w:rPr>
          <w:rFonts w:asciiTheme="majorBidi" w:hAnsiTheme="majorBidi"/>
          <w:b/>
          <w:bCs/>
          <w:color w:val="auto"/>
        </w:rPr>
        <w:t>ween credit monitoring and bank’s</w:t>
      </w:r>
      <w:r w:rsidRPr="00B53A16">
        <w:rPr>
          <w:rFonts w:asciiTheme="majorBidi" w:hAnsiTheme="majorBidi"/>
          <w:b/>
          <w:bCs/>
          <w:color w:val="auto"/>
        </w:rPr>
        <w:t xml:space="preserve"> profitability.</w:t>
      </w:r>
    </w:p>
    <w:p w:rsidR="000272E3" w:rsidRDefault="00A76935" w:rsidP="00AD7619">
      <w:pPr>
        <w:pStyle w:val="Subtitle"/>
        <w:jc w:val="both"/>
        <w:rPr>
          <w:rFonts w:asciiTheme="majorBidi" w:hAnsiTheme="majorBidi"/>
          <w:b/>
          <w:bCs/>
          <w:color w:val="auto"/>
        </w:rPr>
      </w:pPr>
      <w:r w:rsidRPr="00B53A16">
        <w:rPr>
          <w:rFonts w:asciiTheme="majorBidi" w:hAnsiTheme="majorBidi"/>
          <w:b/>
          <w:bCs/>
          <w:color w:val="auto"/>
        </w:rPr>
        <w:t>H</w:t>
      </w:r>
      <w:r w:rsidR="005403DA" w:rsidRPr="00B53A16">
        <w:rPr>
          <w:rFonts w:asciiTheme="majorBidi" w:hAnsiTheme="majorBidi"/>
          <w:b/>
          <w:bCs/>
          <w:color w:val="auto"/>
        </w:rPr>
        <w:t>0</w:t>
      </w:r>
      <w:r w:rsidR="00DC7F21" w:rsidRPr="00B53A16">
        <w:rPr>
          <w:rFonts w:asciiTheme="majorBidi" w:hAnsiTheme="majorBidi"/>
          <w:b/>
          <w:bCs/>
          <w:color w:val="auto"/>
        </w:rPr>
        <w:t>4</w:t>
      </w:r>
      <w:r w:rsidR="000272E3" w:rsidRPr="00B53A16">
        <w:rPr>
          <w:rFonts w:asciiTheme="majorBidi" w:hAnsiTheme="majorBidi"/>
          <w:b/>
          <w:bCs/>
          <w:color w:val="auto"/>
        </w:rPr>
        <w:t>: There is no significant relationship between</w:t>
      </w:r>
      <w:r w:rsidR="00751AFC">
        <w:rPr>
          <w:rFonts w:asciiTheme="majorBidi" w:hAnsiTheme="majorBidi"/>
          <w:b/>
          <w:bCs/>
          <w:color w:val="auto"/>
        </w:rPr>
        <w:t xml:space="preserve"> income</w:t>
      </w:r>
      <w:r w:rsidR="000E1CC3" w:rsidRPr="00B53A16">
        <w:rPr>
          <w:rFonts w:asciiTheme="majorBidi" w:hAnsiTheme="majorBidi"/>
          <w:b/>
          <w:bCs/>
          <w:color w:val="auto"/>
        </w:rPr>
        <w:t xml:space="preserve"> diversification</w:t>
      </w:r>
      <w:r w:rsidR="0030340F" w:rsidRPr="00B53A16">
        <w:rPr>
          <w:rFonts w:asciiTheme="majorBidi" w:hAnsiTheme="majorBidi"/>
          <w:b/>
          <w:bCs/>
          <w:color w:val="auto"/>
        </w:rPr>
        <w:t xml:space="preserve"> and bank’s</w:t>
      </w:r>
      <w:r w:rsidR="000272E3" w:rsidRPr="00B53A16">
        <w:rPr>
          <w:rFonts w:asciiTheme="majorBidi" w:hAnsiTheme="majorBidi"/>
          <w:b/>
          <w:bCs/>
          <w:color w:val="auto"/>
        </w:rPr>
        <w:t xml:space="preserve"> profitability.</w:t>
      </w:r>
    </w:p>
    <w:p w:rsidR="00446F27" w:rsidRPr="00B53A16" w:rsidRDefault="00446F27" w:rsidP="00AD7619">
      <w:pPr>
        <w:pStyle w:val="Subtitle"/>
        <w:jc w:val="both"/>
        <w:rPr>
          <w:rFonts w:asciiTheme="majorBidi" w:hAnsiTheme="majorBidi"/>
          <w:b/>
          <w:bCs/>
          <w:color w:val="auto"/>
        </w:rPr>
      </w:pPr>
      <w:r w:rsidRPr="00B53A16">
        <w:rPr>
          <w:rFonts w:asciiTheme="majorBidi" w:hAnsiTheme="majorBidi"/>
          <w:b/>
          <w:bCs/>
          <w:color w:val="auto"/>
        </w:rPr>
        <w:t xml:space="preserve">H0 </w:t>
      </w:r>
      <w:r>
        <w:rPr>
          <w:rFonts w:asciiTheme="majorBidi" w:hAnsiTheme="majorBidi"/>
          <w:b/>
          <w:bCs/>
          <w:color w:val="auto"/>
        </w:rPr>
        <w:t>5</w:t>
      </w:r>
      <w:r w:rsidRPr="00B53A16">
        <w:rPr>
          <w:rFonts w:asciiTheme="majorBidi" w:hAnsiTheme="majorBidi"/>
          <w:b/>
          <w:bCs/>
          <w:color w:val="auto"/>
        </w:rPr>
        <w:t>: There is no significant relationship between</w:t>
      </w:r>
      <w:r w:rsidR="00ED5F92">
        <w:rPr>
          <w:rFonts w:asciiTheme="majorBidi" w:hAnsiTheme="majorBidi"/>
          <w:b/>
          <w:bCs/>
          <w:color w:val="auto"/>
        </w:rPr>
        <w:t xml:space="preserve"> bank’s operational</w:t>
      </w:r>
      <w:r w:rsidR="00751AFC">
        <w:rPr>
          <w:rFonts w:asciiTheme="majorBidi" w:hAnsiTheme="majorBidi"/>
          <w:b/>
          <w:bCs/>
          <w:color w:val="auto"/>
        </w:rPr>
        <w:t xml:space="preserve"> cost</w:t>
      </w:r>
      <w:r>
        <w:rPr>
          <w:rFonts w:asciiTheme="majorBidi" w:hAnsiTheme="majorBidi"/>
          <w:b/>
          <w:bCs/>
          <w:color w:val="auto"/>
        </w:rPr>
        <w:t xml:space="preserve"> efficiency</w:t>
      </w:r>
      <w:r w:rsidRPr="00B53A16">
        <w:rPr>
          <w:rFonts w:asciiTheme="majorBidi" w:hAnsiTheme="majorBidi"/>
          <w:b/>
          <w:bCs/>
          <w:color w:val="auto"/>
        </w:rPr>
        <w:t xml:space="preserve"> and bank’s profitability.</w:t>
      </w:r>
    </w:p>
    <w:p w:rsidR="00751AFC" w:rsidRDefault="00A76935" w:rsidP="00AD761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Based on that,</w:t>
      </w:r>
      <w:r w:rsidR="00162BB4">
        <w:rPr>
          <w:rFonts w:asciiTheme="majorBidi" w:hAnsiTheme="majorBidi" w:cstheme="majorBidi"/>
          <w:sz w:val="24"/>
          <w:szCs w:val="24"/>
        </w:rPr>
        <w:t xml:space="preserve"> and in</w:t>
      </w:r>
      <w:r w:rsidR="0058572B">
        <w:rPr>
          <w:rFonts w:asciiTheme="majorBidi" w:hAnsiTheme="majorBidi" w:cstheme="majorBidi"/>
          <w:sz w:val="24"/>
          <w:szCs w:val="24"/>
        </w:rPr>
        <w:t xml:space="preserve"> the</w:t>
      </w:r>
      <w:r w:rsidR="00162BB4" w:rsidRPr="00162BB4">
        <w:rPr>
          <w:rFonts w:asciiTheme="majorBidi" w:hAnsiTheme="majorBidi" w:cstheme="majorBidi"/>
          <w:sz w:val="24"/>
          <w:szCs w:val="24"/>
        </w:rPr>
        <w:t xml:space="preserve"> light of the elements and the dimension</w:t>
      </w:r>
      <w:r w:rsidR="00162BB4">
        <w:rPr>
          <w:rFonts w:asciiTheme="majorBidi" w:hAnsiTheme="majorBidi" w:cstheme="majorBidi"/>
          <w:sz w:val="24"/>
          <w:szCs w:val="24"/>
        </w:rPr>
        <w:t>s of the problem</w:t>
      </w:r>
      <w:r w:rsidR="00751AFC">
        <w:rPr>
          <w:rFonts w:asciiTheme="majorBidi" w:hAnsiTheme="majorBidi" w:cstheme="majorBidi"/>
          <w:sz w:val="24"/>
          <w:szCs w:val="24"/>
        </w:rPr>
        <w:t xml:space="preserve"> the researcher </w:t>
      </w:r>
      <w:r w:rsidRPr="005403DA">
        <w:rPr>
          <w:rFonts w:asciiTheme="majorBidi" w:hAnsiTheme="majorBidi" w:cstheme="majorBidi"/>
          <w:sz w:val="24"/>
          <w:szCs w:val="24"/>
        </w:rPr>
        <w:t>employed the multivariate regression model</w:t>
      </w:r>
      <w:r w:rsidR="0058572B" w:rsidRPr="005403DA">
        <w:rPr>
          <w:rFonts w:asciiTheme="majorBidi" w:hAnsiTheme="majorBidi" w:cstheme="majorBidi"/>
          <w:sz w:val="24"/>
          <w:szCs w:val="24"/>
        </w:rPr>
        <w:t xml:space="preserve"> </w:t>
      </w:r>
      <w:r w:rsidR="00751AFC">
        <w:rPr>
          <w:rFonts w:asciiTheme="majorBidi" w:hAnsiTheme="majorBidi" w:cstheme="majorBidi"/>
          <w:sz w:val="24"/>
          <w:szCs w:val="24"/>
        </w:rPr>
        <w:t>(</w:t>
      </w:r>
      <w:r w:rsidR="0058572B" w:rsidRPr="005403DA">
        <w:rPr>
          <w:rFonts w:asciiTheme="majorBidi" w:hAnsiTheme="majorBidi" w:cstheme="majorBidi"/>
          <w:sz w:val="24"/>
          <w:szCs w:val="24"/>
        </w:rPr>
        <w:t>presented below</w:t>
      </w:r>
      <w:r w:rsidR="00751AFC">
        <w:rPr>
          <w:rFonts w:asciiTheme="majorBidi" w:hAnsiTheme="majorBidi" w:cstheme="majorBidi"/>
          <w:sz w:val="24"/>
          <w:szCs w:val="24"/>
        </w:rPr>
        <w:t xml:space="preserve">) </w:t>
      </w:r>
      <w:r w:rsidR="00162BB4">
        <w:rPr>
          <w:rFonts w:asciiTheme="majorBidi" w:hAnsiTheme="majorBidi" w:cstheme="majorBidi"/>
          <w:sz w:val="24"/>
          <w:szCs w:val="24"/>
        </w:rPr>
        <w:t xml:space="preserve">to </w:t>
      </w:r>
      <w:r w:rsidR="00162BB4" w:rsidRPr="00162BB4">
        <w:rPr>
          <w:rFonts w:asciiTheme="majorBidi" w:hAnsiTheme="majorBidi" w:cstheme="majorBidi"/>
          <w:sz w:val="24"/>
          <w:szCs w:val="24"/>
        </w:rPr>
        <w:t>highlight the relationship between</w:t>
      </w:r>
      <w:r w:rsidR="00162BB4">
        <w:rPr>
          <w:rFonts w:asciiTheme="majorBidi" w:hAnsiTheme="majorBidi" w:cstheme="majorBidi"/>
          <w:sz w:val="24"/>
          <w:szCs w:val="24"/>
        </w:rPr>
        <w:t xml:space="preserve"> the independent variables</w:t>
      </w:r>
      <w:r w:rsidR="0058572B">
        <w:rPr>
          <w:rFonts w:asciiTheme="majorBidi" w:hAnsiTheme="majorBidi" w:cstheme="majorBidi"/>
          <w:sz w:val="24"/>
          <w:szCs w:val="24"/>
        </w:rPr>
        <w:t xml:space="preserve"> (</w:t>
      </w:r>
      <w:r w:rsidR="00751AFC">
        <w:rPr>
          <w:rFonts w:asciiTheme="majorBidi" w:hAnsiTheme="majorBidi" w:cstheme="majorBidi"/>
          <w:sz w:val="24"/>
          <w:szCs w:val="24"/>
        </w:rPr>
        <w:t>lending princip</w:t>
      </w:r>
      <w:r w:rsidR="00162BB4">
        <w:rPr>
          <w:rFonts w:asciiTheme="majorBidi" w:hAnsiTheme="majorBidi" w:cstheme="majorBidi"/>
          <w:sz w:val="24"/>
          <w:szCs w:val="24"/>
        </w:rPr>
        <w:t>l</w:t>
      </w:r>
      <w:r w:rsidR="00751AFC">
        <w:rPr>
          <w:rFonts w:asciiTheme="majorBidi" w:hAnsiTheme="majorBidi" w:cstheme="majorBidi"/>
          <w:sz w:val="24"/>
          <w:szCs w:val="24"/>
        </w:rPr>
        <w:t>e</w:t>
      </w:r>
      <w:r w:rsidR="00162BB4">
        <w:rPr>
          <w:rFonts w:asciiTheme="majorBidi" w:hAnsiTheme="majorBidi" w:cstheme="majorBidi"/>
          <w:sz w:val="24"/>
          <w:szCs w:val="24"/>
        </w:rPr>
        <w:t xml:space="preserve">s, credit monitoring, capital </w:t>
      </w:r>
      <w:r w:rsidR="00ED5F92">
        <w:rPr>
          <w:rFonts w:asciiTheme="majorBidi" w:hAnsiTheme="majorBidi" w:cstheme="majorBidi"/>
          <w:sz w:val="24"/>
          <w:szCs w:val="24"/>
        </w:rPr>
        <w:t>adequacy</w:t>
      </w:r>
      <w:r w:rsidR="00751AFC">
        <w:rPr>
          <w:rFonts w:asciiTheme="majorBidi" w:hAnsiTheme="majorBidi" w:cstheme="majorBidi"/>
          <w:sz w:val="24"/>
          <w:szCs w:val="24"/>
        </w:rPr>
        <w:t>, income diversification</w:t>
      </w:r>
      <w:r w:rsidR="00ED5F92">
        <w:rPr>
          <w:rFonts w:asciiTheme="majorBidi" w:hAnsiTheme="majorBidi" w:cstheme="majorBidi"/>
          <w:sz w:val="24"/>
          <w:szCs w:val="24"/>
        </w:rPr>
        <w:t xml:space="preserve"> and operational</w:t>
      </w:r>
      <w:r w:rsidR="00162BB4">
        <w:rPr>
          <w:rFonts w:asciiTheme="majorBidi" w:hAnsiTheme="majorBidi" w:cstheme="majorBidi"/>
          <w:sz w:val="24"/>
          <w:szCs w:val="24"/>
        </w:rPr>
        <w:t xml:space="preserve"> efficiency) </w:t>
      </w:r>
      <w:r w:rsidR="0058572B" w:rsidRPr="0058572B">
        <w:rPr>
          <w:rFonts w:asciiTheme="majorBidi" w:hAnsiTheme="majorBidi" w:cstheme="majorBidi"/>
          <w:sz w:val="24"/>
          <w:szCs w:val="24"/>
        </w:rPr>
        <w:t>on the one hand and the dependent variable</w:t>
      </w:r>
      <w:r w:rsidR="0058572B">
        <w:rPr>
          <w:rFonts w:asciiTheme="majorBidi" w:hAnsiTheme="majorBidi" w:cstheme="majorBidi"/>
          <w:sz w:val="24"/>
          <w:szCs w:val="24"/>
        </w:rPr>
        <w:t xml:space="preserve"> (return on equity)</w:t>
      </w:r>
      <w:r w:rsidR="00751AFC">
        <w:rPr>
          <w:rFonts w:asciiTheme="majorBidi" w:hAnsiTheme="majorBidi" w:cstheme="majorBidi"/>
          <w:sz w:val="24"/>
          <w:szCs w:val="24"/>
        </w:rPr>
        <w:t xml:space="preserve"> </w:t>
      </w:r>
      <w:r w:rsidR="00751AFC" w:rsidRPr="0058572B">
        <w:rPr>
          <w:rFonts w:asciiTheme="majorBidi" w:hAnsiTheme="majorBidi" w:cstheme="majorBidi"/>
          <w:sz w:val="24"/>
          <w:szCs w:val="24"/>
        </w:rPr>
        <w:t>on the other hand</w:t>
      </w:r>
      <w:r w:rsidR="00751AFC">
        <w:rPr>
          <w:rFonts w:asciiTheme="majorBidi" w:hAnsiTheme="majorBidi" w:cstheme="majorBidi"/>
          <w:sz w:val="24"/>
          <w:szCs w:val="24"/>
        </w:rPr>
        <w:t>.</w:t>
      </w:r>
      <w:r w:rsidR="00751AFC" w:rsidRPr="0058572B">
        <w:rPr>
          <w:rFonts w:asciiTheme="majorBidi" w:hAnsiTheme="majorBidi" w:cstheme="majorBidi"/>
          <w:sz w:val="24"/>
          <w:szCs w:val="24"/>
        </w:rPr>
        <w:t xml:space="preserve"> </w:t>
      </w:r>
      <w:r w:rsidR="00751AFC">
        <w:rPr>
          <w:rFonts w:asciiTheme="majorBidi" w:hAnsiTheme="majorBidi" w:cstheme="majorBidi"/>
          <w:sz w:val="24"/>
          <w:szCs w:val="24"/>
        </w:rPr>
        <w:t>T</w:t>
      </w:r>
      <w:r w:rsidR="00751AFC" w:rsidRPr="0058572B">
        <w:rPr>
          <w:rFonts w:asciiTheme="majorBidi" w:hAnsiTheme="majorBidi" w:cstheme="majorBidi"/>
          <w:sz w:val="24"/>
          <w:szCs w:val="24"/>
        </w:rPr>
        <w:t>he following mathematical equation</w:t>
      </w:r>
      <w:r w:rsidR="00751AFC">
        <w:rPr>
          <w:rFonts w:asciiTheme="majorBidi" w:hAnsiTheme="majorBidi" w:cstheme="majorBidi"/>
          <w:sz w:val="24"/>
          <w:szCs w:val="24"/>
        </w:rPr>
        <w:t xml:space="preserve"> illustrates the model:</w:t>
      </w:r>
    </w:p>
    <w:p w:rsidR="00FE62CC" w:rsidRPr="009A33F5" w:rsidRDefault="00FE62CC" w:rsidP="009A33F5">
      <w:pPr>
        <w:autoSpaceDE w:val="0"/>
        <w:autoSpaceDN w:val="0"/>
        <w:adjustRightInd w:val="0"/>
        <w:spacing w:after="0" w:line="360" w:lineRule="auto"/>
        <w:jc w:val="center"/>
        <w:rPr>
          <w:rFonts w:asciiTheme="majorBidi" w:hAnsiTheme="majorBidi" w:cstheme="majorBidi"/>
          <w:b/>
          <w:bCs/>
          <w:sz w:val="24"/>
          <w:szCs w:val="24"/>
        </w:rPr>
      </w:pPr>
      <w:r w:rsidRPr="009A33F5">
        <w:rPr>
          <w:rFonts w:ascii="TimesNewRoman,Bold" w:hAnsi="TimesNewRoman,Bold" w:cs="TimesNewRoman,Bold"/>
          <w:b/>
          <w:bCs/>
          <w:sz w:val="24"/>
          <w:szCs w:val="24"/>
        </w:rPr>
        <w:t>Y= α+β1</w:t>
      </w:r>
      <w:r w:rsidRPr="009A33F5">
        <w:rPr>
          <w:rFonts w:ascii="TimesNewRoman,BoldItalic" w:hAnsi="TimesNewRoman,BoldItalic" w:cs="TimesNewRoman,BoldItalic"/>
          <w:b/>
          <w:bCs/>
          <w:i/>
          <w:iCs/>
          <w:sz w:val="24"/>
          <w:szCs w:val="24"/>
        </w:rPr>
        <w:t xml:space="preserve">X1+ </w:t>
      </w:r>
      <w:r w:rsidRPr="009A33F5">
        <w:rPr>
          <w:rFonts w:ascii="TimesNewRoman,Bold" w:hAnsi="TimesNewRoman,Bold" w:cs="TimesNewRoman,Bold"/>
          <w:b/>
          <w:bCs/>
          <w:sz w:val="24"/>
          <w:szCs w:val="24"/>
        </w:rPr>
        <w:t>β2</w:t>
      </w:r>
      <w:r w:rsidRPr="009A33F5">
        <w:rPr>
          <w:rFonts w:ascii="TimesNewRoman,BoldItalic" w:hAnsi="TimesNewRoman,BoldItalic" w:cs="TimesNewRoman,BoldItalic"/>
          <w:b/>
          <w:bCs/>
          <w:i/>
          <w:iCs/>
          <w:sz w:val="24"/>
          <w:szCs w:val="24"/>
        </w:rPr>
        <w:t>X2+</w:t>
      </w:r>
      <w:r w:rsidRPr="009A33F5">
        <w:rPr>
          <w:rFonts w:ascii="TimesNewRoman,Bold" w:hAnsi="TimesNewRoman,Bold" w:cs="TimesNewRoman,Bold"/>
          <w:b/>
          <w:bCs/>
          <w:sz w:val="24"/>
          <w:szCs w:val="24"/>
        </w:rPr>
        <w:t xml:space="preserve"> β3</w:t>
      </w:r>
      <w:r w:rsidRPr="009A33F5">
        <w:rPr>
          <w:rFonts w:ascii="TimesNewRoman,BoldItalic" w:hAnsi="TimesNewRoman,BoldItalic" w:cs="TimesNewRoman,BoldItalic"/>
          <w:b/>
          <w:bCs/>
          <w:i/>
          <w:iCs/>
          <w:sz w:val="24"/>
          <w:szCs w:val="24"/>
        </w:rPr>
        <w:t xml:space="preserve">X3+ </w:t>
      </w:r>
      <w:r w:rsidRPr="009A33F5">
        <w:rPr>
          <w:rFonts w:ascii="TimesNewRoman,Bold" w:hAnsi="TimesNewRoman,Bold" w:cs="TimesNewRoman,Bold"/>
          <w:b/>
          <w:bCs/>
          <w:sz w:val="24"/>
          <w:szCs w:val="24"/>
        </w:rPr>
        <w:t>β4</w:t>
      </w:r>
      <w:r w:rsidRPr="009A33F5">
        <w:rPr>
          <w:rFonts w:ascii="TimesNewRoman,BoldItalic" w:hAnsi="TimesNewRoman,BoldItalic" w:cs="TimesNewRoman,BoldItalic"/>
          <w:b/>
          <w:bCs/>
          <w:i/>
          <w:iCs/>
          <w:sz w:val="24"/>
          <w:szCs w:val="24"/>
        </w:rPr>
        <w:t>X4+</w:t>
      </w:r>
      <w:r w:rsidR="00360835" w:rsidRPr="009A33F5">
        <w:rPr>
          <w:rFonts w:ascii="TimesNewRoman,Bold" w:hAnsi="TimesNewRoman,Bold" w:cs="TimesNewRoman,Bold"/>
          <w:b/>
          <w:bCs/>
          <w:sz w:val="24"/>
          <w:szCs w:val="24"/>
        </w:rPr>
        <w:t xml:space="preserve"> β5</w:t>
      </w:r>
      <w:r w:rsidR="00360835" w:rsidRPr="009A33F5">
        <w:rPr>
          <w:rFonts w:ascii="TimesNewRoman,BoldItalic" w:hAnsi="TimesNewRoman,BoldItalic" w:cs="TimesNewRoman,BoldItalic"/>
          <w:b/>
          <w:bCs/>
          <w:i/>
          <w:iCs/>
          <w:sz w:val="24"/>
          <w:szCs w:val="24"/>
        </w:rPr>
        <w:t>X5</w:t>
      </w:r>
      <w:r w:rsidR="00014A16" w:rsidRPr="009A33F5">
        <w:rPr>
          <w:rFonts w:ascii="TimesNewRoman,BoldItalic" w:hAnsi="TimesNewRoman,BoldItalic" w:cs="TimesNewRoman,BoldItalic"/>
          <w:b/>
          <w:bCs/>
          <w:i/>
          <w:iCs/>
          <w:sz w:val="24"/>
          <w:szCs w:val="24"/>
        </w:rPr>
        <w:t>+</w:t>
      </w:r>
      <w:r w:rsidRPr="009A33F5">
        <w:rPr>
          <w:rFonts w:ascii="TimesNewRoman,BoldItalic" w:hAnsi="TimesNewRoman,BoldItalic" w:cs="TimesNewRoman,BoldItalic"/>
          <w:b/>
          <w:bCs/>
          <w:i/>
          <w:iCs/>
          <w:sz w:val="24"/>
          <w:szCs w:val="24"/>
        </w:rPr>
        <w:t xml:space="preserve"> ε</w:t>
      </w:r>
    </w:p>
    <w:p w:rsidR="0058572B" w:rsidRPr="001640ED" w:rsidRDefault="0058572B" w:rsidP="0058572B">
      <w:pPr>
        <w:autoSpaceDE w:val="0"/>
        <w:autoSpaceDN w:val="0"/>
        <w:adjustRightInd w:val="0"/>
        <w:spacing w:after="0" w:line="360" w:lineRule="auto"/>
        <w:jc w:val="both"/>
        <w:rPr>
          <w:rFonts w:asciiTheme="majorBidi" w:hAnsiTheme="majorBidi" w:cstheme="majorBidi"/>
          <w:sz w:val="24"/>
          <w:szCs w:val="24"/>
        </w:rPr>
      </w:pPr>
      <w:r w:rsidRPr="001640ED">
        <w:rPr>
          <w:rFonts w:asciiTheme="majorBidi" w:hAnsiTheme="majorBidi" w:cstheme="majorBidi"/>
          <w:sz w:val="24"/>
          <w:szCs w:val="24"/>
        </w:rPr>
        <w:t>Where:</w:t>
      </w:r>
    </w:p>
    <w:p w:rsidR="009A33F5" w:rsidRDefault="00E30E1D" w:rsidP="009A33F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Y: Return </w:t>
      </w:r>
      <w:r w:rsidR="007E6F9F">
        <w:rPr>
          <w:rFonts w:asciiTheme="majorBidi" w:hAnsiTheme="majorBidi" w:cstheme="majorBidi"/>
          <w:sz w:val="24"/>
          <w:szCs w:val="24"/>
        </w:rPr>
        <w:t>on</w:t>
      </w:r>
      <w:r w:rsidR="002074FC">
        <w:rPr>
          <w:rFonts w:asciiTheme="majorBidi" w:hAnsiTheme="majorBidi" w:cstheme="majorBidi"/>
          <w:sz w:val="24"/>
          <w:szCs w:val="24"/>
        </w:rPr>
        <w:t xml:space="preserve"> Assets</w:t>
      </w:r>
      <w:r w:rsidR="0071260E" w:rsidRPr="002074FC">
        <w:rPr>
          <w:rFonts w:asciiTheme="majorBidi" w:hAnsiTheme="majorBidi" w:cstheme="majorBidi"/>
          <w:sz w:val="24"/>
          <w:szCs w:val="24"/>
        </w:rPr>
        <w:t xml:space="preserve"> (ROA</w:t>
      </w:r>
      <w:r w:rsidR="00791B74" w:rsidRPr="002074FC">
        <w:rPr>
          <w:rFonts w:asciiTheme="majorBidi" w:hAnsiTheme="majorBidi" w:cstheme="majorBidi"/>
          <w:sz w:val="24"/>
          <w:szCs w:val="24"/>
        </w:rPr>
        <w:t>)</w:t>
      </w:r>
      <w:r w:rsidR="009A33F5">
        <w:rPr>
          <w:rFonts w:asciiTheme="majorBidi" w:hAnsiTheme="majorBidi" w:cstheme="majorBidi"/>
          <w:sz w:val="24"/>
          <w:szCs w:val="24"/>
        </w:rPr>
        <w:t xml:space="preserve">                </w:t>
      </w:r>
    </w:p>
    <w:p w:rsidR="009E4588" w:rsidRDefault="00E30E1D" w:rsidP="006925E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Y: Return </w:t>
      </w:r>
      <w:r w:rsidR="007A26D0">
        <w:rPr>
          <w:rFonts w:asciiTheme="majorBidi" w:hAnsiTheme="majorBidi" w:cstheme="majorBidi"/>
          <w:sz w:val="24"/>
          <w:szCs w:val="24"/>
        </w:rPr>
        <w:t>on</w:t>
      </w:r>
      <w:r>
        <w:rPr>
          <w:rFonts w:asciiTheme="majorBidi" w:hAnsiTheme="majorBidi" w:cstheme="majorBidi"/>
          <w:sz w:val="24"/>
          <w:szCs w:val="24"/>
        </w:rPr>
        <w:t xml:space="preserve"> E</w:t>
      </w:r>
      <w:r w:rsidR="004A336E" w:rsidRPr="002074FC">
        <w:rPr>
          <w:rFonts w:asciiTheme="majorBidi" w:hAnsiTheme="majorBidi" w:cstheme="majorBidi"/>
          <w:sz w:val="24"/>
          <w:szCs w:val="24"/>
        </w:rPr>
        <w:t>quity</w:t>
      </w:r>
      <w:r w:rsidR="00B85DF6" w:rsidRPr="002074FC">
        <w:rPr>
          <w:rFonts w:asciiTheme="majorBidi" w:hAnsiTheme="majorBidi" w:cstheme="majorBidi"/>
          <w:sz w:val="24"/>
          <w:szCs w:val="24"/>
        </w:rPr>
        <w:t xml:space="preserve"> (ROE)</w:t>
      </w:r>
    </w:p>
    <w:p w:rsidR="006925E6" w:rsidRDefault="00E30E1D" w:rsidP="006925E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(x1): Good Lending P</w:t>
      </w:r>
      <w:r w:rsidR="00751AFC">
        <w:rPr>
          <w:rFonts w:asciiTheme="majorBidi" w:hAnsiTheme="majorBidi" w:cstheme="majorBidi"/>
          <w:sz w:val="24"/>
          <w:szCs w:val="24"/>
        </w:rPr>
        <w:t>rincip</w:t>
      </w:r>
      <w:r w:rsidR="006925E6" w:rsidRPr="002074FC">
        <w:rPr>
          <w:rFonts w:asciiTheme="majorBidi" w:hAnsiTheme="majorBidi" w:cstheme="majorBidi"/>
          <w:sz w:val="24"/>
          <w:szCs w:val="24"/>
        </w:rPr>
        <w:t>l</w:t>
      </w:r>
      <w:r w:rsidR="00751AFC">
        <w:rPr>
          <w:rFonts w:asciiTheme="majorBidi" w:hAnsiTheme="majorBidi" w:cstheme="majorBidi"/>
          <w:sz w:val="24"/>
          <w:szCs w:val="24"/>
        </w:rPr>
        <w:t>e</w:t>
      </w:r>
      <w:r w:rsidR="006925E6" w:rsidRPr="002074FC">
        <w:rPr>
          <w:rFonts w:asciiTheme="majorBidi" w:hAnsiTheme="majorBidi" w:cstheme="majorBidi"/>
          <w:sz w:val="24"/>
          <w:szCs w:val="24"/>
        </w:rPr>
        <w:t xml:space="preserve">s </w:t>
      </w:r>
    </w:p>
    <w:p w:rsidR="007A26D0" w:rsidRPr="002074FC" w:rsidRDefault="007A26D0" w:rsidP="006925E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(x2): Capital A</w:t>
      </w:r>
      <w:r w:rsidRPr="002074FC">
        <w:rPr>
          <w:rFonts w:asciiTheme="majorBidi" w:hAnsiTheme="majorBidi" w:cstheme="majorBidi"/>
          <w:sz w:val="24"/>
          <w:szCs w:val="24"/>
        </w:rPr>
        <w:t>dequacy</w:t>
      </w:r>
    </w:p>
    <w:p w:rsidR="006925E6" w:rsidRDefault="007A26D0" w:rsidP="006925E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(x3</w:t>
      </w:r>
      <w:r w:rsidR="00E30E1D">
        <w:rPr>
          <w:rFonts w:asciiTheme="majorBidi" w:hAnsiTheme="majorBidi" w:cstheme="majorBidi"/>
          <w:sz w:val="24"/>
          <w:szCs w:val="24"/>
        </w:rPr>
        <w:t>): Credit M</w:t>
      </w:r>
      <w:r w:rsidR="006925E6" w:rsidRPr="002074FC">
        <w:rPr>
          <w:rFonts w:asciiTheme="majorBidi" w:hAnsiTheme="majorBidi" w:cstheme="majorBidi"/>
          <w:sz w:val="24"/>
          <w:szCs w:val="24"/>
        </w:rPr>
        <w:t>onitoring</w:t>
      </w:r>
    </w:p>
    <w:p w:rsidR="007A26D0" w:rsidRDefault="007A26D0" w:rsidP="006925E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(x</w:t>
      </w:r>
      <w:r w:rsidRPr="002074FC">
        <w:rPr>
          <w:rFonts w:asciiTheme="majorBidi" w:hAnsiTheme="majorBidi" w:cstheme="majorBidi"/>
          <w:sz w:val="24"/>
          <w:szCs w:val="24"/>
        </w:rPr>
        <w:t>4): Diversification</w:t>
      </w:r>
      <w:r>
        <w:rPr>
          <w:rFonts w:asciiTheme="majorBidi" w:hAnsiTheme="majorBidi" w:cstheme="majorBidi"/>
          <w:sz w:val="24"/>
          <w:szCs w:val="24"/>
        </w:rPr>
        <w:t xml:space="preserve"> of Income</w:t>
      </w:r>
    </w:p>
    <w:p w:rsidR="00AD7619" w:rsidRDefault="007A26D0" w:rsidP="009A33F5">
      <w:pPr>
        <w:autoSpaceDE w:val="0"/>
        <w:autoSpaceDN w:val="0"/>
        <w:adjustRightInd w:val="0"/>
        <w:spacing w:after="0" w:line="360" w:lineRule="auto"/>
        <w:jc w:val="both"/>
        <w:rPr>
          <w:rFonts w:asciiTheme="majorBidi" w:hAnsiTheme="majorBidi" w:cstheme="majorBidi"/>
          <w:sz w:val="24"/>
          <w:szCs w:val="24"/>
        </w:rPr>
      </w:pPr>
      <w:r w:rsidRPr="002074FC">
        <w:rPr>
          <w:rFonts w:asciiTheme="majorBidi" w:hAnsiTheme="majorBidi" w:cstheme="majorBidi"/>
          <w:sz w:val="24"/>
          <w:szCs w:val="24"/>
        </w:rPr>
        <w:t>(x5</w:t>
      </w:r>
      <w:r>
        <w:rPr>
          <w:rFonts w:asciiTheme="majorBidi" w:hAnsiTheme="majorBidi" w:cstheme="majorBidi"/>
          <w:sz w:val="24"/>
          <w:szCs w:val="24"/>
        </w:rPr>
        <w:t>): Operational Cost E</w:t>
      </w:r>
      <w:r w:rsidRPr="002074FC">
        <w:rPr>
          <w:rFonts w:asciiTheme="majorBidi" w:hAnsiTheme="majorBidi" w:cstheme="majorBidi"/>
          <w:sz w:val="24"/>
          <w:szCs w:val="24"/>
        </w:rPr>
        <w:t>fficiency</w:t>
      </w:r>
      <w:r>
        <w:rPr>
          <w:rFonts w:asciiTheme="majorBidi" w:hAnsiTheme="majorBidi" w:cstheme="majorBidi"/>
          <w:sz w:val="24"/>
          <w:szCs w:val="24"/>
        </w:rPr>
        <w:t xml:space="preserve">    </w:t>
      </w:r>
    </w:p>
    <w:p w:rsidR="006925E6" w:rsidRDefault="007A26D0" w:rsidP="009A33F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923FF" w:rsidTr="00E71DEE">
        <w:trPr>
          <w:jc w:val="center"/>
        </w:trPr>
        <w:tc>
          <w:tcPr>
            <w:tcW w:w="4788" w:type="dxa"/>
          </w:tcPr>
          <w:p w:rsidR="00A923FF" w:rsidRPr="00DE3DF2" w:rsidRDefault="00A923FF" w:rsidP="00A923FF">
            <w:pPr>
              <w:autoSpaceDE w:val="0"/>
              <w:autoSpaceDN w:val="0"/>
              <w:adjustRightInd w:val="0"/>
              <w:spacing w:line="360" w:lineRule="auto"/>
              <w:ind w:left="-30"/>
              <w:rPr>
                <w:rFonts w:asciiTheme="majorBidi" w:hAnsiTheme="majorBidi" w:cstheme="majorBidi"/>
                <w:b/>
                <w:bCs/>
                <w:sz w:val="24"/>
                <w:szCs w:val="24"/>
                <w:lang w:bidi="ar-JO"/>
              </w:rPr>
            </w:pPr>
            <w:r w:rsidRPr="00DE3DF2">
              <w:rPr>
                <w:rFonts w:asciiTheme="majorBidi" w:hAnsiTheme="majorBidi" w:cstheme="majorBidi"/>
                <w:b/>
                <w:bCs/>
                <w:sz w:val="24"/>
                <w:szCs w:val="24"/>
                <w:lang w:bidi="ar-JO"/>
              </w:rPr>
              <w:t>Standard</w:t>
            </w:r>
          </w:p>
          <w:p w:rsidR="00A923FF" w:rsidRDefault="00A923FF" w:rsidP="00A923FF">
            <w:pPr>
              <w:autoSpaceDE w:val="0"/>
              <w:autoSpaceDN w:val="0"/>
              <w:adjustRightInd w:val="0"/>
              <w:spacing w:line="360" w:lineRule="auto"/>
              <w:ind w:left="-30"/>
              <w:rPr>
                <w:rFonts w:asciiTheme="majorBidi" w:hAnsiTheme="majorBidi" w:cstheme="majorBidi"/>
                <w:sz w:val="24"/>
                <w:szCs w:val="24"/>
              </w:rPr>
            </w:pPr>
          </w:p>
          <w:p w:rsidR="00A923FF" w:rsidRPr="00DE3DF2" w:rsidRDefault="00A923FF" w:rsidP="00A923FF">
            <w:pPr>
              <w:autoSpaceDE w:val="0"/>
              <w:autoSpaceDN w:val="0"/>
              <w:adjustRightInd w:val="0"/>
              <w:spacing w:line="360" w:lineRule="auto"/>
              <w:ind w:left="-30"/>
              <w:rPr>
                <w:rFonts w:asciiTheme="majorBidi" w:hAnsiTheme="majorBidi" w:cstheme="majorBidi"/>
                <w:sz w:val="24"/>
                <w:szCs w:val="24"/>
              </w:rPr>
            </w:pPr>
            <w:r w:rsidRPr="00DE3DF2">
              <w:rPr>
                <w:rFonts w:asciiTheme="majorBidi" w:hAnsiTheme="majorBidi" w:cstheme="majorBidi"/>
                <w:sz w:val="24"/>
                <w:szCs w:val="24"/>
              </w:rPr>
              <w:t>Y – the value of dependent variable;</w:t>
            </w:r>
          </w:p>
          <w:p w:rsidR="00A923FF" w:rsidRPr="001640ED" w:rsidRDefault="00A923FF" w:rsidP="00A923FF">
            <w:pPr>
              <w:autoSpaceDE w:val="0"/>
              <w:autoSpaceDN w:val="0"/>
              <w:adjustRightInd w:val="0"/>
              <w:spacing w:line="360" w:lineRule="auto"/>
              <w:rPr>
                <w:rFonts w:asciiTheme="majorBidi" w:hAnsiTheme="majorBidi" w:cstheme="majorBidi"/>
                <w:sz w:val="24"/>
                <w:szCs w:val="24"/>
              </w:rPr>
            </w:pPr>
            <w:r w:rsidRPr="001640ED">
              <w:rPr>
                <w:rFonts w:asciiTheme="majorBidi" w:hAnsiTheme="majorBidi" w:cstheme="majorBidi"/>
                <w:sz w:val="24"/>
                <w:szCs w:val="24"/>
              </w:rPr>
              <w:t>α – the constant term;</w:t>
            </w:r>
          </w:p>
          <w:p w:rsidR="00A923FF" w:rsidRDefault="00A923FF" w:rsidP="00A923FF">
            <w:pPr>
              <w:autoSpaceDE w:val="0"/>
              <w:autoSpaceDN w:val="0"/>
              <w:adjustRightInd w:val="0"/>
              <w:spacing w:line="360" w:lineRule="auto"/>
              <w:ind w:left="-30"/>
              <w:rPr>
                <w:rFonts w:asciiTheme="majorBidi" w:hAnsiTheme="majorBidi" w:cstheme="majorBidi"/>
                <w:sz w:val="24"/>
                <w:szCs w:val="24"/>
              </w:rPr>
            </w:pPr>
            <w:r w:rsidRPr="001640ED">
              <w:rPr>
                <w:rFonts w:asciiTheme="majorBidi" w:hAnsiTheme="majorBidi" w:cstheme="majorBidi"/>
                <w:i/>
                <w:iCs/>
                <w:sz w:val="24"/>
                <w:szCs w:val="24"/>
              </w:rPr>
              <w:t xml:space="preserve">X – </w:t>
            </w:r>
            <w:r w:rsidRPr="001640ED">
              <w:rPr>
                <w:rFonts w:asciiTheme="majorBidi" w:hAnsiTheme="majorBidi" w:cstheme="majorBidi"/>
                <w:sz w:val="24"/>
                <w:szCs w:val="24"/>
              </w:rPr>
              <w:t>the value of independent variables:</w:t>
            </w:r>
          </w:p>
          <w:p w:rsidR="00A923FF" w:rsidRPr="001640ED" w:rsidRDefault="00A923FF" w:rsidP="00A923FF">
            <w:pPr>
              <w:autoSpaceDE w:val="0"/>
              <w:autoSpaceDN w:val="0"/>
              <w:adjustRightInd w:val="0"/>
              <w:spacing w:line="360" w:lineRule="auto"/>
              <w:ind w:left="-30"/>
              <w:rPr>
                <w:rFonts w:asciiTheme="majorBidi" w:hAnsiTheme="majorBidi" w:cstheme="majorBidi"/>
                <w:sz w:val="24"/>
                <w:szCs w:val="24"/>
              </w:rPr>
            </w:pPr>
            <w:r w:rsidRPr="00FE62CC">
              <w:rPr>
                <w:rFonts w:ascii="TimesNewRoman,Bold" w:hAnsi="TimesNewRoman,Bold" w:cs="TimesNewRoman,Bold"/>
                <w:sz w:val="24"/>
                <w:szCs w:val="24"/>
              </w:rPr>
              <w:t>β</w:t>
            </w:r>
            <w:r>
              <w:rPr>
                <w:rFonts w:asciiTheme="majorBidi" w:hAnsiTheme="majorBidi" w:cstheme="majorBidi"/>
                <w:sz w:val="24"/>
                <w:szCs w:val="24"/>
              </w:rPr>
              <w:t xml:space="preserve"> -</w:t>
            </w:r>
            <w:r>
              <w:rPr>
                <w:rFonts w:ascii="Cambria" w:hAnsi="Cambria" w:cs="Cambria"/>
                <w:sz w:val="24"/>
                <w:szCs w:val="24"/>
              </w:rPr>
              <w:t xml:space="preserve"> the coefficient of the function;</w:t>
            </w:r>
          </w:p>
          <w:p w:rsidR="00A923FF" w:rsidRPr="00166AAE" w:rsidRDefault="00A923FF" w:rsidP="00A923FF">
            <w:pPr>
              <w:autoSpaceDE w:val="0"/>
              <w:autoSpaceDN w:val="0"/>
              <w:adjustRightInd w:val="0"/>
              <w:spacing w:line="360" w:lineRule="auto"/>
              <w:ind w:left="-30"/>
              <w:rPr>
                <w:rFonts w:asciiTheme="majorBidi" w:hAnsiTheme="majorBidi" w:cstheme="majorBidi"/>
                <w:color w:val="FF0000"/>
                <w:sz w:val="24"/>
                <w:szCs w:val="24"/>
              </w:rPr>
            </w:pPr>
            <w:r w:rsidRPr="001640ED">
              <w:rPr>
                <w:rFonts w:asciiTheme="majorBidi" w:hAnsiTheme="majorBidi" w:cstheme="majorBidi"/>
                <w:sz w:val="24"/>
                <w:szCs w:val="24"/>
              </w:rPr>
              <w:t>ε – the disturbance or error term</w:t>
            </w:r>
            <w:r w:rsidRPr="00166AAE">
              <w:rPr>
                <w:rFonts w:asciiTheme="majorBidi" w:hAnsiTheme="majorBidi" w:cstheme="majorBidi"/>
                <w:color w:val="FF0000"/>
                <w:sz w:val="24"/>
                <w:szCs w:val="24"/>
              </w:rPr>
              <w:t>.</w:t>
            </w:r>
          </w:p>
          <w:p w:rsidR="00A923FF" w:rsidRDefault="00A923FF" w:rsidP="00A923FF"/>
        </w:tc>
        <w:tc>
          <w:tcPr>
            <w:tcW w:w="4788" w:type="dxa"/>
          </w:tcPr>
          <w:p w:rsidR="00A923FF" w:rsidRPr="00DE3DF2" w:rsidRDefault="00A923FF" w:rsidP="00A923FF">
            <w:pPr>
              <w:rPr>
                <w:rFonts w:asciiTheme="majorBidi" w:hAnsiTheme="majorBidi" w:cstheme="majorBidi"/>
                <w:b/>
                <w:bCs/>
                <w:sz w:val="24"/>
                <w:szCs w:val="24"/>
              </w:rPr>
            </w:pPr>
            <w:r w:rsidRPr="00DE3DF2">
              <w:rPr>
                <w:rFonts w:asciiTheme="majorBidi" w:hAnsiTheme="majorBidi" w:cstheme="majorBidi"/>
                <w:b/>
                <w:bCs/>
                <w:sz w:val="24"/>
                <w:szCs w:val="24"/>
              </w:rPr>
              <w:t>Our application</w:t>
            </w:r>
          </w:p>
          <w:p w:rsidR="00A923FF" w:rsidRDefault="00A923FF" w:rsidP="00A923FF">
            <w:pPr>
              <w:spacing w:line="360" w:lineRule="auto"/>
              <w:rPr>
                <w:rFonts w:ascii="TimesNewRoman" w:hAnsi="TimesNewRoman" w:cs="TimesNewRoman"/>
                <w:sz w:val="24"/>
                <w:szCs w:val="24"/>
              </w:rPr>
            </w:pPr>
          </w:p>
          <w:p w:rsidR="00A923FF" w:rsidRDefault="00A923FF" w:rsidP="00A923FF">
            <w:pPr>
              <w:spacing w:line="360" w:lineRule="auto"/>
              <w:rPr>
                <w:rFonts w:asciiTheme="majorBidi" w:hAnsiTheme="majorBidi" w:cstheme="majorBidi"/>
                <w:sz w:val="24"/>
                <w:szCs w:val="24"/>
                <w:lang w:bidi="ar-JO"/>
              </w:rPr>
            </w:pPr>
            <w:r>
              <w:rPr>
                <w:rFonts w:ascii="TimesNewRoman" w:hAnsi="TimesNewRoman" w:cs="TimesNewRoman"/>
                <w:sz w:val="24"/>
                <w:szCs w:val="24"/>
              </w:rPr>
              <w:t>Y:</w:t>
            </w:r>
            <w:r w:rsidR="0071260E">
              <w:rPr>
                <w:rFonts w:ascii="TimesNewRoman" w:hAnsi="TimesNewRoman" w:cs="TimesNewRoman"/>
                <w:sz w:val="24"/>
                <w:szCs w:val="24"/>
              </w:rPr>
              <w:t xml:space="preserve"> ROA+</w:t>
            </w:r>
            <w:r>
              <w:rPr>
                <w:rFonts w:ascii="TimesNewRoman" w:hAnsi="TimesNewRoman" w:cs="TimesNewRoman"/>
                <w:sz w:val="24"/>
                <w:szCs w:val="24"/>
              </w:rPr>
              <w:t xml:space="preserve"> ROE- </w:t>
            </w:r>
            <w:r>
              <w:rPr>
                <w:rFonts w:ascii="Cambria" w:hAnsi="Cambria" w:cs="Cambria"/>
                <w:sz w:val="24"/>
                <w:szCs w:val="24"/>
              </w:rPr>
              <w:t>profitability indicator</w:t>
            </w:r>
          </w:p>
          <w:p w:rsidR="00A923FF" w:rsidRPr="006E4540" w:rsidRDefault="00A923FF" w:rsidP="00A923FF">
            <w:pPr>
              <w:autoSpaceDE w:val="0"/>
              <w:autoSpaceDN w:val="0"/>
              <w:adjustRightInd w:val="0"/>
              <w:spacing w:line="360" w:lineRule="auto"/>
              <w:rPr>
                <w:rFonts w:asciiTheme="majorBidi" w:hAnsiTheme="majorBidi" w:cstheme="majorBidi"/>
                <w:sz w:val="24"/>
                <w:szCs w:val="24"/>
              </w:rPr>
            </w:pPr>
            <w:r w:rsidRPr="006E4540">
              <w:rPr>
                <w:rFonts w:asciiTheme="majorBidi" w:hAnsiTheme="majorBidi" w:cstheme="majorBidi"/>
                <w:sz w:val="24"/>
                <w:szCs w:val="24"/>
              </w:rPr>
              <w:t>X</w:t>
            </w:r>
            <w:r w:rsidRPr="006E4540">
              <w:rPr>
                <w:rFonts w:asciiTheme="majorBidi" w:hAnsiTheme="majorBidi" w:cstheme="majorBidi"/>
                <w:sz w:val="16"/>
                <w:szCs w:val="16"/>
              </w:rPr>
              <w:t>1</w:t>
            </w:r>
            <w:r>
              <w:rPr>
                <w:rFonts w:asciiTheme="majorBidi" w:hAnsiTheme="majorBidi" w:cstheme="majorBidi"/>
                <w:sz w:val="24"/>
                <w:szCs w:val="24"/>
              </w:rPr>
              <w:t>: NLPR</w:t>
            </w:r>
            <w:r w:rsidRPr="006E4540">
              <w:rPr>
                <w:rFonts w:asciiTheme="majorBidi" w:hAnsiTheme="majorBidi" w:cstheme="majorBidi"/>
                <w:sz w:val="24"/>
                <w:szCs w:val="24"/>
              </w:rPr>
              <w:t xml:space="preserve"> –credit risk management indicator</w:t>
            </w:r>
          </w:p>
          <w:p w:rsidR="00A923FF" w:rsidRPr="006E4540" w:rsidRDefault="00A923FF" w:rsidP="00A923FF">
            <w:pPr>
              <w:spacing w:line="360" w:lineRule="auto"/>
              <w:rPr>
                <w:rFonts w:asciiTheme="majorBidi" w:hAnsiTheme="majorBidi" w:cstheme="majorBidi"/>
                <w:sz w:val="24"/>
                <w:szCs w:val="24"/>
                <w:lang w:bidi="ar-JO"/>
              </w:rPr>
            </w:pPr>
            <w:r w:rsidRPr="006E4540">
              <w:rPr>
                <w:rFonts w:asciiTheme="majorBidi" w:hAnsiTheme="majorBidi" w:cstheme="majorBidi"/>
                <w:sz w:val="24"/>
                <w:szCs w:val="24"/>
              </w:rPr>
              <w:t>X</w:t>
            </w:r>
            <w:r w:rsidRPr="006E4540">
              <w:rPr>
                <w:rFonts w:asciiTheme="majorBidi" w:hAnsiTheme="majorBidi" w:cstheme="majorBidi"/>
                <w:sz w:val="16"/>
                <w:szCs w:val="16"/>
              </w:rPr>
              <w:t>2</w:t>
            </w:r>
            <w:r>
              <w:rPr>
                <w:rFonts w:asciiTheme="majorBidi" w:hAnsiTheme="majorBidi" w:cstheme="majorBidi"/>
                <w:sz w:val="24"/>
                <w:szCs w:val="24"/>
              </w:rPr>
              <w:t>: EQTA</w:t>
            </w:r>
            <w:r w:rsidRPr="006E4540">
              <w:rPr>
                <w:rFonts w:asciiTheme="majorBidi" w:hAnsiTheme="majorBidi" w:cstheme="majorBidi"/>
                <w:sz w:val="24"/>
                <w:szCs w:val="24"/>
              </w:rPr>
              <w:t>–credit risk management indicator</w:t>
            </w:r>
          </w:p>
          <w:p w:rsidR="00A923FF" w:rsidRDefault="00A923FF" w:rsidP="00A923FF">
            <w:pPr>
              <w:spacing w:line="360" w:lineRule="auto"/>
              <w:rPr>
                <w:rFonts w:asciiTheme="majorBidi" w:hAnsiTheme="majorBidi" w:cstheme="majorBidi"/>
                <w:sz w:val="24"/>
                <w:szCs w:val="24"/>
                <w:lang w:bidi="ar-JO"/>
              </w:rPr>
            </w:pPr>
            <w:r>
              <w:rPr>
                <w:rFonts w:asciiTheme="majorBidi" w:hAnsiTheme="majorBidi" w:cstheme="majorBidi"/>
                <w:sz w:val="24"/>
                <w:szCs w:val="24"/>
                <w:lang w:bidi="ar-JO"/>
              </w:rPr>
              <w:t>X3: LLPI</w:t>
            </w:r>
            <w:r w:rsidRPr="006E4540">
              <w:rPr>
                <w:rFonts w:asciiTheme="majorBidi" w:hAnsiTheme="majorBidi" w:cstheme="majorBidi"/>
                <w:sz w:val="24"/>
                <w:szCs w:val="24"/>
              </w:rPr>
              <w:t>–credit risk management indicator</w:t>
            </w:r>
          </w:p>
          <w:p w:rsidR="00A923FF" w:rsidRDefault="00A923FF" w:rsidP="00A923FF">
            <w:pPr>
              <w:spacing w:line="360" w:lineRule="auto"/>
              <w:rPr>
                <w:rFonts w:asciiTheme="majorBidi" w:hAnsiTheme="majorBidi" w:cstheme="majorBidi"/>
                <w:sz w:val="24"/>
                <w:szCs w:val="24"/>
                <w:lang w:bidi="ar-JO"/>
              </w:rPr>
            </w:pPr>
            <w:r>
              <w:rPr>
                <w:rFonts w:asciiTheme="majorBidi" w:hAnsiTheme="majorBidi" w:cstheme="majorBidi"/>
                <w:sz w:val="24"/>
                <w:szCs w:val="24"/>
                <w:lang w:bidi="ar-JO"/>
              </w:rPr>
              <w:t>X4: NIDR</w:t>
            </w:r>
            <w:r w:rsidRPr="006E4540">
              <w:rPr>
                <w:rFonts w:asciiTheme="majorBidi" w:hAnsiTheme="majorBidi" w:cstheme="majorBidi"/>
                <w:sz w:val="24"/>
                <w:szCs w:val="24"/>
              </w:rPr>
              <w:t>–credit risk management indicator</w:t>
            </w:r>
          </w:p>
          <w:p w:rsidR="00A923FF" w:rsidRDefault="00B30CFE" w:rsidP="00A923FF">
            <w:r>
              <w:rPr>
                <w:rFonts w:asciiTheme="majorBidi" w:hAnsiTheme="majorBidi" w:cstheme="majorBidi"/>
                <w:sz w:val="24"/>
                <w:szCs w:val="24"/>
                <w:lang w:bidi="ar-JO"/>
              </w:rPr>
              <w:t>X5 :OPNI</w:t>
            </w:r>
            <w:r w:rsidR="0071260E">
              <w:rPr>
                <w:rFonts w:asciiTheme="majorBidi" w:hAnsiTheme="majorBidi" w:cstheme="majorBidi"/>
                <w:sz w:val="24"/>
                <w:szCs w:val="24"/>
                <w:lang w:bidi="ar-JO"/>
              </w:rPr>
              <w:t>_</w:t>
            </w:r>
            <w:r w:rsidR="00360835" w:rsidRPr="006E4540">
              <w:rPr>
                <w:rFonts w:asciiTheme="majorBidi" w:hAnsiTheme="majorBidi" w:cstheme="majorBidi"/>
                <w:sz w:val="24"/>
                <w:szCs w:val="24"/>
              </w:rPr>
              <w:t>credit risk management indicator</w:t>
            </w:r>
          </w:p>
        </w:tc>
      </w:tr>
    </w:tbl>
    <w:p w:rsidR="00A153A5" w:rsidRDefault="00A153A5" w:rsidP="009A33F5">
      <w:pPr>
        <w:autoSpaceDE w:val="0"/>
        <w:autoSpaceDN w:val="0"/>
        <w:adjustRightInd w:val="0"/>
        <w:spacing w:after="0" w:line="240" w:lineRule="auto"/>
        <w:jc w:val="center"/>
        <w:rPr>
          <w:rFonts w:asciiTheme="majorBidi" w:hAnsiTheme="majorBidi" w:cstheme="majorBidi"/>
          <w:sz w:val="24"/>
          <w:szCs w:val="24"/>
        </w:rPr>
      </w:pPr>
    </w:p>
    <w:p w:rsidR="006E4540" w:rsidRDefault="006E4540" w:rsidP="009A33F5">
      <w:pPr>
        <w:autoSpaceDE w:val="0"/>
        <w:autoSpaceDN w:val="0"/>
        <w:adjustRightInd w:val="0"/>
        <w:spacing w:after="0" w:line="240" w:lineRule="auto"/>
        <w:jc w:val="center"/>
        <w:rPr>
          <w:rFonts w:asciiTheme="majorBidi" w:hAnsiTheme="majorBidi" w:cstheme="majorBidi"/>
          <w:sz w:val="24"/>
          <w:szCs w:val="24"/>
        </w:rPr>
      </w:pPr>
      <w:r w:rsidRPr="006E4540">
        <w:rPr>
          <w:rFonts w:asciiTheme="majorBidi" w:hAnsiTheme="majorBidi" w:cstheme="majorBidi"/>
          <w:sz w:val="24"/>
          <w:szCs w:val="24"/>
        </w:rPr>
        <w:t>Thus the regression equation</w:t>
      </w:r>
      <w:r w:rsidR="00FF1866">
        <w:rPr>
          <w:rFonts w:asciiTheme="majorBidi" w:hAnsiTheme="majorBidi" w:cstheme="majorBidi"/>
          <w:sz w:val="24"/>
          <w:szCs w:val="24"/>
        </w:rPr>
        <w:t>s become</w:t>
      </w:r>
      <w:r w:rsidRPr="006E4540">
        <w:rPr>
          <w:rFonts w:asciiTheme="majorBidi" w:hAnsiTheme="majorBidi" w:cstheme="majorBidi"/>
          <w:sz w:val="24"/>
          <w:szCs w:val="24"/>
        </w:rPr>
        <w:t>:</w:t>
      </w:r>
    </w:p>
    <w:p w:rsidR="00201EC3" w:rsidRDefault="00201EC3" w:rsidP="009E4588">
      <w:pPr>
        <w:autoSpaceDE w:val="0"/>
        <w:autoSpaceDN w:val="0"/>
        <w:adjustRightInd w:val="0"/>
        <w:spacing w:after="0" w:line="360" w:lineRule="auto"/>
        <w:jc w:val="center"/>
        <w:rPr>
          <w:rFonts w:asciiTheme="majorBidi" w:hAnsiTheme="majorBidi" w:cstheme="majorBidi"/>
          <w:b/>
          <w:bCs/>
          <w:sz w:val="24"/>
          <w:szCs w:val="24"/>
        </w:rPr>
      </w:pPr>
    </w:p>
    <w:p w:rsidR="00FF1866" w:rsidRPr="003E3C3E" w:rsidRDefault="003E3C3E" w:rsidP="009E4588">
      <w:pPr>
        <w:autoSpaceDE w:val="0"/>
        <w:autoSpaceDN w:val="0"/>
        <w:adjustRightInd w:val="0"/>
        <w:spacing w:after="0" w:line="360" w:lineRule="auto"/>
        <w:jc w:val="center"/>
        <w:rPr>
          <w:rFonts w:asciiTheme="majorBidi" w:hAnsiTheme="majorBidi" w:cstheme="majorBidi"/>
          <w:b/>
          <w:bCs/>
          <w:sz w:val="24"/>
          <w:szCs w:val="24"/>
        </w:rPr>
      </w:pPr>
      <w:r w:rsidRPr="003E3C3E">
        <w:rPr>
          <w:rFonts w:asciiTheme="majorBidi" w:hAnsiTheme="majorBidi" w:cstheme="majorBidi"/>
          <w:b/>
          <w:bCs/>
          <w:sz w:val="24"/>
          <w:szCs w:val="24"/>
        </w:rPr>
        <w:t>Model I</w:t>
      </w:r>
    </w:p>
    <w:p w:rsidR="0071260E" w:rsidRPr="001640ED" w:rsidRDefault="0071260E" w:rsidP="00A32112">
      <w:pPr>
        <w:autoSpaceDE w:val="0"/>
        <w:autoSpaceDN w:val="0"/>
        <w:adjustRightInd w:val="0"/>
        <w:spacing w:after="0" w:line="360" w:lineRule="auto"/>
        <w:jc w:val="center"/>
        <w:rPr>
          <w:rFonts w:asciiTheme="majorBidi" w:hAnsiTheme="majorBidi" w:cstheme="majorBidi"/>
          <w:b/>
          <w:bCs/>
          <w:i/>
          <w:iCs/>
          <w:sz w:val="24"/>
          <w:szCs w:val="24"/>
        </w:rPr>
      </w:pPr>
      <w:r>
        <w:rPr>
          <w:rFonts w:ascii="TimesNewRoman,Bold" w:hAnsi="TimesNewRoman,Bold" w:cs="TimesNewRoman,Bold"/>
          <w:b/>
          <w:bCs/>
          <w:sz w:val="24"/>
          <w:szCs w:val="24"/>
        </w:rPr>
        <w:t>ROA</w:t>
      </w:r>
      <w:r w:rsidRPr="001640ED">
        <w:rPr>
          <w:rFonts w:ascii="TimesNewRoman,Bold" w:hAnsi="TimesNewRoman,Bold" w:cs="TimesNewRoman,Bold"/>
          <w:b/>
          <w:bCs/>
          <w:sz w:val="24"/>
          <w:szCs w:val="24"/>
        </w:rPr>
        <w:t xml:space="preserve">= </w:t>
      </w:r>
      <w:r w:rsidRPr="00FE62CC">
        <w:rPr>
          <w:rFonts w:ascii="TimesNewRoman,Bold" w:hAnsi="TimesNewRoman,Bold" w:cs="TimesNewRoman,Bold"/>
          <w:b/>
          <w:bCs/>
          <w:sz w:val="24"/>
          <w:szCs w:val="24"/>
        </w:rPr>
        <w:t>α+</w:t>
      </w:r>
      <w:r w:rsidR="007A26D0" w:rsidRPr="00FE62CC">
        <w:rPr>
          <w:rFonts w:ascii="TimesNewRoman,Bold" w:hAnsi="TimesNewRoman,Bold" w:cs="TimesNewRoman,Bold"/>
          <w:b/>
          <w:bCs/>
          <w:sz w:val="24"/>
          <w:szCs w:val="24"/>
        </w:rPr>
        <w:t>β</w:t>
      </w:r>
      <w:r w:rsidR="007A26D0">
        <w:rPr>
          <w:rFonts w:ascii="TimesNewRoman,Bold" w:hAnsi="TimesNewRoman,Bold" w:cs="TimesNewRoman,Bold"/>
          <w:b/>
          <w:bCs/>
          <w:sz w:val="24"/>
          <w:szCs w:val="24"/>
        </w:rPr>
        <w:t>1 (</w:t>
      </w:r>
      <w:r>
        <w:rPr>
          <w:rFonts w:ascii="TimesNewRoman,Bold" w:hAnsi="TimesNewRoman,Bold" w:cs="TimesNewRoman,Bold"/>
          <w:b/>
          <w:bCs/>
          <w:sz w:val="24"/>
          <w:szCs w:val="24"/>
        </w:rPr>
        <w:t xml:space="preserve">NLPR) + </w:t>
      </w:r>
      <w:r w:rsidRPr="001640ED">
        <w:rPr>
          <w:rFonts w:ascii="TimesNewRoman,Bold" w:hAnsi="TimesNewRoman,Bold" w:cs="TimesNewRoman,Bold"/>
          <w:b/>
          <w:bCs/>
          <w:sz w:val="24"/>
          <w:szCs w:val="24"/>
        </w:rPr>
        <w:t xml:space="preserve">β2 </w:t>
      </w:r>
      <w:r>
        <w:rPr>
          <w:rFonts w:ascii="TimesNewRoman,Bold" w:hAnsi="TimesNewRoman,Bold" w:cs="TimesNewRoman,Bold"/>
          <w:b/>
          <w:bCs/>
          <w:sz w:val="24"/>
          <w:szCs w:val="24"/>
        </w:rPr>
        <w:t xml:space="preserve">(EQTA) + </w:t>
      </w:r>
      <w:r w:rsidRPr="001640ED">
        <w:rPr>
          <w:rFonts w:ascii="TimesNewRoman,Bold" w:hAnsi="TimesNewRoman,Bold" w:cs="TimesNewRoman,Bold"/>
          <w:b/>
          <w:bCs/>
          <w:sz w:val="24"/>
          <w:szCs w:val="24"/>
        </w:rPr>
        <w:t xml:space="preserve">β3 </w:t>
      </w:r>
      <w:r>
        <w:rPr>
          <w:rFonts w:ascii="TimesNewRoman,Bold" w:hAnsi="TimesNewRoman,Bold" w:cs="TimesNewRoman,Bold"/>
          <w:b/>
          <w:bCs/>
          <w:sz w:val="24"/>
          <w:szCs w:val="24"/>
        </w:rPr>
        <w:t xml:space="preserve">(LLPI) + </w:t>
      </w:r>
      <w:r w:rsidRPr="00FE62CC">
        <w:rPr>
          <w:rFonts w:ascii="TimesNewRoman,Bold" w:hAnsi="TimesNewRoman,Bold" w:cs="TimesNewRoman,Bold"/>
          <w:b/>
          <w:bCs/>
          <w:sz w:val="24"/>
          <w:szCs w:val="24"/>
        </w:rPr>
        <w:t>β</w:t>
      </w:r>
      <w:r>
        <w:rPr>
          <w:rFonts w:ascii="TimesNewRoman,Bold" w:hAnsi="TimesNewRoman,Bold" w:cs="TimesNewRoman,Bold"/>
          <w:b/>
          <w:bCs/>
          <w:sz w:val="24"/>
          <w:szCs w:val="24"/>
        </w:rPr>
        <w:t>4(NIDR</w:t>
      </w:r>
      <w:r w:rsidRPr="001640ED">
        <w:rPr>
          <w:rFonts w:ascii="TimesNewRoman,Bold" w:hAnsi="TimesNewRoman,Bold" w:cs="TimesNewRoman,Bold"/>
          <w:b/>
          <w:bCs/>
          <w:i/>
          <w:iCs/>
          <w:sz w:val="24"/>
          <w:szCs w:val="24"/>
        </w:rPr>
        <w:t>)</w:t>
      </w:r>
      <w:r w:rsidRPr="00FE62CC">
        <w:rPr>
          <w:rFonts w:ascii="TimesNewRoman,BoldItalic" w:hAnsi="TimesNewRoman,BoldItalic" w:cs="TimesNewRoman,BoldItalic"/>
          <w:b/>
          <w:bCs/>
          <w:i/>
          <w:iCs/>
          <w:sz w:val="24"/>
          <w:szCs w:val="24"/>
        </w:rPr>
        <w:t xml:space="preserve"> +</w:t>
      </w:r>
      <w:r w:rsidRPr="00FE62CC">
        <w:rPr>
          <w:rFonts w:ascii="TimesNewRoman,Bold" w:hAnsi="TimesNewRoman,Bold" w:cs="TimesNewRoman,Bold"/>
          <w:b/>
          <w:bCs/>
          <w:sz w:val="24"/>
          <w:szCs w:val="24"/>
        </w:rPr>
        <w:t>β</w:t>
      </w:r>
      <w:r>
        <w:rPr>
          <w:rFonts w:ascii="TimesNewRoman,Bold" w:hAnsi="TimesNewRoman,Bold" w:cs="TimesNewRoman,Bold"/>
          <w:b/>
          <w:bCs/>
          <w:sz w:val="24"/>
          <w:szCs w:val="24"/>
        </w:rPr>
        <w:t>5</w:t>
      </w:r>
      <w:r w:rsidR="009E4588">
        <w:rPr>
          <w:rFonts w:ascii="TimesNewRoman,Bold" w:hAnsi="TimesNewRoman,Bold" w:cs="TimesNewRoman,Bold"/>
          <w:b/>
          <w:bCs/>
          <w:sz w:val="24"/>
          <w:szCs w:val="24"/>
        </w:rPr>
        <w:t>(OPNI</w:t>
      </w:r>
      <w:r w:rsidR="009E4588">
        <w:rPr>
          <w:rFonts w:ascii="TimesNewRoman,BoldItalic" w:hAnsi="TimesNewRoman,BoldItalic" w:cs="TimesNewRoman,BoldItalic"/>
          <w:b/>
          <w:bCs/>
          <w:i/>
          <w:iCs/>
          <w:sz w:val="24"/>
          <w:szCs w:val="24"/>
        </w:rPr>
        <w:t>)</w:t>
      </w:r>
      <w:r w:rsidRPr="00FE62CC">
        <w:rPr>
          <w:rFonts w:ascii="TimesNewRoman,BoldItalic" w:hAnsi="TimesNewRoman,BoldItalic" w:cs="TimesNewRoman,BoldItalic"/>
          <w:b/>
          <w:bCs/>
          <w:i/>
          <w:iCs/>
          <w:sz w:val="24"/>
          <w:szCs w:val="24"/>
        </w:rPr>
        <w:t>+ε</w:t>
      </w:r>
    </w:p>
    <w:p w:rsidR="003E3C3E" w:rsidRDefault="003E3C3E" w:rsidP="00A32112">
      <w:pPr>
        <w:autoSpaceDE w:val="0"/>
        <w:autoSpaceDN w:val="0"/>
        <w:adjustRightInd w:val="0"/>
        <w:spacing w:after="0" w:line="240" w:lineRule="auto"/>
        <w:jc w:val="center"/>
        <w:rPr>
          <w:rFonts w:asciiTheme="majorBidi" w:hAnsiTheme="majorBidi" w:cstheme="majorBidi"/>
          <w:b/>
          <w:bCs/>
          <w:sz w:val="24"/>
          <w:szCs w:val="24"/>
        </w:rPr>
      </w:pPr>
      <w:r w:rsidRPr="003E3C3E">
        <w:rPr>
          <w:rFonts w:asciiTheme="majorBidi" w:hAnsiTheme="majorBidi" w:cstheme="majorBidi"/>
          <w:b/>
          <w:bCs/>
          <w:sz w:val="24"/>
          <w:szCs w:val="24"/>
        </w:rPr>
        <w:t>Model II</w:t>
      </w:r>
    </w:p>
    <w:p w:rsidR="0071260E" w:rsidRPr="003E3C3E" w:rsidRDefault="0071260E" w:rsidP="00A32112">
      <w:pPr>
        <w:autoSpaceDE w:val="0"/>
        <w:autoSpaceDN w:val="0"/>
        <w:adjustRightInd w:val="0"/>
        <w:spacing w:after="0" w:line="240" w:lineRule="auto"/>
        <w:jc w:val="center"/>
        <w:rPr>
          <w:rFonts w:asciiTheme="majorBidi" w:hAnsiTheme="majorBidi" w:cstheme="majorBidi"/>
          <w:sz w:val="24"/>
          <w:szCs w:val="24"/>
        </w:rPr>
      </w:pPr>
    </w:p>
    <w:p w:rsidR="00A153A5" w:rsidRDefault="00166AAE" w:rsidP="0021758C">
      <w:pPr>
        <w:autoSpaceDE w:val="0"/>
        <w:autoSpaceDN w:val="0"/>
        <w:adjustRightInd w:val="0"/>
        <w:spacing w:after="0" w:line="360" w:lineRule="auto"/>
        <w:jc w:val="center"/>
        <w:rPr>
          <w:rFonts w:asciiTheme="majorBidi" w:hAnsiTheme="majorBidi" w:cstheme="majorBidi"/>
          <w:b/>
          <w:bCs/>
          <w:i/>
          <w:iCs/>
          <w:sz w:val="24"/>
          <w:szCs w:val="24"/>
        </w:rPr>
      </w:pPr>
      <w:r w:rsidRPr="001640ED">
        <w:rPr>
          <w:rFonts w:ascii="TimesNewRoman,Bold" w:hAnsi="TimesNewRoman,Bold" w:cs="TimesNewRoman,Bold"/>
          <w:b/>
          <w:bCs/>
          <w:sz w:val="24"/>
          <w:szCs w:val="24"/>
        </w:rPr>
        <w:t xml:space="preserve">ROE= </w:t>
      </w:r>
      <w:r w:rsidR="00FE62CC" w:rsidRPr="00FE62CC">
        <w:rPr>
          <w:rFonts w:ascii="TimesNewRoman,Bold" w:hAnsi="TimesNewRoman,Bold" w:cs="TimesNewRoman,Bold"/>
          <w:b/>
          <w:bCs/>
          <w:sz w:val="24"/>
          <w:szCs w:val="24"/>
        </w:rPr>
        <w:t>α+</w:t>
      </w:r>
      <w:r w:rsidR="007A26D0" w:rsidRPr="00FE62CC">
        <w:rPr>
          <w:rFonts w:ascii="TimesNewRoman,Bold" w:hAnsi="TimesNewRoman,Bold" w:cs="TimesNewRoman,Bold"/>
          <w:b/>
          <w:bCs/>
          <w:sz w:val="24"/>
          <w:szCs w:val="24"/>
        </w:rPr>
        <w:t>β</w:t>
      </w:r>
      <w:r w:rsidR="007A26D0">
        <w:rPr>
          <w:rFonts w:ascii="TimesNewRoman,Bold" w:hAnsi="TimesNewRoman,Bold" w:cs="TimesNewRoman,Bold"/>
          <w:b/>
          <w:bCs/>
          <w:sz w:val="24"/>
          <w:szCs w:val="24"/>
        </w:rPr>
        <w:t>1 (</w:t>
      </w:r>
      <w:r w:rsidR="00A6721F">
        <w:rPr>
          <w:rFonts w:ascii="TimesNewRoman,Bold" w:hAnsi="TimesNewRoman,Bold" w:cs="TimesNewRoman,Bold"/>
          <w:b/>
          <w:bCs/>
          <w:sz w:val="24"/>
          <w:szCs w:val="24"/>
        </w:rPr>
        <w:t>NLPR</w:t>
      </w:r>
      <w:r w:rsidR="00FE62CC">
        <w:rPr>
          <w:rFonts w:ascii="TimesNewRoman,Bold" w:hAnsi="TimesNewRoman,Bold" w:cs="TimesNewRoman,Bold"/>
          <w:b/>
          <w:bCs/>
          <w:sz w:val="24"/>
          <w:szCs w:val="24"/>
        </w:rPr>
        <w:t xml:space="preserve">) </w:t>
      </w:r>
      <w:r w:rsidR="00DC106E">
        <w:rPr>
          <w:rFonts w:ascii="TimesNewRoman,Bold" w:hAnsi="TimesNewRoman,Bold" w:cs="TimesNewRoman,Bold"/>
          <w:b/>
          <w:bCs/>
          <w:sz w:val="24"/>
          <w:szCs w:val="24"/>
        </w:rPr>
        <w:t xml:space="preserve">+ </w:t>
      </w:r>
      <w:r w:rsidR="007A26D0" w:rsidRPr="001640ED">
        <w:rPr>
          <w:rFonts w:ascii="TimesNewRoman,Bold" w:hAnsi="TimesNewRoman,Bold" w:cs="TimesNewRoman,Bold"/>
          <w:b/>
          <w:bCs/>
          <w:sz w:val="24"/>
          <w:szCs w:val="24"/>
        </w:rPr>
        <w:t>β2</w:t>
      </w:r>
      <w:r w:rsidR="007A26D0">
        <w:rPr>
          <w:rFonts w:ascii="TimesNewRoman,Bold" w:hAnsi="TimesNewRoman,Bold" w:cs="TimesNewRoman,Bold"/>
          <w:b/>
          <w:bCs/>
          <w:sz w:val="24"/>
          <w:szCs w:val="24"/>
        </w:rPr>
        <w:t xml:space="preserve"> (</w:t>
      </w:r>
      <w:r w:rsidR="00A6721F">
        <w:rPr>
          <w:rFonts w:ascii="TimesNewRoman,Bold" w:hAnsi="TimesNewRoman,Bold" w:cs="TimesNewRoman,Bold"/>
          <w:b/>
          <w:bCs/>
          <w:sz w:val="24"/>
          <w:szCs w:val="24"/>
        </w:rPr>
        <w:t>EQTA</w:t>
      </w:r>
      <w:r w:rsidR="00FE62CC">
        <w:rPr>
          <w:rFonts w:ascii="TimesNewRoman,Bold" w:hAnsi="TimesNewRoman,Bold" w:cs="TimesNewRoman,Bold"/>
          <w:b/>
          <w:bCs/>
          <w:sz w:val="24"/>
          <w:szCs w:val="24"/>
        </w:rPr>
        <w:t xml:space="preserve">) </w:t>
      </w:r>
      <w:r w:rsidR="00DC106E">
        <w:rPr>
          <w:rFonts w:ascii="TimesNewRoman,Bold" w:hAnsi="TimesNewRoman,Bold" w:cs="TimesNewRoman,Bold"/>
          <w:b/>
          <w:bCs/>
          <w:sz w:val="24"/>
          <w:szCs w:val="24"/>
        </w:rPr>
        <w:t xml:space="preserve">+ </w:t>
      </w:r>
      <w:r w:rsidR="007E6F9F" w:rsidRPr="001640ED">
        <w:rPr>
          <w:rFonts w:ascii="TimesNewRoman,Bold" w:hAnsi="TimesNewRoman,Bold" w:cs="TimesNewRoman,Bold"/>
          <w:b/>
          <w:bCs/>
          <w:sz w:val="24"/>
          <w:szCs w:val="24"/>
        </w:rPr>
        <w:t>β3</w:t>
      </w:r>
      <w:r w:rsidR="007E6F9F">
        <w:rPr>
          <w:rFonts w:ascii="TimesNewRoman,Bold" w:hAnsi="TimesNewRoman,Bold" w:cs="TimesNewRoman,Bold"/>
          <w:b/>
          <w:bCs/>
          <w:sz w:val="24"/>
          <w:szCs w:val="24"/>
        </w:rPr>
        <w:t xml:space="preserve"> (</w:t>
      </w:r>
      <w:r w:rsidR="00A6721F">
        <w:rPr>
          <w:rFonts w:ascii="TimesNewRoman,Bold" w:hAnsi="TimesNewRoman,Bold" w:cs="TimesNewRoman,Bold"/>
          <w:b/>
          <w:bCs/>
          <w:sz w:val="24"/>
          <w:szCs w:val="24"/>
        </w:rPr>
        <w:t>LLPI</w:t>
      </w:r>
      <w:r w:rsidR="00FE62CC">
        <w:rPr>
          <w:rFonts w:ascii="TimesNewRoman,Bold" w:hAnsi="TimesNewRoman,Bold" w:cs="TimesNewRoman,Bold"/>
          <w:b/>
          <w:bCs/>
          <w:sz w:val="24"/>
          <w:szCs w:val="24"/>
        </w:rPr>
        <w:t xml:space="preserve">) + </w:t>
      </w:r>
      <w:r w:rsidR="00FE62CC" w:rsidRPr="00FE62CC">
        <w:rPr>
          <w:rFonts w:ascii="TimesNewRoman,Bold" w:hAnsi="TimesNewRoman,Bold" w:cs="TimesNewRoman,Bold"/>
          <w:b/>
          <w:bCs/>
          <w:sz w:val="24"/>
          <w:szCs w:val="24"/>
        </w:rPr>
        <w:t>β</w:t>
      </w:r>
      <w:r w:rsidR="00FE62CC">
        <w:rPr>
          <w:rFonts w:ascii="TimesNewRoman,Bold" w:hAnsi="TimesNewRoman,Bold" w:cs="TimesNewRoman,Bold"/>
          <w:b/>
          <w:bCs/>
          <w:sz w:val="24"/>
          <w:szCs w:val="24"/>
        </w:rPr>
        <w:t>4(</w:t>
      </w:r>
      <w:r w:rsidR="00A6721F">
        <w:rPr>
          <w:rFonts w:ascii="TimesNewRoman,Bold" w:hAnsi="TimesNewRoman,Bold" w:cs="TimesNewRoman,Bold"/>
          <w:b/>
          <w:bCs/>
          <w:sz w:val="24"/>
          <w:szCs w:val="24"/>
        </w:rPr>
        <w:t>NIDR</w:t>
      </w:r>
      <w:r w:rsidR="001640ED" w:rsidRPr="001640ED">
        <w:rPr>
          <w:rFonts w:ascii="TimesNewRoman,Bold" w:hAnsi="TimesNewRoman,Bold" w:cs="TimesNewRoman,Bold"/>
          <w:b/>
          <w:bCs/>
          <w:i/>
          <w:iCs/>
          <w:sz w:val="24"/>
          <w:szCs w:val="24"/>
        </w:rPr>
        <w:t>)</w:t>
      </w:r>
      <w:r w:rsidR="00FE62CC" w:rsidRPr="00FE62CC">
        <w:rPr>
          <w:rFonts w:ascii="TimesNewRoman,BoldItalic" w:hAnsi="TimesNewRoman,BoldItalic" w:cs="TimesNewRoman,BoldItalic"/>
          <w:b/>
          <w:bCs/>
          <w:i/>
          <w:iCs/>
          <w:sz w:val="24"/>
          <w:szCs w:val="24"/>
        </w:rPr>
        <w:t xml:space="preserve"> +</w:t>
      </w:r>
      <w:r w:rsidR="002074FC" w:rsidRPr="00FE62CC">
        <w:rPr>
          <w:rFonts w:ascii="TimesNewRoman,Bold" w:hAnsi="TimesNewRoman,Bold" w:cs="TimesNewRoman,Bold"/>
          <w:b/>
          <w:bCs/>
          <w:sz w:val="24"/>
          <w:szCs w:val="24"/>
        </w:rPr>
        <w:t>β</w:t>
      </w:r>
      <w:r w:rsidR="002074FC">
        <w:rPr>
          <w:rFonts w:ascii="TimesNewRoman,Bold" w:hAnsi="TimesNewRoman,Bold" w:cs="TimesNewRoman,Bold"/>
          <w:b/>
          <w:bCs/>
          <w:sz w:val="24"/>
          <w:szCs w:val="24"/>
        </w:rPr>
        <w:t>5 (</w:t>
      </w:r>
      <w:r w:rsidR="009E4588">
        <w:rPr>
          <w:rFonts w:ascii="TimesNewRoman,Bold" w:hAnsi="TimesNewRoman,Bold" w:cs="TimesNewRoman,Bold"/>
          <w:b/>
          <w:bCs/>
          <w:sz w:val="24"/>
          <w:szCs w:val="24"/>
        </w:rPr>
        <w:t>OPNI)</w:t>
      </w:r>
      <w:r w:rsidR="002074FC" w:rsidRPr="00FE62CC">
        <w:rPr>
          <w:rFonts w:ascii="TimesNewRoman,BoldItalic" w:hAnsi="TimesNewRoman,BoldItalic" w:cs="TimesNewRoman,BoldItalic"/>
          <w:b/>
          <w:bCs/>
          <w:i/>
          <w:iCs/>
          <w:sz w:val="24"/>
          <w:szCs w:val="24"/>
        </w:rPr>
        <w:t xml:space="preserve"> +</w:t>
      </w:r>
      <w:r w:rsidR="00FE62CC" w:rsidRPr="00FE62CC">
        <w:rPr>
          <w:rFonts w:ascii="TimesNewRoman,BoldItalic" w:hAnsi="TimesNewRoman,BoldItalic" w:cs="TimesNewRoman,BoldItalic"/>
          <w:b/>
          <w:bCs/>
          <w:i/>
          <w:iCs/>
          <w:sz w:val="24"/>
          <w:szCs w:val="24"/>
        </w:rPr>
        <w:t xml:space="preserve"> ε</w:t>
      </w:r>
    </w:p>
    <w:p w:rsidR="00AD7619" w:rsidRPr="003721D6" w:rsidRDefault="00AD7619" w:rsidP="0021758C">
      <w:pPr>
        <w:autoSpaceDE w:val="0"/>
        <w:autoSpaceDN w:val="0"/>
        <w:adjustRightInd w:val="0"/>
        <w:spacing w:after="0" w:line="360" w:lineRule="auto"/>
        <w:jc w:val="center"/>
        <w:rPr>
          <w:rFonts w:asciiTheme="majorBidi" w:hAnsiTheme="majorBidi" w:cstheme="majorBidi"/>
          <w:b/>
          <w:bCs/>
          <w:i/>
          <w:iCs/>
          <w:sz w:val="16"/>
          <w:szCs w:val="16"/>
        </w:rPr>
      </w:pPr>
    </w:p>
    <w:p w:rsidR="00EC2197" w:rsidRPr="001B6D4E" w:rsidRDefault="00DC106E" w:rsidP="00D12D30">
      <w:pPr>
        <w:autoSpaceDE w:val="0"/>
        <w:autoSpaceDN w:val="0"/>
        <w:adjustRightInd w:val="0"/>
        <w:spacing w:after="0" w:line="360" w:lineRule="auto"/>
        <w:rPr>
          <w:rFonts w:asciiTheme="majorBidi" w:hAnsiTheme="majorBidi" w:cstheme="majorBidi"/>
          <w:b/>
          <w:bCs/>
          <w:color w:val="000000" w:themeColor="text1"/>
          <w:sz w:val="24"/>
          <w:szCs w:val="24"/>
          <w:lang w:val="en-GB"/>
        </w:rPr>
      </w:pPr>
      <w:r w:rsidRPr="001B6D4E">
        <w:rPr>
          <w:rFonts w:asciiTheme="majorBidi" w:hAnsiTheme="majorBidi" w:cstheme="majorBidi"/>
          <w:b/>
          <w:bCs/>
          <w:color w:val="000000" w:themeColor="text1"/>
          <w:sz w:val="24"/>
          <w:szCs w:val="24"/>
          <w:lang w:val="en-GB"/>
        </w:rPr>
        <w:t>3.6.4 Statistical</w:t>
      </w:r>
      <w:r w:rsidR="00404D67" w:rsidRPr="001B6D4E">
        <w:rPr>
          <w:rFonts w:asciiTheme="majorBidi" w:hAnsiTheme="majorBidi" w:cstheme="majorBidi"/>
          <w:b/>
          <w:bCs/>
          <w:color w:val="000000" w:themeColor="text1"/>
          <w:sz w:val="24"/>
          <w:szCs w:val="24"/>
          <w:lang w:val="en-GB"/>
        </w:rPr>
        <w:t xml:space="preserve"> Methods Used in the Study</w:t>
      </w:r>
    </w:p>
    <w:p w:rsidR="004769DB" w:rsidRPr="00DC66BA" w:rsidRDefault="004769DB" w:rsidP="00C21F14">
      <w:pPr>
        <w:autoSpaceDE w:val="0"/>
        <w:autoSpaceDN w:val="0"/>
        <w:adjustRightInd w:val="0"/>
        <w:spacing w:after="0" w:line="360" w:lineRule="auto"/>
        <w:jc w:val="both"/>
        <w:rPr>
          <w:rFonts w:asciiTheme="majorBidi" w:hAnsiTheme="majorBidi" w:cstheme="majorBidi"/>
          <w:color w:val="000000" w:themeColor="text1"/>
          <w:sz w:val="24"/>
          <w:szCs w:val="24"/>
        </w:rPr>
      </w:pPr>
      <w:r w:rsidRPr="00DC66BA">
        <w:rPr>
          <w:rFonts w:asciiTheme="majorBidi" w:hAnsiTheme="majorBidi" w:cstheme="majorBidi"/>
          <w:color w:val="000000" w:themeColor="text1"/>
          <w:sz w:val="24"/>
          <w:szCs w:val="24"/>
        </w:rPr>
        <w:t xml:space="preserve">SPSS statistical software </w:t>
      </w:r>
      <w:r w:rsidR="002C2BAD">
        <w:rPr>
          <w:rFonts w:asciiTheme="majorBidi" w:hAnsiTheme="majorBidi" w:cstheme="majorBidi"/>
          <w:color w:val="000000" w:themeColor="text1"/>
          <w:sz w:val="24"/>
          <w:szCs w:val="24"/>
        </w:rPr>
        <w:t xml:space="preserve">was </w:t>
      </w:r>
      <w:r w:rsidR="002C2BAD" w:rsidRPr="00DC66BA">
        <w:rPr>
          <w:rFonts w:asciiTheme="majorBidi" w:hAnsiTheme="majorBidi" w:cstheme="majorBidi"/>
          <w:color w:val="000000" w:themeColor="text1"/>
          <w:sz w:val="24"/>
          <w:szCs w:val="24"/>
        </w:rPr>
        <w:t>used</w:t>
      </w:r>
      <w:r w:rsidRPr="00DC66BA">
        <w:rPr>
          <w:rFonts w:asciiTheme="majorBidi" w:hAnsiTheme="majorBidi" w:cstheme="majorBidi"/>
          <w:color w:val="000000" w:themeColor="text1"/>
          <w:sz w:val="24"/>
          <w:szCs w:val="24"/>
        </w:rPr>
        <w:t xml:space="preserve"> in the analysis process for the following purposes:</w:t>
      </w:r>
    </w:p>
    <w:p w:rsidR="004769DB" w:rsidRPr="00C21F14" w:rsidRDefault="00C21F14" w:rsidP="00C21F14">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r w:rsidR="004769DB" w:rsidRPr="00C21F14">
        <w:rPr>
          <w:rFonts w:asciiTheme="majorBidi" w:hAnsiTheme="majorBidi" w:cstheme="majorBidi"/>
          <w:color w:val="000000" w:themeColor="text1"/>
          <w:sz w:val="24"/>
          <w:szCs w:val="24"/>
        </w:rPr>
        <w:t xml:space="preserve">The Multiple Linear </w:t>
      </w:r>
      <w:r w:rsidR="00420D73" w:rsidRPr="00C21F14">
        <w:rPr>
          <w:rFonts w:asciiTheme="majorBidi" w:hAnsiTheme="majorBidi" w:cstheme="majorBidi"/>
          <w:color w:val="000000" w:themeColor="text1"/>
          <w:sz w:val="24"/>
          <w:szCs w:val="24"/>
        </w:rPr>
        <w:t>Regressions</w:t>
      </w:r>
      <w:r w:rsidR="004769DB" w:rsidRPr="00C21F14">
        <w:rPr>
          <w:rFonts w:asciiTheme="majorBidi" w:hAnsiTheme="majorBidi" w:cstheme="majorBidi"/>
          <w:color w:val="000000" w:themeColor="text1"/>
          <w:sz w:val="24"/>
          <w:szCs w:val="24"/>
        </w:rPr>
        <w:t xml:space="preserve"> was used since there were several independent variables.</w:t>
      </w:r>
    </w:p>
    <w:p w:rsidR="004769DB" w:rsidRPr="00C21F14" w:rsidRDefault="00C21F14" w:rsidP="00C21F14">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r w:rsidR="004769DB" w:rsidRPr="00C21F14">
        <w:rPr>
          <w:rFonts w:asciiTheme="majorBidi" w:hAnsiTheme="majorBidi" w:cstheme="majorBidi"/>
          <w:color w:val="000000" w:themeColor="text1"/>
          <w:sz w:val="24"/>
          <w:szCs w:val="24"/>
        </w:rPr>
        <w:t xml:space="preserve">The T- Distribution test for the proposed hypothesis was </w:t>
      </w:r>
      <w:r w:rsidR="002C2BAD" w:rsidRPr="00C21F14">
        <w:rPr>
          <w:rFonts w:asciiTheme="majorBidi" w:hAnsiTheme="majorBidi" w:cstheme="majorBidi"/>
          <w:color w:val="000000" w:themeColor="text1"/>
          <w:sz w:val="24"/>
          <w:szCs w:val="24"/>
        </w:rPr>
        <w:t>used to</w:t>
      </w:r>
      <w:r w:rsidR="004769DB" w:rsidRPr="00C21F14">
        <w:rPr>
          <w:rFonts w:asciiTheme="majorBidi" w:hAnsiTheme="majorBidi" w:cstheme="majorBidi"/>
          <w:color w:val="000000" w:themeColor="text1"/>
          <w:sz w:val="24"/>
          <w:szCs w:val="24"/>
        </w:rPr>
        <w:t xml:space="preserve"> examine the relationship between the dependent and independent variables. The null- hypothesis can be </w:t>
      </w:r>
      <w:r w:rsidR="002C2BAD" w:rsidRPr="00C21F14">
        <w:rPr>
          <w:rFonts w:asciiTheme="majorBidi" w:hAnsiTheme="majorBidi" w:cstheme="majorBidi"/>
          <w:color w:val="000000" w:themeColor="text1"/>
          <w:sz w:val="24"/>
          <w:szCs w:val="24"/>
        </w:rPr>
        <w:t>tested using</w:t>
      </w:r>
      <w:r w:rsidR="004769DB" w:rsidRPr="00C21F14">
        <w:rPr>
          <w:rFonts w:asciiTheme="majorBidi" w:hAnsiTheme="majorBidi" w:cstheme="majorBidi"/>
          <w:color w:val="000000" w:themeColor="text1"/>
          <w:sz w:val="24"/>
          <w:szCs w:val="24"/>
        </w:rPr>
        <w:t xml:space="preserve"> Sig- T). If it is &gt; 0.05 the null- Hypothesis will be accepted and if it is &lt; than 0.05 the alternative hypothesis will be accepted.</w:t>
      </w:r>
    </w:p>
    <w:p w:rsidR="004769DB" w:rsidRPr="00C21F14" w:rsidRDefault="00C21F14" w:rsidP="00C21F1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3-</w:t>
      </w:r>
      <w:r w:rsidR="004769DB" w:rsidRPr="00C21F14">
        <w:rPr>
          <w:rFonts w:asciiTheme="majorBidi" w:hAnsiTheme="majorBidi" w:cstheme="majorBidi"/>
          <w:color w:val="000000" w:themeColor="text1"/>
          <w:sz w:val="24"/>
          <w:szCs w:val="24"/>
        </w:rPr>
        <w:t xml:space="preserve">The F-Test was used </w:t>
      </w:r>
      <w:r w:rsidR="002C2BAD" w:rsidRPr="00C21F14">
        <w:rPr>
          <w:rFonts w:asciiTheme="majorBidi" w:hAnsiTheme="majorBidi" w:cstheme="majorBidi"/>
          <w:color w:val="000000" w:themeColor="text1"/>
          <w:sz w:val="24"/>
          <w:szCs w:val="24"/>
        </w:rPr>
        <w:t>to examine</w:t>
      </w:r>
      <w:r w:rsidR="004769DB" w:rsidRPr="00C21F14">
        <w:rPr>
          <w:rFonts w:asciiTheme="majorBidi" w:hAnsiTheme="majorBidi" w:cstheme="majorBidi"/>
          <w:color w:val="000000" w:themeColor="text1"/>
          <w:sz w:val="24"/>
          <w:szCs w:val="24"/>
        </w:rPr>
        <w:t xml:space="preserve"> the appropriateness of the model as a whole. The F-value was calculated as (R2/1)/((1-R2/n19-2)) and associated P-value shall be looked at to measure the effect of the group of independent variables on the  dependent variable. The resulting F value should be compared to the critical F-value (Fv1, v2) which is taken from the F distribution table. </w:t>
      </w:r>
      <w:r w:rsidR="004769DB" w:rsidRPr="00C21F14">
        <w:rPr>
          <w:rFonts w:asciiTheme="majorBidi" w:hAnsiTheme="majorBidi" w:cstheme="majorBidi"/>
          <w:sz w:val="24"/>
          <w:szCs w:val="24"/>
        </w:rPr>
        <w:t xml:space="preserve">For instance, in our case, we had four independent variables and 35 observations. Then V1=4, and V2=n-k-1=35-4-1=30 (N represents </w:t>
      </w:r>
      <w:r w:rsidR="002C2BAD" w:rsidRPr="00C21F14">
        <w:rPr>
          <w:rFonts w:asciiTheme="majorBidi" w:hAnsiTheme="majorBidi" w:cstheme="majorBidi"/>
          <w:sz w:val="24"/>
          <w:szCs w:val="24"/>
        </w:rPr>
        <w:t>the number</w:t>
      </w:r>
      <w:r w:rsidR="004769DB" w:rsidRPr="00C21F14">
        <w:rPr>
          <w:rFonts w:asciiTheme="majorBidi" w:hAnsiTheme="majorBidi" w:cstheme="majorBidi"/>
          <w:sz w:val="24"/>
          <w:szCs w:val="24"/>
        </w:rPr>
        <w:t xml:space="preserve"> of observations and k represents </w:t>
      </w:r>
      <w:r w:rsidR="002C2BAD" w:rsidRPr="00C21F14">
        <w:rPr>
          <w:rFonts w:asciiTheme="majorBidi" w:hAnsiTheme="majorBidi" w:cstheme="majorBidi"/>
          <w:sz w:val="24"/>
          <w:szCs w:val="24"/>
        </w:rPr>
        <w:t>the number</w:t>
      </w:r>
      <w:r w:rsidR="004769DB" w:rsidRPr="00C21F14">
        <w:rPr>
          <w:rFonts w:asciiTheme="majorBidi" w:hAnsiTheme="majorBidi" w:cstheme="majorBidi"/>
          <w:sz w:val="24"/>
          <w:szCs w:val="24"/>
        </w:rPr>
        <w:t xml:space="preserve"> of variables). Thus, the critical value of F (2.689) can be found in the distribution table accordingly. If the </w:t>
      </w:r>
      <w:r w:rsidR="002C2BAD" w:rsidRPr="00C21F14">
        <w:rPr>
          <w:rFonts w:asciiTheme="majorBidi" w:hAnsiTheme="majorBidi" w:cstheme="majorBidi"/>
          <w:sz w:val="24"/>
          <w:szCs w:val="24"/>
        </w:rPr>
        <w:t>resulting F</w:t>
      </w:r>
      <w:r w:rsidR="004769DB" w:rsidRPr="00C21F14">
        <w:rPr>
          <w:rFonts w:asciiTheme="majorBidi" w:hAnsiTheme="majorBidi" w:cstheme="majorBidi"/>
          <w:sz w:val="24"/>
          <w:szCs w:val="24"/>
        </w:rPr>
        <w:t>-value exceeds the critical F-value, it can be said that the regression as a whole is significant.</w:t>
      </w:r>
    </w:p>
    <w:p w:rsidR="004769DB" w:rsidRPr="00C21F14" w:rsidRDefault="00C21F14" w:rsidP="00C21F1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4-</w:t>
      </w:r>
      <w:r w:rsidR="004769DB" w:rsidRPr="00C21F14">
        <w:rPr>
          <w:rFonts w:asciiTheme="majorBidi" w:hAnsiTheme="majorBidi" w:cstheme="majorBidi"/>
          <w:color w:val="000000" w:themeColor="text1"/>
          <w:sz w:val="24"/>
          <w:szCs w:val="24"/>
        </w:rPr>
        <w:t xml:space="preserve">The </w:t>
      </w:r>
      <w:r w:rsidR="00830937" w:rsidRPr="00C21F14">
        <w:rPr>
          <w:rFonts w:asciiTheme="majorBidi" w:hAnsiTheme="majorBidi" w:cstheme="majorBidi"/>
          <w:sz w:val="24"/>
          <w:szCs w:val="24"/>
        </w:rPr>
        <w:t xml:space="preserve">Variance </w:t>
      </w:r>
      <w:r w:rsidR="004769DB" w:rsidRPr="00C21F14">
        <w:rPr>
          <w:rFonts w:asciiTheme="majorBidi" w:hAnsiTheme="majorBidi" w:cstheme="majorBidi"/>
          <w:sz w:val="24"/>
          <w:szCs w:val="24"/>
        </w:rPr>
        <w:t xml:space="preserve">Inflating Factor (VIF) was used to examine the overlap (relationship) between the independent variables. It’s </w:t>
      </w:r>
      <w:r w:rsidR="004769DB" w:rsidRPr="00C21F14">
        <w:rPr>
          <w:rFonts w:asciiTheme="majorBidi" w:hAnsiTheme="majorBidi" w:cstheme="majorBidi"/>
          <w:color w:val="111111"/>
          <w:sz w:val="24"/>
          <w:szCs w:val="24"/>
          <w:shd w:val="clear" w:color="auto" w:fill="FFFFFF"/>
        </w:rPr>
        <w:t xml:space="preserve">a measure of the amount of multicollinearity in a set of multiple regression variables. Statisticians agree that this factor should be less than </w:t>
      </w:r>
      <w:r w:rsidR="002C2BAD" w:rsidRPr="00C21F14">
        <w:rPr>
          <w:rFonts w:asciiTheme="majorBidi" w:hAnsiTheme="majorBidi" w:cstheme="majorBidi"/>
          <w:color w:val="111111"/>
          <w:sz w:val="24"/>
          <w:szCs w:val="24"/>
          <w:shd w:val="clear" w:color="auto" w:fill="FFFFFF"/>
        </w:rPr>
        <w:t>10 (</w:t>
      </w:r>
      <w:r w:rsidR="004769DB" w:rsidRPr="00C21F14">
        <w:rPr>
          <w:rFonts w:asciiTheme="majorBidi" w:hAnsiTheme="majorBidi" w:cstheme="majorBidi"/>
          <w:sz w:val="24"/>
          <w:szCs w:val="24"/>
        </w:rPr>
        <w:t>Gujarati, 2003</w:t>
      </w:r>
      <w:r w:rsidR="004769DB" w:rsidRPr="00C21F14">
        <w:rPr>
          <w:rFonts w:ascii="TTE114CF88t00" w:hAnsi="TTE114CF88t00" w:cs="TTE114CF88t00"/>
          <w:sz w:val="28"/>
          <w:szCs w:val="28"/>
        </w:rPr>
        <w:t>).</w:t>
      </w:r>
    </w:p>
    <w:p w:rsidR="00502966" w:rsidRPr="006B7F55" w:rsidRDefault="00C21F14" w:rsidP="006B7F5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5-</w:t>
      </w:r>
      <w:r w:rsidR="004769DB" w:rsidRPr="00C21F14">
        <w:rPr>
          <w:rFonts w:asciiTheme="majorBidi" w:hAnsiTheme="majorBidi" w:cstheme="majorBidi"/>
          <w:sz w:val="24"/>
          <w:szCs w:val="24"/>
        </w:rPr>
        <w:t xml:space="preserve">Durbin- Watson test was </w:t>
      </w:r>
      <w:r w:rsidR="002C2BAD" w:rsidRPr="00C21F14">
        <w:rPr>
          <w:rFonts w:asciiTheme="majorBidi" w:hAnsiTheme="majorBidi" w:cstheme="majorBidi"/>
          <w:sz w:val="24"/>
          <w:szCs w:val="24"/>
        </w:rPr>
        <w:t xml:space="preserve">used. </w:t>
      </w:r>
      <w:r w:rsidR="004769DB" w:rsidRPr="00C21F14">
        <w:rPr>
          <w:rFonts w:asciiTheme="majorBidi" w:hAnsiTheme="majorBidi" w:cstheme="majorBidi"/>
          <w:sz w:val="24"/>
          <w:szCs w:val="24"/>
        </w:rPr>
        <w:t xml:space="preserve">Durbin-Watson (DW) statistics is the ratio of sum of squares of successive differences of residuals to the sum of squares of errors. As a rule of thumb, if the DW statistic is less than 2, there is evidence of positive serial correlation (Büyüksalvarcı and Abdioğlu, 2011). </w:t>
      </w:r>
      <w:r w:rsidR="004769DB" w:rsidRPr="00C21F14">
        <w:rPr>
          <w:rFonts w:asciiTheme="majorBidi" w:hAnsiTheme="majorBidi" w:cstheme="majorBidi"/>
          <w:color w:val="111111"/>
          <w:sz w:val="24"/>
          <w:szCs w:val="24"/>
          <w:shd w:val="clear" w:color="auto" w:fill="FFFFFF"/>
        </w:rPr>
        <w:t xml:space="preserve">Statisticians agree that if this factor is close to 2, </w:t>
      </w:r>
      <w:r w:rsidR="00435278" w:rsidRPr="00C21F14">
        <w:rPr>
          <w:rFonts w:asciiTheme="majorBidi" w:hAnsiTheme="majorBidi" w:cstheme="majorBidi"/>
          <w:color w:val="111111"/>
          <w:sz w:val="24"/>
          <w:szCs w:val="24"/>
          <w:shd w:val="clear" w:color="auto" w:fill="FFFFFF"/>
        </w:rPr>
        <w:t>then there</w:t>
      </w:r>
      <w:r w:rsidR="004769DB" w:rsidRPr="00C21F14">
        <w:rPr>
          <w:rFonts w:asciiTheme="majorBidi" w:hAnsiTheme="majorBidi" w:cstheme="majorBidi"/>
          <w:sz w:val="24"/>
          <w:szCs w:val="24"/>
        </w:rPr>
        <w:t xml:space="preserve"> will be no serial correlation between independent and dependent variables.</w:t>
      </w:r>
    </w:p>
    <w:p w:rsidR="00650CA3" w:rsidRDefault="00650CA3" w:rsidP="00201EC3">
      <w:pPr>
        <w:pStyle w:val="ListParagraph"/>
        <w:autoSpaceDE w:val="0"/>
        <w:autoSpaceDN w:val="0"/>
        <w:adjustRightInd w:val="0"/>
        <w:spacing w:after="0" w:line="360" w:lineRule="auto"/>
        <w:jc w:val="center"/>
        <w:rPr>
          <w:rFonts w:asciiTheme="majorBidi" w:hAnsiTheme="majorBidi" w:cstheme="majorBidi"/>
          <w:b/>
          <w:bCs/>
          <w:sz w:val="24"/>
          <w:szCs w:val="24"/>
        </w:rPr>
      </w:pPr>
    </w:p>
    <w:p w:rsidR="00E57DED" w:rsidRPr="00201EC3" w:rsidRDefault="00DA3772" w:rsidP="00201EC3">
      <w:pPr>
        <w:pStyle w:val="ListParagraph"/>
        <w:autoSpaceDE w:val="0"/>
        <w:autoSpaceDN w:val="0"/>
        <w:adjustRightInd w:val="0"/>
        <w:spacing w:after="0" w:line="360" w:lineRule="auto"/>
        <w:jc w:val="center"/>
        <w:rPr>
          <w:rFonts w:asciiTheme="majorBidi" w:hAnsiTheme="majorBidi" w:cstheme="majorBidi"/>
          <w:sz w:val="24"/>
          <w:szCs w:val="24"/>
        </w:rPr>
      </w:pPr>
      <w:r w:rsidRPr="00201EC3">
        <w:rPr>
          <w:rFonts w:asciiTheme="majorBidi" w:hAnsiTheme="majorBidi" w:cstheme="majorBidi"/>
          <w:b/>
          <w:bCs/>
          <w:sz w:val="24"/>
          <w:szCs w:val="24"/>
        </w:rPr>
        <w:t>CHAPTER FOUR</w:t>
      </w:r>
    </w:p>
    <w:p w:rsidR="000A4D11" w:rsidRDefault="001B6D4E" w:rsidP="00E57DED">
      <w:pPr>
        <w:autoSpaceDE w:val="0"/>
        <w:autoSpaceDN w:val="0"/>
        <w:adjustRightInd w:val="0"/>
        <w:spacing w:after="0" w:line="360" w:lineRule="auto"/>
        <w:jc w:val="center"/>
        <w:rPr>
          <w:rFonts w:asciiTheme="majorBidi" w:hAnsiTheme="majorBidi" w:cstheme="majorBidi"/>
          <w:color w:val="FF0000"/>
          <w:sz w:val="24"/>
          <w:szCs w:val="24"/>
        </w:rPr>
      </w:pPr>
      <w:r w:rsidRPr="001C7647">
        <w:rPr>
          <w:rFonts w:asciiTheme="majorBidi" w:hAnsiTheme="majorBidi" w:cstheme="majorBidi"/>
          <w:b/>
          <w:bCs/>
          <w:sz w:val="24"/>
          <w:szCs w:val="24"/>
        </w:rPr>
        <w:t>EMPIRICAL FINDINGS AND ANALYSIS</w:t>
      </w:r>
    </w:p>
    <w:p w:rsidR="00AD7619" w:rsidRDefault="00AD7619" w:rsidP="00E57DED">
      <w:pPr>
        <w:autoSpaceDE w:val="0"/>
        <w:autoSpaceDN w:val="0"/>
        <w:adjustRightInd w:val="0"/>
        <w:spacing w:after="0" w:line="360" w:lineRule="auto"/>
        <w:jc w:val="center"/>
        <w:rPr>
          <w:rFonts w:asciiTheme="majorBidi" w:hAnsiTheme="majorBidi" w:cstheme="majorBidi"/>
          <w:color w:val="FF0000"/>
          <w:sz w:val="24"/>
          <w:szCs w:val="24"/>
        </w:rPr>
      </w:pPr>
    </w:p>
    <w:p w:rsidR="00AD7619" w:rsidRDefault="00AD7619" w:rsidP="00E57DED">
      <w:pPr>
        <w:autoSpaceDE w:val="0"/>
        <w:autoSpaceDN w:val="0"/>
        <w:adjustRightInd w:val="0"/>
        <w:spacing w:after="0" w:line="360" w:lineRule="auto"/>
        <w:jc w:val="center"/>
        <w:rPr>
          <w:rFonts w:asciiTheme="majorBidi" w:hAnsiTheme="majorBidi" w:cstheme="majorBidi"/>
          <w:color w:val="FF0000"/>
          <w:sz w:val="24"/>
          <w:szCs w:val="24"/>
        </w:rPr>
      </w:pPr>
    </w:p>
    <w:p w:rsidR="00AD7619" w:rsidRDefault="00AD7619" w:rsidP="00E57DED">
      <w:pPr>
        <w:autoSpaceDE w:val="0"/>
        <w:autoSpaceDN w:val="0"/>
        <w:adjustRightInd w:val="0"/>
        <w:spacing w:after="0" w:line="360" w:lineRule="auto"/>
        <w:jc w:val="center"/>
        <w:rPr>
          <w:rFonts w:asciiTheme="majorBidi" w:hAnsiTheme="majorBidi" w:cstheme="majorBidi"/>
          <w:color w:val="FF0000"/>
          <w:sz w:val="24"/>
          <w:szCs w:val="24"/>
        </w:rPr>
      </w:pPr>
    </w:p>
    <w:p w:rsidR="00E57DED" w:rsidRPr="001B6D4E" w:rsidRDefault="00E57DED" w:rsidP="00B515F4">
      <w:pPr>
        <w:spacing w:line="360" w:lineRule="auto"/>
        <w:contextualSpacing/>
        <w:jc w:val="both"/>
        <w:rPr>
          <w:rFonts w:asciiTheme="majorBidi" w:hAnsiTheme="majorBidi" w:cstheme="majorBidi"/>
          <w:b/>
          <w:bCs/>
          <w:sz w:val="24"/>
          <w:szCs w:val="24"/>
        </w:rPr>
      </w:pPr>
      <w:r w:rsidRPr="001B6D4E">
        <w:rPr>
          <w:rFonts w:asciiTheme="majorBidi" w:hAnsiTheme="majorBidi" w:cstheme="majorBidi"/>
          <w:b/>
          <w:bCs/>
          <w:sz w:val="24"/>
          <w:szCs w:val="24"/>
        </w:rPr>
        <w:t>4.1 Introduction</w:t>
      </w:r>
    </w:p>
    <w:p w:rsidR="00AD7619" w:rsidRDefault="000D1311" w:rsidP="00725B86">
      <w:pPr>
        <w:pStyle w:val="NoSpacing"/>
        <w:spacing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In this chapter, </w:t>
      </w:r>
      <w:r w:rsidRPr="00C95EDC">
        <w:rPr>
          <w:rFonts w:asciiTheme="majorBidi" w:hAnsiTheme="majorBidi" w:cstheme="majorBidi"/>
          <w:sz w:val="24"/>
          <w:szCs w:val="24"/>
        </w:rPr>
        <w:t xml:space="preserve">the </w:t>
      </w:r>
      <w:r w:rsidR="002C2BAD" w:rsidRPr="00C95EDC">
        <w:rPr>
          <w:rFonts w:asciiTheme="majorBidi" w:hAnsiTheme="majorBidi" w:cstheme="majorBidi"/>
          <w:sz w:val="24"/>
          <w:szCs w:val="24"/>
        </w:rPr>
        <w:t>researcher presents</w:t>
      </w:r>
      <w:r w:rsidR="00E57DED" w:rsidRPr="00E57DED">
        <w:rPr>
          <w:rFonts w:asciiTheme="majorBidi" w:hAnsiTheme="majorBidi" w:cstheme="majorBidi"/>
          <w:sz w:val="24"/>
          <w:szCs w:val="24"/>
        </w:rPr>
        <w:t xml:space="preserve"> the </w:t>
      </w:r>
      <w:r>
        <w:rPr>
          <w:rFonts w:asciiTheme="majorBidi" w:hAnsiTheme="majorBidi" w:cstheme="majorBidi"/>
          <w:sz w:val="24"/>
          <w:szCs w:val="24"/>
        </w:rPr>
        <w:t>results of the</w:t>
      </w:r>
      <w:r w:rsidR="00D23053">
        <w:rPr>
          <w:rFonts w:asciiTheme="majorBidi" w:hAnsiTheme="majorBidi" w:cstheme="majorBidi"/>
          <w:sz w:val="24"/>
          <w:szCs w:val="24"/>
        </w:rPr>
        <w:t xml:space="preserve"> regression </w:t>
      </w:r>
      <w:r w:rsidR="002C2BAD">
        <w:rPr>
          <w:rFonts w:asciiTheme="majorBidi" w:hAnsiTheme="majorBidi" w:cstheme="majorBidi"/>
          <w:sz w:val="24"/>
          <w:szCs w:val="24"/>
        </w:rPr>
        <w:t>models that</w:t>
      </w:r>
      <w:r w:rsidR="00D23053">
        <w:rPr>
          <w:rFonts w:asciiTheme="majorBidi" w:hAnsiTheme="majorBidi" w:cstheme="majorBidi"/>
          <w:sz w:val="24"/>
          <w:szCs w:val="24"/>
        </w:rPr>
        <w:t xml:space="preserve"> measure the independent variables </w:t>
      </w:r>
      <w:r w:rsidR="00E25BD1">
        <w:rPr>
          <w:rFonts w:asciiTheme="majorBidi" w:hAnsiTheme="majorBidi" w:cstheme="majorBidi"/>
          <w:sz w:val="24"/>
          <w:szCs w:val="24"/>
        </w:rPr>
        <w:t>(G</w:t>
      </w:r>
      <w:r w:rsidR="00D24D8F">
        <w:rPr>
          <w:rFonts w:asciiTheme="majorBidi" w:hAnsiTheme="majorBidi" w:cstheme="majorBidi"/>
          <w:sz w:val="24"/>
          <w:szCs w:val="24"/>
        </w:rPr>
        <w:t>ood</w:t>
      </w:r>
      <w:r w:rsidR="00E25BD1">
        <w:rPr>
          <w:rFonts w:asciiTheme="majorBidi" w:hAnsiTheme="majorBidi" w:cstheme="majorBidi"/>
          <w:sz w:val="24"/>
          <w:szCs w:val="24"/>
        </w:rPr>
        <w:t xml:space="preserve"> Lending Principals, Capital A</w:t>
      </w:r>
      <w:r w:rsidR="00910B14">
        <w:rPr>
          <w:rFonts w:asciiTheme="majorBidi" w:hAnsiTheme="majorBidi" w:cstheme="majorBidi"/>
          <w:sz w:val="24"/>
          <w:szCs w:val="24"/>
        </w:rPr>
        <w:t>dequacy</w:t>
      </w:r>
      <w:r w:rsidR="00E25BD1">
        <w:rPr>
          <w:rFonts w:asciiTheme="majorBidi" w:hAnsiTheme="majorBidi" w:cstheme="majorBidi"/>
          <w:sz w:val="24"/>
          <w:szCs w:val="24"/>
        </w:rPr>
        <w:t>, C</w:t>
      </w:r>
      <w:r w:rsidR="00D24D8F">
        <w:rPr>
          <w:rFonts w:asciiTheme="majorBidi" w:hAnsiTheme="majorBidi" w:cstheme="majorBidi"/>
          <w:sz w:val="24"/>
          <w:szCs w:val="24"/>
        </w:rPr>
        <w:t>redit</w:t>
      </w:r>
      <w:r w:rsidR="00E25BD1">
        <w:rPr>
          <w:rFonts w:asciiTheme="majorBidi" w:hAnsiTheme="majorBidi" w:cstheme="majorBidi"/>
          <w:sz w:val="24"/>
          <w:szCs w:val="24"/>
        </w:rPr>
        <w:t xml:space="preserve"> M</w:t>
      </w:r>
      <w:r w:rsidR="00D23053">
        <w:rPr>
          <w:rFonts w:asciiTheme="majorBidi" w:hAnsiTheme="majorBidi" w:cstheme="majorBidi"/>
          <w:sz w:val="24"/>
          <w:szCs w:val="24"/>
        </w:rPr>
        <w:t>onitoring</w:t>
      </w:r>
      <w:r w:rsidR="001E3465">
        <w:rPr>
          <w:rFonts w:asciiTheme="majorBidi" w:hAnsiTheme="majorBidi" w:cstheme="majorBidi"/>
          <w:sz w:val="24"/>
          <w:szCs w:val="24"/>
        </w:rPr>
        <w:t>,</w:t>
      </w:r>
      <w:r w:rsidR="00E25BD1">
        <w:rPr>
          <w:rFonts w:asciiTheme="majorBidi" w:hAnsiTheme="majorBidi" w:cstheme="majorBidi"/>
          <w:sz w:val="24"/>
          <w:szCs w:val="24"/>
        </w:rPr>
        <w:t xml:space="preserve"> Income D</w:t>
      </w:r>
      <w:r w:rsidR="00F366F8">
        <w:rPr>
          <w:rFonts w:asciiTheme="majorBidi" w:hAnsiTheme="majorBidi" w:cstheme="majorBidi"/>
          <w:sz w:val="24"/>
          <w:szCs w:val="24"/>
        </w:rPr>
        <w:t>iversification</w:t>
      </w:r>
      <w:r w:rsidR="00E25BD1">
        <w:rPr>
          <w:rFonts w:asciiTheme="majorBidi" w:hAnsiTheme="majorBidi" w:cstheme="majorBidi"/>
          <w:sz w:val="24"/>
          <w:szCs w:val="24"/>
        </w:rPr>
        <w:t xml:space="preserve"> and O</w:t>
      </w:r>
      <w:r w:rsidR="009E4588">
        <w:rPr>
          <w:rFonts w:asciiTheme="majorBidi" w:hAnsiTheme="majorBidi" w:cstheme="majorBidi"/>
          <w:sz w:val="24"/>
          <w:szCs w:val="24"/>
        </w:rPr>
        <w:t>perational</w:t>
      </w:r>
      <w:r w:rsidR="00830937">
        <w:rPr>
          <w:rFonts w:asciiTheme="majorBidi" w:hAnsiTheme="majorBidi" w:cstheme="majorBidi"/>
          <w:sz w:val="24"/>
          <w:szCs w:val="24"/>
        </w:rPr>
        <w:t xml:space="preserve"> Cost</w:t>
      </w:r>
      <w:r w:rsidR="00E25BD1">
        <w:rPr>
          <w:rFonts w:asciiTheme="majorBidi" w:hAnsiTheme="majorBidi" w:cstheme="majorBidi"/>
          <w:sz w:val="24"/>
          <w:szCs w:val="24"/>
        </w:rPr>
        <w:t xml:space="preserve"> E</w:t>
      </w:r>
      <w:r w:rsidR="001E3465">
        <w:rPr>
          <w:rFonts w:asciiTheme="majorBidi" w:hAnsiTheme="majorBidi" w:cstheme="majorBidi"/>
          <w:sz w:val="24"/>
          <w:szCs w:val="24"/>
        </w:rPr>
        <w:t xml:space="preserve">fficiency </w:t>
      </w:r>
      <w:r w:rsidR="00D23053">
        <w:rPr>
          <w:rFonts w:asciiTheme="majorBidi" w:hAnsiTheme="majorBidi" w:cstheme="majorBidi"/>
          <w:sz w:val="24"/>
          <w:szCs w:val="24"/>
        </w:rPr>
        <w:t xml:space="preserve">and </w:t>
      </w:r>
      <w:r w:rsidR="009E4588">
        <w:rPr>
          <w:rFonts w:asciiTheme="majorBidi" w:hAnsiTheme="majorBidi" w:cstheme="majorBidi"/>
          <w:sz w:val="24"/>
          <w:szCs w:val="24"/>
        </w:rPr>
        <w:t xml:space="preserve">the </w:t>
      </w:r>
      <w:r w:rsidR="00D23053">
        <w:rPr>
          <w:rFonts w:asciiTheme="majorBidi" w:hAnsiTheme="majorBidi" w:cstheme="majorBidi"/>
          <w:sz w:val="24"/>
          <w:szCs w:val="24"/>
        </w:rPr>
        <w:t>dependent variable</w:t>
      </w:r>
      <w:r w:rsidR="001E3465">
        <w:rPr>
          <w:rFonts w:asciiTheme="majorBidi" w:hAnsiTheme="majorBidi" w:cstheme="majorBidi"/>
          <w:sz w:val="24"/>
          <w:szCs w:val="24"/>
        </w:rPr>
        <w:t xml:space="preserve">s </w:t>
      </w:r>
      <w:r w:rsidR="00E25BD1">
        <w:rPr>
          <w:rFonts w:asciiTheme="majorBidi" w:hAnsiTheme="majorBidi" w:cstheme="majorBidi"/>
          <w:sz w:val="24"/>
          <w:szCs w:val="24"/>
        </w:rPr>
        <w:t>R</w:t>
      </w:r>
      <w:r w:rsidR="00D24D8F">
        <w:rPr>
          <w:rFonts w:asciiTheme="majorBidi" w:hAnsiTheme="majorBidi" w:cstheme="majorBidi"/>
          <w:sz w:val="24"/>
          <w:szCs w:val="24"/>
        </w:rPr>
        <w:t>eturn</w:t>
      </w:r>
      <w:r w:rsidR="00E25BD1">
        <w:rPr>
          <w:rFonts w:asciiTheme="majorBidi" w:hAnsiTheme="majorBidi" w:cstheme="majorBidi"/>
          <w:sz w:val="24"/>
          <w:szCs w:val="24"/>
        </w:rPr>
        <w:t xml:space="preserve"> on Assets (ROA) and Return on E</w:t>
      </w:r>
      <w:r w:rsidR="001E3465">
        <w:rPr>
          <w:rFonts w:asciiTheme="majorBidi" w:hAnsiTheme="majorBidi" w:cstheme="majorBidi"/>
          <w:sz w:val="24"/>
          <w:szCs w:val="24"/>
        </w:rPr>
        <w:t>quity (ROE)</w:t>
      </w:r>
      <w:r w:rsidR="003D2B89">
        <w:rPr>
          <w:rFonts w:asciiTheme="majorBidi" w:hAnsiTheme="majorBidi" w:cstheme="majorBidi"/>
          <w:sz w:val="24"/>
          <w:szCs w:val="24"/>
        </w:rPr>
        <w:t>,</w:t>
      </w:r>
      <w:r w:rsidR="00F366F8">
        <w:rPr>
          <w:rFonts w:asciiTheme="majorBidi" w:hAnsiTheme="majorBidi" w:cstheme="majorBidi"/>
          <w:sz w:val="24"/>
          <w:szCs w:val="24"/>
        </w:rPr>
        <w:t xml:space="preserve"> the profitability </w:t>
      </w:r>
      <w:r w:rsidR="002B538E">
        <w:rPr>
          <w:rFonts w:asciiTheme="majorBidi" w:hAnsiTheme="majorBidi" w:cstheme="majorBidi"/>
          <w:sz w:val="24"/>
          <w:szCs w:val="24"/>
        </w:rPr>
        <w:t>measurement</w:t>
      </w:r>
      <w:r w:rsidR="003D2B89">
        <w:rPr>
          <w:rFonts w:asciiTheme="majorBidi" w:hAnsiTheme="majorBidi" w:cstheme="majorBidi"/>
          <w:sz w:val="24"/>
          <w:szCs w:val="24"/>
        </w:rPr>
        <w:t>s by</w:t>
      </w:r>
      <w:r w:rsidR="00D23053">
        <w:rPr>
          <w:rFonts w:asciiTheme="majorBidi" w:hAnsiTheme="majorBidi" w:cstheme="majorBidi"/>
          <w:sz w:val="24"/>
          <w:szCs w:val="24"/>
        </w:rPr>
        <w:t xml:space="preserve"> using financial ratios. </w:t>
      </w:r>
      <w:r w:rsidR="00E57DED" w:rsidRPr="00E57DED">
        <w:rPr>
          <w:rFonts w:asciiTheme="majorBidi" w:hAnsiTheme="majorBidi" w:cstheme="majorBidi"/>
          <w:sz w:val="24"/>
          <w:szCs w:val="24"/>
        </w:rPr>
        <w:t xml:space="preserve">We </w:t>
      </w:r>
      <w:r w:rsidR="003D2B89" w:rsidRPr="00E57DED">
        <w:rPr>
          <w:rFonts w:asciiTheme="majorBidi" w:hAnsiTheme="majorBidi" w:cstheme="majorBidi"/>
          <w:sz w:val="24"/>
          <w:szCs w:val="24"/>
        </w:rPr>
        <w:t>analyze</w:t>
      </w:r>
      <w:r w:rsidR="003D2B89">
        <w:rPr>
          <w:rFonts w:asciiTheme="majorBidi" w:hAnsiTheme="majorBidi" w:cstheme="majorBidi"/>
          <w:sz w:val="24"/>
          <w:szCs w:val="24"/>
        </w:rPr>
        <w:t>d</w:t>
      </w:r>
      <w:r w:rsidR="00E57DED" w:rsidRPr="00E57DED">
        <w:rPr>
          <w:rFonts w:asciiTheme="majorBidi" w:hAnsiTheme="majorBidi" w:cstheme="majorBidi"/>
          <w:sz w:val="24"/>
          <w:szCs w:val="24"/>
        </w:rPr>
        <w:t xml:space="preserve"> the results</w:t>
      </w:r>
      <w:r w:rsidR="002B23FC">
        <w:rPr>
          <w:rFonts w:asciiTheme="majorBidi" w:hAnsiTheme="majorBidi" w:cstheme="majorBidi"/>
          <w:sz w:val="24"/>
          <w:szCs w:val="24"/>
        </w:rPr>
        <w:t>, to accept or reject the hypothesis related to the effects of independent variables on dependent variable</w:t>
      </w:r>
      <w:r w:rsidR="003D2B89">
        <w:rPr>
          <w:rFonts w:asciiTheme="majorBidi" w:hAnsiTheme="majorBidi" w:cstheme="majorBidi"/>
          <w:sz w:val="24"/>
          <w:szCs w:val="24"/>
        </w:rPr>
        <w:t xml:space="preserve">, </w:t>
      </w:r>
      <w:r w:rsidR="00E57DED" w:rsidRPr="00E57DED">
        <w:rPr>
          <w:rFonts w:asciiTheme="majorBidi" w:hAnsiTheme="majorBidi" w:cstheme="majorBidi"/>
          <w:sz w:val="24"/>
          <w:szCs w:val="24"/>
        </w:rPr>
        <w:t>describe the</w:t>
      </w:r>
      <w:r w:rsidR="00E25BD1">
        <w:rPr>
          <w:rFonts w:asciiTheme="majorBidi" w:hAnsiTheme="majorBidi" w:cstheme="majorBidi"/>
          <w:sz w:val="24"/>
          <w:szCs w:val="24"/>
        </w:rPr>
        <w:t xml:space="preserve"> </w:t>
      </w:r>
      <w:r w:rsidR="00E57DED" w:rsidRPr="00E57DED">
        <w:rPr>
          <w:rFonts w:asciiTheme="majorBidi" w:hAnsiTheme="majorBidi" w:cstheme="majorBidi"/>
          <w:sz w:val="24"/>
          <w:szCs w:val="24"/>
        </w:rPr>
        <w:t>impact of credit r</w:t>
      </w:r>
      <w:r w:rsidR="00D23053">
        <w:rPr>
          <w:rFonts w:asciiTheme="majorBidi" w:hAnsiTheme="majorBidi" w:cstheme="majorBidi"/>
          <w:sz w:val="24"/>
          <w:szCs w:val="24"/>
        </w:rPr>
        <w:t>i</w:t>
      </w:r>
      <w:r w:rsidR="0060562D">
        <w:rPr>
          <w:rFonts w:asciiTheme="majorBidi" w:hAnsiTheme="majorBidi" w:cstheme="majorBidi"/>
          <w:sz w:val="24"/>
          <w:szCs w:val="24"/>
        </w:rPr>
        <w:t xml:space="preserve">sk </w:t>
      </w:r>
      <w:r w:rsidR="003D2B89">
        <w:rPr>
          <w:rFonts w:asciiTheme="majorBidi" w:hAnsiTheme="majorBidi" w:cstheme="majorBidi"/>
          <w:sz w:val="24"/>
          <w:szCs w:val="24"/>
        </w:rPr>
        <w:t xml:space="preserve">management on profitability, </w:t>
      </w:r>
      <w:r w:rsidR="004427F1" w:rsidRPr="001B6D4E">
        <w:rPr>
          <w:rFonts w:asciiTheme="majorBidi" w:hAnsiTheme="majorBidi" w:cstheme="majorBidi"/>
          <w:sz w:val="24"/>
          <w:szCs w:val="24"/>
        </w:rPr>
        <w:t>trend analysis of</w:t>
      </w:r>
      <w:r w:rsidR="003D2B89">
        <w:rPr>
          <w:rFonts w:asciiTheme="majorBidi" w:hAnsiTheme="majorBidi" w:cstheme="majorBidi"/>
          <w:sz w:val="24"/>
          <w:szCs w:val="24"/>
        </w:rPr>
        <w:t xml:space="preserve"> sample bank's</w:t>
      </w:r>
      <w:r w:rsidR="004427F1" w:rsidRPr="001B6D4E">
        <w:rPr>
          <w:rFonts w:asciiTheme="majorBidi" w:hAnsiTheme="majorBidi" w:cstheme="majorBidi"/>
          <w:sz w:val="24"/>
          <w:szCs w:val="24"/>
        </w:rPr>
        <w:t xml:space="preserve"> profitability and the independent variables used in the stud</w:t>
      </w:r>
      <w:r w:rsidR="00E25BD1">
        <w:rPr>
          <w:rFonts w:asciiTheme="majorBidi" w:hAnsiTheme="majorBidi" w:cstheme="majorBidi"/>
          <w:sz w:val="24"/>
          <w:szCs w:val="24"/>
        </w:rPr>
        <w:t>y from 2005 -</w:t>
      </w:r>
      <w:r w:rsidR="004427F1" w:rsidRPr="001B6D4E">
        <w:rPr>
          <w:rFonts w:asciiTheme="majorBidi" w:hAnsiTheme="majorBidi" w:cstheme="majorBidi"/>
          <w:sz w:val="24"/>
          <w:szCs w:val="24"/>
        </w:rPr>
        <w:t xml:space="preserve"> 2011 will be presented.</w:t>
      </w:r>
    </w:p>
    <w:p w:rsidR="00AC6FAE" w:rsidRPr="00502966" w:rsidRDefault="00AC6FAE" w:rsidP="00725B86">
      <w:pPr>
        <w:pStyle w:val="NoSpacing"/>
        <w:spacing w:line="360" w:lineRule="auto"/>
        <w:contextualSpacing/>
        <w:jc w:val="both"/>
        <w:rPr>
          <w:rFonts w:asciiTheme="majorBidi" w:hAnsiTheme="majorBidi" w:cstheme="majorBidi"/>
          <w:sz w:val="24"/>
          <w:szCs w:val="24"/>
        </w:rPr>
      </w:pPr>
    </w:p>
    <w:p w:rsidR="004427F1" w:rsidRPr="001B6D4E" w:rsidRDefault="004427F1" w:rsidP="007209B1">
      <w:pPr>
        <w:contextualSpacing/>
        <w:rPr>
          <w:rFonts w:asciiTheme="majorBidi" w:hAnsiTheme="majorBidi" w:cstheme="majorBidi"/>
          <w:b/>
          <w:bCs/>
          <w:sz w:val="24"/>
          <w:szCs w:val="24"/>
        </w:rPr>
      </w:pPr>
      <w:r w:rsidRPr="001B6D4E">
        <w:rPr>
          <w:rFonts w:asciiTheme="majorBidi" w:hAnsiTheme="majorBidi" w:cstheme="majorBidi"/>
          <w:b/>
          <w:bCs/>
          <w:sz w:val="24"/>
          <w:szCs w:val="24"/>
        </w:rPr>
        <w:t>4.2 Tren</w:t>
      </w:r>
      <w:r w:rsidR="001C7647">
        <w:rPr>
          <w:rFonts w:asciiTheme="majorBidi" w:hAnsiTheme="majorBidi" w:cstheme="majorBidi"/>
          <w:b/>
          <w:bCs/>
          <w:sz w:val="24"/>
          <w:szCs w:val="24"/>
        </w:rPr>
        <w:t>d Analysis of Dependent and Independent V</w:t>
      </w:r>
      <w:r w:rsidRPr="001B6D4E">
        <w:rPr>
          <w:rFonts w:asciiTheme="majorBidi" w:hAnsiTheme="majorBidi" w:cstheme="majorBidi"/>
          <w:b/>
          <w:bCs/>
          <w:sz w:val="24"/>
          <w:szCs w:val="24"/>
        </w:rPr>
        <w:t>ariables</w:t>
      </w:r>
    </w:p>
    <w:p w:rsidR="004427F1" w:rsidRDefault="001E3465" w:rsidP="004427F1">
      <w:pPr>
        <w:spacing w:line="360" w:lineRule="auto"/>
        <w:contextualSpacing/>
        <w:rPr>
          <w:rFonts w:asciiTheme="majorBidi" w:hAnsiTheme="majorBidi" w:cstheme="majorBidi"/>
          <w:sz w:val="24"/>
          <w:szCs w:val="24"/>
        </w:rPr>
      </w:pPr>
      <w:r>
        <w:rPr>
          <w:rFonts w:asciiTheme="majorBidi" w:hAnsiTheme="majorBidi" w:cstheme="majorBidi"/>
          <w:sz w:val="24"/>
          <w:szCs w:val="24"/>
        </w:rPr>
        <w:t xml:space="preserve">This </w:t>
      </w:r>
      <w:r w:rsidR="00E947CD">
        <w:rPr>
          <w:rFonts w:asciiTheme="majorBidi" w:hAnsiTheme="majorBidi" w:cstheme="majorBidi"/>
          <w:sz w:val="24"/>
          <w:szCs w:val="24"/>
        </w:rPr>
        <w:t>part</w:t>
      </w:r>
      <w:r w:rsidR="00834679">
        <w:rPr>
          <w:rFonts w:asciiTheme="majorBidi" w:hAnsiTheme="majorBidi" w:cstheme="majorBidi"/>
          <w:sz w:val="24"/>
          <w:szCs w:val="24"/>
        </w:rPr>
        <w:t xml:space="preserve"> of the study</w:t>
      </w:r>
      <w:r w:rsidR="004427F1" w:rsidRPr="004427F1">
        <w:rPr>
          <w:rFonts w:asciiTheme="majorBidi" w:hAnsiTheme="majorBidi" w:cstheme="majorBidi"/>
          <w:sz w:val="24"/>
          <w:szCs w:val="24"/>
        </w:rPr>
        <w:t xml:space="preserve"> aimed at establishing the general trend of profitability</w:t>
      </w:r>
      <w:r>
        <w:rPr>
          <w:rFonts w:asciiTheme="majorBidi" w:hAnsiTheme="majorBidi" w:cstheme="majorBidi"/>
          <w:sz w:val="24"/>
          <w:szCs w:val="24"/>
        </w:rPr>
        <w:t xml:space="preserve"> (ROA</w:t>
      </w:r>
      <w:r w:rsidR="004427F1">
        <w:rPr>
          <w:rFonts w:asciiTheme="majorBidi" w:hAnsiTheme="majorBidi" w:cstheme="majorBidi"/>
          <w:sz w:val="24"/>
          <w:szCs w:val="24"/>
        </w:rPr>
        <w:t>)</w:t>
      </w:r>
      <w:r w:rsidR="003D2B89">
        <w:rPr>
          <w:rFonts w:asciiTheme="majorBidi" w:hAnsiTheme="majorBidi" w:cstheme="majorBidi"/>
          <w:sz w:val="24"/>
          <w:szCs w:val="24"/>
        </w:rPr>
        <w:t xml:space="preserve">, </w:t>
      </w:r>
      <w:r w:rsidR="00B36F20">
        <w:rPr>
          <w:rFonts w:asciiTheme="majorBidi" w:hAnsiTheme="majorBidi" w:cstheme="majorBidi"/>
          <w:sz w:val="24"/>
          <w:szCs w:val="24"/>
        </w:rPr>
        <w:t xml:space="preserve"> (</w:t>
      </w:r>
      <w:r>
        <w:rPr>
          <w:rFonts w:asciiTheme="majorBidi" w:hAnsiTheme="majorBidi" w:cstheme="majorBidi"/>
          <w:sz w:val="24"/>
          <w:szCs w:val="24"/>
        </w:rPr>
        <w:t xml:space="preserve">ROE) </w:t>
      </w:r>
      <w:r w:rsidR="00B36F20">
        <w:rPr>
          <w:rFonts w:asciiTheme="majorBidi" w:hAnsiTheme="majorBidi" w:cstheme="majorBidi"/>
          <w:sz w:val="24"/>
          <w:szCs w:val="24"/>
        </w:rPr>
        <w:t>and the five</w:t>
      </w:r>
      <w:r w:rsidR="00E25BD1">
        <w:rPr>
          <w:rFonts w:asciiTheme="majorBidi" w:hAnsiTheme="majorBidi" w:cstheme="majorBidi"/>
          <w:sz w:val="24"/>
          <w:szCs w:val="24"/>
        </w:rPr>
        <w:t xml:space="preserve"> </w:t>
      </w:r>
      <w:r w:rsidR="004427F1" w:rsidRPr="004427F1">
        <w:rPr>
          <w:rFonts w:asciiTheme="majorBidi" w:hAnsiTheme="majorBidi" w:cstheme="majorBidi"/>
          <w:sz w:val="24"/>
          <w:szCs w:val="24"/>
        </w:rPr>
        <w:t>bankin</w:t>
      </w:r>
      <w:r w:rsidR="004427F1">
        <w:rPr>
          <w:rFonts w:asciiTheme="majorBidi" w:hAnsiTheme="majorBidi" w:cstheme="majorBidi"/>
          <w:sz w:val="24"/>
          <w:szCs w:val="24"/>
        </w:rPr>
        <w:t>g-sect or</w:t>
      </w:r>
      <w:r w:rsidR="00B36F20">
        <w:rPr>
          <w:rFonts w:asciiTheme="majorBidi" w:hAnsiTheme="majorBidi" w:cstheme="majorBidi"/>
          <w:sz w:val="24"/>
          <w:szCs w:val="24"/>
        </w:rPr>
        <w:t>al factors (</w:t>
      </w:r>
      <w:r w:rsidR="00E25BD1">
        <w:rPr>
          <w:rFonts w:asciiTheme="majorBidi" w:hAnsiTheme="majorBidi" w:cstheme="majorBidi"/>
          <w:sz w:val="24"/>
          <w:szCs w:val="24"/>
        </w:rPr>
        <w:t>Nonperforming L</w:t>
      </w:r>
      <w:r w:rsidR="00E947CD">
        <w:rPr>
          <w:rFonts w:asciiTheme="majorBidi" w:hAnsiTheme="majorBidi" w:cstheme="majorBidi"/>
          <w:sz w:val="24"/>
          <w:szCs w:val="24"/>
        </w:rPr>
        <w:t>oans (</w:t>
      </w:r>
      <w:r w:rsidR="00B36F20">
        <w:rPr>
          <w:rFonts w:asciiTheme="majorBidi" w:hAnsiTheme="majorBidi" w:cstheme="majorBidi"/>
          <w:sz w:val="24"/>
          <w:szCs w:val="24"/>
        </w:rPr>
        <w:t>NPLR</w:t>
      </w:r>
      <w:r w:rsidR="00E947CD">
        <w:rPr>
          <w:rFonts w:asciiTheme="majorBidi" w:hAnsiTheme="majorBidi" w:cstheme="majorBidi"/>
          <w:sz w:val="24"/>
          <w:szCs w:val="24"/>
        </w:rPr>
        <w:t>)</w:t>
      </w:r>
      <w:r w:rsidR="00B36F20">
        <w:rPr>
          <w:rFonts w:asciiTheme="majorBidi" w:hAnsiTheme="majorBidi" w:cstheme="majorBidi"/>
          <w:sz w:val="24"/>
          <w:szCs w:val="24"/>
        </w:rPr>
        <w:t>,</w:t>
      </w:r>
      <w:r w:rsidR="00E25BD1">
        <w:rPr>
          <w:rFonts w:asciiTheme="majorBidi" w:hAnsiTheme="majorBidi" w:cstheme="majorBidi"/>
          <w:sz w:val="24"/>
          <w:szCs w:val="24"/>
        </w:rPr>
        <w:t xml:space="preserve"> Capital A</w:t>
      </w:r>
      <w:r w:rsidR="00E947CD">
        <w:rPr>
          <w:rFonts w:asciiTheme="majorBidi" w:hAnsiTheme="majorBidi" w:cstheme="majorBidi"/>
          <w:sz w:val="24"/>
          <w:szCs w:val="24"/>
        </w:rPr>
        <w:t>dequacy</w:t>
      </w:r>
      <w:r w:rsidR="00E25BD1">
        <w:rPr>
          <w:rFonts w:asciiTheme="majorBidi" w:hAnsiTheme="majorBidi" w:cstheme="majorBidi"/>
          <w:sz w:val="24"/>
          <w:szCs w:val="24"/>
        </w:rPr>
        <w:t xml:space="preserve"> </w:t>
      </w:r>
      <w:r w:rsidR="00E947CD">
        <w:rPr>
          <w:rFonts w:asciiTheme="majorBidi" w:hAnsiTheme="majorBidi" w:cstheme="majorBidi"/>
          <w:sz w:val="24"/>
          <w:szCs w:val="24"/>
        </w:rPr>
        <w:t>(</w:t>
      </w:r>
      <w:r w:rsidR="00B36F20">
        <w:rPr>
          <w:rFonts w:asciiTheme="majorBidi" w:hAnsiTheme="majorBidi" w:cstheme="majorBidi"/>
          <w:sz w:val="24"/>
          <w:szCs w:val="24"/>
        </w:rPr>
        <w:t>EQTA</w:t>
      </w:r>
      <w:r w:rsidR="00E947CD">
        <w:rPr>
          <w:rFonts w:asciiTheme="majorBidi" w:hAnsiTheme="majorBidi" w:cstheme="majorBidi"/>
          <w:sz w:val="24"/>
          <w:szCs w:val="24"/>
        </w:rPr>
        <w:t>)</w:t>
      </w:r>
      <w:r w:rsidR="00B36F20">
        <w:rPr>
          <w:rFonts w:asciiTheme="majorBidi" w:hAnsiTheme="majorBidi" w:cstheme="majorBidi"/>
          <w:sz w:val="24"/>
          <w:szCs w:val="24"/>
        </w:rPr>
        <w:t>,</w:t>
      </w:r>
      <w:r w:rsidR="00E25BD1">
        <w:rPr>
          <w:rFonts w:asciiTheme="majorBidi" w:hAnsiTheme="majorBidi" w:cstheme="majorBidi"/>
          <w:sz w:val="24"/>
          <w:szCs w:val="24"/>
        </w:rPr>
        <w:t xml:space="preserve"> Loan Loss P</w:t>
      </w:r>
      <w:r w:rsidR="00E947CD">
        <w:rPr>
          <w:rFonts w:asciiTheme="majorBidi" w:hAnsiTheme="majorBidi" w:cstheme="majorBidi"/>
          <w:sz w:val="24"/>
          <w:szCs w:val="24"/>
        </w:rPr>
        <w:t>rovisions</w:t>
      </w:r>
      <w:r w:rsidR="00E25BD1">
        <w:rPr>
          <w:rFonts w:asciiTheme="majorBidi" w:hAnsiTheme="majorBidi" w:cstheme="majorBidi"/>
          <w:sz w:val="24"/>
          <w:szCs w:val="24"/>
        </w:rPr>
        <w:t xml:space="preserve"> </w:t>
      </w:r>
      <w:r w:rsidR="00E947CD">
        <w:rPr>
          <w:rFonts w:asciiTheme="majorBidi" w:hAnsiTheme="majorBidi" w:cstheme="majorBidi"/>
          <w:sz w:val="24"/>
          <w:szCs w:val="24"/>
        </w:rPr>
        <w:t>(</w:t>
      </w:r>
      <w:r w:rsidR="00B36F20">
        <w:rPr>
          <w:rFonts w:asciiTheme="majorBidi" w:hAnsiTheme="majorBidi" w:cstheme="majorBidi"/>
          <w:sz w:val="24"/>
          <w:szCs w:val="24"/>
        </w:rPr>
        <w:t>LLPI</w:t>
      </w:r>
      <w:r w:rsidR="00E947CD">
        <w:rPr>
          <w:rFonts w:asciiTheme="majorBidi" w:hAnsiTheme="majorBidi" w:cstheme="majorBidi"/>
          <w:sz w:val="24"/>
          <w:szCs w:val="24"/>
        </w:rPr>
        <w:t>)</w:t>
      </w:r>
      <w:r w:rsidR="00B36F20">
        <w:rPr>
          <w:rFonts w:asciiTheme="majorBidi" w:hAnsiTheme="majorBidi" w:cstheme="majorBidi"/>
          <w:sz w:val="24"/>
          <w:szCs w:val="24"/>
        </w:rPr>
        <w:t>,</w:t>
      </w:r>
      <w:r w:rsidR="00E25BD1">
        <w:rPr>
          <w:rFonts w:asciiTheme="majorBidi" w:hAnsiTheme="majorBidi" w:cstheme="majorBidi"/>
          <w:sz w:val="24"/>
          <w:szCs w:val="24"/>
        </w:rPr>
        <w:t xml:space="preserve"> Income D</w:t>
      </w:r>
      <w:r w:rsidR="00E947CD">
        <w:rPr>
          <w:rFonts w:asciiTheme="majorBidi" w:hAnsiTheme="majorBidi" w:cstheme="majorBidi"/>
          <w:sz w:val="24"/>
          <w:szCs w:val="24"/>
        </w:rPr>
        <w:t>iversification</w:t>
      </w:r>
      <w:r w:rsidR="00E25BD1">
        <w:rPr>
          <w:rFonts w:asciiTheme="majorBidi" w:hAnsiTheme="majorBidi" w:cstheme="majorBidi"/>
          <w:sz w:val="24"/>
          <w:szCs w:val="24"/>
        </w:rPr>
        <w:t xml:space="preserve"> </w:t>
      </w:r>
      <w:r w:rsidR="00E947CD">
        <w:rPr>
          <w:rFonts w:asciiTheme="majorBidi" w:hAnsiTheme="majorBidi" w:cstheme="majorBidi"/>
          <w:sz w:val="24"/>
          <w:szCs w:val="24"/>
        </w:rPr>
        <w:t>(</w:t>
      </w:r>
      <w:r w:rsidR="004427F1">
        <w:rPr>
          <w:rFonts w:asciiTheme="majorBidi" w:hAnsiTheme="majorBidi" w:cstheme="majorBidi"/>
          <w:sz w:val="24"/>
          <w:szCs w:val="24"/>
        </w:rPr>
        <w:t>NIDR</w:t>
      </w:r>
      <w:r w:rsidR="00E947CD">
        <w:rPr>
          <w:rFonts w:asciiTheme="majorBidi" w:hAnsiTheme="majorBidi" w:cstheme="majorBidi"/>
          <w:sz w:val="24"/>
          <w:szCs w:val="24"/>
        </w:rPr>
        <w:t>)</w:t>
      </w:r>
      <w:r w:rsidR="00B36F20">
        <w:rPr>
          <w:rFonts w:asciiTheme="majorBidi" w:hAnsiTheme="majorBidi" w:cstheme="majorBidi"/>
          <w:sz w:val="24"/>
          <w:szCs w:val="24"/>
        </w:rPr>
        <w:t xml:space="preserve"> and</w:t>
      </w:r>
      <w:r w:rsidR="00E25BD1">
        <w:rPr>
          <w:rFonts w:asciiTheme="majorBidi" w:hAnsiTheme="majorBidi" w:cstheme="majorBidi"/>
          <w:sz w:val="24"/>
          <w:szCs w:val="24"/>
        </w:rPr>
        <w:t xml:space="preserve"> O</w:t>
      </w:r>
      <w:r w:rsidR="009E4588">
        <w:rPr>
          <w:rFonts w:asciiTheme="majorBidi" w:hAnsiTheme="majorBidi" w:cstheme="majorBidi"/>
          <w:sz w:val="24"/>
          <w:szCs w:val="24"/>
        </w:rPr>
        <w:t>perati</w:t>
      </w:r>
      <w:r w:rsidR="00E25BD1">
        <w:rPr>
          <w:rFonts w:asciiTheme="majorBidi" w:hAnsiTheme="majorBidi" w:cstheme="majorBidi"/>
          <w:sz w:val="24"/>
          <w:szCs w:val="24"/>
        </w:rPr>
        <w:t xml:space="preserve">ons </w:t>
      </w:r>
      <w:r w:rsidR="00830937">
        <w:rPr>
          <w:rFonts w:asciiTheme="majorBidi" w:hAnsiTheme="majorBidi" w:cstheme="majorBidi"/>
          <w:sz w:val="24"/>
          <w:szCs w:val="24"/>
        </w:rPr>
        <w:t xml:space="preserve">Costs </w:t>
      </w:r>
      <w:r w:rsidR="00E947CD">
        <w:rPr>
          <w:rFonts w:asciiTheme="majorBidi" w:hAnsiTheme="majorBidi" w:cstheme="majorBidi"/>
          <w:sz w:val="24"/>
          <w:szCs w:val="24"/>
        </w:rPr>
        <w:t>(</w:t>
      </w:r>
      <w:r w:rsidR="00B36F20">
        <w:rPr>
          <w:rFonts w:asciiTheme="majorBidi" w:hAnsiTheme="majorBidi" w:cstheme="majorBidi"/>
          <w:sz w:val="24"/>
          <w:szCs w:val="24"/>
        </w:rPr>
        <w:t>OPNI</w:t>
      </w:r>
      <w:r w:rsidR="004427F1">
        <w:rPr>
          <w:rFonts w:asciiTheme="majorBidi" w:hAnsiTheme="majorBidi" w:cstheme="majorBidi"/>
          <w:sz w:val="24"/>
          <w:szCs w:val="24"/>
        </w:rPr>
        <w:t>) in the</w:t>
      </w:r>
      <w:r w:rsidR="003D2B89">
        <w:rPr>
          <w:rFonts w:asciiTheme="majorBidi" w:hAnsiTheme="majorBidi" w:cstheme="majorBidi"/>
          <w:sz w:val="24"/>
          <w:szCs w:val="24"/>
        </w:rPr>
        <w:t xml:space="preserve"> five sample commercial</w:t>
      </w:r>
      <w:r w:rsidR="00E25BD1">
        <w:rPr>
          <w:rFonts w:asciiTheme="majorBidi" w:hAnsiTheme="majorBidi" w:cstheme="majorBidi"/>
          <w:sz w:val="24"/>
          <w:szCs w:val="24"/>
        </w:rPr>
        <w:t xml:space="preserve"> from 2005 -</w:t>
      </w:r>
      <w:r w:rsidR="004427F1">
        <w:rPr>
          <w:rFonts w:asciiTheme="majorBidi" w:hAnsiTheme="majorBidi" w:cstheme="majorBidi"/>
          <w:sz w:val="24"/>
          <w:szCs w:val="24"/>
        </w:rPr>
        <w:t xml:space="preserve"> 2011</w:t>
      </w:r>
      <w:r w:rsidR="004427F1" w:rsidRPr="004427F1">
        <w:rPr>
          <w:rFonts w:asciiTheme="majorBidi" w:hAnsiTheme="majorBidi" w:cstheme="majorBidi"/>
          <w:sz w:val="24"/>
          <w:szCs w:val="24"/>
        </w:rPr>
        <w:t>.</w:t>
      </w:r>
    </w:p>
    <w:p w:rsidR="004427F1" w:rsidRPr="001B6D4E" w:rsidRDefault="004427F1" w:rsidP="004427F1">
      <w:pPr>
        <w:spacing w:line="360" w:lineRule="auto"/>
        <w:contextualSpacing/>
        <w:rPr>
          <w:rFonts w:asciiTheme="majorBidi" w:hAnsiTheme="majorBidi" w:cstheme="majorBidi"/>
          <w:b/>
          <w:bCs/>
          <w:i/>
          <w:iCs/>
          <w:sz w:val="24"/>
          <w:szCs w:val="24"/>
        </w:rPr>
      </w:pPr>
      <w:r w:rsidRPr="001B6D4E">
        <w:rPr>
          <w:rFonts w:asciiTheme="majorBidi" w:hAnsiTheme="majorBidi" w:cstheme="majorBidi"/>
          <w:b/>
          <w:bCs/>
          <w:sz w:val="24"/>
          <w:szCs w:val="24"/>
        </w:rPr>
        <w:t xml:space="preserve">4.2.1 </w:t>
      </w:r>
      <w:r w:rsidR="001C7647">
        <w:rPr>
          <w:rFonts w:asciiTheme="majorBidi" w:hAnsiTheme="majorBidi" w:cstheme="majorBidi"/>
          <w:b/>
          <w:bCs/>
          <w:i/>
          <w:iCs/>
          <w:sz w:val="24"/>
          <w:szCs w:val="24"/>
        </w:rPr>
        <w:t>Trend Analysis of P</w:t>
      </w:r>
      <w:r w:rsidRPr="001B6D4E">
        <w:rPr>
          <w:rFonts w:asciiTheme="majorBidi" w:hAnsiTheme="majorBidi" w:cstheme="majorBidi"/>
          <w:b/>
          <w:bCs/>
          <w:i/>
          <w:iCs/>
          <w:sz w:val="24"/>
          <w:szCs w:val="24"/>
        </w:rPr>
        <w:t>rofitability</w:t>
      </w:r>
    </w:p>
    <w:p w:rsidR="00F50EF5" w:rsidRDefault="007659AD" w:rsidP="00DA4417">
      <w:pPr>
        <w:autoSpaceDE w:val="0"/>
        <w:autoSpaceDN w:val="0"/>
        <w:adjustRightInd w:val="0"/>
        <w:spacing w:after="0" w:line="360" w:lineRule="auto"/>
        <w:contextualSpacing/>
        <w:jc w:val="both"/>
        <w:rPr>
          <w:rFonts w:asciiTheme="majorBidi" w:hAnsiTheme="majorBidi" w:cstheme="majorBidi"/>
          <w:sz w:val="24"/>
          <w:szCs w:val="24"/>
        </w:rPr>
      </w:pPr>
      <w:r w:rsidRPr="002B538E">
        <w:rPr>
          <w:rFonts w:asciiTheme="majorBidi" w:hAnsiTheme="majorBidi" w:cstheme="majorBidi"/>
          <w:sz w:val="24"/>
          <w:szCs w:val="24"/>
        </w:rPr>
        <w:t>Table</w:t>
      </w:r>
      <w:r w:rsidR="002C7643">
        <w:rPr>
          <w:rFonts w:asciiTheme="majorBidi" w:hAnsiTheme="majorBidi" w:cstheme="majorBidi"/>
          <w:sz w:val="24"/>
          <w:szCs w:val="24"/>
        </w:rPr>
        <w:t>s</w:t>
      </w:r>
      <w:r w:rsidRPr="002B538E">
        <w:rPr>
          <w:rFonts w:asciiTheme="majorBidi" w:hAnsiTheme="majorBidi" w:cstheme="majorBidi"/>
          <w:sz w:val="24"/>
          <w:szCs w:val="24"/>
        </w:rPr>
        <w:t xml:space="preserve"> 4.</w:t>
      </w:r>
      <w:r w:rsidR="00F50EF5">
        <w:rPr>
          <w:rFonts w:asciiTheme="majorBidi" w:hAnsiTheme="majorBidi" w:cstheme="majorBidi"/>
          <w:sz w:val="24"/>
          <w:szCs w:val="24"/>
        </w:rPr>
        <w:t>1</w:t>
      </w:r>
      <w:r w:rsidR="00417132">
        <w:rPr>
          <w:rFonts w:asciiTheme="majorBidi" w:hAnsiTheme="majorBidi" w:cstheme="majorBidi"/>
          <w:sz w:val="24"/>
          <w:szCs w:val="24"/>
        </w:rPr>
        <w:t>3</w:t>
      </w:r>
      <w:r w:rsidR="006B1803">
        <w:rPr>
          <w:rFonts w:asciiTheme="majorBidi" w:hAnsiTheme="majorBidi" w:cstheme="majorBidi"/>
          <w:sz w:val="24"/>
          <w:szCs w:val="24"/>
        </w:rPr>
        <w:t xml:space="preserve"> </w:t>
      </w:r>
      <w:r w:rsidR="002C7643">
        <w:rPr>
          <w:rFonts w:asciiTheme="majorBidi" w:hAnsiTheme="majorBidi" w:cstheme="majorBidi"/>
          <w:sz w:val="24"/>
          <w:szCs w:val="24"/>
        </w:rPr>
        <w:t>report</w:t>
      </w:r>
      <w:r w:rsidR="003D2B89">
        <w:rPr>
          <w:rFonts w:asciiTheme="majorBidi" w:hAnsiTheme="majorBidi" w:cstheme="majorBidi"/>
          <w:sz w:val="24"/>
          <w:szCs w:val="24"/>
        </w:rPr>
        <w:t>ed</w:t>
      </w:r>
      <w:r w:rsidR="00F50EF5">
        <w:rPr>
          <w:rFonts w:asciiTheme="majorBidi" w:hAnsiTheme="majorBidi" w:cstheme="majorBidi"/>
          <w:sz w:val="24"/>
          <w:szCs w:val="24"/>
        </w:rPr>
        <w:t xml:space="preserve"> the mean scores of ROA</w:t>
      </w:r>
      <w:r w:rsidR="003D2B89">
        <w:rPr>
          <w:rFonts w:asciiTheme="majorBidi" w:hAnsiTheme="majorBidi" w:cstheme="majorBidi"/>
          <w:sz w:val="24"/>
          <w:szCs w:val="24"/>
        </w:rPr>
        <w:t xml:space="preserve"> </w:t>
      </w:r>
      <w:r w:rsidR="002C7643">
        <w:rPr>
          <w:rFonts w:asciiTheme="majorBidi" w:hAnsiTheme="majorBidi" w:cstheme="majorBidi"/>
          <w:sz w:val="24"/>
          <w:szCs w:val="24"/>
        </w:rPr>
        <w:t>for stu</w:t>
      </w:r>
      <w:r w:rsidR="00DA4417">
        <w:rPr>
          <w:rFonts w:asciiTheme="majorBidi" w:hAnsiTheme="majorBidi" w:cstheme="majorBidi"/>
          <w:sz w:val="24"/>
          <w:szCs w:val="24"/>
        </w:rPr>
        <w:t xml:space="preserve">dy sample over the study period </w:t>
      </w:r>
      <w:r w:rsidR="003D2B89">
        <w:rPr>
          <w:rFonts w:asciiTheme="majorBidi" w:hAnsiTheme="majorBidi" w:cstheme="majorBidi"/>
          <w:sz w:val="24"/>
          <w:szCs w:val="24"/>
        </w:rPr>
        <w:t>from 2005-</w:t>
      </w:r>
      <w:r w:rsidR="00DA4417" w:rsidRPr="002B538E">
        <w:rPr>
          <w:rFonts w:asciiTheme="majorBidi" w:hAnsiTheme="majorBidi" w:cstheme="majorBidi"/>
          <w:sz w:val="24"/>
          <w:szCs w:val="24"/>
        </w:rPr>
        <w:t>2011</w:t>
      </w:r>
      <w:r w:rsidR="00DA4417">
        <w:rPr>
          <w:rFonts w:asciiTheme="majorBidi" w:hAnsiTheme="majorBidi" w:cstheme="majorBidi"/>
          <w:sz w:val="24"/>
          <w:szCs w:val="24"/>
        </w:rPr>
        <w:t>.</w:t>
      </w:r>
    </w:p>
    <w:p w:rsidR="00F50EF5" w:rsidRPr="001C7647" w:rsidRDefault="00417132" w:rsidP="001C7647">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rPr>
        <w:t>Table 4.13</w:t>
      </w:r>
      <w:r w:rsidR="00F50EF5" w:rsidRPr="001C7647">
        <w:rPr>
          <w:rFonts w:asciiTheme="majorBidi" w:hAnsiTheme="majorBidi" w:cstheme="majorBidi"/>
          <w:b/>
          <w:bCs/>
        </w:rPr>
        <w:t>: The annual values and mean scores (%) of profitability (ROA) from 2005 to 2011</w:t>
      </w:r>
    </w:p>
    <w:tbl>
      <w:tblPr>
        <w:tblStyle w:val="TableGrid"/>
        <w:tblW w:w="0" w:type="auto"/>
        <w:jc w:val="center"/>
        <w:shd w:val="clear" w:color="auto" w:fill="002060"/>
        <w:tblLook w:val="04A0"/>
      </w:tblPr>
      <w:tblGrid>
        <w:gridCol w:w="2802"/>
        <w:gridCol w:w="850"/>
        <w:gridCol w:w="6"/>
        <w:gridCol w:w="845"/>
        <w:gridCol w:w="708"/>
        <w:gridCol w:w="815"/>
        <w:gridCol w:w="888"/>
        <w:gridCol w:w="856"/>
        <w:gridCol w:w="723"/>
      </w:tblGrid>
      <w:tr w:rsidR="00F50EF5" w:rsidTr="00C7681F">
        <w:trPr>
          <w:jc w:val="center"/>
        </w:trPr>
        <w:tc>
          <w:tcPr>
            <w:tcW w:w="2802" w:type="dxa"/>
            <w:shd w:val="clear" w:color="auto" w:fill="002060"/>
          </w:tcPr>
          <w:p w:rsidR="00F50EF5" w:rsidRDefault="00F50EF5" w:rsidP="003232B4"/>
        </w:tc>
        <w:tc>
          <w:tcPr>
            <w:tcW w:w="850" w:type="dxa"/>
            <w:shd w:val="clear" w:color="auto" w:fill="002060"/>
          </w:tcPr>
          <w:p w:rsidR="00F50EF5" w:rsidRPr="00974429" w:rsidRDefault="00F50EF5" w:rsidP="003232B4">
            <w:pPr>
              <w:rPr>
                <w:b/>
                <w:bCs/>
              </w:rPr>
            </w:pPr>
            <w:r w:rsidRPr="00974429">
              <w:rPr>
                <w:b/>
                <w:bCs/>
              </w:rPr>
              <w:t>2005</w:t>
            </w:r>
          </w:p>
        </w:tc>
        <w:tc>
          <w:tcPr>
            <w:tcW w:w="851" w:type="dxa"/>
            <w:gridSpan w:val="2"/>
            <w:shd w:val="clear" w:color="auto" w:fill="002060"/>
          </w:tcPr>
          <w:p w:rsidR="00F50EF5" w:rsidRPr="00974429" w:rsidRDefault="00F50EF5" w:rsidP="003232B4">
            <w:pPr>
              <w:rPr>
                <w:b/>
                <w:bCs/>
              </w:rPr>
            </w:pPr>
            <w:r w:rsidRPr="00974429">
              <w:rPr>
                <w:b/>
                <w:bCs/>
              </w:rPr>
              <w:t>2006</w:t>
            </w:r>
          </w:p>
        </w:tc>
        <w:tc>
          <w:tcPr>
            <w:tcW w:w="708" w:type="dxa"/>
            <w:shd w:val="clear" w:color="auto" w:fill="002060"/>
          </w:tcPr>
          <w:p w:rsidR="00F50EF5" w:rsidRPr="00974429" w:rsidRDefault="00F50EF5" w:rsidP="003232B4">
            <w:pPr>
              <w:rPr>
                <w:b/>
                <w:bCs/>
              </w:rPr>
            </w:pPr>
            <w:r w:rsidRPr="00974429">
              <w:rPr>
                <w:b/>
                <w:bCs/>
              </w:rPr>
              <w:t>2007</w:t>
            </w:r>
          </w:p>
        </w:tc>
        <w:tc>
          <w:tcPr>
            <w:tcW w:w="815" w:type="dxa"/>
            <w:shd w:val="clear" w:color="auto" w:fill="002060"/>
          </w:tcPr>
          <w:p w:rsidR="00F50EF5" w:rsidRPr="00974429" w:rsidRDefault="00F50EF5" w:rsidP="003232B4">
            <w:pPr>
              <w:rPr>
                <w:b/>
                <w:bCs/>
              </w:rPr>
            </w:pPr>
            <w:r w:rsidRPr="00974429">
              <w:rPr>
                <w:b/>
                <w:bCs/>
              </w:rPr>
              <w:t>2008</w:t>
            </w:r>
          </w:p>
        </w:tc>
        <w:tc>
          <w:tcPr>
            <w:tcW w:w="888" w:type="dxa"/>
            <w:shd w:val="clear" w:color="auto" w:fill="002060"/>
          </w:tcPr>
          <w:p w:rsidR="00F50EF5" w:rsidRPr="00974429" w:rsidRDefault="00F50EF5" w:rsidP="003232B4">
            <w:pPr>
              <w:rPr>
                <w:b/>
                <w:bCs/>
              </w:rPr>
            </w:pPr>
            <w:r w:rsidRPr="00974429">
              <w:rPr>
                <w:b/>
                <w:bCs/>
              </w:rPr>
              <w:t>2009</w:t>
            </w:r>
          </w:p>
        </w:tc>
        <w:tc>
          <w:tcPr>
            <w:tcW w:w="856" w:type="dxa"/>
            <w:shd w:val="clear" w:color="auto" w:fill="002060"/>
          </w:tcPr>
          <w:p w:rsidR="00F50EF5" w:rsidRPr="00974429" w:rsidRDefault="00F50EF5" w:rsidP="003232B4">
            <w:pPr>
              <w:rPr>
                <w:b/>
                <w:bCs/>
              </w:rPr>
            </w:pPr>
            <w:r w:rsidRPr="00974429">
              <w:rPr>
                <w:b/>
                <w:bCs/>
              </w:rPr>
              <w:t>2010</w:t>
            </w:r>
          </w:p>
        </w:tc>
        <w:tc>
          <w:tcPr>
            <w:tcW w:w="723" w:type="dxa"/>
            <w:shd w:val="clear" w:color="auto" w:fill="002060"/>
          </w:tcPr>
          <w:p w:rsidR="00F50EF5" w:rsidRPr="00974429" w:rsidRDefault="00F50EF5" w:rsidP="003232B4">
            <w:pPr>
              <w:rPr>
                <w:b/>
                <w:bCs/>
              </w:rPr>
            </w:pPr>
            <w:r w:rsidRPr="00974429">
              <w:rPr>
                <w:b/>
                <w:bCs/>
              </w:rPr>
              <w:t xml:space="preserve">2011    </w:t>
            </w:r>
          </w:p>
        </w:tc>
      </w:tr>
      <w:tr w:rsidR="00F50EF5" w:rsidTr="00C7681F">
        <w:trPr>
          <w:jc w:val="center"/>
        </w:trPr>
        <w:tc>
          <w:tcPr>
            <w:tcW w:w="2802" w:type="dxa"/>
            <w:shd w:val="clear" w:color="auto" w:fill="002060"/>
          </w:tcPr>
          <w:p w:rsidR="00F50EF5" w:rsidRPr="00E71DEE" w:rsidRDefault="00F50EF5" w:rsidP="003232B4">
            <w:r w:rsidRPr="00E71DEE">
              <w:t xml:space="preserve">          Bank of Palestine</w:t>
            </w:r>
          </w:p>
        </w:tc>
        <w:tc>
          <w:tcPr>
            <w:tcW w:w="850" w:type="dxa"/>
            <w:shd w:val="clear" w:color="auto" w:fill="002060"/>
          </w:tcPr>
          <w:p w:rsidR="00F50EF5" w:rsidRPr="00E71DEE" w:rsidRDefault="00F50EF5" w:rsidP="003232B4">
            <w:pPr>
              <w:jc w:val="center"/>
              <w:rPr>
                <w:sz w:val="20"/>
                <w:szCs w:val="20"/>
              </w:rPr>
            </w:pPr>
            <w:r w:rsidRPr="00E71DEE">
              <w:rPr>
                <w:sz w:val="20"/>
                <w:szCs w:val="20"/>
              </w:rPr>
              <w:t>2.4</w:t>
            </w:r>
          </w:p>
        </w:tc>
        <w:tc>
          <w:tcPr>
            <w:tcW w:w="851" w:type="dxa"/>
            <w:gridSpan w:val="2"/>
            <w:shd w:val="clear" w:color="auto" w:fill="002060"/>
          </w:tcPr>
          <w:p w:rsidR="00F50EF5" w:rsidRPr="00E71DEE" w:rsidRDefault="00F50EF5" w:rsidP="003232B4">
            <w:pPr>
              <w:jc w:val="center"/>
              <w:rPr>
                <w:sz w:val="20"/>
                <w:szCs w:val="20"/>
              </w:rPr>
            </w:pPr>
            <w:r w:rsidRPr="00E71DEE">
              <w:rPr>
                <w:sz w:val="20"/>
                <w:szCs w:val="20"/>
              </w:rPr>
              <w:t>2.3</w:t>
            </w:r>
          </w:p>
        </w:tc>
        <w:tc>
          <w:tcPr>
            <w:tcW w:w="708" w:type="dxa"/>
            <w:shd w:val="clear" w:color="auto" w:fill="002060"/>
          </w:tcPr>
          <w:p w:rsidR="00F50EF5" w:rsidRPr="00E71DEE" w:rsidRDefault="00F50EF5" w:rsidP="003232B4">
            <w:pPr>
              <w:jc w:val="center"/>
              <w:rPr>
                <w:sz w:val="20"/>
                <w:szCs w:val="20"/>
              </w:rPr>
            </w:pPr>
            <w:r w:rsidRPr="00E71DEE">
              <w:rPr>
                <w:sz w:val="20"/>
                <w:szCs w:val="20"/>
              </w:rPr>
              <w:t>2.43</w:t>
            </w:r>
          </w:p>
        </w:tc>
        <w:tc>
          <w:tcPr>
            <w:tcW w:w="815" w:type="dxa"/>
            <w:shd w:val="clear" w:color="auto" w:fill="002060"/>
          </w:tcPr>
          <w:p w:rsidR="00F50EF5" w:rsidRPr="00E71DEE" w:rsidRDefault="00F50EF5" w:rsidP="003232B4">
            <w:pPr>
              <w:jc w:val="center"/>
              <w:rPr>
                <w:sz w:val="20"/>
                <w:szCs w:val="20"/>
              </w:rPr>
            </w:pPr>
            <w:r w:rsidRPr="00E71DEE">
              <w:rPr>
                <w:sz w:val="20"/>
                <w:szCs w:val="20"/>
              </w:rPr>
              <w:t>2.25</w:t>
            </w:r>
          </w:p>
        </w:tc>
        <w:tc>
          <w:tcPr>
            <w:tcW w:w="888" w:type="dxa"/>
            <w:shd w:val="clear" w:color="auto" w:fill="002060"/>
          </w:tcPr>
          <w:p w:rsidR="00F50EF5" w:rsidRPr="00E71DEE" w:rsidRDefault="00F50EF5" w:rsidP="003232B4">
            <w:pPr>
              <w:jc w:val="center"/>
              <w:rPr>
                <w:sz w:val="20"/>
                <w:szCs w:val="20"/>
              </w:rPr>
            </w:pPr>
            <w:r w:rsidRPr="00E71DEE">
              <w:rPr>
                <w:sz w:val="20"/>
                <w:szCs w:val="20"/>
              </w:rPr>
              <w:t>2.1</w:t>
            </w:r>
          </w:p>
        </w:tc>
        <w:tc>
          <w:tcPr>
            <w:tcW w:w="856" w:type="dxa"/>
            <w:shd w:val="clear" w:color="auto" w:fill="002060"/>
          </w:tcPr>
          <w:p w:rsidR="00F50EF5" w:rsidRPr="00E71DEE" w:rsidRDefault="00F50EF5" w:rsidP="003232B4">
            <w:pPr>
              <w:jc w:val="center"/>
              <w:rPr>
                <w:sz w:val="20"/>
                <w:szCs w:val="20"/>
              </w:rPr>
            </w:pPr>
            <w:r w:rsidRPr="00E71DEE">
              <w:rPr>
                <w:sz w:val="20"/>
                <w:szCs w:val="20"/>
              </w:rPr>
              <w:t>1.9</w:t>
            </w:r>
          </w:p>
        </w:tc>
        <w:tc>
          <w:tcPr>
            <w:tcW w:w="723" w:type="dxa"/>
            <w:shd w:val="clear" w:color="auto" w:fill="002060"/>
          </w:tcPr>
          <w:p w:rsidR="00F50EF5" w:rsidRPr="00E71DEE" w:rsidRDefault="00F50EF5" w:rsidP="003232B4">
            <w:pPr>
              <w:rPr>
                <w:sz w:val="20"/>
                <w:szCs w:val="20"/>
              </w:rPr>
            </w:pPr>
            <w:r w:rsidRPr="00E71DEE">
              <w:rPr>
                <w:sz w:val="20"/>
                <w:szCs w:val="20"/>
              </w:rPr>
              <w:t xml:space="preserve">2.1          </w:t>
            </w:r>
          </w:p>
        </w:tc>
      </w:tr>
      <w:tr w:rsidR="00F50EF5" w:rsidTr="00C7681F">
        <w:trPr>
          <w:jc w:val="center"/>
        </w:trPr>
        <w:tc>
          <w:tcPr>
            <w:tcW w:w="2802" w:type="dxa"/>
            <w:shd w:val="clear" w:color="auto" w:fill="002060"/>
          </w:tcPr>
          <w:p w:rsidR="00F50EF5" w:rsidRPr="00E71DEE" w:rsidRDefault="00F50EF5" w:rsidP="003232B4">
            <w:pPr>
              <w:jc w:val="center"/>
            </w:pPr>
            <w:r w:rsidRPr="00E71DEE">
              <w:t>ALquds bank</w:t>
            </w:r>
          </w:p>
        </w:tc>
        <w:tc>
          <w:tcPr>
            <w:tcW w:w="850" w:type="dxa"/>
            <w:shd w:val="clear" w:color="auto" w:fill="002060"/>
          </w:tcPr>
          <w:p w:rsidR="00F50EF5" w:rsidRPr="00E71DEE" w:rsidRDefault="00F50EF5" w:rsidP="003232B4">
            <w:pPr>
              <w:jc w:val="center"/>
              <w:rPr>
                <w:sz w:val="20"/>
                <w:szCs w:val="20"/>
              </w:rPr>
            </w:pPr>
            <w:r w:rsidRPr="00E71DEE">
              <w:rPr>
                <w:sz w:val="20"/>
                <w:szCs w:val="20"/>
              </w:rPr>
              <w:t>.-4</w:t>
            </w:r>
          </w:p>
        </w:tc>
        <w:tc>
          <w:tcPr>
            <w:tcW w:w="851" w:type="dxa"/>
            <w:gridSpan w:val="2"/>
            <w:shd w:val="clear" w:color="auto" w:fill="002060"/>
          </w:tcPr>
          <w:p w:rsidR="00F50EF5" w:rsidRPr="00E71DEE" w:rsidRDefault="00F50EF5" w:rsidP="003232B4">
            <w:pPr>
              <w:jc w:val="center"/>
              <w:rPr>
                <w:sz w:val="20"/>
                <w:szCs w:val="20"/>
              </w:rPr>
            </w:pPr>
            <w:r w:rsidRPr="00E71DEE">
              <w:rPr>
                <w:sz w:val="20"/>
                <w:szCs w:val="20"/>
              </w:rPr>
              <w:t>-1.17</w:t>
            </w:r>
          </w:p>
        </w:tc>
        <w:tc>
          <w:tcPr>
            <w:tcW w:w="708" w:type="dxa"/>
            <w:shd w:val="clear" w:color="auto" w:fill="002060"/>
          </w:tcPr>
          <w:p w:rsidR="00F50EF5" w:rsidRPr="00E71DEE" w:rsidRDefault="00F50EF5" w:rsidP="003232B4">
            <w:pPr>
              <w:jc w:val="center"/>
              <w:rPr>
                <w:sz w:val="20"/>
                <w:szCs w:val="20"/>
              </w:rPr>
            </w:pPr>
            <w:r w:rsidRPr="00E71DEE">
              <w:rPr>
                <w:sz w:val="20"/>
                <w:szCs w:val="20"/>
              </w:rPr>
              <w:t>0.4</w:t>
            </w:r>
          </w:p>
        </w:tc>
        <w:tc>
          <w:tcPr>
            <w:tcW w:w="815" w:type="dxa"/>
            <w:shd w:val="clear" w:color="auto" w:fill="002060"/>
          </w:tcPr>
          <w:p w:rsidR="00F50EF5" w:rsidRPr="00E71DEE" w:rsidRDefault="00F50EF5" w:rsidP="003232B4">
            <w:pPr>
              <w:jc w:val="center"/>
              <w:rPr>
                <w:sz w:val="20"/>
                <w:szCs w:val="20"/>
              </w:rPr>
            </w:pPr>
            <w:r w:rsidRPr="00E71DEE">
              <w:rPr>
                <w:sz w:val="20"/>
                <w:szCs w:val="20"/>
              </w:rPr>
              <w:t>-2.3</w:t>
            </w:r>
          </w:p>
        </w:tc>
        <w:tc>
          <w:tcPr>
            <w:tcW w:w="888" w:type="dxa"/>
            <w:shd w:val="clear" w:color="auto" w:fill="002060"/>
          </w:tcPr>
          <w:p w:rsidR="00F50EF5" w:rsidRPr="00E71DEE" w:rsidRDefault="00F50EF5" w:rsidP="003232B4">
            <w:pPr>
              <w:jc w:val="center"/>
              <w:rPr>
                <w:sz w:val="20"/>
                <w:szCs w:val="20"/>
              </w:rPr>
            </w:pPr>
            <w:r w:rsidRPr="00E71DEE">
              <w:rPr>
                <w:sz w:val="20"/>
                <w:szCs w:val="20"/>
              </w:rPr>
              <w:t>0.80</w:t>
            </w:r>
          </w:p>
        </w:tc>
        <w:tc>
          <w:tcPr>
            <w:tcW w:w="856" w:type="dxa"/>
            <w:shd w:val="clear" w:color="auto" w:fill="002060"/>
          </w:tcPr>
          <w:p w:rsidR="00F50EF5" w:rsidRPr="00E71DEE" w:rsidRDefault="00F50EF5" w:rsidP="003232B4">
            <w:pPr>
              <w:jc w:val="center"/>
              <w:rPr>
                <w:sz w:val="20"/>
                <w:szCs w:val="20"/>
              </w:rPr>
            </w:pPr>
            <w:r w:rsidRPr="00E71DEE">
              <w:rPr>
                <w:sz w:val="20"/>
                <w:szCs w:val="20"/>
              </w:rPr>
              <w:t>1</w:t>
            </w:r>
          </w:p>
        </w:tc>
        <w:tc>
          <w:tcPr>
            <w:tcW w:w="723" w:type="dxa"/>
            <w:shd w:val="clear" w:color="auto" w:fill="002060"/>
          </w:tcPr>
          <w:p w:rsidR="00F50EF5" w:rsidRPr="00E71DEE" w:rsidRDefault="00F50EF5" w:rsidP="003232B4">
            <w:pPr>
              <w:rPr>
                <w:sz w:val="20"/>
                <w:szCs w:val="20"/>
              </w:rPr>
            </w:pPr>
            <w:r w:rsidRPr="00E71DEE">
              <w:rPr>
                <w:sz w:val="20"/>
                <w:szCs w:val="20"/>
              </w:rPr>
              <w:t>1</w:t>
            </w:r>
          </w:p>
        </w:tc>
      </w:tr>
      <w:tr w:rsidR="00F50EF5" w:rsidTr="00C7681F">
        <w:trPr>
          <w:jc w:val="center"/>
        </w:trPr>
        <w:tc>
          <w:tcPr>
            <w:tcW w:w="2802" w:type="dxa"/>
            <w:shd w:val="clear" w:color="auto" w:fill="002060"/>
          </w:tcPr>
          <w:p w:rsidR="00F50EF5" w:rsidRPr="00E71DEE" w:rsidRDefault="00F50EF5" w:rsidP="003232B4">
            <w:pPr>
              <w:jc w:val="center"/>
            </w:pPr>
            <w:r w:rsidRPr="00E71DEE">
              <w:t>Palestinian Investment bank</w:t>
            </w:r>
          </w:p>
        </w:tc>
        <w:tc>
          <w:tcPr>
            <w:tcW w:w="850" w:type="dxa"/>
            <w:shd w:val="clear" w:color="auto" w:fill="002060"/>
          </w:tcPr>
          <w:p w:rsidR="00F50EF5" w:rsidRPr="00E71DEE" w:rsidRDefault="00F50EF5" w:rsidP="003232B4">
            <w:pPr>
              <w:jc w:val="center"/>
              <w:rPr>
                <w:sz w:val="20"/>
                <w:szCs w:val="20"/>
              </w:rPr>
            </w:pPr>
            <w:r w:rsidRPr="00E71DEE">
              <w:rPr>
                <w:sz w:val="20"/>
                <w:szCs w:val="20"/>
              </w:rPr>
              <w:t>1.8</w:t>
            </w:r>
          </w:p>
        </w:tc>
        <w:tc>
          <w:tcPr>
            <w:tcW w:w="851" w:type="dxa"/>
            <w:gridSpan w:val="2"/>
            <w:shd w:val="clear" w:color="auto" w:fill="002060"/>
          </w:tcPr>
          <w:p w:rsidR="00F50EF5" w:rsidRPr="00E71DEE" w:rsidRDefault="00F50EF5" w:rsidP="003232B4">
            <w:pPr>
              <w:jc w:val="center"/>
              <w:rPr>
                <w:sz w:val="20"/>
                <w:szCs w:val="20"/>
              </w:rPr>
            </w:pPr>
            <w:r w:rsidRPr="00E71DEE">
              <w:rPr>
                <w:sz w:val="20"/>
                <w:szCs w:val="20"/>
              </w:rPr>
              <w:t>1.79</w:t>
            </w:r>
          </w:p>
        </w:tc>
        <w:tc>
          <w:tcPr>
            <w:tcW w:w="708" w:type="dxa"/>
            <w:shd w:val="clear" w:color="auto" w:fill="002060"/>
          </w:tcPr>
          <w:p w:rsidR="00F50EF5" w:rsidRPr="00E71DEE" w:rsidRDefault="00F50EF5" w:rsidP="003232B4">
            <w:pPr>
              <w:jc w:val="center"/>
              <w:rPr>
                <w:sz w:val="20"/>
                <w:szCs w:val="20"/>
              </w:rPr>
            </w:pPr>
            <w:r w:rsidRPr="00E71DEE">
              <w:rPr>
                <w:sz w:val="20"/>
                <w:szCs w:val="20"/>
              </w:rPr>
              <w:t>1.67</w:t>
            </w:r>
          </w:p>
        </w:tc>
        <w:tc>
          <w:tcPr>
            <w:tcW w:w="815" w:type="dxa"/>
            <w:shd w:val="clear" w:color="auto" w:fill="002060"/>
          </w:tcPr>
          <w:p w:rsidR="00F50EF5" w:rsidRPr="00E71DEE" w:rsidRDefault="00F50EF5" w:rsidP="003232B4">
            <w:pPr>
              <w:jc w:val="center"/>
              <w:rPr>
                <w:sz w:val="20"/>
                <w:szCs w:val="20"/>
              </w:rPr>
            </w:pPr>
            <w:r w:rsidRPr="00E71DEE">
              <w:rPr>
                <w:sz w:val="20"/>
                <w:szCs w:val="20"/>
              </w:rPr>
              <w:t>1.37</w:t>
            </w:r>
          </w:p>
        </w:tc>
        <w:tc>
          <w:tcPr>
            <w:tcW w:w="888" w:type="dxa"/>
            <w:shd w:val="clear" w:color="auto" w:fill="002060"/>
          </w:tcPr>
          <w:p w:rsidR="00F50EF5" w:rsidRPr="00E71DEE" w:rsidRDefault="00F50EF5" w:rsidP="003232B4">
            <w:pPr>
              <w:jc w:val="center"/>
              <w:rPr>
                <w:sz w:val="20"/>
                <w:szCs w:val="20"/>
              </w:rPr>
            </w:pPr>
            <w:r w:rsidRPr="00E71DEE">
              <w:rPr>
                <w:sz w:val="20"/>
                <w:szCs w:val="20"/>
              </w:rPr>
              <w:t>1.19</w:t>
            </w:r>
          </w:p>
        </w:tc>
        <w:tc>
          <w:tcPr>
            <w:tcW w:w="856" w:type="dxa"/>
            <w:shd w:val="clear" w:color="auto" w:fill="002060"/>
          </w:tcPr>
          <w:p w:rsidR="00F50EF5" w:rsidRPr="00E71DEE" w:rsidRDefault="00F50EF5" w:rsidP="003232B4">
            <w:pPr>
              <w:jc w:val="center"/>
              <w:rPr>
                <w:sz w:val="20"/>
                <w:szCs w:val="20"/>
              </w:rPr>
            </w:pPr>
            <w:r w:rsidRPr="00E71DEE">
              <w:rPr>
                <w:sz w:val="20"/>
                <w:szCs w:val="20"/>
              </w:rPr>
              <w:t>.60</w:t>
            </w:r>
          </w:p>
        </w:tc>
        <w:tc>
          <w:tcPr>
            <w:tcW w:w="723" w:type="dxa"/>
            <w:shd w:val="clear" w:color="auto" w:fill="002060"/>
          </w:tcPr>
          <w:p w:rsidR="00F50EF5" w:rsidRPr="00E71DEE" w:rsidRDefault="00F50EF5" w:rsidP="003232B4">
            <w:pPr>
              <w:rPr>
                <w:sz w:val="20"/>
                <w:szCs w:val="20"/>
              </w:rPr>
            </w:pPr>
            <w:r w:rsidRPr="00E71DEE">
              <w:rPr>
                <w:sz w:val="20"/>
                <w:szCs w:val="20"/>
              </w:rPr>
              <w:t>1</w:t>
            </w:r>
          </w:p>
        </w:tc>
      </w:tr>
      <w:tr w:rsidR="00F50EF5" w:rsidTr="00C7681F">
        <w:trPr>
          <w:jc w:val="center"/>
        </w:trPr>
        <w:tc>
          <w:tcPr>
            <w:tcW w:w="2802" w:type="dxa"/>
            <w:shd w:val="clear" w:color="auto" w:fill="002060"/>
          </w:tcPr>
          <w:p w:rsidR="00F50EF5" w:rsidRPr="00E71DEE" w:rsidRDefault="00F50EF5" w:rsidP="003232B4">
            <w:pPr>
              <w:jc w:val="center"/>
            </w:pPr>
            <w:r w:rsidRPr="00E71DEE">
              <w:t>Palestinian Commercial bank</w:t>
            </w:r>
          </w:p>
        </w:tc>
        <w:tc>
          <w:tcPr>
            <w:tcW w:w="850" w:type="dxa"/>
            <w:shd w:val="clear" w:color="auto" w:fill="002060"/>
          </w:tcPr>
          <w:p w:rsidR="00F50EF5" w:rsidRPr="00E71DEE" w:rsidRDefault="00F50EF5" w:rsidP="003232B4">
            <w:pPr>
              <w:jc w:val="center"/>
              <w:rPr>
                <w:sz w:val="20"/>
                <w:szCs w:val="20"/>
              </w:rPr>
            </w:pPr>
            <w:r w:rsidRPr="00E71DEE">
              <w:rPr>
                <w:sz w:val="20"/>
                <w:szCs w:val="20"/>
              </w:rPr>
              <w:t>-.2</w:t>
            </w:r>
          </w:p>
        </w:tc>
        <w:tc>
          <w:tcPr>
            <w:tcW w:w="851" w:type="dxa"/>
            <w:gridSpan w:val="2"/>
            <w:shd w:val="clear" w:color="auto" w:fill="002060"/>
          </w:tcPr>
          <w:p w:rsidR="00F50EF5" w:rsidRPr="00E71DEE" w:rsidRDefault="00F50EF5" w:rsidP="003232B4">
            <w:pPr>
              <w:jc w:val="center"/>
              <w:rPr>
                <w:sz w:val="20"/>
                <w:szCs w:val="20"/>
              </w:rPr>
            </w:pPr>
            <w:r w:rsidRPr="00E71DEE">
              <w:rPr>
                <w:sz w:val="20"/>
                <w:szCs w:val="20"/>
              </w:rPr>
              <w:t>-0.40</w:t>
            </w:r>
          </w:p>
        </w:tc>
        <w:tc>
          <w:tcPr>
            <w:tcW w:w="708" w:type="dxa"/>
            <w:shd w:val="clear" w:color="auto" w:fill="002060"/>
          </w:tcPr>
          <w:p w:rsidR="00F50EF5" w:rsidRPr="00E71DEE" w:rsidRDefault="00F50EF5" w:rsidP="003232B4">
            <w:pPr>
              <w:jc w:val="center"/>
              <w:rPr>
                <w:sz w:val="20"/>
                <w:szCs w:val="20"/>
              </w:rPr>
            </w:pPr>
            <w:r w:rsidRPr="00E71DEE">
              <w:rPr>
                <w:sz w:val="20"/>
                <w:szCs w:val="20"/>
              </w:rPr>
              <w:t>0.06</w:t>
            </w:r>
          </w:p>
        </w:tc>
        <w:tc>
          <w:tcPr>
            <w:tcW w:w="815" w:type="dxa"/>
            <w:shd w:val="clear" w:color="auto" w:fill="002060"/>
          </w:tcPr>
          <w:p w:rsidR="00F50EF5" w:rsidRPr="00E71DEE" w:rsidRDefault="00F50EF5" w:rsidP="003232B4">
            <w:pPr>
              <w:jc w:val="center"/>
              <w:rPr>
                <w:sz w:val="20"/>
                <w:szCs w:val="20"/>
              </w:rPr>
            </w:pPr>
            <w:r w:rsidRPr="00E71DEE">
              <w:rPr>
                <w:sz w:val="20"/>
                <w:szCs w:val="20"/>
              </w:rPr>
              <w:t>.14</w:t>
            </w:r>
          </w:p>
        </w:tc>
        <w:tc>
          <w:tcPr>
            <w:tcW w:w="888" w:type="dxa"/>
            <w:shd w:val="clear" w:color="auto" w:fill="002060"/>
          </w:tcPr>
          <w:p w:rsidR="00F50EF5" w:rsidRPr="00E71DEE" w:rsidRDefault="00F50EF5" w:rsidP="003232B4">
            <w:pPr>
              <w:jc w:val="center"/>
              <w:rPr>
                <w:sz w:val="20"/>
                <w:szCs w:val="20"/>
              </w:rPr>
            </w:pPr>
            <w:r w:rsidRPr="00E71DEE">
              <w:rPr>
                <w:sz w:val="20"/>
                <w:szCs w:val="20"/>
              </w:rPr>
              <w:t>1.50</w:t>
            </w:r>
          </w:p>
        </w:tc>
        <w:tc>
          <w:tcPr>
            <w:tcW w:w="856" w:type="dxa"/>
            <w:shd w:val="clear" w:color="auto" w:fill="002060"/>
          </w:tcPr>
          <w:p w:rsidR="00F50EF5" w:rsidRPr="00E71DEE" w:rsidRDefault="00F50EF5" w:rsidP="003232B4">
            <w:pPr>
              <w:jc w:val="center"/>
              <w:rPr>
                <w:sz w:val="20"/>
                <w:szCs w:val="20"/>
              </w:rPr>
            </w:pPr>
            <w:r w:rsidRPr="00E71DEE">
              <w:rPr>
                <w:sz w:val="20"/>
                <w:szCs w:val="20"/>
              </w:rPr>
              <w:t>1</w:t>
            </w:r>
          </w:p>
        </w:tc>
        <w:tc>
          <w:tcPr>
            <w:tcW w:w="723" w:type="dxa"/>
            <w:shd w:val="clear" w:color="auto" w:fill="002060"/>
          </w:tcPr>
          <w:p w:rsidR="00F50EF5" w:rsidRPr="00E71DEE" w:rsidRDefault="00F50EF5" w:rsidP="003232B4">
            <w:pPr>
              <w:rPr>
                <w:sz w:val="20"/>
                <w:szCs w:val="20"/>
              </w:rPr>
            </w:pPr>
            <w:r w:rsidRPr="00E71DEE">
              <w:rPr>
                <w:sz w:val="20"/>
                <w:szCs w:val="20"/>
              </w:rPr>
              <w:t>.30</w:t>
            </w:r>
          </w:p>
        </w:tc>
      </w:tr>
      <w:tr w:rsidR="00C7681F" w:rsidTr="00C7681F">
        <w:trPr>
          <w:jc w:val="center"/>
        </w:trPr>
        <w:tc>
          <w:tcPr>
            <w:tcW w:w="2802" w:type="dxa"/>
            <w:tcBorders>
              <w:right w:val="single" w:sz="4" w:space="0" w:color="auto"/>
            </w:tcBorders>
            <w:shd w:val="clear" w:color="auto" w:fill="002060"/>
          </w:tcPr>
          <w:p w:rsidR="00F50EF5" w:rsidRPr="00E71DEE" w:rsidRDefault="00F50EF5" w:rsidP="003232B4">
            <w:pPr>
              <w:shd w:val="clear" w:color="auto" w:fill="FFFFFF" w:themeFill="background1"/>
              <w:jc w:val="center"/>
            </w:pPr>
            <w:r w:rsidRPr="00E71DEE">
              <w:t>ALrafah bank</w:t>
            </w:r>
          </w:p>
        </w:tc>
        <w:tc>
          <w:tcPr>
            <w:tcW w:w="850" w:type="dxa"/>
            <w:tcBorders>
              <w:left w:val="single" w:sz="4" w:space="0" w:color="auto"/>
              <w:right w:val="single" w:sz="4" w:space="0" w:color="auto"/>
            </w:tcBorders>
            <w:shd w:val="clear" w:color="auto" w:fill="002060"/>
          </w:tcPr>
          <w:p w:rsidR="00F50EF5" w:rsidRPr="00E71DEE" w:rsidRDefault="00F50EF5" w:rsidP="003232B4">
            <w:pPr>
              <w:shd w:val="clear" w:color="auto" w:fill="FFFFFF" w:themeFill="background1"/>
              <w:jc w:val="center"/>
              <w:rPr>
                <w:sz w:val="20"/>
                <w:szCs w:val="20"/>
              </w:rPr>
            </w:pPr>
            <w:r w:rsidRPr="00E71DEE">
              <w:rPr>
                <w:sz w:val="20"/>
                <w:szCs w:val="20"/>
              </w:rPr>
              <w:t>.3</w:t>
            </w:r>
          </w:p>
        </w:tc>
        <w:tc>
          <w:tcPr>
            <w:tcW w:w="851" w:type="dxa"/>
            <w:gridSpan w:val="2"/>
            <w:tcBorders>
              <w:left w:val="single" w:sz="4" w:space="0" w:color="auto"/>
              <w:right w:val="single" w:sz="4" w:space="0" w:color="auto"/>
            </w:tcBorders>
            <w:shd w:val="clear" w:color="auto" w:fill="002060"/>
          </w:tcPr>
          <w:p w:rsidR="00F50EF5" w:rsidRPr="00E71DEE" w:rsidRDefault="00F50EF5" w:rsidP="003232B4">
            <w:pPr>
              <w:shd w:val="clear" w:color="auto" w:fill="FFFFFF" w:themeFill="background1"/>
              <w:jc w:val="center"/>
              <w:rPr>
                <w:sz w:val="20"/>
                <w:szCs w:val="20"/>
              </w:rPr>
            </w:pPr>
            <w:r w:rsidRPr="00E71DEE">
              <w:rPr>
                <w:sz w:val="20"/>
                <w:szCs w:val="20"/>
              </w:rPr>
              <w:t>-0.33</w:t>
            </w:r>
          </w:p>
        </w:tc>
        <w:tc>
          <w:tcPr>
            <w:tcW w:w="708" w:type="dxa"/>
            <w:tcBorders>
              <w:left w:val="single" w:sz="4" w:space="0" w:color="auto"/>
            </w:tcBorders>
            <w:shd w:val="clear" w:color="auto" w:fill="002060"/>
          </w:tcPr>
          <w:p w:rsidR="00F50EF5" w:rsidRPr="00E71DEE" w:rsidRDefault="00F50EF5" w:rsidP="003232B4">
            <w:pPr>
              <w:shd w:val="clear" w:color="auto" w:fill="FFFFFF" w:themeFill="background1"/>
              <w:jc w:val="center"/>
              <w:rPr>
                <w:sz w:val="20"/>
                <w:szCs w:val="20"/>
              </w:rPr>
            </w:pPr>
            <w:r w:rsidRPr="00E71DEE">
              <w:rPr>
                <w:sz w:val="20"/>
                <w:szCs w:val="20"/>
              </w:rPr>
              <w:t>0.83</w:t>
            </w:r>
          </w:p>
        </w:tc>
        <w:tc>
          <w:tcPr>
            <w:tcW w:w="815" w:type="dxa"/>
            <w:tcBorders>
              <w:right w:val="single" w:sz="4" w:space="0" w:color="auto"/>
            </w:tcBorders>
            <w:shd w:val="clear" w:color="auto" w:fill="002060"/>
          </w:tcPr>
          <w:p w:rsidR="00F50EF5" w:rsidRPr="00E71DEE" w:rsidRDefault="00F50EF5" w:rsidP="003232B4">
            <w:pPr>
              <w:shd w:val="clear" w:color="auto" w:fill="FFFFFF" w:themeFill="background1"/>
              <w:jc w:val="center"/>
              <w:rPr>
                <w:sz w:val="20"/>
                <w:szCs w:val="20"/>
              </w:rPr>
            </w:pPr>
            <w:r w:rsidRPr="00E71DEE">
              <w:rPr>
                <w:sz w:val="20"/>
                <w:szCs w:val="20"/>
              </w:rPr>
              <w:t>-3.25</w:t>
            </w:r>
          </w:p>
        </w:tc>
        <w:tc>
          <w:tcPr>
            <w:tcW w:w="888" w:type="dxa"/>
            <w:tcBorders>
              <w:left w:val="single" w:sz="4" w:space="0" w:color="auto"/>
              <w:right w:val="single" w:sz="4" w:space="0" w:color="auto"/>
            </w:tcBorders>
            <w:shd w:val="clear" w:color="auto" w:fill="002060"/>
          </w:tcPr>
          <w:p w:rsidR="00F50EF5" w:rsidRPr="00E71DEE" w:rsidRDefault="00F50EF5" w:rsidP="003232B4">
            <w:pPr>
              <w:shd w:val="clear" w:color="auto" w:fill="FFFFFF" w:themeFill="background1"/>
              <w:jc w:val="center"/>
              <w:rPr>
                <w:sz w:val="20"/>
                <w:szCs w:val="20"/>
              </w:rPr>
            </w:pPr>
            <w:r w:rsidRPr="00E71DEE">
              <w:rPr>
                <w:sz w:val="20"/>
                <w:szCs w:val="20"/>
              </w:rPr>
              <w:t>1.10</w:t>
            </w:r>
          </w:p>
        </w:tc>
        <w:tc>
          <w:tcPr>
            <w:tcW w:w="856" w:type="dxa"/>
            <w:tcBorders>
              <w:left w:val="single" w:sz="4" w:space="0" w:color="auto"/>
              <w:right w:val="single" w:sz="4" w:space="0" w:color="auto"/>
            </w:tcBorders>
            <w:shd w:val="clear" w:color="auto" w:fill="002060"/>
          </w:tcPr>
          <w:p w:rsidR="00F50EF5" w:rsidRPr="00E71DEE" w:rsidRDefault="00F50EF5" w:rsidP="003232B4">
            <w:pPr>
              <w:shd w:val="clear" w:color="auto" w:fill="FFFFFF" w:themeFill="background1"/>
              <w:jc w:val="center"/>
              <w:rPr>
                <w:sz w:val="20"/>
                <w:szCs w:val="20"/>
              </w:rPr>
            </w:pPr>
            <w:r w:rsidRPr="00E71DEE">
              <w:rPr>
                <w:sz w:val="20"/>
                <w:szCs w:val="20"/>
              </w:rPr>
              <w:t>.10</w:t>
            </w:r>
          </w:p>
        </w:tc>
        <w:tc>
          <w:tcPr>
            <w:tcW w:w="723" w:type="dxa"/>
            <w:tcBorders>
              <w:left w:val="single" w:sz="4" w:space="0" w:color="auto"/>
            </w:tcBorders>
            <w:shd w:val="clear" w:color="auto" w:fill="002060"/>
          </w:tcPr>
          <w:p w:rsidR="00F50EF5" w:rsidRPr="00E71DEE" w:rsidRDefault="00F50EF5" w:rsidP="003232B4">
            <w:pPr>
              <w:shd w:val="clear" w:color="auto" w:fill="FFFFFF" w:themeFill="background1"/>
              <w:rPr>
                <w:sz w:val="20"/>
                <w:szCs w:val="20"/>
              </w:rPr>
            </w:pPr>
            <w:r w:rsidRPr="00E71DEE">
              <w:rPr>
                <w:sz w:val="20"/>
                <w:szCs w:val="20"/>
              </w:rPr>
              <w:t>.20</w:t>
            </w:r>
          </w:p>
        </w:tc>
      </w:tr>
      <w:tr w:rsidR="00C7681F" w:rsidTr="00C768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jc w:val="center"/>
        </w:trPr>
        <w:tc>
          <w:tcPr>
            <w:tcW w:w="2802"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rPr>
            </w:pPr>
            <w:r w:rsidRPr="00E71DEE">
              <w:rPr>
                <w:rFonts w:asciiTheme="majorBidi" w:hAnsiTheme="majorBidi" w:cstheme="majorBidi"/>
              </w:rPr>
              <w:t>Mean</w:t>
            </w:r>
          </w:p>
        </w:tc>
        <w:tc>
          <w:tcPr>
            <w:tcW w:w="856" w:type="dxa"/>
            <w:gridSpan w:val="2"/>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.78</w:t>
            </w:r>
          </w:p>
        </w:tc>
        <w:tc>
          <w:tcPr>
            <w:tcW w:w="845"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.43</w:t>
            </w:r>
          </w:p>
        </w:tc>
        <w:tc>
          <w:tcPr>
            <w:tcW w:w="708"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1.08</w:t>
            </w:r>
          </w:p>
        </w:tc>
        <w:tc>
          <w:tcPr>
            <w:tcW w:w="815"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-1.8</w:t>
            </w:r>
          </w:p>
        </w:tc>
        <w:tc>
          <w:tcPr>
            <w:tcW w:w="888"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1.4</w:t>
            </w:r>
          </w:p>
        </w:tc>
        <w:tc>
          <w:tcPr>
            <w:tcW w:w="856"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.92</w:t>
            </w:r>
          </w:p>
        </w:tc>
        <w:tc>
          <w:tcPr>
            <w:tcW w:w="723" w:type="dxa"/>
            <w:shd w:val="clear" w:color="auto" w:fill="002060"/>
          </w:tcPr>
          <w:p w:rsidR="00F50EF5" w:rsidRPr="00E71DEE" w:rsidRDefault="00F50EF5" w:rsidP="00C7681F">
            <w:pPr>
              <w:shd w:val="clear" w:color="auto" w:fill="FFFFFF" w:themeFill="background1"/>
              <w:jc w:val="center"/>
              <w:rPr>
                <w:rFonts w:asciiTheme="majorBidi" w:hAnsiTheme="majorBidi" w:cstheme="majorBidi"/>
                <w:sz w:val="20"/>
                <w:szCs w:val="20"/>
              </w:rPr>
            </w:pPr>
            <w:r w:rsidRPr="00E71DEE">
              <w:rPr>
                <w:rFonts w:asciiTheme="majorBidi" w:hAnsiTheme="majorBidi" w:cstheme="majorBidi"/>
                <w:sz w:val="20"/>
                <w:szCs w:val="20"/>
              </w:rPr>
              <w:t>.92</w:t>
            </w:r>
          </w:p>
        </w:tc>
      </w:tr>
    </w:tbl>
    <w:p w:rsidR="00502966" w:rsidRPr="00AC6FAE" w:rsidRDefault="003721D6" w:rsidP="00AC6FAE">
      <w:pPr>
        <w:shd w:val="clear" w:color="auto" w:fill="FFFFFF" w:themeFill="background1"/>
        <w:jc w:val="center"/>
        <w:rPr>
          <w:rFonts w:asciiTheme="majorBidi" w:hAnsiTheme="majorBidi" w:cstheme="majorBidi"/>
          <w:sz w:val="20"/>
          <w:szCs w:val="20"/>
        </w:rPr>
      </w:pPr>
      <w:r>
        <w:rPr>
          <w:rFonts w:asciiTheme="majorBidi" w:hAnsiTheme="majorBidi" w:cstheme="majorBidi"/>
          <w:sz w:val="20"/>
          <w:szCs w:val="20"/>
        </w:rPr>
        <w:t>Source: Research D</w:t>
      </w:r>
      <w:r w:rsidR="00AC6FAE">
        <w:rPr>
          <w:rFonts w:asciiTheme="majorBidi" w:hAnsiTheme="majorBidi" w:cstheme="majorBidi"/>
          <w:sz w:val="20"/>
          <w:szCs w:val="20"/>
        </w:rPr>
        <w:t>ata, 201</w:t>
      </w:r>
    </w:p>
    <w:p w:rsidR="00502966" w:rsidRDefault="00502966" w:rsidP="00506A8D">
      <w:pPr>
        <w:jc w:val="center"/>
        <w:rPr>
          <w:rFonts w:asciiTheme="majorBidi" w:hAnsiTheme="majorBidi" w:cstheme="majorBidi"/>
          <w:b/>
          <w:bCs/>
        </w:rPr>
      </w:pPr>
    </w:p>
    <w:p w:rsidR="002C7643" w:rsidRPr="00E25BD1" w:rsidRDefault="00F50EF5" w:rsidP="00506A8D">
      <w:pPr>
        <w:jc w:val="center"/>
        <w:rPr>
          <w:rFonts w:asciiTheme="majorBidi" w:hAnsiTheme="majorBidi" w:cstheme="majorBidi"/>
        </w:rPr>
      </w:pPr>
      <w:r w:rsidRPr="001C7647">
        <w:rPr>
          <w:rFonts w:asciiTheme="majorBidi" w:hAnsiTheme="majorBidi" w:cstheme="majorBidi"/>
          <w:b/>
          <w:bCs/>
        </w:rPr>
        <w:t>Figure 4.16: Return on Assets (ROA) from 2005 till 2011 in (%)</w:t>
      </w:r>
    </w:p>
    <w:p w:rsidR="00F50EF5" w:rsidRDefault="00F50EF5" w:rsidP="00F50EF5">
      <w:pPr>
        <w:autoSpaceDE w:val="0"/>
        <w:autoSpaceDN w:val="0"/>
        <w:adjustRightInd w:val="0"/>
        <w:spacing w:after="0" w:line="360" w:lineRule="auto"/>
        <w:jc w:val="center"/>
        <w:rPr>
          <w:rFonts w:asciiTheme="majorBidi" w:hAnsiTheme="majorBidi" w:cstheme="majorBidi"/>
          <w:color w:val="FF0000"/>
          <w:sz w:val="24"/>
          <w:szCs w:val="24"/>
        </w:rPr>
      </w:pPr>
      <w:r w:rsidRPr="00F50EF5">
        <w:rPr>
          <w:rFonts w:asciiTheme="majorBidi" w:hAnsiTheme="majorBidi" w:cstheme="majorBidi"/>
          <w:noProof/>
          <w:color w:val="FF0000"/>
          <w:sz w:val="24"/>
          <w:szCs w:val="24"/>
        </w:rPr>
        <w:drawing>
          <wp:inline distT="0" distB="0" distL="0" distR="0">
            <wp:extent cx="5072547" cy="1656271"/>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7619" w:rsidRDefault="00AD7619" w:rsidP="007849D7">
      <w:pPr>
        <w:autoSpaceDE w:val="0"/>
        <w:autoSpaceDN w:val="0"/>
        <w:adjustRightInd w:val="0"/>
        <w:spacing w:after="0" w:line="360" w:lineRule="auto"/>
        <w:jc w:val="both"/>
        <w:rPr>
          <w:rFonts w:asciiTheme="majorBidi" w:hAnsiTheme="majorBidi" w:cstheme="majorBidi"/>
          <w:sz w:val="24"/>
          <w:szCs w:val="24"/>
        </w:rPr>
      </w:pPr>
    </w:p>
    <w:p w:rsidR="0007013C" w:rsidRDefault="00822286" w:rsidP="007849D7">
      <w:pPr>
        <w:autoSpaceDE w:val="0"/>
        <w:autoSpaceDN w:val="0"/>
        <w:adjustRightInd w:val="0"/>
        <w:spacing w:after="0" w:line="360" w:lineRule="auto"/>
        <w:jc w:val="both"/>
        <w:rPr>
          <w:rFonts w:asciiTheme="majorBidi" w:hAnsiTheme="majorBidi" w:cstheme="majorBidi"/>
          <w:sz w:val="24"/>
          <w:szCs w:val="24"/>
        </w:rPr>
      </w:pPr>
      <w:r w:rsidRPr="00822286">
        <w:rPr>
          <w:rFonts w:asciiTheme="majorBidi" w:hAnsiTheme="majorBidi" w:cstheme="majorBidi"/>
          <w:sz w:val="24"/>
          <w:szCs w:val="24"/>
        </w:rPr>
        <w:t>T</w:t>
      </w:r>
      <w:r w:rsidR="003232B4">
        <w:rPr>
          <w:rFonts w:asciiTheme="majorBidi" w:hAnsiTheme="majorBidi" w:cstheme="majorBidi"/>
          <w:sz w:val="24"/>
          <w:szCs w:val="24"/>
        </w:rPr>
        <w:t>he reported results in table 4.</w:t>
      </w:r>
      <w:r w:rsidR="00417132">
        <w:rPr>
          <w:rFonts w:asciiTheme="majorBidi" w:hAnsiTheme="majorBidi" w:cstheme="majorBidi"/>
          <w:sz w:val="24"/>
          <w:szCs w:val="24"/>
        </w:rPr>
        <w:t>13</w:t>
      </w:r>
      <w:r w:rsidR="00681BA2">
        <w:rPr>
          <w:rFonts w:asciiTheme="majorBidi" w:hAnsiTheme="majorBidi" w:cstheme="majorBidi"/>
          <w:sz w:val="24"/>
          <w:szCs w:val="24"/>
        </w:rPr>
        <w:t xml:space="preserve"> indicated</w:t>
      </w:r>
      <w:r w:rsidRPr="00822286">
        <w:rPr>
          <w:rFonts w:asciiTheme="majorBidi" w:hAnsiTheme="majorBidi" w:cstheme="majorBidi"/>
          <w:sz w:val="24"/>
          <w:szCs w:val="24"/>
        </w:rPr>
        <w:t xml:space="preserve"> that</w:t>
      </w:r>
      <w:r w:rsidR="002123D7">
        <w:rPr>
          <w:rFonts w:asciiTheme="majorBidi" w:hAnsiTheme="majorBidi" w:cstheme="majorBidi"/>
          <w:sz w:val="24"/>
          <w:szCs w:val="24"/>
        </w:rPr>
        <w:t xml:space="preserve"> ROA</w:t>
      </w:r>
      <w:r w:rsidR="00830937">
        <w:rPr>
          <w:rFonts w:asciiTheme="majorBidi" w:hAnsiTheme="majorBidi" w:cstheme="majorBidi"/>
          <w:sz w:val="24"/>
          <w:szCs w:val="24"/>
        </w:rPr>
        <w:t xml:space="preserve"> </w:t>
      </w:r>
      <w:r w:rsidR="002123D7">
        <w:rPr>
          <w:rFonts w:asciiTheme="majorBidi" w:hAnsiTheme="majorBidi" w:cstheme="majorBidi"/>
          <w:sz w:val="24"/>
          <w:szCs w:val="24"/>
        </w:rPr>
        <w:t>(</w:t>
      </w:r>
      <w:r w:rsidRPr="00822286">
        <w:rPr>
          <w:rFonts w:asciiTheme="majorBidi" w:hAnsiTheme="majorBidi" w:cstheme="majorBidi"/>
          <w:sz w:val="24"/>
          <w:szCs w:val="24"/>
        </w:rPr>
        <w:t>profitability</w:t>
      </w:r>
      <w:r w:rsidR="002123D7">
        <w:rPr>
          <w:rFonts w:asciiTheme="majorBidi" w:hAnsiTheme="majorBidi" w:cstheme="majorBidi"/>
          <w:sz w:val="24"/>
          <w:szCs w:val="24"/>
        </w:rPr>
        <w:t xml:space="preserve"> measurement</w:t>
      </w:r>
      <w:r w:rsidR="009910A8">
        <w:rPr>
          <w:rFonts w:asciiTheme="majorBidi" w:hAnsiTheme="majorBidi" w:cstheme="majorBidi"/>
          <w:sz w:val="24"/>
          <w:szCs w:val="24"/>
        </w:rPr>
        <w:t>) in</w:t>
      </w:r>
      <w:r w:rsidR="00D44E9E">
        <w:rPr>
          <w:rFonts w:asciiTheme="majorBidi" w:hAnsiTheme="majorBidi" w:cstheme="majorBidi"/>
          <w:sz w:val="24"/>
          <w:szCs w:val="24"/>
        </w:rPr>
        <w:t xml:space="preserve"> the five sample banks, </w:t>
      </w:r>
      <w:r w:rsidRPr="00822286">
        <w:rPr>
          <w:rFonts w:asciiTheme="majorBidi" w:hAnsiTheme="majorBidi" w:cstheme="majorBidi"/>
          <w:sz w:val="24"/>
          <w:szCs w:val="24"/>
        </w:rPr>
        <w:t>increased</w:t>
      </w:r>
      <w:r w:rsidR="00A23604">
        <w:rPr>
          <w:rFonts w:asciiTheme="majorBidi" w:hAnsiTheme="majorBidi" w:cstheme="majorBidi"/>
          <w:sz w:val="24"/>
          <w:szCs w:val="24"/>
        </w:rPr>
        <w:t xml:space="preserve"> 18%</w:t>
      </w:r>
      <w:r w:rsidRPr="00822286">
        <w:rPr>
          <w:rFonts w:asciiTheme="majorBidi" w:hAnsiTheme="majorBidi" w:cstheme="majorBidi"/>
          <w:sz w:val="24"/>
          <w:szCs w:val="24"/>
        </w:rPr>
        <w:t xml:space="preserve"> from 2</w:t>
      </w:r>
      <w:r w:rsidR="00681BA2">
        <w:rPr>
          <w:rFonts w:asciiTheme="majorBidi" w:hAnsiTheme="majorBidi" w:cstheme="majorBidi"/>
          <w:sz w:val="24"/>
          <w:szCs w:val="24"/>
        </w:rPr>
        <w:t xml:space="preserve">005 - </w:t>
      </w:r>
      <w:r w:rsidRPr="00822286">
        <w:rPr>
          <w:rFonts w:asciiTheme="majorBidi" w:hAnsiTheme="majorBidi" w:cstheme="majorBidi"/>
          <w:sz w:val="24"/>
          <w:szCs w:val="24"/>
        </w:rPr>
        <w:t>2011</w:t>
      </w:r>
      <w:r w:rsidR="00A23604">
        <w:rPr>
          <w:rFonts w:asciiTheme="majorBidi" w:hAnsiTheme="majorBidi" w:cstheme="majorBidi"/>
          <w:sz w:val="24"/>
          <w:szCs w:val="24"/>
        </w:rPr>
        <w:t>(.</w:t>
      </w:r>
      <w:r>
        <w:rPr>
          <w:rFonts w:asciiTheme="majorBidi" w:hAnsiTheme="majorBidi" w:cstheme="majorBidi"/>
          <w:sz w:val="24"/>
          <w:szCs w:val="24"/>
        </w:rPr>
        <w:t xml:space="preserve">78% to </w:t>
      </w:r>
      <w:r w:rsidR="00A23604">
        <w:rPr>
          <w:rFonts w:asciiTheme="majorBidi" w:hAnsiTheme="majorBidi" w:cstheme="majorBidi"/>
          <w:sz w:val="24"/>
          <w:szCs w:val="24"/>
        </w:rPr>
        <w:t>.</w:t>
      </w:r>
      <w:r>
        <w:rPr>
          <w:rFonts w:asciiTheme="majorBidi" w:hAnsiTheme="majorBidi" w:cstheme="majorBidi"/>
          <w:sz w:val="24"/>
          <w:szCs w:val="24"/>
        </w:rPr>
        <w:t>92%</w:t>
      </w:r>
      <w:r w:rsidR="00A23604">
        <w:rPr>
          <w:rFonts w:asciiTheme="majorBidi" w:hAnsiTheme="majorBidi" w:cstheme="majorBidi"/>
          <w:sz w:val="24"/>
          <w:szCs w:val="24"/>
        </w:rPr>
        <w:t>)</w:t>
      </w:r>
      <w:r w:rsidR="00D44E9E">
        <w:rPr>
          <w:rFonts w:asciiTheme="majorBidi" w:hAnsiTheme="majorBidi" w:cstheme="majorBidi"/>
          <w:sz w:val="24"/>
          <w:szCs w:val="24"/>
        </w:rPr>
        <w:t>. T</w:t>
      </w:r>
      <w:r w:rsidR="00014A16">
        <w:rPr>
          <w:rFonts w:asciiTheme="majorBidi" w:hAnsiTheme="majorBidi" w:cstheme="majorBidi"/>
          <w:sz w:val="24"/>
          <w:szCs w:val="24"/>
        </w:rPr>
        <w:t>his rising</w:t>
      </w:r>
      <w:r w:rsidR="00681BA2">
        <w:rPr>
          <w:rFonts w:asciiTheme="majorBidi" w:hAnsiTheme="majorBidi" w:cstheme="majorBidi"/>
          <w:sz w:val="24"/>
          <w:szCs w:val="24"/>
        </w:rPr>
        <w:t xml:space="preserve"> was</w:t>
      </w:r>
      <w:r w:rsidR="002123D7">
        <w:rPr>
          <w:rFonts w:asciiTheme="majorBidi" w:hAnsiTheme="majorBidi" w:cstheme="majorBidi"/>
          <w:sz w:val="24"/>
          <w:szCs w:val="24"/>
        </w:rPr>
        <w:t xml:space="preserve"> du</w:t>
      </w:r>
      <w:r w:rsidR="007849D7">
        <w:rPr>
          <w:rFonts w:asciiTheme="majorBidi" w:hAnsiTheme="majorBidi" w:cstheme="majorBidi"/>
          <w:sz w:val="24"/>
          <w:szCs w:val="24"/>
        </w:rPr>
        <w:t>e to the increased of good profits</w:t>
      </w:r>
      <w:r w:rsidR="002123D7" w:rsidRPr="002123D7">
        <w:rPr>
          <w:rFonts w:asciiTheme="majorBidi" w:hAnsiTheme="majorBidi" w:cstheme="majorBidi"/>
          <w:sz w:val="24"/>
          <w:szCs w:val="24"/>
        </w:rPr>
        <w:t xml:space="preserve"> earned</w:t>
      </w:r>
      <w:r w:rsidR="002123D7">
        <w:rPr>
          <w:rFonts w:asciiTheme="majorBidi" w:hAnsiTheme="majorBidi" w:cstheme="majorBidi"/>
          <w:sz w:val="24"/>
          <w:szCs w:val="24"/>
        </w:rPr>
        <w:t xml:space="preserve"> </w:t>
      </w:r>
      <w:r w:rsidR="00703159">
        <w:rPr>
          <w:rFonts w:asciiTheme="majorBidi" w:hAnsiTheme="majorBidi" w:cstheme="majorBidi"/>
          <w:sz w:val="24"/>
          <w:szCs w:val="24"/>
        </w:rPr>
        <w:t>by</w:t>
      </w:r>
      <w:r w:rsidR="00681BA2">
        <w:rPr>
          <w:rFonts w:asciiTheme="majorBidi" w:hAnsiTheme="majorBidi" w:cstheme="majorBidi"/>
          <w:sz w:val="24"/>
          <w:szCs w:val="24"/>
        </w:rPr>
        <w:t xml:space="preserve"> B</w:t>
      </w:r>
      <w:r w:rsidR="00813EBB">
        <w:rPr>
          <w:rFonts w:asciiTheme="majorBidi" w:hAnsiTheme="majorBidi" w:cstheme="majorBidi"/>
          <w:sz w:val="24"/>
          <w:szCs w:val="24"/>
        </w:rPr>
        <w:t>ank of Palestine</w:t>
      </w:r>
      <w:r w:rsidR="007849D7">
        <w:rPr>
          <w:rFonts w:asciiTheme="majorBidi" w:hAnsiTheme="majorBidi" w:cstheme="majorBidi"/>
          <w:sz w:val="24"/>
          <w:szCs w:val="24"/>
        </w:rPr>
        <w:t xml:space="preserve"> during the study period</w:t>
      </w:r>
      <w:r w:rsidR="00681BA2">
        <w:rPr>
          <w:rFonts w:asciiTheme="majorBidi" w:hAnsiTheme="majorBidi" w:cstheme="majorBidi"/>
          <w:sz w:val="24"/>
          <w:szCs w:val="24"/>
        </w:rPr>
        <w:t xml:space="preserve"> </w:t>
      </w:r>
      <w:r w:rsidR="009713CA">
        <w:rPr>
          <w:rFonts w:asciiTheme="majorBidi" w:hAnsiTheme="majorBidi" w:cstheme="majorBidi"/>
          <w:sz w:val="24"/>
          <w:szCs w:val="24"/>
        </w:rPr>
        <w:t>in particular</w:t>
      </w:r>
      <w:r w:rsidR="00681BA2">
        <w:rPr>
          <w:rFonts w:asciiTheme="majorBidi" w:hAnsiTheme="majorBidi" w:cstheme="majorBidi"/>
          <w:sz w:val="24"/>
          <w:szCs w:val="24"/>
        </w:rPr>
        <w:t>, which</w:t>
      </w:r>
      <w:r w:rsidR="00014A16">
        <w:rPr>
          <w:rFonts w:asciiTheme="majorBidi" w:hAnsiTheme="majorBidi" w:cstheme="majorBidi"/>
          <w:sz w:val="24"/>
          <w:szCs w:val="24"/>
        </w:rPr>
        <w:t xml:space="preserve"> is considered the largest</w:t>
      </w:r>
      <w:r w:rsidR="00813EBB">
        <w:rPr>
          <w:rFonts w:asciiTheme="majorBidi" w:hAnsiTheme="majorBidi" w:cstheme="majorBidi"/>
          <w:sz w:val="24"/>
          <w:szCs w:val="24"/>
        </w:rPr>
        <w:t xml:space="preserve"> Palestinian</w:t>
      </w:r>
      <w:r w:rsidR="00703159">
        <w:rPr>
          <w:rFonts w:asciiTheme="majorBidi" w:hAnsiTheme="majorBidi" w:cstheme="majorBidi"/>
          <w:sz w:val="24"/>
          <w:szCs w:val="24"/>
        </w:rPr>
        <w:t xml:space="preserve"> commercial</w:t>
      </w:r>
      <w:r w:rsidR="00813EBB">
        <w:rPr>
          <w:rFonts w:asciiTheme="majorBidi" w:hAnsiTheme="majorBidi" w:cstheme="majorBidi"/>
          <w:sz w:val="24"/>
          <w:szCs w:val="24"/>
        </w:rPr>
        <w:t xml:space="preserve"> bank. </w:t>
      </w:r>
      <w:r w:rsidR="00A23604">
        <w:rPr>
          <w:rFonts w:asciiTheme="majorBidi" w:hAnsiTheme="majorBidi" w:cstheme="majorBidi"/>
          <w:sz w:val="24"/>
          <w:szCs w:val="24"/>
        </w:rPr>
        <w:t>Despite the positive improvement, still the sector</w:t>
      </w:r>
      <w:r w:rsidR="00DC1975">
        <w:rPr>
          <w:rFonts w:asciiTheme="majorBidi" w:hAnsiTheme="majorBidi" w:cstheme="majorBidi"/>
          <w:sz w:val="24"/>
          <w:szCs w:val="24"/>
        </w:rPr>
        <w:t xml:space="preserve"> comparable to industry international standar</w:t>
      </w:r>
      <w:r w:rsidR="008E1A1D">
        <w:rPr>
          <w:rFonts w:asciiTheme="majorBidi" w:hAnsiTheme="majorBidi" w:cstheme="majorBidi"/>
          <w:sz w:val="24"/>
          <w:szCs w:val="24"/>
        </w:rPr>
        <w:t>ds less efficient and having wea</w:t>
      </w:r>
      <w:r w:rsidR="00DC1975">
        <w:rPr>
          <w:rFonts w:asciiTheme="majorBidi" w:hAnsiTheme="majorBidi" w:cstheme="majorBidi"/>
          <w:sz w:val="24"/>
          <w:szCs w:val="24"/>
        </w:rPr>
        <w:t>k performance (</w:t>
      </w:r>
      <w:r w:rsidR="00DC1975" w:rsidRPr="00822286">
        <w:rPr>
          <w:rFonts w:asciiTheme="majorBidi" w:hAnsiTheme="majorBidi" w:cstheme="majorBidi"/>
          <w:sz w:val="24"/>
          <w:szCs w:val="24"/>
        </w:rPr>
        <w:t>ROA</w:t>
      </w:r>
      <w:r w:rsidRPr="00822286">
        <w:rPr>
          <w:rFonts w:asciiTheme="majorBidi" w:hAnsiTheme="majorBidi" w:cstheme="majorBidi"/>
          <w:sz w:val="24"/>
          <w:szCs w:val="24"/>
        </w:rPr>
        <w:t xml:space="preserve"> of more than 1.5% indicates good pe</w:t>
      </w:r>
      <w:r w:rsidR="00DC1975">
        <w:rPr>
          <w:rFonts w:asciiTheme="majorBidi" w:hAnsiTheme="majorBidi" w:cstheme="majorBidi"/>
          <w:sz w:val="24"/>
          <w:szCs w:val="24"/>
        </w:rPr>
        <w:t>rformance (Flamini et al, 2009)).</w:t>
      </w:r>
      <w:r w:rsidR="00A0323F" w:rsidRPr="002B538E">
        <w:rPr>
          <w:rFonts w:asciiTheme="majorBidi" w:hAnsiTheme="majorBidi" w:cstheme="majorBidi"/>
          <w:sz w:val="24"/>
          <w:szCs w:val="24"/>
        </w:rPr>
        <w:t>The mean</w:t>
      </w:r>
      <w:r w:rsidR="00A0323F">
        <w:rPr>
          <w:rFonts w:asciiTheme="majorBidi" w:hAnsiTheme="majorBidi" w:cstheme="majorBidi"/>
          <w:sz w:val="24"/>
          <w:szCs w:val="24"/>
        </w:rPr>
        <w:t xml:space="preserve"> score of ROA</w:t>
      </w:r>
      <w:r w:rsidR="00A0323F" w:rsidRPr="002B538E">
        <w:rPr>
          <w:rFonts w:asciiTheme="majorBidi" w:hAnsiTheme="majorBidi" w:cstheme="majorBidi"/>
          <w:sz w:val="24"/>
          <w:szCs w:val="24"/>
        </w:rPr>
        <w:t xml:space="preserve"> for the whole sector (five banks</w:t>
      </w:r>
      <w:r w:rsidR="00A0323F">
        <w:rPr>
          <w:rFonts w:asciiTheme="majorBidi" w:hAnsiTheme="majorBidi" w:cstheme="majorBidi"/>
          <w:sz w:val="24"/>
          <w:szCs w:val="24"/>
        </w:rPr>
        <w:t>) was .74%, t</w:t>
      </w:r>
      <w:r w:rsidRPr="00822286">
        <w:rPr>
          <w:rFonts w:asciiTheme="majorBidi" w:hAnsiTheme="majorBidi" w:cstheme="majorBidi"/>
          <w:sz w:val="24"/>
          <w:szCs w:val="24"/>
        </w:rPr>
        <w:t>herefore</w:t>
      </w:r>
      <w:r w:rsidR="00A0323F">
        <w:rPr>
          <w:rFonts w:asciiTheme="majorBidi" w:hAnsiTheme="majorBidi" w:cstheme="majorBidi"/>
          <w:sz w:val="24"/>
          <w:szCs w:val="24"/>
        </w:rPr>
        <w:t>,</w:t>
      </w:r>
      <w:r w:rsidRPr="00822286">
        <w:rPr>
          <w:rFonts w:asciiTheme="majorBidi" w:hAnsiTheme="majorBidi" w:cstheme="majorBidi"/>
          <w:sz w:val="24"/>
          <w:szCs w:val="24"/>
        </w:rPr>
        <w:t xml:space="preserve"> this means </w:t>
      </w:r>
      <w:r w:rsidR="008E1A1D">
        <w:rPr>
          <w:rFonts w:asciiTheme="majorBidi" w:hAnsiTheme="majorBidi" w:cstheme="majorBidi"/>
          <w:sz w:val="24"/>
          <w:szCs w:val="24"/>
        </w:rPr>
        <w:t xml:space="preserve">that </w:t>
      </w:r>
      <w:r w:rsidR="00C51F90">
        <w:rPr>
          <w:rFonts w:asciiTheme="majorBidi" w:hAnsiTheme="majorBidi" w:cstheme="majorBidi"/>
          <w:sz w:val="24"/>
          <w:szCs w:val="24"/>
        </w:rPr>
        <w:t>the performance of the five sample banks were</w:t>
      </w:r>
      <w:r w:rsidR="00A23604">
        <w:rPr>
          <w:rFonts w:asciiTheme="majorBidi" w:hAnsiTheme="majorBidi" w:cstheme="majorBidi"/>
          <w:sz w:val="24"/>
          <w:szCs w:val="24"/>
        </w:rPr>
        <w:t xml:space="preserve"> less</w:t>
      </w:r>
      <w:r w:rsidRPr="00822286">
        <w:rPr>
          <w:rFonts w:asciiTheme="majorBidi" w:hAnsiTheme="majorBidi" w:cstheme="majorBidi"/>
          <w:sz w:val="24"/>
          <w:szCs w:val="24"/>
        </w:rPr>
        <w:t xml:space="preserve"> compar</w:t>
      </w:r>
      <w:r w:rsidR="00A23604">
        <w:rPr>
          <w:rFonts w:asciiTheme="majorBidi" w:hAnsiTheme="majorBidi" w:cstheme="majorBidi"/>
          <w:sz w:val="24"/>
          <w:szCs w:val="24"/>
        </w:rPr>
        <w:t>able to international standards particularly in the year 2008</w:t>
      </w:r>
      <w:r w:rsidR="000F2580">
        <w:rPr>
          <w:rFonts w:asciiTheme="majorBidi" w:hAnsiTheme="majorBidi" w:cstheme="majorBidi"/>
          <w:sz w:val="24"/>
          <w:szCs w:val="24"/>
        </w:rPr>
        <w:t>,</w:t>
      </w:r>
      <w:r w:rsidR="00DA4417">
        <w:rPr>
          <w:rFonts w:asciiTheme="majorBidi" w:hAnsiTheme="majorBidi" w:cstheme="majorBidi"/>
          <w:sz w:val="24"/>
          <w:szCs w:val="24"/>
        </w:rPr>
        <w:t xml:space="preserve"> which</w:t>
      </w:r>
      <w:r w:rsidR="000F2580">
        <w:rPr>
          <w:rFonts w:asciiTheme="majorBidi" w:hAnsiTheme="majorBidi" w:cstheme="majorBidi"/>
          <w:sz w:val="24"/>
          <w:szCs w:val="24"/>
        </w:rPr>
        <w:t xml:space="preserve"> had the lowest ROA</w:t>
      </w:r>
      <w:r w:rsidR="00DC1975">
        <w:rPr>
          <w:rFonts w:asciiTheme="majorBidi" w:hAnsiTheme="majorBidi" w:cstheme="majorBidi"/>
          <w:sz w:val="24"/>
          <w:szCs w:val="24"/>
        </w:rPr>
        <w:t xml:space="preserve"> (-1.08%)</w:t>
      </w:r>
      <w:r w:rsidR="008E1A1D">
        <w:rPr>
          <w:rFonts w:asciiTheme="majorBidi" w:hAnsiTheme="majorBidi" w:cstheme="majorBidi"/>
          <w:sz w:val="24"/>
          <w:szCs w:val="24"/>
        </w:rPr>
        <w:t>,</w:t>
      </w:r>
      <w:r w:rsidR="000F2580">
        <w:rPr>
          <w:rFonts w:asciiTheme="majorBidi" w:hAnsiTheme="majorBidi" w:cstheme="majorBidi"/>
          <w:sz w:val="24"/>
          <w:szCs w:val="24"/>
        </w:rPr>
        <w:t xml:space="preserve"> t</w:t>
      </w:r>
      <w:r w:rsidR="002E1195">
        <w:rPr>
          <w:rFonts w:asciiTheme="majorBidi" w:hAnsiTheme="majorBidi" w:cstheme="majorBidi"/>
          <w:sz w:val="24"/>
          <w:szCs w:val="24"/>
        </w:rPr>
        <w:t>hat’s attributing</w:t>
      </w:r>
      <w:r w:rsidR="00EF6D75">
        <w:rPr>
          <w:rFonts w:asciiTheme="majorBidi" w:hAnsiTheme="majorBidi" w:cstheme="majorBidi"/>
          <w:sz w:val="24"/>
          <w:szCs w:val="24"/>
        </w:rPr>
        <w:t xml:space="preserve"> mostly</w:t>
      </w:r>
      <w:r w:rsidR="002E1195">
        <w:rPr>
          <w:rFonts w:asciiTheme="majorBidi" w:hAnsiTheme="majorBidi" w:cstheme="majorBidi"/>
          <w:sz w:val="24"/>
          <w:szCs w:val="24"/>
        </w:rPr>
        <w:t xml:space="preserve"> to the</w:t>
      </w:r>
      <w:r w:rsidR="00721FE5">
        <w:rPr>
          <w:rFonts w:asciiTheme="majorBidi" w:hAnsiTheme="majorBidi" w:cstheme="majorBidi"/>
          <w:sz w:val="24"/>
          <w:szCs w:val="24"/>
        </w:rPr>
        <w:t xml:space="preserve"> loss achieved by AlQuds and AlR</w:t>
      </w:r>
      <w:r w:rsidR="000F2580">
        <w:rPr>
          <w:rFonts w:asciiTheme="majorBidi" w:hAnsiTheme="majorBidi" w:cstheme="majorBidi"/>
          <w:sz w:val="24"/>
          <w:szCs w:val="24"/>
        </w:rPr>
        <w:t>afah</w:t>
      </w:r>
      <w:r w:rsidR="008E1A1D">
        <w:rPr>
          <w:rFonts w:asciiTheme="majorBidi" w:hAnsiTheme="majorBidi" w:cstheme="majorBidi"/>
          <w:sz w:val="24"/>
          <w:szCs w:val="24"/>
        </w:rPr>
        <w:t xml:space="preserve"> </w:t>
      </w:r>
      <w:r w:rsidR="002E1195">
        <w:rPr>
          <w:rFonts w:asciiTheme="majorBidi" w:hAnsiTheme="majorBidi" w:cstheme="majorBidi"/>
          <w:sz w:val="24"/>
          <w:szCs w:val="24"/>
        </w:rPr>
        <w:t>banks (-2.3 and -3.25 respectively). also the</w:t>
      </w:r>
      <w:r w:rsidR="000F2580" w:rsidRPr="002B538E">
        <w:rPr>
          <w:rFonts w:asciiTheme="majorBidi" w:hAnsiTheme="majorBidi" w:cstheme="majorBidi"/>
          <w:sz w:val="24"/>
          <w:szCs w:val="24"/>
        </w:rPr>
        <w:t xml:space="preserve"> </w:t>
      </w:r>
      <w:r w:rsidR="002E1195">
        <w:rPr>
          <w:rFonts w:asciiTheme="majorBidi" w:hAnsiTheme="majorBidi" w:cstheme="majorBidi"/>
          <w:sz w:val="24"/>
          <w:szCs w:val="24"/>
        </w:rPr>
        <w:t>decline</w:t>
      </w:r>
      <w:r w:rsidR="008E1A1D">
        <w:rPr>
          <w:rFonts w:asciiTheme="majorBidi" w:hAnsiTheme="majorBidi" w:cstheme="majorBidi"/>
          <w:sz w:val="24"/>
          <w:szCs w:val="24"/>
        </w:rPr>
        <w:t xml:space="preserve">d rate of </w:t>
      </w:r>
      <w:r w:rsidR="008E1A1D" w:rsidRPr="002B538E">
        <w:rPr>
          <w:rFonts w:asciiTheme="majorBidi" w:hAnsiTheme="majorBidi" w:cstheme="majorBidi"/>
          <w:sz w:val="24"/>
          <w:szCs w:val="24"/>
        </w:rPr>
        <w:t>profitability</w:t>
      </w:r>
      <w:r w:rsidR="002E1195">
        <w:rPr>
          <w:rFonts w:asciiTheme="majorBidi" w:hAnsiTheme="majorBidi" w:cstheme="majorBidi"/>
          <w:sz w:val="24"/>
          <w:szCs w:val="24"/>
        </w:rPr>
        <w:t xml:space="preserve"> in</w:t>
      </w:r>
      <w:r w:rsidR="008E1A1D">
        <w:rPr>
          <w:rFonts w:asciiTheme="majorBidi" w:hAnsiTheme="majorBidi" w:cstheme="majorBidi"/>
          <w:sz w:val="24"/>
          <w:szCs w:val="24"/>
        </w:rPr>
        <w:t xml:space="preserve"> </w:t>
      </w:r>
      <w:r w:rsidR="002E1195">
        <w:rPr>
          <w:rFonts w:asciiTheme="majorBidi" w:hAnsiTheme="majorBidi" w:cstheme="majorBidi"/>
          <w:sz w:val="24"/>
          <w:szCs w:val="24"/>
        </w:rPr>
        <w:t>that year</w:t>
      </w:r>
      <w:r w:rsidR="00DC1975">
        <w:rPr>
          <w:rFonts w:asciiTheme="majorBidi" w:hAnsiTheme="majorBidi" w:cstheme="majorBidi"/>
          <w:sz w:val="24"/>
          <w:szCs w:val="24"/>
        </w:rPr>
        <w:t xml:space="preserve"> could be due to instability of political and economic conditions sur</w:t>
      </w:r>
      <w:r w:rsidR="002E1195">
        <w:rPr>
          <w:rFonts w:asciiTheme="majorBidi" w:hAnsiTheme="majorBidi" w:cstheme="majorBidi"/>
          <w:sz w:val="24"/>
          <w:szCs w:val="24"/>
        </w:rPr>
        <w:t>rounding Palestine</w:t>
      </w:r>
      <w:r w:rsidR="00DC1975">
        <w:rPr>
          <w:rFonts w:asciiTheme="majorBidi" w:hAnsiTheme="majorBidi" w:cstheme="majorBidi"/>
          <w:sz w:val="24"/>
          <w:szCs w:val="24"/>
        </w:rPr>
        <w:t xml:space="preserve">, </w:t>
      </w:r>
      <w:r w:rsidR="00DC1975" w:rsidRPr="002B538E">
        <w:rPr>
          <w:rFonts w:asciiTheme="majorBidi" w:hAnsiTheme="majorBidi" w:cstheme="majorBidi"/>
          <w:sz w:val="24"/>
          <w:szCs w:val="24"/>
        </w:rPr>
        <w:t>however</w:t>
      </w:r>
      <w:r w:rsidR="00A0323F">
        <w:rPr>
          <w:rFonts w:asciiTheme="majorBidi" w:hAnsiTheme="majorBidi" w:cstheme="majorBidi"/>
          <w:sz w:val="24"/>
          <w:szCs w:val="24"/>
        </w:rPr>
        <w:t>,</w:t>
      </w:r>
      <w:r w:rsidR="008E1A1D">
        <w:rPr>
          <w:rFonts w:asciiTheme="majorBidi" w:hAnsiTheme="majorBidi" w:cstheme="majorBidi"/>
          <w:sz w:val="24"/>
          <w:szCs w:val="24"/>
        </w:rPr>
        <w:t xml:space="preserve"> </w:t>
      </w:r>
      <w:r w:rsidR="00A0323F">
        <w:rPr>
          <w:rFonts w:asciiTheme="majorBidi" w:hAnsiTheme="majorBidi" w:cstheme="majorBidi"/>
          <w:sz w:val="24"/>
          <w:szCs w:val="24"/>
        </w:rPr>
        <w:t>t</w:t>
      </w:r>
      <w:r w:rsidR="00DA4417" w:rsidRPr="002B538E">
        <w:rPr>
          <w:rFonts w:asciiTheme="majorBidi" w:hAnsiTheme="majorBidi" w:cstheme="majorBidi"/>
          <w:sz w:val="24"/>
          <w:szCs w:val="24"/>
        </w:rPr>
        <w:t>he mean</w:t>
      </w:r>
      <w:r w:rsidR="00DA4417">
        <w:rPr>
          <w:rFonts w:asciiTheme="majorBidi" w:hAnsiTheme="majorBidi" w:cstheme="majorBidi"/>
          <w:sz w:val="24"/>
          <w:szCs w:val="24"/>
        </w:rPr>
        <w:t xml:space="preserve"> score of ROA</w:t>
      </w:r>
      <w:r w:rsidR="00DA4417" w:rsidRPr="002B538E">
        <w:rPr>
          <w:rFonts w:asciiTheme="majorBidi" w:hAnsiTheme="majorBidi" w:cstheme="majorBidi"/>
          <w:sz w:val="24"/>
          <w:szCs w:val="24"/>
        </w:rPr>
        <w:t xml:space="preserve"> for the whole sector (five banks) reached the peak in</w:t>
      </w:r>
      <w:r w:rsidR="008E1A1D">
        <w:rPr>
          <w:rFonts w:asciiTheme="majorBidi" w:hAnsiTheme="majorBidi" w:cstheme="majorBidi"/>
          <w:sz w:val="24"/>
          <w:szCs w:val="24"/>
        </w:rPr>
        <w:t xml:space="preserve"> </w:t>
      </w:r>
      <w:r w:rsidR="00A0323F">
        <w:rPr>
          <w:rFonts w:asciiTheme="majorBidi" w:hAnsiTheme="majorBidi" w:cstheme="majorBidi"/>
          <w:sz w:val="24"/>
          <w:szCs w:val="24"/>
        </w:rPr>
        <w:t>2009 (1.4%</w:t>
      </w:r>
      <w:r w:rsidR="00DA4417" w:rsidRPr="002B538E">
        <w:rPr>
          <w:rFonts w:asciiTheme="majorBidi" w:hAnsiTheme="majorBidi" w:cstheme="majorBidi"/>
          <w:sz w:val="24"/>
          <w:szCs w:val="24"/>
        </w:rPr>
        <w:t>) that’s attributing to high profitability by</w:t>
      </w:r>
      <w:r w:rsidR="008E1A1D">
        <w:rPr>
          <w:rFonts w:asciiTheme="majorBidi" w:hAnsiTheme="majorBidi" w:cstheme="majorBidi"/>
          <w:sz w:val="24"/>
          <w:szCs w:val="24"/>
        </w:rPr>
        <w:t xml:space="preserve"> B</w:t>
      </w:r>
      <w:r w:rsidR="00A0323F">
        <w:rPr>
          <w:rFonts w:asciiTheme="majorBidi" w:hAnsiTheme="majorBidi" w:cstheme="majorBidi"/>
          <w:sz w:val="24"/>
          <w:szCs w:val="24"/>
        </w:rPr>
        <w:t>ank of Pa</w:t>
      </w:r>
      <w:r w:rsidR="008E1A1D">
        <w:rPr>
          <w:rFonts w:asciiTheme="majorBidi" w:hAnsiTheme="majorBidi" w:cstheme="majorBidi"/>
          <w:sz w:val="24"/>
          <w:szCs w:val="24"/>
        </w:rPr>
        <w:t>lestine (2.1%) and Palestinian Commercial B</w:t>
      </w:r>
      <w:r w:rsidR="00A0323F">
        <w:rPr>
          <w:rFonts w:asciiTheme="majorBidi" w:hAnsiTheme="majorBidi" w:cstheme="majorBidi"/>
          <w:sz w:val="24"/>
          <w:szCs w:val="24"/>
        </w:rPr>
        <w:t>ank (1.5%),</w:t>
      </w:r>
      <w:r w:rsidR="00DC1975" w:rsidRPr="002B538E">
        <w:rPr>
          <w:rFonts w:asciiTheme="majorBidi" w:hAnsiTheme="majorBidi" w:cstheme="majorBidi"/>
          <w:sz w:val="24"/>
          <w:szCs w:val="24"/>
        </w:rPr>
        <w:t xml:space="preserve"> the ratio has increased</w:t>
      </w:r>
      <w:r w:rsidR="000F2580">
        <w:rPr>
          <w:rFonts w:asciiTheme="majorBidi" w:hAnsiTheme="majorBidi" w:cstheme="majorBidi"/>
          <w:sz w:val="24"/>
          <w:szCs w:val="24"/>
        </w:rPr>
        <w:t>(-1.o8 to 1.4%</w:t>
      </w:r>
      <w:r w:rsidR="00A0323F">
        <w:rPr>
          <w:rFonts w:asciiTheme="majorBidi" w:hAnsiTheme="majorBidi" w:cstheme="majorBidi"/>
          <w:sz w:val="24"/>
          <w:szCs w:val="24"/>
        </w:rPr>
        <w:t>) by almost 260% in that year.</w:t>
      </w:r>
    </w:p>
    <w:p w:rsidR="008606AB" w:rsidRDefault="008E1A1D" w:rsidP="005F4D2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According to Return </w:t>
      </w:r>
      <w:r w:rsidR="002C2BAD">
        <w:rPr>
          <w:rFonts w:asciiTheme="majorBidi" w:hAnsiTheme="majorBidi" w:cstheme="majorBidi"/>
          <w:sz w:val="24"/>
          <w:szCs w:val="24"/>
        </w:rPr>
        <w:t>on</w:t>
      </w:r>
      <w:r w:rsidR="002E1195">
        <w:rPr>
          <w:rFonts w:asciiTheme="majorBidi" w:hAnsiTheme="majorBidi" w:cstheme="majorBidi"/>
          <w:sz w:val="24"/>
          <w:szCs w:val="24"/>
        </w:rPr>
        <w:t xml:space="preserve"> </w:t>
      </w:r>
      <w:r>
        <w:rPr>
          <w:rFonts w:asciiTheme="majorBidi" w:hAnsiTheme="majorBidi" w:cstheme="majorBidi"/>
          <w:sz w:val="24"/>
          <w:szCs w:val="24"/>
        </w:rPr>
        <w:t>E</w:t>
      </w:r>
      <w:r w:rsidR="003232B4">
        <w:rPr>
          <w:rFonts w:asciiTheme="majorBidi" w:hAnsiTheme="majorBidi" w:cstheme="majorBidi"/>
          <w:sz w:val="24"/>
          <w:szCs w:val="24"/>
        </w:rPr>
        <w:t>quity (</w:t>
      </w:r>
      <w:r w:rsidR="002E1195">
        <w:rPr>
          <w:rFonts w:asciiTheme="majorBidi" w:hAnsiTheme="majorBidi" w:cstheme="majorBidi"/>
          <w:sz w:val="24"/>
          <w:szCs w:val="24"/>
        </w:rPr>
        <w:t>ROE) as profitability indicator,</w:t>
      </w:r>
      <w:r w:rsidR="002C7643">
        <w:rPr>
          <w:rFonts w:asciiTheme="majorBidi" w:hAnsiTheme="majorBidi" w:cstheme="majorBidi"/>
          <w:sz w:val="24"/>
          <w:szCs w:val="24"/>
        </w:rPr>
        <w:t xml:space="preserve"> t</w:t>
      </w:r>
      <w:r w:rsidR="00894435" w:rsidRPr="002B538E">
        <w:rPr>
          <w:rFonts w:asciiTheme="majorBidi" w:hAnsiTheme="majorBidi" w:cstheme="majorBidi"/>
          <w:sz w:val="24"/>
          <w:szCs w:val="24"/>
        </w:rPr>
        <w:t>here was</w:t>
      </w:r>
      <w:r w:rsidR="00E7131F">
        <w:rPr>
          <w:rFonts w:asciiTheme="majorBidi" w:hAnsiTheme="majorBidi" w:cstheme="majorBidi"/>
          <w:sz w:val="24"/>
          <w:szCs w:val="24"/>
        </w:rPr>
        <w:t xml:space="preserve"> </w:t>
      </w:r>
      <w:r w:rsidR="00894435" w:rsidRPr="002B538E">
        <w:rPr>
          <w:rFonts w:asciiTheme="majorBidi" w:hAnsiTheme="majorBidi" w:cstheme="majorBidi"/>
          <w:sz w:val="24"/>
          <w:szCs w:val="24"/>
        </w:rPr>
        <w:t>a negative</w:t>
      </w:r>
      <w:r w:rsidR="00EF6D75">
        <w:rPr>
          <w:rFonts w:asciiTheme="majorBidi" w:hAnsiTheme="majorBidi" w:cstheme="majorBidi"/>
          <w:sz w:val="24"/>
          <w:szCs w:val="24"/>
        </w:rPr>
        <w:t xml:space="preserve"> and fluctuation</w:t>
      </w:r>
      <w:r w:rsidR="00894435" w:rsidRPr="002B538E">
        <w:rPr>
          <w:rFonts w:asciiTheme="majorBidi" w:hAnsiTheme="majorBidi" w:cstheme="majorBidi"/>
          <w:sz w:val="24"/>
          <w:szCs w:val="24"/>
        </w:rPr>
        <w:t xml:space="preserve"> trend in ROE.</w:t>
      </w:r>
      <w:r w:rsidR="00383050" w:rsidRPr="002B538E">
        <w:rPr>
          <w:rFonts w:asciiTheme="majorBidi" w:hAnsiTheme="majorBidi" w:cstheme="majorBidi"/>
          <w:sz w:val="24"/>
          <w:szCs w:val="24"/>
        </w:rPr>
        <w:t xml:space="preserve"> Th</w:t>
      </w:r>
      <w:r w:rsidR="00417132">
        <w:rPr>
          <w:rFonts w:asciiTheme="majorBidi" w:hAnsiTheme="majorBidi" w:cstheme="majorBidi"/>
          <w:sz w:val="24"/>
          <w:szCs w:val="24"/>
        </w:rPr>
        <w:t>e reported results in table 4.14</w:t>
      </w:r>
      <w:r>
        <w:rPr>
          <w:rFonts w:asciiTheme="majorBidi" w:hAnsiTheme="majorBidi" w:cstheme="majorBidi"/>
          <w:sz w:val="24"/>
          <w:szCs w:val="24"/>
        </w:rPr>
        <w:t xml:space="preserve"> indicated</w:t>
      </w:r>
      <w:r w:rsidR="00383050" w:rsidRPr="002B538E">
        <w:rPr>
          <w:rFonts w:asciiTheme="majorBidi" w:hAnsiTheme="majorBidi" w:cstheme="majorBidi"/>
          <w:sz w:val="24"/>
          <w:szCs w:val="24"/>
        </w:rPr>
        <w:t xml:space="preserve"> that the profitabil</w:t>
      </w:r>
      <w:r w:rsidR="00C51F90">
        <w:rPr>
          <w:rFonts w:asciiTheme="majorBidi" w:hAnsiTheme="majorBidi" w:cstheme="majorBidi"/>
          <w:sz w:val="24"/>
          <w:szCs w:val="24"/>
        </w:rPr>
        <w:t>ity</w:t>
      </w:r>
      <w:r w:rsidR="007849D7">
        <w:rPr>
          <w:rFonts w:asciiTheme="majorBidi" w:hAnsiTheme="majorBidi" w:cstheme="majorBidi"/>
          <w:sz w:val="24"/>
          <w:szCs w:val="24"/>
        </w:rPr>
        <w:t>, which measured by Return On Equity (ROE)</w:t>
      </w:r>
      <w:r w:rsidR="00C51F90">
        <w:rPr>
          <w:rFonts w:asciiTheme="majorBidi" w:hAnsiTheme="majorBidi" w:cstheme="majorBidi"/>
          <w:sz w:val="24"/>
          <w:szCs w:val="24"/>
        </w:rPr>
        <w:t xml:space="preserve"> of the five sample banks had</w:t>
      </w:r>
      <w:r w:rsidR="00383050" w:rsidRPr="002B538E">
        <w:rPr>
          <w:rFonts w:asciiTheme="majorBidi" w:hAnsiTheme="majorBidi" w:cstheme="majorBidi"/>
          <w:sz w:val="24"/>
          <w:szCs w:val="24"/>
        </w:rPr>
        <w:t xml:space="preserve"> slightly visible decline since 2005 ti</w:t>
      </w:r>
      <w:r w:rsidR="002E1195">
        <w:rPr>
          <w:rFonts w:asciiTheme="majorBidi" w:hAnsiTheme="majorBidi" w:cstheme="majorBidi"/>
          <w:sz w:val="24"/>
          <w:szCs w:val="24"/>
        </w:rPr>
        <w:t>ll 2011 in the</w:t>
      </w:r>
      <w:r w:rsidR="00C51F90">
        <w:rPr>
          <w:rFonts w:asciiTheme="majorBidi" w:hAnsiTheme="majorBidi" w:cstheme="majorBidi"/>
          <w:sz w:val="24"/>
          <w:szCs w:val="24"/>
        </w:rPr>
        <w:t xml:space="preserve"> five sample banks</w:t>
      </w:r>
      <w:r w:rsidR="002E1195">
        <w:rPr>
          <w:rFonts w:asciiTheme="majorBidi" w:hAnsiTheme="majorBidi" w:cstheme="majorBidi"/>
          <w:sz w:val="24"/>
          <w:szCs w:val="24"/>
        </w:rPr>
        <w:t>,</w:t>
      </w:r>
      <w:r w:rsidR="00383050" w:rsidRPr="002B538E">
        <w:rPr>
          <w:rFonts w:asciiTheme="majorBidi" w:hAnsiTheme="majorBidi" w:cstheme="majorBidi"/>
          <w:sz w:val="24"/>
          <w:szCs w:val="24"/>
        </w:rPr>
        <w:t xml:space="preserve"> however, in 2009</w:t>
      </w:r>
      <w:r w:rsidR="00E574CD">
        <w:rPr>
          <w:rFonts w:asciiTheme="majorBidi" w:hAnsiTheme="majorBidi" w:cstheme="majorBidi"/>
          <w:sz w:val="24"/>
          <w:szCs w:val="24"/>
        </w:rPr>
        <w:t>, as well as ROA</w:t>
      </w:r>
      <w:r w:rsidR="007849D7">
        <w:rPr>
          <w:rFonts w:asciiTheme="majorBidi" w:hAnsiTheme="majorBidi" w:cstheme="majorBidi"/>
          <w:sz w:val="24"/>
          <w:szCs w:val="24"/>
        </w:rPr>
        <w:t xml:space="preserve">, ROE </w:t>
      </w:r>
      <w:r w:rsidR="005F4D2D">
        <w:rPr>
          <w:rFonts w:asciiTheme="majorBidi" w:hAnsiTheme="majorBidi" w:cstheme="majorBidi"/>
          <w:sz w:val="24"/>
          <w:szCs w:val="24"/>
        </w:rPr>
        <w:t xml:space="preserve"> increased</w:t>
      </w:r>
      <w:r w:rsidR="00E574CD">
        <w:rPr>
          <w:rFonts w:asciiTheme="majorBidi" w:hAnsiTheme="majorBidi" w:cstheme="majorBidi"/>
          <w:sz w:val="24"/>
          <w:szCs w:val="24"/>
        </w:rPr>
        <w:t xml:space="preserve"> </w:t>
      </w:r>
      <w:r w:rsidR="00383050" w:rsidRPr="002B538E">
        <w:rPr>
          <w:rFonts w:asciiTheme="majorBidi" w:hAnsiTheme="majorBidi" w:cstheme="majorBidi"/>
          <w:sz w:val="24"/>
          <w:szCs w:val="24"/>
        </w:rPr>
        <w:t>ha</w:t>
      </w:r>
      <w:r w:rsidR="000F2580">
        <w:rPr>
          <w:rFonts w:asciiTheme="majorBidi" w:hAnsiTheme="majorBidi" w:cstheme="majorBidi"/>
          <w:sz w:val="24"/>
          <w:szCs w:val="24"/>
        </w:rPr>
        <w:t>s increased</w:t>
      </w:r>
      <w:r w:rsidR="005F4D2D">
        <w:rPr>
          <w:rFonts w:asciiTheme="majorBidi" w:hAnsiTheme="majorBidi" w:cstheme="majorBidi"/>
          <w:sz w:val="24"/>
          <w:szCs w:val="24"/>
        </w:rPr>
        <w:t xml:space="preserve"> by 220%. (.4% to 8.8%). </w:t>
      </w:r>
      <w:r w:rsidR="00D21A5D" w:rsidRPr="002B538E">
        <w:rPr>
          <w:rFonts w:asciiTheme="majorBidi" w:hAnsiTheme="majorBidi" w:cstheme="majorBidi"/>
          <w:sz w:val="24"/>
          <w:szCs w:val="24"/>
        </w:rPr>
        <w:t>The mean</w:t>
      </w:r>
      <w:r w:rsidR="007659AD" w:rsidRPr="002B538E">
        <w:rPr>
          <w:rFonts w:asciiTheme="majorBidi" w:hAnsiTheme="majorBidi" w:cstheme="majorBidi"/>
          <w:sz w:val="24"/>
          <w:szCs w:val="24"/>
        </w:rPr>
        <w:t xml:space="preserve"> score of ROE </w:t>
      </w:r>
      <w:r w:rsidR="005F4D2D">
        <w:rPr>
          <w:rFonts w:asciiTheme="majorBidi" w:hAnsiTheme="majorBidi" w:cstheme="majorBidi"/>
          <w:sz w:val="24"/>
          <w:szCs w:val="24"/>
        </w:rPr>
        <w:t xml:space="preserve">for the five sample banks </w:t>
      </w:r>
      <w:r w:rsidR="00D21A5D" w:rsidRPr="002B538E">
        <w:rPr>
          <w:rFonts w:asciiTheme="majorBidi" w:hAnsiTheme="majorBidi" w:cstheme="majorBidi"/>
          <w:sz w:val="24"/>
          <w:szCs w:val="24"/>
        </w:rPr>
        <w:t>reached the peak in</w:t>
      </w:r>
      <w:r w:rsidR="005F4D2D">
        <w:rPr>
          <w:rFonts w:asciiTheme="majorBidi" w:hAnsiTheme="majorBidi" w:cstheme="majorBidi"/>
          <w:sz w:val="24"/>
          <w:szCs w:val="24"/>
        </w:rPr>
        <w:t xml:space="preserve"> </w:t>
      </w:r>
      <w:r w:rsidR="00D21A5D" w:rsidRPr="002B538E">
        <w:rPr>
          <w:rFonts w:asciiTheme="majorBidi" w:hAnsiTheme="majorBidi" w:cstheme="majorBidi"/>
          <w:sz w:val="24"/>
          <w:szCs w:val="24"/>
        </w:rPr>
        <w:t xml:space="preserve">2005 (18%) that’s </w:t>
      </w:r>
      <w:r w:rsidR="00C51F90">
        <w:rPr>
          <w:rFonts w:asciiTheme="majorBidi" w:hAnsiTheme="majorBidi" w:cstheme="majorBidi"/>
          <w:sz w:val="24"/>
          <w:szCs w:val="24"/>
        </w:rPr>
        <w:t xml:space="preserve">were </w:t>
      </w:r>
      <w:r w:rsidR="00D21A5D" w:rsidRPr="002B538E">
        <w:rPr>
          <w:rFonts w:asciiTheme="majorBidi" w:hAnsiTheme="majorBidi" w:cstheme="majorBidi"/>
          <w:sz w:val="24"/>
          <w:szCs w:val="24"/>
        </w:rPr>
        <w:t>attributing to high profitability</w:t>
      </w:r>
      <w:r w:rsidR="00C51F90">
        <w:rPr>
          <w:rFonts w:asciiTheme="majorBidi" w:hAnsiTheme="majorBidi" w:cstheme="majorBidi"/>
          <w:sz w:val="24"/>
          <w:szCs w:val="24"/>
        </w:rPr>
        <w:t xml:space="preserve"> achieved by Palestinian </w:t>
      </w:r>
      <w:r w:rsidR="00C51F90">
        <w:rPr>
          <w:rFonts w:asciiTheme="majorBidi" w:hAnsiTheme="majorBidi" w:cstheme="majorBidi"/>
          <w:sz w:val="24"/>
          <w:szCs w:val="24"/>
        </w:rPr>
        <w:lastRenderedPageBreak/>
        <w:t>Investment B</w:t>
      </w:r>
      <w:r w:rsidR="00D21A5D" w:rsidRPr="002B538E">
        <w:rPr>
          <w:rFonts w:asciiTheme="majorBidi" w:hAnsiTheme="majorBidi" w:cstheme="majorBidi"/>
          <w:sz w:val="24"/>
          <w:szCs w:val="24"/>
        </w:rPr>
        <w:t>ank and Bank of Palestine (51% and 33% respectively) which r</w:t>
      </w:r>
      <w:r w:rsidR="00C51F90">
        <w:rPr>
          <w:rFonts w:asciiTheme="majorBidi" w:hAnsiTheme="majorBidi" w:cstheme="majorBidi"/>
          <w:sz w:val="24"/>
          <w:szCs w:val="24"/>
        </w:rPr>
        <w:t>elated</w:t>
      </w:r>
      <w:r w:rsidR="00D21A5D" w:rsidRPr="002B538E">
        <w:rPr>
          <w:rFonts w:asciiTheme="majorBidi" w:hAnsiTheme="majorBidi" w:cstheme="majorBidi"/>
          <w:sz w:val="24"/>
          <w:szCs w:val="24"/>
        </w:rPr>
        <w:t xml:space="preserve"> to stable economic and political condi</w:t>
      </w:r>
      <w:r w:rsidR="00782BFB">
        <w:rPr>
          <w:rFonts w:asciiTheme="majorBidi" w:hAnsiTheme="majorBidi" w:cstheme="majorBidi"/>
          <w:sz w:val="24"/>
          <w:szCs w:val="24"/>
        </w:rPr>
        <w:t>tions in the Palestinian market at that time</w:t>
      </w:r>
      <w:r w:rsidR="00C51F90">
        <w:rPr>
          <w:rFonts w:asciiTheme="majorBidi" w:hAnsiTheme="majorBidi" w:cstheme="majorBidi"/>
          <w:sz w:val="24"/>
          <w:szCs w:val="24"/>
        </w:rPr>
        <w:t xml:space="preserve"> </w:t>
      </w:r>
      <w:r w:rsidR="007659AD" w:rsidRPr="002B538E">
        <w:rPr>
          <w:rFonts w:asciiTheme="majorBidi" w:hAnsiTheme="majorBidi" w:cstheme="majorBidi"/>
          <w:sz w:val="24"/>
          <w:szCs w:val="24"/>
        </w:rPr>
        <w:t>and</w:t>
      </w:r>
      <w:r w:rsidR="00D21A5D" w:rsidRPr="002B538E">
        <w:rPr>
          <w:rFonts w:asciiTheme="majorBidi" w:hAnsiTheme="majorBidi" w:cstheme="majorBidi"/>
          <w:sz w:val="24"/>
          <w:szCs w:val="24"/>
        </w:rPr>
        <w:t xml:space="preserve"> then</w:t>
      </w:r>
      <w:r w:rsidR="007659AD" w:rsidRPr="002B538E">
        <w:rPr>
          <w:rFonts w:asciiTheme="majorBidi" w:hAnsiTheme="majorBidi" w:cstheme="majorBidi"/>
          <w:sz w:val="24"/>
          <w:szCs w:val="24"/>
        </w:rPr>
        <w:t xml:space="preserve"> decline</w:t>
      </w:r>
      <w:r w:rsidR="00D21A5D" w:rsidRPr="002B538E">
        <w:rPr>
          <w:rFonts w:asciiTheme="majorBidi" w:hAnsiTheme="majorBidi" w:cstheme="majorBidi"/>
          <w:sz w:val="24"/>
          <w:szCs w:val="24"/>
        </w:rPr>
        <w:t>d</w:t>
      </w:r>
      <w:r w:rsidR="00F366F8" w:rsidRPr="002B538E">
        <w:rPr>
          <w:rFonts w:asciiTheme="majorBidi" w:hAnsiTheme="majorBidi" w:cstheme="majorBidi"/>
          <w:sz w:val="24"/>
          <w:szCs w:val="24"/>
        </w:rPr>
        <w:t xml:space="preserve"> to 6.98% in 2011 </w:t>
      </w:r>
      <w:r w:rsidR="002E1195" w:rsidRPr="002B538E">
        <w:rPr>
          <w:rFonts w:asciiTheme="majorBidi" w:hAnsiTheme="majorBidi" w:cstheme="majorBidi"/>
          <w:sz w:val="24"/>
          <w:szCs w:val="24"/>
        </w:rPr>
        <w:t>showing decrease</w:t>
      </w:r>
      <w:r w:rsidR="007659AD" w:rsidRPr="002B538E">
        <w:rPr>
          <w:rFonts w:asciiTheme="majorBidi" w:hAnsiTheme="majorBidi" w:cstheme="majorBidi"/>
          <w:sz w:val="24"/>
          <w:szCs w:val="24"/>
        </w:rPr>
        <w:t xml:space="preserve"> of almost 200%.</w:t>
      </w:r>
      <w:r w:rsidR="00C51F90">
        <w:rPr>
          <w:rFonts w:asciiTheme="majorBidi" w:hAnsiTheme="majorBidi" w:cstheme="majorBidi"/>
          <w:sz w:val="24"/>
          <w:szCs w:val="24"/>
        </w:rPr>
        <w:t xml:space="preserve"> In </w:t>
      </w:r>
      <w:r w:rsidR="000A27D1">
        <w:rPr>
          <w:rFonts w:asciiTheme="majorBidi" w:hAnsiTheme="majorBidi" w:cstheme="majorBidi"/>
          <w:sz w:val="24"/>
          <w:szCs w:val="24"/>
        </w:rPr>
        <w:t xml:space="preserve">the year </w:t>
      </w:r>
      <w:r w:rsidR="00C51F90">
        <w:rPr>
          <w:rFonts w:asciiTheme="majorBidi" w:hAnsiTheme="majorBidi" w:cstheme="majorBidi"/>
          <w:sz w:val="24"/>
          <w:szCs w:val="24"/>
        </w:rPr>
        <w:t>2008</w:t>
      </w:r>
      <w:r w:rsidR="000A27D1">
        <w:rPr>
          <w:rFonts w:asciiTheme="majorBidi" w:hAnsiTheme="majorBidi" w:cstheme="majorBidi"/>
          <w:sz w:val="24"/>
          <w:szCs w:val="24"/>
        </w:rPr>
        <w:t>,</w:t>
      </w:r>
      <w:r w:rsidR="00C51F90">
        <w:rPr>
          <w:rFonts w:asciiTheme="majorBidi" w:hAnsiTheme="majorBidi" w:cstheme="majorBidi"/>
          <w:sz w:val="24"/>
          <w:szCs w:val="24"/>
        </w:rPr>
        <w:t xml:space="preserve"> the mean</w:t>
      </w:r>
      <w:r w:rsidR="000A27D1">
        <w:rPr>
          <w:rFonts w:asciiTheme="majorBidi" w:hAnsiTheme="majorBidi" w:cstheme="majorBidi"/>
          <w:sz w:val="24"/>
          <w:szCs w:val="24"/>
        </w:rPr>
        <w:t xml:space="preserve"> of ROE</w:t>
      </w:r>
      <w:r w:rsidR="00C51F90">
        <w:rPr>
          <w:rFonts w:asciiTheme="majorBidi" w:hAnsiTheme="majorBidi" w:cstheme="majorBidi"/>
          <w:sz w:val="24"/>
          <w:szCs w:val="24"/>
        </w:rPr>
        <w:t xml:space="preserve"> was</w:t>
      </w:r>
      <w:r w:rsidR="00C51F90" w:rsidRPr="002B538E">
        <w:rPr>
          <w:rFonts w:asciiTheme="majorBidi" w:hAnsiTheme="majorBidi" w:cstheme="majorBidi"/>
          <w:sz w:val="24"/>
          <w:szCs w:val="24"/>
        </w:rPr>
        <w:t xml:space="preserve"> the </w:t>
      </w:r>
    </w:p>
    <w:p w:rsidR="00AD7619" w:rsidRPr="00C21F14" w:rsidRDefault="00C51F90" w:rsidP="00C21F14">
      <w:pPr>
        <w:autoSpaceDE w:val="0"/>
        <w:autoSpaceDN w:val="0"/>
        <w:adjustRightInd w:val="0"/>
        <w:spacing w:after="0" w:line="360" w:lineRule="auto"/>
        <w:jc w:val="both"/>
        <w:rPr>
          <w:rFonts w:asciiTheme="majorBidi" w:hAnsiTheme="majorBidi" w:cstheme="majorBidi"/>
          <w:sz w:val="24"/>
          <w:szCs w:val="24"/>
        </w:rPr>
      </w:pPr>
      <w:r w:rsidRPr="002B538E">
        <w:rPr>
          <w:rFonts w:asciiTheme="majorBidi" w:hAnsiTheme="majorBidi" w:cstheme="majorBidi"/>
          <w:sz w:val="24"/>
          <w:szCs w:val="24"/>
        </w:rPr>
        <w:t>lowest during the study period</w:t>
      </w:r>
      <w:r>
        <w:rPr>
          <w:rFonts w:asciiTheme="majorBidi" w:hAnsiTheme="majorBidi" w:cstheme="majorBidi"/>
          <w:sz w:val="24"/>
          <w:szCs w:val="24"/>
        </w:rPr>
        <w:t xml:space="preserve"> </w:t>
      </w:r>
      <w:r w:rsidRPr="002B538E">
        <w:rPr>
          <w:rFonts w:asciiTheme="majorBidi" w:hAnsiTheme="majorBidi" w:cstheme="majorBidi"/>
          <w:sz w:val="24"/>
          <w:szCs w:val="24"/>
        </w:rPr>
        <w:t>(.4%)</w:t>
      </w:r>
      <w:r w:rsidR="000A27D1">
        <w:rPr>
          <w:rFonts w:asciiTheme="majorBidi" w:hAnsiTheme="majorBidi" w:cstheme="majorBidi"/>
          <w:sz w:val="24"/>
          <w:szCs w:val="24"/>
        </w:rPr>
        <w:t xml:space="preserve"> since</w:t>
      </w:r>
      <w:r w:rsidR="00721FE5">
        <w:rPr>
          <w:rFonts w:asciiTheme="majorBidi" w:hAnsiTheme="majorBidi" w:cstheme="majorBidi"/>
          <w:sz w:val="24"/>
          <w:szCs w:val="24"/>
        </w:rPr>
        <w:t xml:space="preserve"> AlQuds and Alr</w:t>
      </w:r>
      <w:r w:rsidR="00011752" w:rsidRPr="002B538E">
        <w:rPr>
          <w:rFonts w:asciiTheme="majorBidi" w:hAnsiTheme="majorBidi" w:cstheme="majorBidi"/>
          <w:sz w:val="24"/>
          <w:szCs w:val="24"/>
        </w:rPr>
        <w:t>afah banks, had the lowest ROE (-13.56 and -12.47</w:t>
      </w:r>
      <w:r>
        <w:rPr>
          <w:rFonts w:asciiTheme="majorBidi" w:hAnsiTheme="majorBidi" w:cstheme="majorBidi"/>
          <w:sz w:val="24"/>
          <w:szCs w:val="24"/>
        </w:rPr>
        <w:t xml:space="preserve"> respectively) </w:t>
      </w:r>
      <w:r w:rsidR="000A27D1">
        <w:rPr>
          <w:rFonts w:asciiTheme="majorBidi" w:hAnsiTheme="majorBidi" w:cstheme="majorBidi"/>
          <w:sz w:val="24"/>
          <w:szCs w:val="24"/>
        </w:rPr>
        <w:t>in that year</w:t>
      </w:r>
      <w:r w:rsidR="00011752" w:rsidRPr="002B538E">
        <w:rPr>
          <w:rFonts w:asciiTheme="majorBidi" w:hAnsiTheme="majorBidi" w:cstheme="majorBidi"/>
          <w:sz w:val="24"/>
          <w:szCs w:val="24"/>
        </w:rPr>
        <w:t xml:space="preserve"> comparing with</w:t>
      </w:r>
      <w:r w:rsidR="000A27D1">
        <w:rPr>
          <w:rFonts w:asciiTheme="majorBidi" w:hAnsiTheme="majorBidi" w:cstheme="majorBidi"/>
          <w:sz w:val="24"/>
          <w:szCs w:val="24"/>
        </w:rPr>
        <w:t xml:space="preserve"> the other banks as well.</w:t>
      </w:r>
      <w:r w:rsidR="00011752" w:rsidRPr="002B538E">
        <w:rPr>
          <w:rFonts w:asciiTheme="majorBidi" w:hAnsiTheme="majorBidi" w:cstheme="majorBidi"/>
          <w:sz w:val="24"/>
          <w:szCs w:val="24"/>
        </w:rPr>
        <w:t xml:space="preserve"> This was due to the economic downturn, and the uncertainties on</w:t>
      </w:r>
      <w:r w:rsidR="000A27D1">
        <w:rPr>
          <w:rFonts w:asciiTheme="majorBidi" w:hAnsiTheme="majorBidi" w:cstheme="majorBidi"/>
          <w:sz w:val="24"/>
          <w:szCs w:val="24"/>
        </w:rPr>
        <w:t xml:space="preserve"> the E</w:t>
      </w:r>
      <w:r w:rsidR="00D21A5D" w:rsidRPr="002B538E">
        <w:rPr>
          <w:rFonts w:asciiTheme="majorBidi" w:hAnsiTheme="majorBidi" w:cstheme="majorBidi"/>
          <w:sz w:val="24"/>
          <w:szCs w:val="24"/>
        </w:rPr>
        <w:t>quity market which related to unstable of economic and political conditions in</w:t>
      </w:r>
      <w:r w:rsidR="00D21A5D" w:rsidRPr="006D1001">
        <w:rPr>
          <w:rFonts w:asciiTheme="majorBidi" w:hAnsiTheme="majorBidi" w:cstheme="majorBidi"/>
        </w:rPr>
        <w:t xml:space="preserve"> Palestine</w:t>
      </w:r>
      <w:r w:rsidR="00D21A5D" w:rsidRPr="002E1195">
        <w:rPr>
          <w:rFonts w:asciiTheme="majorBidi" w:hAnsiTheme="majorBidi" w:cstheme="majorBidi"/>
          <w:sz w:val="24"/>
          <w:szCs w:val="24"/>
        </w:rPr>
        <w:t xml:space="preserve">. </w:t>
      </w:r>
      <w:r w:rsidR="002E1195">
        <w:rPr>
          <w:rFonts w:asciiTheme="majorBidi" w:hAnsiTheme="majorBidi" w:cstheme="majorBidi"/>
          <w:sz w:val="24"/>
          <w:szCs w:val="24"/>
        </w:rPr>
        <w:t>ROE of more than 15</w:t>
      </w:r>
      <w:r w:rsidR="007659AD" w:rsidRPr="002E1195">
        <w:rPr>
          <w:rFonts w:asciiTheme="majorBidi" w:hAnsiTheme="majorBidi" w:cstheme="majorBidi"/>
          <w:sz w:val="24"/>
          <w:szCs w:val="24"/>
        </w:rPr>
        <w:t>% indicates good performance (Flamini et al, 2009). Therefore</w:t>
      </w:r>
      <w:r w:rsidR="000A27D1">
        <w:rPr>
          <w:rFonts w:asciiTheme="majorBidi" w:hAnsiTheme="majorBidi" w:cstheme="majorBidi"/>
          <w:sz w:val="24"/>
          <w:szCs w:val="24"/>
        </w:rPr>
        <w:t>,</w:t>
      </w:r>
      <w:r w:rsidR="007659AD" w:rsidRPr="002E1195">
        <w:rPr>
          <w:rFonts w:asciiTheme="majorBidi" w:hAnsiTheme="majorBidi" w:cstheme="majorBidi"/>
          <w:sz w:val="24"/>
          <w:szCs w:val="24"/>
        </w:rPr>
        <w:t xml:space="preserve"> this means</w:t>
      </w:r>
      <w:r w:rsidR="000A27D1">
        <w:rPr>
          <w:rFonts w:asciiTheme="majorBidi" w:hAnsiTheme="majorBidi" w:cstheme="majorBidi"/>
          <w:sz w:val="24"/>
          <w:szCs w:val="24"/>
        </w:rPr>
        <w:t xml:space="preserve"> that</w:t>
      </w:r>
      <w:r w:rsidR="007659AD" w:rsidRPr="002E1195">
        <w:rPr>
          <w:rFonts w:asciiTheme="majorBidi" w:hAnsiTheme="majorBidi" w:cstheme="majorBidi"/>
          <w:sz w:val="24"/>
          <w:szCs w:val="24"/>
        </w:rPr>
        <w:t xml:space="preserve"> the performance of the sector was lower than </w:t>
      </w:r>
      <w:r w:rsidR="00011752" w:rsidRPr="002E1195">
        <w:rPr>
          <w:rFonts w:asciiTheme="majorBidi" w:hAnsiTheme="majorBidi" w:cstheme="majorBidi"/>
          <w:sz w:val="24"/>
          <w:szCs w:val="24"/>
        </w:rPr>
        <w:t>international standards and has weak performance despite the decreasing</w:t>
      </w:r>
      <w:r w:rsidR="000A27D1">
        <w:rPr>
          <w:rFonts w:asciiTheme="majorBidi" w:hAnsiTheme="majorBidi" w:cstheme="majorBidi"/>
          <w:sz w:val="24"/>
          <w:szCs w:val="24"/>
        </w:rPr>
        <w:t xml:space="preserve"> rate of N</w:t>
      </w:r>
      <w:r w:rsidR="00D21A5D" w:rsidRPr="002E1195">
        <w:rPr>
          <w:rFonts w:asciiTheme="majorBidi" w:hAnsiTheme="majorBidi" w:cstheme="majorBidi"/>
          <w:sz w:val="24"/>
          <w:szCs w:val="24"/>
        </w:rPr>
        <w:t xml:space="preserve">onperforming loans </w:t>
      </w:r>
      <w:r w:rsidR="00894435" w:rsidRPr="002E1195">
        <w:rPr>
          <w:rFonts w:asciiTheme="majorBidi" w:hAnsiTheme="majorBidi" w:cstheme="majorBidi"/>
          <w:sz w:val="24"/>
          <w:szCs w:val="24"/>
        </w:rPr>
        <w:t>and an increasing rate of</w:t>
      </w:r>
      <w:r w:rsidR="00D21A5D" w:rsidRPr="002E1195">
        <w:rPr>
          <w:rFonts w:asciiTheme="majorBidi" w:hAnsiTheme="majorBidi" w:cstheme="majorBidi"/>
          <w:sz w:val="24"/>
          <w:szCs w:val="24"/>
        </w:rPr>
        <w:t xml:space="preserve"> credit. This decline could be attrib</w:t>
      </w:r>
      <w:r w:rsidR="000A27D1">
        <w:rPr>
          <w:rFonts w:asciiTheme="majorBidi" w:hAnsiTheme="majorBidi" w:cstheme="majorBidi"/>
          <w:sz w:val="24"/>
          <w:szCs w:val="24"/>
        </w:rPr>
        <w:t>uting to the increase</w:t>
      </w:r>
      <w:r w:rsidR="00D174AA">
        <w:rPr>
          <w:rFonts w:asciiTheme="majorBidi" w:hAnsiTheme="majorBidi" w:cstheme="majorBidi"/>
          <w:sz w:val="24"/>
          <w:szCs w:val="24"/>
        </w:rPr>
        <w:t xml:space="preserve"> </w:t>
      </w:r>
      <w:r w:rsidR="000A27D1">
        <w:rPr>
          <w:rFonts w:asciiTheme="majorBidi" w:hAnsiTheme="majorBidi" w:cstheme="majorBidi"/>
          <w:sz w:val="24"/>
          <w:szCs w:val="24"/>
        </w:rPr>
        <w:t>of bank’s E</w:t>
      </w:r>
      <w:r w:rsidR="007720C6" w:rsidRPr="002E1195">
        <w:rPr>
          <w:rFonts w:asciiTheme="majorBidi" w:hAnsiTheme="majorBidi" w:cstheme="majorBidi"/>
          <w:sz w:val="24"/>
          <w:szCs w:val="24"/>
        </w:rPr>
        <w:t>quity</w:t>
      </w:r>
      <w:r w:rsidR="00AD4005">
        <w:rPr>
          <w:rFonts w:asciiTheme="majorBidi" w:hAnsiTheme="majorBidi" w:cstheme="majorBidi"/>
          <w:sz w:val="24"/>
          <w:szCs w:val="24"/>
        </w:rPr>
        <w:t xml:space="preserve"> more than the increase rate of net income</w:t>
      </w:r>
      <w:r w:rsidR="007720C6" w:rsidRPr="002E1195">
        <w:rPr>
          <w:rFonts w:asciiTheme="majorBidi" w:hAnsiTheme="majorBidi" w:cstheme="majorBidi"/>
          <w:sz w:val="24"/>
          <w:szCs w:val="24"/>
        </w:rPr>
        <w:t xml:space="preserve"> for most</w:t>
      </w:r>
      <w:r w:rsidR="00894435" w:rsidRPr="002E1195">
        <w:rPr>
          <w:rFonts w:asciiTheme="majorBidi" w:hAnsiTheme="majorBidi" w:cstheme="majorBidi"/>
          <w:sz w:val="24"/>
          <w:szCs w:val="24"/>
        </w:rPr>
        <w:t xml:space="preserve"> of studied banks, in response to </w:t>
      </w:r>
      <w:r w:rsidR="007720C6" w:rsidRPr="002E1195">
        <w:rPr>
          <w:rFonts w:asciiTheme="majorBidi" w:hAnsiTheme="majorBidi" w:cstheme="majorBidi"/>
          <w:sz w:val="24"/>
          <w:szCs w:val="24"/>
        </w:rPr>
        <w:t>Palestinian Monetary Authority (PMA)</w:t>
      </w:r>
      <w:r w:rsidR="000A27D1">
        <w:rPr>
          <w:rFonts w:asciiTheme="majorBidi" w:hAnsiTheme="majorBidi" w:cstheme="majorBidi"/>
          <w:sz w:val="24"/>
          <w:szCs w:val="24"/>
        </w:rPr>
        <w:t>'s</w:t>
      </w:r>
      <w:r w:rsidR="007720C6" w:rsidRPr="002E1195">
        <w:rPr>
          <w:rFonts w:asciiTheme="majorBidi" w:hAnsiTheme="majorBidi" w:cstheme="majorBidi"/>
          <w:sz w:val="24"/>
          <w:szCs w:val="24"/>
        </w:rPr>
        <w:t xml:space="preserve"> instructions for commercial banks to raise their Capital base to</w:t>
      </w:r>
      <w:r w:rsidR="00894435" w:rsidRPr="002E1195">
        <w:rPr>
          <w:rFonts w:asciiTheme="majorBidi" w:hAnsiTheme="majorBidi" w:cstheme="majorBidi"/>
          <w:sz w:val="24"/>
          <w:szCs w:val="24"/>
        </w:rPr>
        <w:t xml:space="preserve"> minimum</w:t>
      </w:r>
      <w:r w:rsidR="007720C6" w:rsidRPr="002E1195">
        <w:rPr>
          <w:rFonts w:asciiTheme="majorBidi" w:hAnsiTheme="majorBidi" w:cstheme="majorBidi"/>
          <w:sz w:val="24"/>
          <w:szCs w:val="24"/>
        </w:rPr>
        <w:t xml:space="preserve"> fifty</w:t>
      </w:r>
      <w:r w:rsidR="007720C6" w:rsidRPr="00160D2E">
        <w:rPr>
          <w:rFonts w:asciiTheme="majorBidi" w:hAnsiTheme="majorBidi" w:cstheme="majorBidi"/>
          <w:sz w:val="24"/>
          <w:szCs w:val="24"/>
        </w:rPr>
        <w:t xml:space="preserve"> million USD dollars.</w:t>
      </w:r>
      <w:r w:rsidR="00D21A5D" w:rsidRPr="00160D2E">
        <w:rPr>
          <w:rFonts w:asciiTheme="majorBidi" w:hAnsiTheme="majorBidi" w:cstheme="majorBidi"/>
          <w:sz w:val="24"/>
          <w:szCs w:val="24"/>
        </w:rPr>
        <w:t xml:space="preserve"> It should be noted that bank of Palestine (PLC) is the largest bank among the rest, and achieved the best performance (the mean of ROE during the whole period is 22.7%).</w:t>
      </w:r>
      <w:r w:rsidR="00160D2E" w:rsidRPr="00160D2E">
        <w:rPr>
          <w:rFonts w:asciiTheme="majorBidi" w:hAnsiTheme="majorBidi" w:cstheme="majorBidi"/>
          <w:sz w:val="24"/>
          <w:szCs w:val="24"/>
        </w:rPr>
        <w:t xml:space="preserve"> It depicts that the larger banks are better placed than smaller banks in harnessing economies of scale in transactions to the plain effect that they will tend to enjoy a higher level of profits.</w:t>
      </w:r>
    </w:p>
    <w:p w:rsidR="00FC129E" w:rsidRPr="001C7647" w:rsidRDefault="00417132" w:rsidP="001C7647">
      <w:pPr>
        <w:jc w:val="center"/>
        <w:rPr>
          <w:rFonts w:asciiTheme="majorBidi" w:hAnsiTheme="majorBidi" w:cstheme="majorBidi"/>
          <w:b/>
          <w:bCs/>
        </w:rPr>
      </w:pPr>
      <w:r>
        <w:rPr>
          <w:rFonts w:asciiTheme="majorBidi" w:hAnsiTheme="majorBidi" w:cstheme="majorBidi"/>
          <w:b/>
          <w:bCs/>
        </w:rPr>
        <w:t>Table 4.14</w:t>
      </w:r>
      <w:r w:rsidR="00FC129E" w:rsidRPr="001C7647">
        <w:rPr>
          <w:rFonts w:asciiTheme="majorBidi" w:hAnsiTheme="majorBidi" w:cstheme="majorBidi"/>
          <w:b/>
          <w:bCs/>
        </w:rPr>
        <w:t>: The annual values and mean scores (%) of profitability (ROE) from 2005 to 2011</w:t>
      </w:r>
    </w:p>
    <w:tbl>
      <w:tblPr>
        <w:tblStyle w:val="TableGrid"/>
        <w:tblpPr w:leftFromText="180" w:rightFromText="180" w:vertAnchor="text" w:horzAnchor="margin" w:tblpXSpec="center" w:tblpY="104"/>
        <w:tblW w:w="0" w:type="auto"/>
        <w:shd w:val="clear" w:color="auto" w:fill="002060"/>
        <w:tblLook w:val="04A0"/>
      </w:tblPr>
      <w:tblGrid>
        <w:gridCol w:w="2802"/>
        <w:gridCol w:w="856"/>
        <w:gridCol w:w="843"/>
        <w:gridCol w:w="8"/>
        <w:gridCol w:w="713"/>
        <w:gridCol w:w="801"/>
        <w:gridCol w:w="13"/>
        <w:gridCol w:w="891"/>
        <w:gridCol w:w="842"/>
        <w:gridCol w:w="9"/>
        <w:gridCol w:w="709"/>
      </w:tblGrid>
      <w:tr w:rsidR="00FC129E" w:rsidTr="00EC74E9">
        <w:tc>
          <w:tcPr>
            <w:tcW w:w="2802" w:type="dxa"/>
            <w:shd w:val="clear" w:color="auto" w:fill="002060"/>
          </w:tcPr>
          <w:p w:rsidR="00FC129E" w:rsidRDefault="00FC129E" w:rsidP="00395657"/>
        </w:tc>
        <w:tc>
          <w:tcPr>
            <w:tcW w:w="852" w:type="dxa"/>
            <w:shd w:val="clear" w:color="auto" w:fill="002060"/>
          </w:tcPr>
          <w:p w:rsidR="00FC129E" w:rsidRPr="00974429" w:rsidRDefault="00FC129E" w:rsidP="00395657">
            <w:pPr>
              <w:rPr>
                <w:b/>
                <w:bCs/>
              </w:rPr>
            </w:pPr>
            <w:r w:rsidRPr="00974429">
              <w:rPr>
                <w:b/>
                <w:bCs/>
              </w:rPr>
              <w:t>2005</w:t>
            </w:r>
          </w:p>
        </w:tc>
        <w:tc>
          <w:tcPr>
            <w:tcW w:w="851" w:type="dxa"/>
            <w:gridSpan w:val="2"/>
            <w:shd w:val="clear" w:color="auto" w:fill="002060"/>
          </w:tcPr>
          <w:p w:rsidR="00FC129E" w:rsidRPr="00974429" w:rsidRDefault="00FC129E" w:rsidP="00395657">
            <w:pPr>
              <w:rPr>
                <w:b/>
                <w:bCs/>
              </w:rPr>
            </w:pPr>
            <w:r w:rsidRPr="00974429">
              <w:rPr>
                <w:b/>
                <w:bCs/>
              </w:rPr>
              <w:t>2006</w:t>
            </w:r>
          </w:p>
        </w:tc>
        <w:tc>
          <w:tcPr>
            <w:tcW w:w="708" w:type="dxa"/>
            <w:shd w:val="clear" w:color="auto" w:fill="002060"/>
          </w:tcPr>
          <w:p w:rsidR="00FC129E" w:rsidRPr="00974429" w:rsidRDefault="00FC129E" w:rsidP="00395657">
            <w:pPr>
              <w:rPr>
                <w:b/>
                <w:bCs/>
              </w:rPr>
            </w:pPr>
            <w:r w:rsidRPr="00974429">
              <w:rPr>
                <w:b/>
                <w:bCs/>
              </w:rPr>
              <w:t>2007</w:t>
            </w:r>
          </w:p>
        </w:tc>
        <w:tc>
          <w:tcPr>
            <w:tcW w:w="814" w:type="dxa"/>
            <w:gridSpan w:val="2"/>
            <w:shd w:val="clear" w:color="auto" w:fill="002060"/>
          </w:tcPr>
          <w:p w:rsidR="00FC129E" w:rsidRPr="00974429" w:rsidRDefault="00FC129E" w:rsidP="00395657">
            <w:pPr>
              <w:rPr>
                <w:b/>
                <w:bCs/>
              </w:rPr>
            </w:pPr>
            <w:r w:rsidRPr="00974429">
              <w:rPr>
                <w:b/>
                <w:bCs/>
              </w:rPr>
              <w:t>2008</w:t>
            </w:r>
          </w:p>
        </w:tc>
        <w:tc>
          <w:tcPr>
            <w:tcW w:w="891" w:type="dxa"/>
            <w:shd w:val="clear" w:color="auto" w:fill="002060"/>
          </w:tcPr>
          <w:p w:rsidR="00FC129E" w:rsidRPr="00974429" w:rsidRDefault="00FC129E" w:rsidP="00395657">
            <w:pPr>
              <w:rPr>
                <w:b/>
                <w:bCs/>
              </w:rPr>
            </w:pPr>
            <w:r w:rsidRPr="00974429">
              <w:rPr>
                <w:b/>
                <w:bCs/>
              </w:rPr>
              <w:t>2009</w:t>
            </w:r>
          </w:p>
        </w:tc>
        <w:tc>
          <w:tcPr>
            <w:tcW w:w="851" w:type="dxa"/>
            <w:gridSpan w:val="2"/>
            <w:shd w:val="clear" w:color="auto" w:fill="002060"/>
          </w:tcPr>
          <w:p w:rsidR="00FC129E" w:rsidRPr="00974429" w:rsidRDefault="00FC129E" w:rsidP="00395657">
            <w:pPr>
              <w:rPr>
                <w:b/>
                <w:bCs/>
              </w:rPr>
            </w:pPr>
            <w:r w:rsidRPr="00974429">
              <w:rPr>
                <w:b/>
                <w:bCs/>
              </w:rPr>
              <w:t>2010</w:t>
            </w:r>
          </w:p>
        </w:tc>
        <w:tc>
          <w:tcPr>
            <w:tcW w:w="709" w:type="dxa"/>
            <w:shd w:val="clear" w:color="auto" w:fill="002060"/>
          </w:tcPr>
          <w:p w:rsidR="00FC129E" w:rsidRPr="00974429" w:rsidRDefault="00FC129E" w:rsidP="00395657">
            <w:pPr>
              <w:rPr>
                <w:b/>
                <w:bCs/>
              </w:rPr>
            </w:pPr>
            <w:r w:rsidRPr="00974429">
              <w:rPr>
                <w:b/>
                <w:bCs/>
              </w:rPr>
              <w:t xml:space="preserve">2011    </w:t>
            </w:r>
          </w:p>
        </w:tc>
      </w:tr>
      <w:tr w:rsidR="00FC129E" w:rsidTr="00EC74E9">
        <w:tc>
          <w:tcPr>
            <w:tcW w:w="2802" w:type="dxa"/>
            <w:shd w:val="clear" w:color="auto" w:fill="002060"/>
          </w:tcPr>
          <w:p w:rsidR="00FC129E" w:rsidRPr="00974429" w:rsidRDefault="00FC129E" w:rsidP="00395657">
            <w:pPr>
              <w:rPr>
                <w:b/>
                <w:bCs/>
                <w:sz w:val="20"/>
                <w:szCs w:val="20"/>
              </w:rPr>
            </w:pPr>
            <w:r w:rsidRPr="00974429">
              <w:rPr>
                <w:b/>
                <w:bCs/>
                <w:sz w:val="20"/>
                <w:szCs w:val="20"/>
              </w:rPr>
              <w:t xml:space="preserve">          Bank of Palestine</w:t>
            </w:r>
          </w:p>
        </w:tc>
        <w:tc>
          <w:tcPr>
            <w:tcW w:w="852" w:type="dxa"/>
            <w:shd w:val="clear" w:color="auto" w:fill="002060"/>
          </w:tcPr>
          <w:p w:rsidR="00FC129E" w:rsidRPr="00974429" w:rsidRDefault="00FC129E" w:rsidP="00395657">
            <w:pPr>
              <w:jc w:val="center"/>
              <w:rPr>
                <w:b/>
                <w:bCs/>
                <w:sz w:val="20"/>
                <w:szCs w:val="20"/>
              </w:rPr>
            </w:pPr>
            <w:r>
              <w:rPr>
                <w:b/>
                <w:bCs/>
                <w:sz w:val="20"/>
                <w:szCs w:val="20"/>
              </w:rPr>
              <w:t>33.6</w:t>
            </w:r>
          </w:p>
        </w:tc>
        <w:tc>
          <w:tcPr>
            <w:tcW w:w="851" w:type="dxa"/>
            <w:gridSpan w:val="2"/>
            <w:shd w:val="clear" w:color="auto" w:fill="002060"/>
          </w:tcPr>
          <w:p w:rsidR="00FC129E" w:rsidRPr="00974429" w:rsidRDefault="00FC129E" w:rsidP="00395657">
            <w:pPr>
              <w:jc w:val="center"/>
              <w:rPr>
                <w:b/>
                <w:bCs/>
                <w:sz w:val="20"/>
                <w:szCs w:val="20"/>
              </w:rPr>
            </w:pPr>
            <w:r w:rsidRPr="00974429">
              <w:rPr>
                <w:b/>
                <w:bCs/>
                <w:sz w:val="20"/>
                <w:szCs w:val="20"/>
              </w:rPr>
              <w:t>2</w:t>
            </w:r>
            <w:r>
              <w:rPr>
                <w:b/>
                <w:bCs/>
                <w:sz w:val="20"/>
                <w:szCs w:val="20"/>
              </w:rPr>
              <w:t>4.74</w:t>
            </w:r>
          </w:p>
        </w:tc>
        <w:tc>
          <w:tcPr>
            <w:tcW w:w="708" w:type="dxa"/>
            <w:shd w:val="clear" w:color="auto" w:fill="002060"/>
          </w:tcPr>
          <w:p w:rsidR="00FC129E" w:rsidRPr="00974429" w:rsidRDefault="00FC129E" w:rsidP="00395657">
            <w:pPr>
              <w:jc w:val="center"/>
              <w:rPr>
                <w:b/>
                <w:bCs/>
                <w:sz w:val="20"/>
                <w:szCs w:val="20"/>
              </w:rPr>
            </w:pPr>
            <w:r w:rsidRPr="00974429">
              <w:rPr>
                <w:b/>
                <w:bCs/>
                <w:sz w:val="20"/>
                <w:szCs w:val="20"/>
              </w:rPr>
              <w:t>2</w:t>
            </w:r>
            <w:r>
              <w:rPr>
                <w:b/>
                <w:bCs/>
                <w:sz w:val="20"/>
                <w:szCs w:val="20"/>
              </w:rPr>
              <w:t>2.8</w:t>
            </w:r>
          </w:p>
        </w:tc>
        <w:tc>
          <w:tcPr>
            <w:tcW w:w="814" w:type="dxa"/>
            <w:gridSpan w:val="2"/>
            <w:shd w:val="clear" w:color="auto" w:fill="002060"/>
          </w:tcPr>
          <w:p w:rsidR="00FC129E" w:rsidRPr="00974429" w:rsidRDefault="00FC129E" w:rsidP="00395657">
            <w:pPr>
              <w:jc w:val="center"/>
              <w:rPr>
                <w:b/>
                <w:bCs/>
                <w:sz w:val="20"/>
                <w:szCs w:val="20"/>
              </w:rPr>
            </w:pPr>
            <w:r>
              <w:rPr>
                <w:b/>
                <w:bCs/>
                <w:sz w:val="20"/>
                <w:szCs w:val="20"/>
              </w:rPr>
              <w:t>19.17</w:t>
            </w:r>
          </w:p>
        </w:tc>
        <w:tc>
          <w:tcPr>
            <w:tcW w:w="891" w:type="dxa"/>
            <w:shd w:val="clear" w:color="auto" w:fill="002060"/>
          </w:tcPr>
          <w:p w:rsidR="00FC129E" w:rsidRPr="00974429" w:rsidRDefault="00FC129E" w:rsidP="00395657">
            <w:pPr>
              <w:jc w:val="center"/>
              <w:rPr>
                <w:b/>
                <w:bCs/>
                <w:sz w:val="20"/>
                <w:szCs w:val="20"/>
              </w:rPr>
            </w:pPr>
            <w:r>
              <w:rPr>
                <w:b/>
                <w:bCs/>
                <w:sz w:val="20"/>
                <w:szCs w:val="20"/>
              </w:rPr>
              <w:t>17.9</w:t>
            </w:r>
          </w:p>
        </w:tc>
        <w:tc>
          <w:tcPr>
            <w:tcW w:w="851" w:type="dxa"/>
            <w:gridSpan w:val="2"/>
            <w:shd w:val="clear" w:color="auto" w:fill="002060"/>
          </w:tcPr>
          <w:p w:rsidR="00FC129E" w:rsidRPr="00974429" w:rsidRDefault="00FC129E" w:rsidP="00395657">
            <w:pPr>
              <w:jc w:val="center"/>
              <w:rPr>
                <w:b/>
                <w:bCs/>
                <w:sz w:val="20"/>
                <w:szCs w:val="20"/>
              </w:rPr>
            </w:pPr>
            <w:r w:rsidRPr="00974429">
              <w:rPr>
                <w:b/>
                <w:bCs/>
                <w:sz w:val="20"/>
                <w:szCs w:val="20"/>
              </w:rPr>
              <w:t>1</w:t>
            </w:r>
            <w:r>
              <w:rPr>
                <w:b/>
                <w:bCs/>
                <w:sz w:val="20"/>
                <w:szCs w:val="20"/>
              </w:rPr>
              <w:t>8.4</w:t>
            </w:r>
          </w:p>
        </w:tc>
        <w:tc>
          <w:tcPr>
            <w:tcW w:w="709" w:type="dxa"/>
            <w:shd w:val="clear" w:color="auto" w:fill="002060"/>
          </w:tcPr>
          <w:p w:rsidR="00FC129E" w:rsidRPr="00974429" w:rsidRDefault="00FC129E" w:rsidP="00395657">
            <w:pPr>
              <w:rPr>
                <w:b/>
                <w:bCs/>
                <w:sz w:val="20"/>
                <w:szCs w:val="20"/>
              </w:rPr>
            </w:pPr>
            <w:r>
              <w:rPr>
                <w:b/>
                <w:bCs/>
                <w:sz w:val="20"/>
                <w:szCs w:val="20"/>
              </w:rPr>
              <w:t>17.5</w:t>
            </w:r>
          </w:p>
        </w:tc>
      </w:tr>
      <w:tr w:rsidR="00FC129E" w:rsidTr="00EC74E9">
        <w:tc>
          <w:tcPr>
            <w:tcW w:w="2802" w:type="dxa"/>
            <w:shd w:val="clear" w:color="auto" w:fill="002060"/>
          </w:tcPr>
          <w:p w:rsidR="00FC129E" w:rsidRPr="00974429" w:rsidRDefault="00FC129E" w:rsidP="00395657">
            <w:pPr>
              <w:jc w:val="center"/>
              <w:rPr>
                <w:b/>
                <w:bCs/>
                <w:sz w:val="20"/>
                <w:szCs w:val="20"/>
              </w:rPr>
            </w:pPr>
            <w:r w:rsidRPr="00974429">
              <w:rPr>
                <w:b/>
                <w:bCs/>
                <w:sz w:val="20"/>
                <w:szCs w:val="20"/>
              </w:rPr>
              <w:t>ALquds bank</w:t>
            </w:r>
          </w:p>
        </w:tc>
        <w:tc>
          <w:tcPr>
            <w:tcW w:w="852" w:type="dxa"/>
            <w:shd w:val="clear" w:color="auto" w:fill="002060"/>
          </w:tcPr>
          <w:p w:rsidR="00FC129E" w:rsidRPr="00974429" w:rsidRDefault="00FC129E" w:rsidP="00395657">
            <w:pPr>
              <w:jc w:val="center"/>
              <w:rPr>
                <w:b/>
                <w:bCs/>
                <w:sz w:val="20"/>
                <w:szCs w:val="20"/>
              </w:rPr>
            </w:pPr>
            <w:r>
              <w:rPr>
                <w:b/>
                <w:bCs/>
                <w:sz w:val="20"/>
                <w:szCs w:val="20"/>
              </w:rPr>
              <w:t>2.8</w:t>
            </w:r>
          </w:p>
        </w:tc>
        <w:tc>
          <w:tcPr>
            <w:tcW w:w="851" w:type="dxa"/>
            <w:gridSpan w:val="2"/>
            <w:shd w:val="clear" w:color="auto" w:fill="002060"/>
          </w:tcPr>
          <w:p w:rsidR="00FC129E" w:rsidRPr="00974429" w:rsidRDefault="00FC129E" w:rsidP="00395657">
            <w:pPr>
              <w:jc w:val="center"/>
              <w:rPr>
                <w:b/>
                <w:bCs/>
                <w:sz w:val="20"/>
                <w:szCs w:val="20"/>
              </w:rPr>
            </w:pPr>
            <w:r>
              <w:rPr>
                <w:b/>
                <w:bCs/>
                <w:sz w:val="20"/>
                <w:szCs w:val="20"/>
              </w:rPr>
              <w:t>-3.9</w:t>
            </w:r>
          </w:p>
        </w:tc>
        <w:tc>
          <w:tcPr>
            <w:tcW w:w="708" w:type="dxa"/>
            <w:shd w:val="clear" w:color="auto" w:fill="002060"/>
          </w:tcPr>
          <w:p w:rsidR="00FC129E" w:rsidRPr="00974429" w:rsidRDefault="00FC129E" w:rsidP="00395657">
            <w:pPr>
              <w:jc w:val="center"/>
              <w:rPr>
                <w:b/>
                <w:bCs/>
                <w:sz w:val="20"/>
                <w:szCs w:val="20"/>
              </w:rPr>
            </w:pPr>
            <w:r>
              <w:rPr>
                <w:b/>
                <w:bCs/>
                <w:sz w:val="20"/>
                <w:szCs w:val="20"/>
              </w:rPr>
              <w:t>2.1</w:t>
            </w:r>
          </w:p>
        </w:tc>
        <w:tc>
          <w:tcPr>
            <w:tcW w:w="814" w:type="dxa"/>
            <w:gridSpan w:val="2"/>
            <w:shd w:val="clear" w:color="auto" w:fill="002060"/>
          </w:tcPr>
          <w:p w:rsidR="00FC129E" w:rsidRPr="00974429" w:rsidRDefault="00FC129E" w:rsidP="00395657">
            <w:pPr>
              <w:jc w:val="center"/>
              <w:rPr>
                <w:b/>
                <w:bCs/>
                <w:sz w:val="20"/>
                <w:szCs w:val="20"/>
              </w:rPr>
            </w:pPr>
            <w:r w:rsidRPr="00974429">
              <w:rPr>
                <w:b/>
                <w:bCs/>
                <w:sz w:val="20"/>
                <w:szCs w:val="20"/>
              </w:rPr>
              <w:t>-</w:t>
            </w:r>
            <w:r>
              <w:rPr>
                <w:b/>
                <w:bCs/>
                <w:sz w:val="20"/>
                <w:szCs w:val="20"/>
              </w:rPr>
              <w:t>13.59</w:t>
            </w:r>
          </w:p>
        </w:tc>
        <w:tc>
          <w:tcPr>
            <w:tcW w:w="891" w:type="dxa"/>
            <w:shd w:val="clear" w:color="auto" w:fill="002060"/>
          </w:tcPr>
          <w:p w:rsidR="00FC129E" w:rsidRPr="00974429" w:rsidRDefault="00FC129E" w:rsidP="00395657">
            <w:pPr>
              <w:jc w:val="center"/>
              <w:rPr>
                <w:b/>
                <w:bCs/>
                <w:sz w:val="20"/>
                <w:szCs w:val="20"/>
              </w:rPr>
            </w:pPr>
            <w:r>
              <w:rPr>
                <w:b/>
                <w:bCs/>
                <w:sz w:val="20"/>
                <w:szCs w:val="20"/>
              </w:rPr>
              <w:t>5.7</w:t>
            </w:r>
          </w:p>
        </w:tc>
        <w:tc>
          <w:tcPr>
            <w:tcW w:w="851" w:type="dxa"/>
            <w:gridSpan w:val="2"/>
            <w:shd w:val="clear" w:color="auto" w:fill="002060"/>
          </w:tcPr>
          <w:p w:rsidR="00FC129E" w:rsidRPr="00974429" w:rsidRDefault="00FC129E" w:rsidP="00395657">
            <w:pPr>
              <w:jc w:val="center"/>
              <w:rPr>
                <w:b/>
                <w:bCs/>
                <w:sz w:val="20"/>
                <w:szCs w:val="20"/>
              </w:rPr>
            </w:pPr>
            <w:r>
              <w:rPr>
                <w:b/>
                <w:bCs/>
                <w:sz w:val="20"/>
                <w:szCs w:val="20"/>
              </w:rPr>
              <w:t>8.7</w:t>
            </w:r>
          </w:p>
        </w:tc>
        <w:tc>
          <w:tcPr>
            <w:tcW w:w="709" w:type="dxa"/>
            <w:shd w:val="clear" w:color="auto" w:fill="002060"/>
          </w:tcPr>
          <w:p w:rsidR="00FC129E" w:rsidRPr="00974429" w:rsidRDefault="00FC129E" w:rsidP="00395657">
            <w:pPr>
              <w:rPr>
                <w:b/>
                <w:bCs/>
                <w:sz w:val="20"/>
                <w:szCs w:val="20"/>
              </w:rPr>
            </w:pPr>
            <w:r>
              <w:rPr>
                <w:b/>
                <w:bCs/>
                <w:sz w:val="20"/>
                <w:szCs w:val="20"/>
              </w:rPr>
              <w:t>8.4</w:t>
            </w:r>
          </w:p>
        </w:tc>
      </w:tr>
      <w:tr w:rsidR="00FC129E" w:rsidTr="00EC74E9">
        <w:tc>
          <w:tcPr>
            <w:tcW w:w="2802" w:type="dxa"/>
            <w:shd w:val="clear" w:color="auto" w:fill="002060"/>
          </w:tcPr>
          <w:p w:rsidR="00FC129E" w:rsidRPr="00974429" w:rsidRDefault="00FC129E" w:rsidP="00395657">
            <w:pPr>
              <w:jc w:val="center"/>
              <w:rPr>
                <w:b/>
                <w:bCs/>
                <w:sz w:val="20"/>
                <w:szCs w:val="20"/>
              </w:rPr>
            </w:pPr>
            <w:r w:rsidRPr="00974429">
              <w:rPr>
                <w:b/>
                <w:bCs/>
                <w:sz w:val="20"/>
                <w:szCs w:val="20"/>
              </w:rPr>
              <w:t>Palestinian Investment bank</w:t>
            </w:r>
          </w:p>
        </w:tc>
        <w:tc>
          <w:tcPr>
            <w:tcW w:w="852" w:type="dxa"/>
            <w:shd w:val="clear" w:color="auto" w:fill="002060"/>
          </w:tcPr>
          <w:p w:rsidR="00FC129E" w:rsidRPr="00974429" w:rsidRDefault="00FC129E" w:rsidP="00395657">
            <w:pPr>
              <w:jc w:val="center"/>
              <w:rPr>
                <w:b/>
                <w:bCs/>
                <w:sz w:val="20"/>
                <w:szCs w:val="20"/>
              </w:rPr>
            </w:pPr>
            <w:r>
              <w:rPr>
                <w:b/>
                <w:bCs/>
                <w:sz w:val="20"/>
                <w:szCs w:val="20"/>
              </w:rPr>
              <w:t>50</w:t>
            </w:r>
          </w:p>
        </w:tc>
        <w:tc>
          <w:tcPr>
            <w:tcW w:w="851" w:type="dxa"/>
            <w:gridSpan w:val="2"/>
            <w:shd w:val="clear" w:color="auto" w:fill="002060"/>
          </w:tcPr>
          <w:p w:rsidR="00FC129E" w:rsidRPr="00974429" w:rsidRDefault="00FC129E" w:rsidP="00395657">
            <w:pPr>
              <w:jc w:val="center"/>
              <w:rPr>
                <w:b/>
                <w:bCs/>
                <w:sz w:val="20"/>
                <w:szCs w:val="20"/>
              </w:rPr>
            </w:pPr>
            <w:r>
              <w:rPr>
                <w:b/>
                <w:bCs/>
                <w:sz w:val="20"/>
                <w:szCs w:val="20"/>
              </w:rPr>
              <w:t>6.44</w:t>
            </w:r>
          </w:p>
        </w:tc>
        <w:tc>
          <w:tcPr>
            <w:tcW w:w="708" w:type="dxa"/>
            <w:shd w:val="clear" w:color="auto" w:fill="002060"/>
          </w:tcPr>
          <w:p w:rsidR="00FC129E" w:rsidRPr="00974429" w:rsidRDefault="00FC129E" w:rsidP="00395657">
            <w:pPr>
              <w:jc w:val="center"/>
              <w:rPr>
                <w:b/>
                <w:bCs/>
                <w:sz w:val="20"/>
                <w:szCs w:val="20"/>
              </w:rPr>
            </w:pPr>
            <w:r>
              <w:rPr>
                <w:b/>
                <w:bCs/>
                <w:sz w:val="20"/>
                <w:szCs w:val="20"/>
              </w:rPr>
              <w:t>6.82</w:t>
            </w:r>
          </w:p>
        </w:tc>
        <w:tc>
          <w:tcPr>
            <w:tcW w:w="814" w:type="dxa"/>
            <w:gridSpan w:val="2"/>
            <w:shd w:val="clear" w:color="auto" w:fill="002060"/>
          </w:tcPr>
          <w:p w:rsidR="00FC129E" w:rsidRPr="00974429" w:rsidRDefault="00FC129E" w:rsidP="00395657">
            <w:pPr>
              <w:jc w:val="center"/>
              <w:rPr>
                <w:b/>
                <w:bCs/>
                <w:sz w:val="20"/>
                <w:szCs w:val="20"/>
              </w:rPr>
            </w:pPr>
            <w:r>
              <w:rPr>
                <w:b/>
                <w:bCs/>
                <w:sz w:val="20"/>
                <w:szCs w:val="20"/>
              </w:rPr>
              <w:t>4.8</w:t>
            </w:r>
          </w:p>
        </w:tc>
        <w:tc>
          <w:tcPr>
            <w:tcW w:w="891" w:type="dxa"/>
            <w:shd w:val="clear" w:color="auto" w:fill="002060"/>
          </w:tcPr>
          <w:p w:rsidR="00FC129E" w:rsidRPr="00974429" w:rsidRDefault="00FC129E" w:rsidP="00395657">
            <w:pPr>
              <w:jc w:val="center"/>
              <w:rPr>
                <w:b/>
                <w:bCs/>
                <w:sz w:val="20"/>
                <w:szCs w:val="20"/>
              </w:rPr>
            </w:pPr>
            <w:r>
              <w:rPr>
                <w:b/>
                <w:bCs/>
                <w:sz w:val="20"/>
                <w:szCs w:val="20"/>
              </w:rPr>
              <w:t>4.8</w:t>
            </w:r>
          </w:p>
        </w:tc>
        <w:tc>
          <w:tcPr>
            <w:tcW w:w="851" w:type="dxa"/>
            <w:gridSpan w:val="2"/>
            <w:shd w:val="clear" w:color="auto" w:fill="002060"/>
          </w:tcPr>
          <w:p w:rsidR="00FC129E" w:rsidRPr="00974429" w:rsidRDefault="00FC129E" w:rsidP="00395657">
            <w:pPr>
              <w:jc w:val="center"/>
              <w:rPr>
                <w:b/>
                <w:bCs/>
                <w:sz w:val="20"/>
                <w:szCs w:val="20"/>
              </w:rPr>
            </w:pPr>
            <w:r>
              <w:rPr>
                <w:b/>
                <w:bCs/>
                <w:sz w:val="20"/>
                <w:szCs w:val="20"/>
              </w:rPr>
              <w:t>2.5</w:t>
            </w:r>
          </w:p>
        </w:tc>
        <w:tc>
          <w:tcPr>
            <w:tcW w:w="709" w:type="dxa"/>
            <w:shd w:val="clear" w:color="auto" w:fill="002060"/>
          </w:tcPr>
          <w:p w:rsidR="00FC129E" w:rsidRPr="00974429" w:rsidRDefault="00FC129E" w:rsidP="00395657">
            <w:pPr>
              <w:rPr>
                <w:b/>
                <w:bCs/>
                <w:sz w:val="20"/>
                <w:szCs w:val="20"/>
              </w:rPr>
            </w:pPr>
            <w:r>
              <w:rPr>
                <w:b/>
                <w:bCs/>
                <w:sz w:val="20"/>
                <w:szCs w:val="20"/>
              </w:rPr>
              <w:t>4</w:t>
            </w:r>
          </w:p>
        </w:tc>
      </w:tr>
      <w:tr w:rsidR="00FC129E" w:rsidTr="00EC74E9">
        <w:tc>
          <w:tcPr>
            <w:tcW w:w="2802" w:type="dxa"/>
            <w:shd w:val="clear" w:color="auto" w:fill="002060"/>
          </w:tcPr>
          <w:p w:rsidR="00FC129E" w:rsidRPr="00974429" w:rsidRDefault="00FC129E" w:rsidP="00395657">
            <w:pPr>
              <w:jc w:val="center"/>
              <w:rPr>
                <w:b/>
                <w:bCs/>
                <w:sz w:val="20"/>
                <w:szCs w:val="20"/>
              </w:rPr>
            </w:pPr>
            <w:r w:rsidRPr="00974429">
              <w:rPr>
                <w:b/>
                <w:bCs/>
                <w:sz w:val="20"/>
                <w:szCs w:val="20"/>
              </w:rPr>
              <w:t>Palestinian Commercial bank</w:t>
            </w:r>
          </w:p>
        </w:tc>
        <w:tc>
          <w:tcPr>
            <w:tcW w:w="852" w:type="dxa"/>
            <w:shd w:val="clear" w:color="auto" w:fill="002060"/>
          </w:tcPr>
          <w:p w:rsidR="00FC129E" w:rsidRPr="00974429" w:rsidRDefault="00FC129E" w:rsidP="00395657">
            <w:pPr>
              <w:jc w:val="center"/>
              <w:rPr>
                <w:b/>
                <w:bCs/>
                <w:sz w:val="20"/>
                <w:szCs w:val="20"/>
              </w:rPr>
            </w:pPr>
            <w:r>
              <w:rPr>
                <w:b/>
                <w:bCs/>
                <w:sz w:val="20"/>
                <w:szCs w:val="20"/>
              </w:rPr>
              <w:t>7.5</w:t>
            </w:r>
          </w:p>
        </w:tc>
        <w:tc>
          <w:tcPr>
            <w:tcW w:w="851" w:type="dxa"/>
            <w:gridSpan w:val="2"/>
            <w:shd w:val="clear" w:color="auto" w:fill="002060"/>
          </w:tcPr>
          <w:p w:rsidR="00FC129E" w:rsidRPr="00974429" w:rsidRDefault="00FC129E" w:rsidP="00395657">
            <w:pPr>
              <w:jc w:val="center"/>
              <w:rPr>
                <w:b/>
                <w:bCs/>
                <w:sz w:val="20"/>
                <w:szCs w:val="20"/>
              </w:rPr>
            </w:pPr>
            <w:r w:rsidRPr="00974429">
              <w:rPr>
                <w:b/>
                <w:bCs/>
                <w:sz w:val="20"/>
                <w:szCs w:val="20"/>
              </w:rPr>
              <w:t>-</w:t>
            </w:r>
            <w:r>
              <w:rPr>
                <w:b/>
                <w:bCs/>
                <w:sz w:val="20"/>
                <w:szCs w:val="20"/>
              </w:rPr>
              <w:t>2.1</w:t>
            </w:r>
          </w:p>
        </w:tc>
        <w:tc>
          <w:tcPr>
            <w:tcW w:w="708" w:type="dxa"/>
            <w:shd w:val="clear" w:color="auto" w:fill="002060"/>
          </w:tcPr>
          <w:p w:rsidR="00FC129E" w:rsidRPr="00974429" w:rsidRDefault="00FC129E" w:rsidP="00395657">
            <w:pPr>
              <w:jc w:val="center"/>
              <w:rPr>
                <w:b/>
                <w:bCs/>
                <w:sz w:val="20"/>
                <w:szCs w:val="20"/>
              </w:rPr>
            </w:pPr>
            <w:r w:rsidRPr="00974429">
              <w:rPr>
                <w:b/>
                <w:bCs/>
                <w:sz w:val="20"/>
                <w:szCs w:val="20"/>
              </w:rPr>
              <w:t>0.</w:t>
            </w:r>
            <w:r>
              <w:rPr>
                <w:b/>
                <w:bCs/>
                <w:sz w:val="20"/>
                <w:szCs w:val="20"/>
              </w:rPr>
              <w:t>39</w:t>
            </w:r>
          </w:p>
        </w:tc>
        <w:tc>
          <w:tcPr>
            <w:tcW w:w="814" w:type="dxa"/>
            <w:gridSpan w:val="2"/>
            <w:shd w:val="clear" w:color="auto" w:fill="002060"/>
          </w:tcPr>
          <w:p w:rsidR="00FC129E" w:rsidRPr="00974429" w:rsidRDefault="00FC129E" w:rsidP="00395657">
            <w:pPr>
              <w:jc w:val="center"/>
              <w:rPr>
                <w:b/>
                <w:bCs/>
                <w:sz w:val="20"/>
                <w:szCs w:val="20"/>
              </w:rPr>
            </w:pPr>
            <w:r w:rsidRPr="00974429">
              <w:rPr>
                <w:b/>
                <w:bCs/>
                <w:sz w:val="20"/>
                <w:szCs w:val="20"/>
              </w:rPr>
              <w:t>.</w:t>
            </w:r>
            <w:r>
              <w:rPr>
                <w:b/>
                <w:bCs/>
                <w:sz w:val="20"/>
                <w:szCs w:val="20"/>
              </w:rPr>
              <w:t>58</w:t>
            </w:r>
          </w:p>
        </w:tc>
        <w:tc>
          <w:tcPr>
            <w:tcW w:w="891" w:type="dxa"/>
            <w:shd w:val="clear" w:color="auto" w:fill="002060"/>
          </w:tcPr>
          <w:p w:rsidR="00FC129E" w:rsidRPr="00974429" w:rsidRDefault="00FC129E" w:rsidP="00395657">
            <w:pPr>
              <w:jc w:val="center"/>
              <w:rPr>
                <w:b/>
                <w:bCs/>
                <w:sz w:val="20"/>
                <w:szCs w:val="20"/>
              </w:rPr>
            </w:pPr>
            <w:r>
              <w:rPr>
                <w:b/>
                <w:bCs/>
                <w:sz w:val="20"/>
                <w:szCs w:val="20"/>
              </w:rPr>
              <w:t>7.6</w:t>
            </w:r>
          </w:p>
        </w:tc>
        <w:tc>
          <w:tcPr>
            <w:tcW w:w="851" w:type="dxa"/>
            <w:gridSpan w:val="2"/>
            <w:shd w:val="clear" w:color="auto" w:fill="002060"/>
          </w:tcPr>
          <w:p w:rsidR="00FC129E" w:rsidRPr="00974429" w:rsidRDefault="00FC129E" w:rsidP="00395657">
            <w:pPr>
              <w:jc w:val="center"/>
              <w:rPr>
                <w:b/>
                <w:bCs/>
                <w:sz w:val="20"/>
                <w:szCs w:val="20"/>
              </w:rPr>
            </w:pPr>
            <w:r>
              <w:rPr>
                <w:b/>
                <w:bCs/>
                <w:sz w:val="20"/>
                <w:szCs w:val="20"/>
              </w:rPr>
              <w:t>6.4</w:t>
            </w:r>
          </w:p>
        </w:tc>
        <w:tc>
          <w:tcPr>
            <w:tcW w:w="709" w:type="dxa"/>
            <w:shd w:val="clear" w:color="auto" w:fill="002060"/>
          </w:tcPr>
          <w:p w:rsidR="00FC129E" w:rsidRPr="00974429" w:rsidRDefault="00FC129E" w:rsidP="00395657">
            <w:pPr>
              <w:rPr>
                <w:b/>
                <w:bCs/>
                <w:sz w:val="20"/>
                <w:szCs w:val="20"/>
              </w:rPr>
            </w:pPr>
            <w:r>
              <w:rPr>
                <w:b/>
                <w:bCs/>
                <w:sz w:val="20"/>
                <w:szCs w:val="20"/>
              </w:rPr>
              <w:t>2.1</w:t>
            </w:r>
          </w:p>
        </w:tc>
      </w:tr>
      <w:tr w:rsidR="00FC129E" w:rsidTr="00EC74E9">
        <w:tc>
          <w:tcPr>
            <w:tcW w:w="2802" w:type="dxa"/>
            <w:tcBorders>
              <w:right w:val="single" w:sz="4" w:space="0" w:color="auto"/>
            </w:tcBorders>
            <w:shd w:val="clear" w:color="auto" w:fill="002060"/>
          </w:tcPr>
          <w:p w:rsidR="00FC129E" w:rsidRPr="00974429" w:rsidRDefault="00FC129E" w:rsidP="00395657">
            <w:pPr>
              <w:jc w:val="center"/>
              <w:rPr>
                <w:b/>
                <w:bCs/>
                <w:sz w:val="20"/>
                <w:szCs w:val="20"/>
              </w:rPr>
            </w:pPr>
            <w:r w:rsidRPr="00974429">
              <w:rPr>
                <w:b/>
                <w:bCs/>
                <w:sz w:val="20"/>
                <w:szCs w:val="20"/>
              </w:rPr>
              <w:t>ALrafah bank</w:t>
            </w:r>
          </w:p>
        </w:tc>
        <w:tc>
          <w:tcPr>
            <w:tcW w:w="852" w:type="dxa"/>
            <w:tcBorders>
              <w:left w:val="single" w:sz="4" w:space="0" w:color="auto"/>
              <w:right w:val="single" w:sz="4" w:space="0" w:color="auto"/>
            </w:tcBorders>
            <w:shd w:val="clear" w:color="auto" w:fill="002060"/>
          </w:tcPr>
          <w:p w:rsidR="00FC129E" w:rsidRPr="00974429" w:rsidRDefault="00FC129E" w:rsidP="00395657">
            <w:pPr>
              <w:jc w:val="center"/>
              <w:rPr>
                <w:b/>
                <w:bCs/>
                <w:sz w:val="20"/>
                <w:szCs w:val="20"/>
              </w:rPr>
            </w:pPr>
            <w:r>
              <w:rPr>
                <w:b/>
                <w:bCs/>
                <w:sz w:val="20"/>
                <w:szCs w:val="20"/>
              </w:rPr>
              <w:t>-4.9</w:t>
            </w:r>
          </w:p>
        </w:tc>
        <w:tc>
          <w:tcPr>
            <w:tcW w:w="851" w:type="dxa"/>
            <w:gridSpan w:val="2"/>
            <w:tcBorders>
              <w:left w:val="single" w:sz="4" w:space="0" w:color="auto"/>
              <w:right w:val="single" w:sz="4" w:space="0" w:color="auto"/>
            </w:tcBorders>
            <w:shd w:val="clear" w:color="auto" w:fill="002060"/>
          </w:tcPr>
          <w:p w:rsidR="00FC129E" w:rsidRPr="00974429" w:rsidRDefault="00FC129E" w:rsidP="00395657">
            <w:pPr>
              <w:jc w:val="center"/>
              <w:rPr>
                <w:b/>
                <w:bCs/>
                <w:sz w:val="20"/>
                <w:szCs w:val="20"/>
              </w:rPr>
            </w:pPr>
            <w:r w:rsidRPr="00974429">
              <w:rPr>
                <w:b/>
                <w:bCs/>
                <w:sz w:val="20"/>
                <w:szCs w:val="20"/>
              </w:rPr>
              <w:t>-0.</w:t>
            </w:r>
            <w:r>
              <w:rPr>
                <w:b/>
                <w:bCs/>
                <w:sz w:val="20"/>
                <w:szCs w:val="20"/>
              </w:rPr>
              <w:t>53</w:t>
            </w:r>
          </w:p>
        </w:tc>
        <w:tc>
          <w:tcPr>
            <w:tcW w:w="708" w:type="dxa"/>
            <w:tcBorders>
              <w:left w:val="single" w:sz="4" w:space="0" w:color="auto"/>
              <w:right w:val="single" w:sz="4" w:space="0" w:color="auto"/>
            </w:tcBorders>
            <w:shd w:val="clear" w:color="auto" w:fill="002060"/>
          </w:tcPr>
          <w:p w:rsidR="00FC129E" w:rsidRPr="00974429" w:rsidRDefault="00FC129E" w:rsidP="00395657">
            <w:pPr>
              <w:jc w:val="center"/>
              <w:rPr>
                <w:b/>
                <w:bCs/>
                <w:sz w:val="20"/>
                <w:szCs w:val="20"/>
              </w:rPr>
            </w:pPr>
            <w:r>
              <w:rPr>
                <w:b/>
                <w:bCs/>
                <w:sz w:val="20"/>
                <w:szCs w:val="20"/>
              </w:rPr>
              <w:t>2.64</w:t>
            </w:r>
          </w:p>
        </w:tc>
        <w:tc>
          <w:tcPr>
            <w:tcW w:w="814" w:type="dxa"/>
            <w:gridSpan w:val="2"/>
            <w:tcBorders>
              <w:left w:val="single" w:sz="4" w:space="0" w:color="auto"/>
              <w:right w:val="single" w:sz="4" w:space="0" w:color="auto"/>
            </w:tcBorders>
            <w:shd w:val="clear" w:color="auto" w:fill="002060"/>
          </w:tcPr>
          <w:p w:rsidR="00FC129E" w:rsidRPr="00974429" w:rsidRDefault="00FC129E" w:rsidP="00395657">
            <w:pPr>
              <w:jc w:val="center"/>
              <w:rPr>
                <w:b/>
                <w:bCs/>
                <w:sz w:val="20"/>
                <w:szCs w:val="20"/>
              </w:rPr>
            </w:pPr>
            <w:r>
              <w:rPr>
                <w:b/>
                <w:bCs/>
                <w:sz w:val="20"/>
                <w:szCs w:val="20"/>
              </w:rPr>
              <w:t>-12.2</w:t>
            </w:r>
          </w:p>
        </w:tc>
        <w:tc>
          <w:tcPr>
            <w:tcW w:w="891" w:type="dxa"/>
            <w:tcBorders>
              <w:left w:val="single" w:sz="4" w:space="0" w:color="auto"/>
              <w:right w:val="single" w:sz="4" w:space="0" w:color="auto"/>
            </w:tcBorders>
            <w:shd w:val="clear" w:color="auto" w:fill="002060"/>
          </w:tcPr>
          <w:p w:rsidR="00FC129E" w:rsidRPr="00974429" w:rsidRDefault="00FC129E" w:rsidP="00395657">
            <w:pPr>
              <w:jc w:val="center"/>
              <w:rPr>
                <w:b/>
                <w:bCs/>
                <w:sz w:val="20"/>
                <w:szCs w:val="20"/>
              </w:rPr>
            </w:pPr>
            <w:r>
              <w:rPr>
                <w:b/>
                <w:bCs/>
                <w:sz w:val="20"/>
                <w:szCs w:val="20"/>
              </w:rPr>
              <w:t>6.4</w:t>
            </w:r>
          </w:p>
        </w:tc>
        <w:tc>
          <w:tcPr>
            <w:tcW w:w="851" w:type="dxa"/>
            <w:gridSpan w:val="2"/>
            <w:tcBorders>
              <w:left w:val="single" w:sz="4" w:space="0" w:color="auto"/>
              <w:right w:val="single" w:sz="4" w:space="0" w:color="auto"/>
            </w:tcBorders>
            <w:shd w:val="clear" w:color="auto" w:fill="002060"/>
          </w:tcPr>
          <w:p w:rsidR="00FC129E" w:rsidRPr="00974429" w:rsidRDefault="00FC129E" w:rsidP="00395657">
            <w:pPr>
              <w:jc w:val="center"/>
              <w:rPr>
                <w:b/>
                <w:bCs/>
                <w:sz w:val="20"/>
                <w:szCs w:val="20"/>
              </w:rPr>
            </w:pPr>
            <w:r>
              <w:rPr>
                <w:b/>
                <w:bCs/>
                <w:sz w:val="20"/>
                <w:szCs w:val="20"/>
              </w:rPr>
              <w:t>.70</w:t>
            </w:r>
          </w:p>
        </w:tc>
        <w:tc>
          <w:tcPr>
            <w:tcW w:w="709" w:type="dxa"/>
            <w:tcBorders>
              <w:left w:val="single" w:sz="4" w:space="0" w:color="auto"/>
            </w:tcBorders>
            <w:shd w:val="clear" w:color="auto" w:fill="002060"/>
          </w:tcPr>
          <w:p w:rsidR="00FC129E" w:rsidRPr="00974429" w:rsidRDefault="00FC129E" w:rsidP="00395657">
            <w:pPr>
              <w:rPr>
                <w:b/>
                <w:bCs/>
                <w:sz w:val="20"/>
                <w:szCs w:val="20"/>
              </w:rPr>
            </w:pPr>
            <w:r>
              <w:rPr>
                <w:b/>
                <w:bCs/>
                <w:sz w:val="20"/>
                <w:szCs w:val="20"/>
              </w:rPr>
              <w:t>1.9</w:t>
            </w:r>
          </w:p>
        </w:tc>
      </w:tr>
      <w:tr w:rsidR="00395657" w:rsidRPr="00395657" w:rsidTr="00EC7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7"/>
        </w:trPr>
        <w:tc>
          <w:tcPr>
            <w:tcW w:w="2798" w:type="dxa"/>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Mean</w:t>
            </w:r>
          </w:p>
        </w:tc>
        <w:tc>
          <w:tcPr>
            <w:tcW w:w="856" w:type="dxa"/>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18</w:t>
            </w:r>
          </w:p>
        </w:tc>
        <w:tc>
          <w:tcPr>
            <w:tcW w:w="843" w:type="dxa"/>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6.33</w:t>
            </w:r>
          </w:p>
        </w:tc>
        <w:tc>
          <w:tcPr>
            <w:tcW w:w="721" w:type="dxa"/>
            <w:gridSpan w:val="2"/>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6.82</w:t>
            </w:r>
          </w:p>
        </w:tc>
        <w:tc>
          <w:tcPr>
            <w:tcW w:w="801" w:type="dxa"/>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.40</w:t>
            </w:r>
          </w:p>
        </w:tc>
        <w:tc>
          <w:tcPr>
            <w:tcW w:w="899" w:type="dxa"/>
            <w:gridSpan w:val="2"/>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8.8</w:t>
            </w:r>
          </w:p>
        </w:tc>
        <w:tc>
          <w:tcPr>
            <w:tcW w:w="842" w:type="dxa"/>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7.4</w:t>
            </w:r>
          </w:p>
        </w:tc>
        <w:tc>
          <w:tcPr>
            <w:tcW w:w="718" w:type="dxa"/>
            <w:gridSpan w:val="2"/>
            <w:shd w:val="clear" w:color="auto" w:fill="002060"/>
          </w:tcPr>
          <w:p w:rsidR="00395657" w:rsidRPr="004E1E30" w:rsidRDefault="00395657" w:rsidP="004E1E30">
            <w:pPr>
              <w:jc w:val="center"/>
              <w:rPr>
                <w:rFonts w:asciiTheme="majorBidi" w:hAnsiTheme="majorBidi" w:cstheme="majorBidi"/>
                <w:b/>
                <w:bCs/>
                <w:sz w:val="20"/>
                <w:szCs w:val="20"/>
              </w:rPr>
            </w:pPr>
            <w:r w:rsidRPr="004E1E30">
              <w:rPr>
                <w:rFonts w:asciiTheme="majorBidi" w:hAnsiTheme="majorBidi" w:cstheme="majorBidi"/>
                <w:b/>
                <w:bCs/>
                <w:sz w:val="20"/>
                <w:szCs w:val="20"/>
              </w:rPr>
              <w:t>6.98</w:t>
            </w:r>
          </w:p>
        </w:tc>
      </w:tr>
    </w:tbl>
    <w:p w:rsidR="001F180B" w:rsidRPr="00BA14F4" w:rsidRDefault="005A54B8" w:rsidP="00420D73">
      <w:pPr>
        <w:jc w:val="center"/>
        <w:rPr>
          <w:rFonts w:asciiTheme="majorBidi" w:hAnsiTheme="majorBidi" w:cstheme="majorBidi"/>
          <w:sz w:val="20"/>
          <w:szCs w:val="20"/>
        </w:rPr>
      </w:pPr>
      <w:r>
        <w:rPr>
          <w:rFonts w:asciiTheme="majorBidi" w:hAnsiTheme="majorBidi" w:cstheme="majorBidi"/>
          <w:sz w:val="20"/>
          <w:szCs w:val="20"/>
        </w:rPr>
        <w:t>Source: Research D</w:t>
      </w:r>
      <w:r w:rsidR="001F180B" w:rsidRPr="00BA14F4">
        <w:rPr>
          <w:rFonts w:asciiTheme="majorBidi" w:hAnsiTheme="majorBidi" w:cstheme="majorBidi"/>
          <w:sz w:val="20"/>
          <w:szCs w:val="20"/>
        </w:rPr>
        <w:t>ata, 2013</w:t>
      </w:r>
    </w:p>
    <w:p w:rsidR="006B7955" w:rsidRPr="001C7647" w:rsidRDefault="00FC0744" w:rsidP="00C21F14">
      <w:pPr>
        <w:jc w:val="center"/>
        <w:rPr>
          <w:rFonts w:asciiTheme="majorBidi" w:hAnsiTheme="majorBidi" w:cstheme="majorBidi"/>
          <w:b/>
          <w:bCs/>
        </w:rPr>
      </w:pPr>
      <w:r w:rsidRPr="001C7647">
        <w:rPr>
          <w:rFonts w:asciiTheme="majorBidi" w:hAnsiTheme="majorBidi" w:cstheme="majorBidi"/>
          <w:b/>
          <w:bCs/>
        </w:rPr>
        <w:t>Figure 4.17</w:t>
      </w:r>
      <w:r w:rsidR="009F3254">
        <w:rPr>
          <w:rFonts w:asciiTheme="majorBidi" w:hAnsiTheme="majorBidi" w:cstheme="majorBidi"/>
          <w:b/>
          <w:bCs/>
        </w:rPr>
        <w:t>: Return on E</w:t>
      </w:r>
      <w:r w:rsidR="006B7955" w:rsidRPr="001C7647">
        <w:rPr>
          <w:rFonts w:asciiTheme="majorBidi" w:hAnsiTheme="majorBidi" w:cstheme="majorBidi"/>
          <w:b/>
          <w:bCs/>
        </w:rPr>
        <w:t>quity (ROE) from 2005 till 2011 in (%)</w:t>
      </w:r>
    </w:p>
    <w:p w:rsidR="0082010D" w:rsidRDefault="0082010D" w:rsidP="0082010D">
      <w:pPr>
        <w:jc w:val="center"/>
        <w:rPr>
          <w:rFonts w:asciiTheme="majorBidi" w:hAnsiTheme="majorBidi" w:cstheme="majorBidi"/>
          <w:b/>
          <w:bCs/>
          <w:sz w:val="24"/>
          <w:szCs w:val="24"/>
        </w:rPr>
      </w:pPr>
      <w:r w:rsidRPr="00C7681F">
        <w:rPr>
          <w:rFonts w:asciiTheme="majorBidi" w:hAnsiTheme="majorBidi" w:cstheme="majorBidi"/>
          <w:noProof/>
          <w:sz w:val="24"/>
          <w:szCs w:val="24"/>
          <w:shd w:val="clear" w:color="auto" w:fill="002060"/>
        </w:rPr>
        <w:drawing>
          <wp:inline distT="0" distB="0" distL="0" distR="0">
            <wp:extent cx="4527550" cy="1121134"/>
            <wp:effectExtent l="19050" t="0" r="25400" b="2816"/>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7619" w:rsidRDefault="00BA14F4" w:rsidP="00420D73">
      <w:pPr>
        <w:jc w:val="center"/>
        <w:rPr>
          <w:rFonts w:asciiTheme="majorBidi" w:hAnsiTheme="majorBidi" w:cstheme="majorBidi"/>
          <w:sz w:val="20"/>
          <w:szCs w:val="20"/>
        </w:rPr>
      </w:pPr>
      <w:r w:rsidRPr="00BA14F4">
        <w:rPr>
          <w:rFonts w:asciiTheme="majorBidi" w:hAnsiTheme="majorBidi" w:cstheme="majorBidi"/>
          <w:sz w:val="20"/>
          <w:szCs w:val="20"/>
        </w:rPr>
        <w:t>Source: Data Analysis, 2013</w:t>
      </w:r>
    </w:p>
    <w:p w:rsidR="00D21A5D" w:rsidRPr="0082010D" w:rsidRDefault="0082010D" w:rsidP="0082010D">
      <w:pPr>
        <w:rPr>
          <w:rFonts w:asciiTheme="majorBidi" w:hAnsiTheme="majorBidi" w:cstheme="majorBidi"/>
          <w:sz w:val="24"/>
          <w:szCs w:val="24"/>
        </w:rPr>
      </w:pPr>
      <w:r w:rsidRPr="001B6D4E">
        <w:rPr>
          <w:rFonts w:asciiTheme="majorBidi" w:hAnsiTheme="majorBidi" w:cstheme="majorBidi"/>
          <w:b/>
          <w:bCs/>
          <w:sz w:val="24"/>
          <w:szCs w:val="24"/>
        </w:rPr>
        <w:lastRenderedPageBreak/>
        <w:t xml:space="preserve">4.2.2 </w:t>
      </w:r>
      <w:r w:rsidR="001C7647">
        <w:rPr>
          <w:rFonts w:asciiTheme="majorBidi" w:hAnsiTheme="majorBidi" w:cstheme="majorBidi"/>
          <w:b/>
          <w:bCs/>
          <w:i/>
          <w:iCs/>
          <w:sz w:val="24"/>
          <w:szCs w:val="24"/>
        </w:rPr>
        <w:t>Trend Analysis of N</w:t>
      </w:r>
      <w:r w:rsidR="001F180B" w:rsidRPr="001B6D4E">
        <w:rPr>
          <w:rFonts w:asciiTheme="majorBidi" w:hAnsiTheme="majorBidi" w:cstheme="majorBidi"/>
          <w:b/>
          <w:bCs/>
          <w:i/>
          <w:iCs/>
          <w:sz w:val="24"/>
          <w:szCs w:val="24"/>
        </w:rPr>
        <w:t xml:space="preserve">onperforming </w:t>
      </w:r>
      <w:r w:rsidR="00BB296F">
        <w:rPr>
          <w:rFonts w:asciiTheme="majorBidi" w:hAnsiTheme="majorBidi" w:cstheme="majorBidi"/>
          <w:b/>
          <w:bCs/>
          <w:i/>
          <w:iCs/>
          <w:sz w:val="24"/>
          <w:szCs w:val="24"/>
        </w:rPr>
        <w:t>L</w:t>
      </w:r>
      <w:r w:rsidR="00686651" w:rsidRPr="001B6D4E">
        <w:rPr>
          <w:rFonts w:asciiTheme="majorBidi" w:hAnsiTheme="majorBidi" w:cstheme="majorBidi"/>
          <w:b/>
          <w:bCs/>
          <w:i/>
          <w:iCs/>
          <w:sz w:val="24"/>
          <w:szCs w:val="24"/>
        </w:rPr>
        <w:t>oans (NPLR)</w:t>
      </w:r>
    </w:p>
    <w:p w:rsidR="00410184" w:rsidRDefault="00410184" w:rsidP="00AD761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From the previous studies it is clear that commercial bank's profitability mainly depends on assets quality held by the bank, and the assets quality depends on the financial strength of the </w:t>
      </w:r>
    </w:p>
    <w:p w:rsidR="00410184" w:rsidRDefault="00410184" w:rsidP="00AD761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borrower. In the literate many indicators have been used as asset quality measurement. On</w:t>
      </w:r>
      <w:r w:rsidR="009910A8">
        <w:rPr>
          <w:rFonts w:asciiTheme="majorBidi" w:hAnsiTheme="majorBidi" w:cstheme="majorBidi"/>
          <w:sz w:val="24"/>
          <w:szCs w:val="24"/>
        </w:rPr>
        <w:t>e of the important and major information’s</w:t>
      </w:r>
      <w:r>
        <w:rPr>
          <w:rFonts w:asciiTheme="majorBidi" w:hAnsiTheme="majorBidi" w:cstheme="majorBidi"/>
          <w:sz w:val="24"/>
          <w:szCs w:val="24"/>
        </w:rPr>
        <w:t xml:space="preserve"> provided by a bank is loans </w:t>
      </w:r>
      <w:r w:rsidRPr="0052466A">
        <w:rPr>
          <w:rFonts w:asciiTheme="majorBidi" w:hAnsiTheme="majorBidi" w:cstheme="majorBidi"/>
          <w:sz w:val="24"/>
          <w:szCs w:val="24"/>
        </w:rPr>
        <w:t>(Yike et</w:t>
      </w:r>
      <w:r>
        <w:rPr>
          <w:rFonts w:asciiTheme="majorBidi" w:hAnsiTheme="majorBidi" w:cstheme="majorBidi"/>
          <w:sz w:val="24"/>
          <w:szCs w:val="24"/>
        </w:rPr>
        <w:t xml:space="preserve"> al., 2011). However, only one simple indicator – N</w:t>
      </w:r>
      <w:r w:rsidRPr="0052466A">
        <w:rPr>
          <w:rFonts w:asciiTheme="majorBidi" w:hAnsiTheme="majorBidi" w:cstheme="majorBidi"/>
          <w:sz w:val="24"/>
          <w:szCs w:val="24"/>
        </w:rPr>
        <w:t>onperforming loan ratio was used to measure the</w:t>
      </w:r>
      <w:r>
        <w:rPr>
          <w:rFonts w:asciiTheme="majorBidi" w:hAnsiTheme="majorBidi" w:cstheme="majorBidi"/>
          <w:sz w:val="24"/>
          <w:szCs w:val="24"/>
        </w:rPr>
        <w:t xml:space="preserve"> lending principals adopted by banks which affect the</w:t>
      </w:r>
      <w:r w:rsidRPr="0052466A">
        <w:rPr>
          <w:rFonts w:asciiTheme="majorBidi" w:hAnsiTheme="majorBidi" w:cstheme="majorBidi"/>
          <w:sz w:val="24"/>
          <w:szCs w:val="24"/>
        </w:rPr>
        <w:t xml:space="preserve"> quality of</w:t>
      </w:r>
      <w:r>
        <w:rPr>
          <w:rFonts w:asciiTheme="majorBidi" w:hAnsiTheme="majorBidi" w:cstheme="majorBidi"/>
          <w:sz w:val="24"/>
          <w:szCs w:val="24"/>
        </w:rPr>
        <w:t xml:space="preserve"> assets being held by them.</w:t>
      </w:r>
    </w:p>
    <w:p w:rsidR="0052466A" w:rsidRDefault="00410184" w:rsidP="00AD761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17132">
        <w:rPr>
          <w:rFonts w:asciiTheme="majorBidi" w:hAnsiTheme="majorBidi" w:cstheme="majorBidi"/>
          <w:sz w:val="24"/>
          <w:szCs w:val="24"/>
        </w:rPr>
        <w:t>Table 4.15</w:t>
      </w:r>
      <w:r w:rsidR="00061B09">
        <w:rPr>
          <w:rFonts w:asciiTheme="majorBidi" w:hAnsiTheme="majorBidi" w:cstheme="majorBidi"/>
          <w:sz w:val="24"/>
          <w:szCs w:val="24"/>
        </w:rPr>
        <w:t xml:space="preserve"> showed the mean scores of N</w:t>
      </w:r>
      <w:r w:rsidR="0052466A" w:rsidRPr="0052466A">
        <w:rPr>
          <w:rFonts w:asciiTheme="majorBidi" w:hAnsiTheme="majorBidi" w:cstheme="majorBidi"/>
          <w:sz w:val="24"/>
          <w:szCs w:val="24"/>
        </w:rPr>
        <w:t>onperf</w:t>
      </w:r>
      <w:r w:rsidR="00061B09">
        <w:rPr>
          <w:rFonts w:asciiTheme="majorBidi" w:hAnsiTheme="majorBidi" w:cstheme="majorBidi"/>
          <w:sz w:val="24"/>
          <w:szCs w:val="24"/>
        </w:rPr>
        <w:t>orming Loans to Total L</w:t>
      </w:r>
      <w:r w:rsidR="005F4D2D">
        <w:rPr>
          <w:rFonts w:asciiTheme="majorBidi" w:hAnsiTheme="majorBidi" w:cstheme="majorBidi"/>
          <w:sz w:val="24"/>
          <w:szCs w:val="24"/>
        </w:rPr>
        <w:t>oans (NPLR) from 2005 -</w:t>
      </w:r>
      <w:r w:rsidR="0052466A" w:rsidRPr="0052466A">
        <w:rPr>
          <w:rFonts w:asciiTheme="majorBidi" w:hAnsiTheme="majorBidi" w:cstheme="majorBidi"/>
          <w:sz w:val="24"/>
          <w:szCs w:val="24"/>
        </w:rPr>
        <w:t xml:space="preserve"> 2011. The non-performing loan to gross loan ratio</w:t>
      </w:r>
      <w:r w:rsidR="000A27D1">
        <w:rPr>
          <w:rFonts w:asciiTheme="majorBidi" w:hAnsiTheme="majorBidi" w:cstheme="majorBidi"/>
          <w:sz w:val="24"/>
          <w:szCs w:val="24"/>
        </w:rPr>
        <w:t xml:space="preserve"> was decreasing</w:t>
      </w:r>
      <w:r w:rsidR="0052466A" w:rsidRPr="0052466A">
        <w:rPr>
          <w:rFonts w:asciiTheme="majorBidi" w:hAnsiTheme="majorBidi" w:cstheme="majorBidi"/>
          <w:sz w:val="24"/>
          <w:szCs w:val="24"/>
        </w:rPr>
        <w:t xml:space="preserve"> for</w:t>
      </w:r>
      <w:r w:rsidR="000A27D1">
        <w:rPr>
          <w:rFonts w:asciiTheme="majorBidi" w:hAnsiTheme="majorBidi" w:cstheme="majorBidi"/>
          <w:sz w:val="24"/>
          <w:szCs w:val="24"/>
        </w:rPr>
        <w:t xml:space="preserve"> the five sample banks</w:t>
      </w:r>
      <w:r w:rsidR="00061B09">
        <w:rPr>
          <w:rFonts w:asciiTheme="majorBidi" w:hAnsiTheme="majorBidi" w:cstheme="majorBidi"/>
          <w:sz w:val="24"/>
          <w:szCs w:val="24"/>
        </w:rPr>
        <w:t>, which was</w:t>
      </w:r>
      <w:r w:rsidR="0052466A" w:rsidRPr="0052466A">
        <w:rPr>
          <w:rFonts w:asciiTheme="majorBidi" w:hAnsiTheme="majorBidi" w:cstheme="majorBidi"/>
          <w:sz w:val="24"/>
          <w:szCs w:val="24"/>
        </w:rPr>
        <w:t xml:space="preserve"> a good sign of loan quality impro</w:t>
      </w:r>
      <w:r w:rsidR="00AD4005">
        <w:rPr>
          <w:rFonts w:asciiTheme="majorBidi" w:hAnsiTheme="majorBidi" w:cstheme="majorBidi"/>
          <w:sz w:val="24"/>
          <w:szCs w:val="24"/>
        </w:rPr>
        <w:t>vement in those banks. NPLR between</w:t>
      </w:r>
      <w:r w:rsidR="0052466A" w:rsidRPr="0052466A">
        <w:rPr>
          <w:rFonts w:asciiTheme="majorBidi" w:hAnsiTheme="majorBidi" w:cstheme="majorBidi"/>
          <w:sz w:val="24"/>
          <w:szCs w:val="24"/>
        </w:rPr>
        <w:t>1.5</w:t>
      </w:r>
      <w:r w:rsidR="00AD4005">
        <w:rPr>
          <w:rFonts w:asciiTheme="majorBidi" w:hAnsiTheme="majorBidi" w:cstheme="majorBidi"/>
          <w:sz w:val="24"/>
          <w:szCs w:val="24"/>
        </w:rPr>
        <w:t>-</w:t>
      </w:r>
      <w:r w:rsidR="00061B09">
        <w:rPr>
          <w:rFonts w:asciiTheme="majorBidi" w:hAnsiTheme="majorBidi" w:cstheme="majorBidi"/>
          <w:sz w:val="24"/>
          <w:szCs w:val="24"/>
        </w:rPr>
        <w:t xml:space="preserve"> </w:t>
      </w:r>
      <w:r w:rsidR="009910A8">
        <w:rPr>
          <w:rFonts w:asciiTheme="majorBidi" w:hAnsiTheme="majorBidi" w:cstheme="majorBidi"/>
          <w:sz w:val="24"/>
          <w:szCs w:val="24"/>
        </w:rPr>
        <w:t>6</w:t>
      </w:r>
      <w:r w:rsidR="0052466A" w:rsidRPr="0052466A">
        <w:rPr>
          <w:rFonts w:asciiTheme="majorBidi" w:hAnsiTheme="majorBidi" w:cstheme="majorBidi"/>
          <w:sz w:val="24"/>
          <w:szCs w:val="24"/>
        </w:rPr>
        <w:t xml:space="preserve">% indicates good </w:t>
      </w:r>
      <w:r w:rsidR="00061B09" w:rsidRPr="0052466A">
        <w:rPr>
          <w:rFonts w:asciiTheme="majorBidi" w:hAnsiTheme="majorBidi" w:cstheme="majorBidi"/>
          <w:sz w:val="24"/>
          <w:szCs w:val="24"/>
        </w:rPr>
        <w:t>performance.</w:t>
      </w:r>
      <w:r w:rsidR="00061B09" w:rsidRPr="00863312">
        <w:rPr>
          <w:rFonts w:asciiTheme="majorBidi" w:hAnsiTheme="majorBidi" w:cstheme="majorBidi"/>
          <w:sz w:val="24"/>
          <w:szCs w:val="24"/>
        </w:rPr>
        <w:t xml:space="preserve"> By</w:t>
      </w:r>
      <w:r w:rsidR="00863312" w:rsidRPr="00863312">
        <w:rPr>
          <w:rFonts w:asciiTheme="majorBidi" w:hAnsiTheme="majorBidi" w:cstheme="majorBidi"/>
          <w:sz w:val="24"/>
          <w:szCs w:val="24"/>
        </w:rPr>
        <w:t xml:space="preserve"> analyzing the ratios of each b</w:t>
      </w:r>
      <w:r w:rsidR="00863312">
        <w:rPr>
          <w:rFonts w:asciiTheme="majorBidi" w:hAnsiTheme="majorBidi" w:cstheme="majorBidi"/>
          <w:sz w:val="24"/>
          <w:szCs w:val="24"/>
        </w:rPr>
        <w:t>ank individually (see Appendix 5</w:t>
      </w:r>
      <w:r w:rsidR="00061B09">
        <w:rPr>
          <w:rFonts w:asciiTheme="majorBidi" w:hAnsiTheme="majorBidi" w:cstheme="majorBidi"/>
          <w:sz w:val="24"/>
          <w:szCs w:val="24"/>
        </w:rPr>
        <w:t>), it was found that most banks had</w:t>
      </w:r>
      <w:r w:rsidR="00863312" w:rsidRPr="00863312">
        <w:rPr>
          <w:rFonts w:asciiTheme="majorBidi" w:hAnsiTheme="majorBidi" w:cstheme="majorBidi"/>
          <w:sz w:val="24"/>
          <w:szCs w:val="24"/>
        </w:rPr>
        <w:t xml:space="preserve"> improvement in dealing with nonperforming loans particularly after year 2008</w:t>
      </w:r>
      <w:r w:rsidR="00863312">
        <w:rPr>
          <w:rFonts w:asciiTheme="majorBidi" w:hAnsiTheme="majorBidi" w:cstheme="majorBidi"/>
          <w:sz w:val="24"/>
          <w:szCs w:val="24"/>
        </w:rPr>
        <w:t>.</w:t>
      </w:r>
      <w:r w:rsidR="0052466A" w:rsidRPr="00863312">
        <w:rPr>
          <w:rFonts w:asciiTheme="majorBidi" w:hAnsiTheme="majorBidi" w:cstheme="majorBidi"/>
          <w:sz w:val="24"/>
          <w:szCs w:val="24"/>
        </w:rPr>
        <w:t xml:space="preserve"> The mean score of NPLR for the whole sector (five banks) reached the peak in</w:t>
      </w:r>
      <w:r w:rsidR="00061B09">
        <w:rPr>
          <w:rFonts w:asciiTheme="majorBidi" w:hAnsiTheme="majorBidi" w:cstheme="majorBidi"/>
          <w:sz w:val="24"/>
          <w:szCs w:val="24"/>
        </w:rPr>
        <w:t xml:space="preserve"> </w:t>
      </w:r>
      <w:r w:rsidR="0052466A" w:rsidRPr="00863312">
        <w:rPr>
          <w:rFonts w:asciiTheme="majorBidi" w:hAnsiTheme="majorBidi" w:cstheme="majorBidi"/>
          <w:sz w:val="24"/>
          <w:szCs w:val="24"/>
        </w:rPr>
        <w:t>2005</w:t>
      </w:r>
      <w:r w:rsidR="0052466A" w:rsidRPr="0052466A">
        <w:rPr>
          <w:rFonts w:asciiTheme="majorBidi" w:hAnsiTheme="majorBidi" w:cstheme="majorBidi"/>
          <w:sz w:val="24"/>
          <w:szCs w:val="24"/>
        </w:rPr>
        <w:t xml:space="preserve"> (19.1%) that’s attributing to instability of political and economical conditions in previ</w:t>
      </w:r>
      <w:r w:rsidR="00061B09">
        <w:rPr>
          <w:rFonts w:asciiTheme="majorBidi" w:hAnsiTheme="majorBidi" w:cstheme="majorBidi"/>
          <w:sz w:val="24"/>
          <w:szCs w:val="24"/>
        </w:rPr>
        <w:t>ous years (</w:t>
      </w:r>
      <w:r w:rsidR="003232B4">
        <w:rPr>
          <w:rFonts w:asciiTheme="majorBidi" w:hAnsiTheme="majorBidi" w:cstheme="majorBidi"/>
          <w:sz w:val="24"/>
          <w:szCs w:val="24"/>
        </w:rPr>
        <w:t>Intifadah</w:t>
      </w:r>
      <w:r w:rsidR="00061B09">
        <w:rPr>
          <w:rFonts w:asciiTheme="majorBidi" w:hAnsiTheme="majorBidi" w:cstheme="majorBidi"/>
          <w:sz w:val="24"/>
          <w:szCs w:val="24"/>
        </w:rPr>
        <w:t>). A</w:t>
      </w:r>
      <w:r w:rsidR="003232B4">
        <w:rPr>
          <w:rFonts w:asciiTheme="majorBidi" w:hAnsiTheme="majorBidi" w:cstheme="majorBidi"/>
          <w:sz w:val="24"/>
          <w:szCs w:val="24"/>
        </w:rPr>
        <w:t>nother major reason</w:t>
      </w:r>
      <w:r w:rsidR="00061B09">
        <w:rPr>
          <w:rFonts w:asciiTheme="majorBidi" w:hAnsiTheme="majorBidi" w:cstheme="majorBidi"/>
          <w:sz w:val="24"/>
          <w:szCs w:val="24"/>
        </w:rPr>
        <w:t xml:space="preserve"> for that bad rates achieved, was</w:t>
      </w:r>
      <w:r w:rsidR="003232B4">
        <w:rPr>
          <w:rFonts w:asciiTheme="majorBidi" w:hAnsiTheme="majorBidi" w:cstheme="majorBidi"/>
          <w:sz w:val="24"/>
          <w:szCs w:val="24"/>
        </w:rPr>
        <w:t xml:space="preserve"> the weakness of credit policies adopted by most banks at that time and la</w:t>
      </w:r>
      <w:r w:rsidR="00A0323F">
        <w:rPr>
          <w:rFonts w:asciiTheme="majorBidi" w:hAnsiTheme="majorBidi" w:cstheme="majorBidi"/>
          <w:sz w:val="24"/>
          <w:szCs w:val="24"/>
        </w:rPr>
        <w:t>ck of credit standards followed, s</w:t>
      </w:r>
      <w:r w:rsidR="003232B4">
        <w:rPr>
          <w:rFonts w:asciiTheme="majorBidi" w:hAnsiTheme="majorBidi" w:cstheme="majorBidi"/>
          <w:sz w:val="24"/>
          <w:szCs w:val="24"/>
        </w:rPr>
        <w:t xml:space="preserve">ince most of study sample banks are newly established. </w:t>
      </w:r>
      <w:r w:rsidR="0052466A" w:rsidRPr="0052466A">
        <w:rPr>
          <w:rFonts w:asciiTheme="majorBidi" w:hAnsiTheme="majorBidi" w:cstheme="majorBidi"/>
          <w:sz w:val="24"/>
          <w:szCs w:val="24"/>
        </w:rPr>
        <w:t>Despite the decreasing trend of NPLR which is a good sig</w:t>
      </w:r>
      <w:r w:rsidR="00061B09">
        <w:rPr>
          <w:rFonts w:asciiTheme="majorBidi" w:hAnsiTheme="majorBidi" w:cstheme="majorBidi"/>
          <w:sz w:val="24"/>
          <w:szCs w:val="24"/>
        </w:rPr>
        <w:t>n</w:t>
      </w:r>
      <w:r w:rsidR="005F4D2D">
        <w:rPr>
          <w:rFonts w:asciiTheme="majorBidi" w:hAnsiTheme="majorBidi" w:cstheme="majorBidi"/>
          <w:sz w:val="24"/>
          <w:szCs w:val="24"/>
        </w:rPr>
        <w:t xml:space="preserve"> of improvement, still there were</w:t>
      </w:r>
      <w:r w:rsidR="0052466A" w:rsidRPr="0052466A">
        <w:rPr>
          <w:rFonts w:asciiTheme="majorBidi" w:hAnsiTheme="majorBidi" w:cstheme="majorBidi"/>
          <w:sz w:val="24"/>
          <w:szCs w:val="24"/>
        </w:rPr>
        <w:t xml:space="preserve"> </w:t>
      </w:r>
      <w:r w:rsidR="00061B09">
        <w:rPr>
          <w:rFonts w:asciiTheme="majorBidi" w:hAnsiTheme="majorBidi" w:cstheme="majorBidi"/>
          <w:sz w:val="24"/>
          <w:szCs w:val="24"/>
        </w:rPr>
        <w:t xml:space="preserve">a </w:t>
      </w:r>
      <w:r w:rsidR="0052466A" w:rsidRPr="0052466A">
        <w:rPr>
          <w:rFonts w:asciiTheme="majorBidi" w:hAnsiTheme="majorBidi" w:cstheme="majorBidi"/>
          <w:sz w:val="24"/>
          <w:szCs w:val="24"/>
        </w:rPr>
        <w:t>high level of default</w:t>
      </w:r>
      <w:r w:rsidR="005F4D2D">
        <w:rPr>
          <w:rFonts w:asciiTheme="majorBidi" w:hAnsiTheme="majorBidi" w:cstheme="majorBidi"/>
          <w:sz w:val="24"/>
          <w:szCs w:val="24"/>
        </w:rPr>
        <w:t>s</w:t>
      </w:r>
      <w:r w:rsidR="0052466A" w:rsidRPr="0052466A">
        <w:rPr>
          <w:rFonts w:asciiTheme="majorBidi" w:hAnsiTheme="majorBidi" w:cstheme="majorBidi"/>
          <w:sz w:val="24"/>
          <w:szCs w:val="24"/>
        </w:rPr>
        <w:t xml:space="preserve"> among borrowers in Palestine (the average mean score of NPLR is 10.13%), which is higher than international standards (around 1.5</w:t>
      </w:r>
      <w:r w:rsidR="003232B4">
        <w:rPr>
          <w:rFonts w:asciiTheme="majorBidi" w:hAnsiTheme="majorBidi" w:cstheme="majorBidi"/>
          <w:sz w:val="24"/>
          <w:szCs w:val="24"/>
        </w:rPr>
        <w:t>-</w:t>
      </w:r>
      <w:r w:rsidR="00061B09">
        <w:rPr>
          <w:rFonts w:asciiTheme="majorBidi" w:hAnsiTheme="majorBidi" w:cstheme="majorBidi"/>
          <w:sz w:val="24"/>
          <w:szCs w:val="24"/>
        </w:rPr>
        <w:t xml:space="preserve"> </w:t>
      </w:r>
      <w:r w:rsidR="00A0323F">
        <w:rPr>
          <w:rFonts w:asciiTheme="majorBidi" w:hAnsiTheme="majorBidi" w:cstheme="majorBidi"/>
          <w:sz w:val="24"/>
          <w:szCs w:val="24"/>
        </w:rPr>
        <w:t>3 %</w:t>
      </w:r>
      <w:r w:rsidR="0052466A" w:rsidRPr="0052466A">
        <w:rPr>
          <w:rFonts w:asciiTheme="majorBidi" w:hAnsiTheme="majorBidi" w:cstheme="majorBidi"/>
          <w:sz w:val="24"/>
          <w:szCs w:val="24"/>
        </w:rPr>
        <w:t>%). This</w:t>
      </w:r>
      <w:r w:rsidR="00061B09">
        <w:rPr>
          <w:rFonts w:asciiTheme="majorBidi" w:hAnsiTheme="majorBidi" w:cstheme="majorBidi"/>
          <w:sz w:val="24"/>
          <w:szCs w:val="24"/>
        </w:rPr>
        <w:t xml:space="preserve"> </w:t>
      </w:r>
      <w:r w:rsidR="0052466A" w:rsidRPr="0052466A">
        <w:rPr>
          <w:rFonts w:asciiTheme="majorBidi" w:hAnsiTheme="majorBidi" w:cstheme="majorBidi"/>
          <w:sz w:val="24"/>
          <w:szCs w:val="24"/>
        </w:rPr>
        <w:t>could be due to macroeconomic factors. High credit risk indicators in particular, non-performing loans, were due</w:t>
      </w:r>
      <w:r w:rsidR="00061B09">
        <w:rPr>
          <w:rFonts w:asciiTheme="majorBidi" w:hAnsiTheme="majorBidi" w:cstheme="majorBidi"/>
          <w:sz w:val="24"/>
          <w:szCs w:val="24"/>
        </w:rPr>
        <w:t xml:space="preserve"> </w:t>
      </w:r>
      <w:r w:rsidR="0052466A" w:rsidRPr="0052466A">
        <w:rPr>
          <w:rFonts w:asciiTheme="majorBidi" w:hAnsiTheme="majorBidi" w:cstheme="majorBidi"/>
          <w:sz w:val="24"/>
          <w:szCs w:val="24"/>
        </w:rPr>
        <w:t>to macroeconomic instability</w:t>
      </w:r>
    </w:p>
    <w:p w:rsidR="00AD7619" w:rsidRPr="0052466A" w:rsidRDefault="00AD7619" w:rsidP="00AD7619">
      <w:pPr>
        <w:autoSpaceDE w:val="0"/>
        <w:autoSpaceDN w:val="0"/>
        <w:adjustRightInd w:val="0"/>
        <w:spacing w:after="0" w:line="360" w:lineRule="auto"/>
        <w:jc w:val="both"/>
        <w:rPr>
          <w:rFonts w:asciiTheme="majorBidi" w:hAnsiTheme="majorBidi" w:cstheme="majorBidi"/>
          <w:sz w:val="24"/>
          <w:szCs w:val="24"/>
        </w:rPr>
      </w:pPr>
    </w:p>
    <w:p w:rsidR="001F180B" w:rsidRPr="001C7647" w:rsidRDefault="00417132" w:rsidP="001C7647">
      <w:pPr>
        <w:jc w:val="center"/>
        <w:rPr>
          <w:rFonts w:asciiTheme="majorBidi" w:hAnsiTheme="majorBidi" w:cstheme="majorBidi"/>
          <w:b/>
          <w:bCs/>
        </w:rPr>
      </w:pPr>
      <w:r>
        <w:rPr>
          <w:rFonts w:asciiTheme="majorBidi" w:hAnsiTheme="majorBidi" w:cstheme="majorBidi"/>
          <w:b/>
          <w:bCs/>
        </w:rPr>
        <w:t>Table 4.15</w:t>
      </w:r>
      <w:r w:rsidR="001F180B" w:rsidRPr="001C7647">
        <w:rPr>
          <w:rFonts w:asciiTheme="majorBidi" w:hAnsiTheme="majorBidi" w:cstheme="majorBidi"/>
          <w:b/>
          <w:bCs/>
        </w:rPr>
        <w:t>: The annual mean scores</w:t>
      </w:r>
      <w:r w:rsidR="00686651" w:rsidRPr="001C7647">
        <w:rPr>
          <w:rFonts w:asciiTheme="majorBidi" w:hAnsiTheme="majorBidi" w:cstheme="majorBidi"/>
          <w:b/>
          <w:bCs/>
        </w:rPr>
        <w:t xml:space="preserve"> (%)</w:t>
      </w:r>
      <w:r w:rsidR="001F180B" w:rsidRPr="001C7647">
        <w:rPr>
          <w:rFonts w:asciiTheme="majorBidi" w:hAnsiTheme="majorBidi" w:cstheme="majorBidi"/>
          <w:b/>
          <w:bCs/>
        </w:rPr>
        <w:t xml:space="preserve"> of Nonperformin</w:t>
      </w:r>
      <w:r w:rsidR="009F3254">
        <w:rPr>
          <w:rFonts w:asciiTheme="majorBidi" w:hAnsiTheme="majorBidi" w:cstheme="majorBidi"/>
          <w:b/>
          <w:bCs/>
        </w:rPr>
        <w:t>g L</w:t>
      </w:r>
      <w:r w:rsidR="0052466A" w:rsidRPr="001C7647">
        <w:rPr>
          <w:rFonts w:asciiTheme="majorBidi" w:hAnsiTheme="majorBidi" w:cstheme="majorBidi"/>
          <w:b/>
          <w:bCs/>
        </w:rPr>
        <w:t>oans (NPLR) from 2005 – 2011.</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002060"/>
        <w:tblLook w:val="04A0"/>
      </w:tblPr>
      <w:tblGrid>
        <w:gridCol w:w="1110"/>
        <w:gridCol w:w="696"/>
        <w:gridCol w:w="825"/>
        <w:gridCol w:w="708"/>
        <w:gridCol w:w="709"/>
        <w:gridCol w:w="709"/>
        <w:gridCol w:w="709"/>
        <w:gridCol w:w="708"/>
        <w:gridCol w:w="1701"/>
      </w:tblGrid>
      <w:tr w:rsidR="00782BFB" w:rsidTr="00E71DEE">
        <w:trPr>
          <w:jc w:val="center"/>
        </w:trPr>
        <w:tc>
          <w:tcPr>
            <w:tcW w:w="1110"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Variable</w:t>
            </w:r>
          </w:p>
        </w:tc>
        <w:tc>
          <w:tcPr>
            <w:tcW w:w="696"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2005</w:t>
            </w:r>
          </w:p>
        </w:tc>
        <w:tc>
          <w:tcPr>
            <w:tcW w:w="825"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2006</w:t>
            </w:r>
          </w:p>
        </w:tc>
        <w:tc>
          <w:tcPr>
            <w:tcW w:w="708"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2007</w:t>
            </w:r>
          </w:p>
        </w:tc>
        <w:tc>
          <w:tcPr>
            <w:tcW w:w="709"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2008</w:t>
            </w:r>
          </w:p>
        </w:tc>
        <w:tc>
          <w:tcPr>
            <w:tcW w:w="709"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2009</w:t>
            </w:r>
          </w:p>
        </w:tc>
        <w:tc>
          <w:tcPr>
            <w:tcW w:w="709"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2010</w:t>
            </w:r>
          </w:p>
        </w:tc>
        <w:tc>
          <w:tcPr>
            <w:tcW w:w="708"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2011</w:t>
            </w:r>
          </w:p>
        </w:tc>
        <w:tc>
          <w:tcPr>
            <w:tcW w:w="1701"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Average Mean</w:t>
            </w:r>
          </w:p>
        </w:tc>
      </w:tr>
      <w:tr w:rsidR="0080162E" w:rsidTr="00E71DEE">
        <w:trPr>
          <w:trHeight w:val="421"/>
          <w:jc w:val="center"/>
        </w:trPr>
        <w:tc>
          <w:tcPr>
            <w:tcW w:w="1110" w:type="dxa"/>
            <w:shd w:val="clear" w:color="auto" w:fill="002060"/>
          </w:tcPr>
          <w:p w:rsid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NPLR</w:t>
            </w:r>
          </w:p>
          <w:p w:rsidR="0080162E" w:rsidRPr="0080162E" w:rsidRDefault="0080162E" w:rsidP="0080162E">
            <w:pPr>
              <w:jc w:val="center"/>
              <w:rPr>
                <w:rFonts w:asciiTheme="majorBidi" w:hAnsiTheme="majorBidi" w:cstheme="majorBidi"/>
                <w:b/>
                <w:bCs/>
                <w:sz w:val="24"/>
                <w:szCs w:val="24"/>
              </w:rPr>
            </w:pPr>
          </w:p>
        </w:tc>
        <w:tc>
          <w:tcPr>
            <w:tcW w:w="696"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19.1</w:t>
            </w:r>
          </w:p>
        </w:tc>
        <w:tc>
          <w:tcPr>
            <w:tcW w:w="825"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16.6</w:t>
            </w:r>
          </w:p>
        </w:tc>
        <w:tc>
          <w:tcPr>
            <w:tcW w:w="708"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15.9</w:t>
            </w:r>
          </w:p>
        </w:tc>
        <w:tc>
          <w:tcPr>
            <w:tcW w:w="709"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7.72</w:t>
            </w:r>
          </w:p>
        </w:tc>
        <w:tc>
          <w:tcPr>
            <w:tcW w:w="709"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4.11</w:t>
            </w:r>
          </w:p>
        </w:tc>
        <w:tc>
          <w:tcPr>
            <w:tcW w:w="709"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4.62</w:t>
            </w:r>
          </w:p>
        </w:tc>
        <w:tc>
          <w:tcPr>
            <w:tcW w:w="708"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2.92</w:t>
            </w:r>
          </w:p>
        </w:tc>
        <w:tc>
          <w:tcPr>
            <w:tcW w:w="1701" w:type="dxa"/>
            <w:shd w:val="clear" w:color="auto" w:fill="002060"/>
          </w:tcPr>
          <w:p w:rsidR="0080162E" w:rsidRPr="0080162E" w:rsidRDefault="0080162E" w:rsidP="0080162E">
            <w:pPr>
              <w:jc w:val="center"/>
              <w:rPr>
                <w:rFonts w:asciiTheme="majorBidi" w:hAnsiTheme="majorBidi" w:cstheme="majorBidi"/>
                <w:b/>
                <w:bCs/>
                <w:sz w:val="24"/>
                <w:szCs w:val="24"/>
              </w:rPr>
            </w:pPr>
            <w:r w:rsidRPr="0080162E">
              <w:rPr>
                <w:rFonts w:asciiTheme="majorBidi" w:hAnsiTheme="majorBidi" w:cstheme="majorBidi"/>
                <w:b/>
                <w:bCs/>
                <w:sz w:val="24"/>
                <w:szCs w:val="24"/>
              </w:rPr>
              <w:t>10.13</w:t>
            </w:r>
          </w:p>
        </w:tc>
      </w:tr>
    </w:tbl>
    <w:p w:rsidR="00420D73" w:rsidRPr="006C5F91" w:rsidRDefault="00420D73" w:rsidP="00420D73">
      <w:pPr>
        <w:spacing w:line="240" w:lineRule="auto"/>
        <w:jc w:val="center"/>
        <w:rPr>
          <w:rFonts w:asciiTheme="majorBidi" w:hAnsiTheme="majorBidi" w:cstheme="majorBidi"/>
          <w:sz w:val="10"/>
          <w:szCs w:val="10"/>
        </w:rPr>
      </w:pPr>
    </w:p>
    <w:p w:rsidR="0080162E" w:rsidRPr="00BA14F4" w:rsidRDefault="0080162E" w:rsidP="00420D73">
      <w:pPr>
        <w:spacing w:line="240" w:lineRule="auto"/>
        <w:jc w:val="center"/>
        <w:rPr>
          <w:rFonts w:asciiTheme="majorBidi" w:hAnsiTheme="majorBidi" w:cstheme="majorBidi"/>
          <w:sz w:val="20"/>
          <w:szCs w:val="20"/>
        </w:rPr>
      </w:pPr>
      <w:r w:rsidRPr="00BA14F4">
        <w:rPr>
          <w:rFonts w:asciiTheme="majorBidi" w:hAnsiTheme="majorBidi" w:cstheme="majorBidi"/>
          <w:sz w:val="20"/>
          <w:szCs w:val="20"/>
        </w:rPr>
        <w:t>Source: Research</w:t>
      </w:r>
      <w:r w:rsidR="005A54B8">
        <w:rPr>
          <w:rFonts w:asciiTheme="majorBidi" w:hAnsiTheme="majorBidi" w:cstheme="majorBidi"/>
          <w:sz w:val="20"/>
          <w:szCs w:val="20"/>
        </w:rPr>
        <w:t xml:space="preserve"> D</w:t>
      </w:r>
      <w:r w:rsidRPr="00BA14F4">
        <w:rPr>
          <w:rFonts w:asciiTheme="majorBidi" w:hAnsiTheme="majorBidi" w:cstheme="majorBidi"/>
          <w:sz w:val="20"/>
          <w:szCs w:val="20"/>
        </w:rPr>
        <w:t>ata, 2013</w:t>
      </w:r>
    </w:p>
    <w:p w:rsidR="00AD7619" w:rsidRDefault="00AD7619" w:rsidP="00AD4005">
      <w:pPr>
        <w:jc w:val="center"/>
        <w:rPr>
          <w:rFonts w:asciiTheme="majorBidi" w:hAnsiTheme="majorBidi" w:cstheme="majorBidi"/>
          <w:sz w:val="24"/>
          <w:szCs w:val="24"/>
        </w:rPr>
      </w:pPr>
    </w:p>
    <w:p w:rsidR="00C21F14" w:rsidRDefault="00C21F14" w:rsidP="005F4D2D">
      <w:pPr>
        <w:jc w:val="center"/>
        <w:rPr>
          <w:rFonts w:asciiTheme="majorBidi" w:hAnsiTheme="majorBidi" w:cstheme="majorBidi"/>
          <w:b/>
          <w:bCs/>
        </w:rPr>
      </w:pPr>
    </w:p>
    <w:p w:rsidR="006C5F91" w:rsidRDefault="006C5F91" w:rsidP="005F4D2D">
      <w:pPr>
        <w:jc w:val="center"/>
        <w:rPr>
          <w:rFonts w:asciiTheme="majorBidi" w:hAnsiTheme="majorBidi" w:cstheme="majorBidi"/>
          <w:b/>
          <w:bCs/>
        </w:rPr>
      </w:pPr>
    </w:p>
    <w:p w:rsidR="000A68FA" w:rsidRPr="00BB296F" w:rsidRDefault="00FC0744" w:rsidP="005F4D2D">
      <w:pPr>
        <w:jc w:val="center"/>
        <w:rPr>
          <w:rFonts w:asciiTheme="majorBidi" w:hAnsiTheme="majorBidi" w:cstheme="majorBidi"/>
          <w:b/>
          <w:bCs/>
        </w:rPr>
      </w:pPr>
      <w:r w:rsidRPr="00BB296F">
        <w:rPr>
          <w:rFonts w:asciiTheme="majorBidi" w:hAnsiTheme="majorBidi" w:cstheme="majorBidi"/>
          <w:b/>
          <w:bCs/>
        </w:rPr>
        <w:lastRenderedPageBreak/>
        <w:t>Figure 4.18</w:t>
      </w:r>
      <w:r w:rsidR="003674A1" w:rsidRPr="00BB296F">
        <w:rPr>
          <w:rFonts w:asciiTheme="majorBidi" w:hAnsiTheme="majorBidi" w:cstheme="majorBidi"/>
          <w:b/>
          <w:bCs/>
        </w:rPr>
        <w:t>: N</w:t>
      </w:r>
      <w:r w:rsidR="009F3254">
        <w:rPr>
          <w:rFonts w:asciiTheme="majorBidi" w:hAnsiTheme="majorBidi" w:cstheme="majorBidi"/>
          <w:b/>
          <w:bCs/>
        </w:rPr>
        <w:t>onperforming L</w:t>
      </w:r>
      <w:r w:rsidR="0007725B" w:rsidRPr="00BB296F">
        <w:rPr>
          <w:rFonts w:asciiTheme="majorBidi" w:hAnsiTheme="majorBidi" w:cstheme="majorBidi"/>
          <w:b/>
          <w:bCs/>
        </w:rPr>
        <w:t>oans</w:t>
      </w:r>
      <w:r w:rsidR="00DF5962" w:rsidRPr="00BB296F">
        <w:rPr>
          <w:rFonts w:asciiTheme="majorBidi" w:hAnsiTheme="majorBidi" w:cstheme="majorBidi"/>
          <w:b/>
          <w:bCs/>
        </w:rPr>
        <w:t xml:space="preserve"> (NPLR)</w:t>
      </w:r>
      <w:r w:rsidR="005F4D2D">
        <w:rPr>
          <w:rFonts w:asciiTheme="majorBidi" w:hAnsiTheme="majorBidi" w:cstheme="majorBidi"/>
          <w:b/>
          <w:bCs/>
        </w:rPr>
        <w:t xml:space="preserve"> from 2005 -</w:t>
      </w:r>
      <w:r w:rsidR="0007725B" w:rsidRPr="00BB296F">
        <w:rPr>
          <w:rFonts w:asciiTheme="majorBidi" w:hAnsiTheme="majorBidi" w:cstheme="majorBidi"/>
          <w:b/>
          <w:bCs/>
        </w:rPr>
        <w:t xml:space="preserve"> 2011 in (%)</w:t>
      </w:r>
    </w:p>
    <w:p w:rsidR="00506A8D" w:rsidRDefault="00824AA3" w:rsidP="008606AB">
      <w:pPr>
        <w:spacing w:line="360" w:lineRule="auto"/>
        <w:jc w:val="center"/>
        <w:rPr>
          <w:rFonts w:asciiTheme="majorBidi" w:hAnsiTheme="majorBidi" w:cstheme="majorBidi"/>
          <w:b/>
          <w:bCs/>
          <w:sz w:val="28"/>
          <w:szCs w:val="28"/>
        </w:rPr>
      </w:pPr>
      <w:r w:rsidRPr="00824AA3">
        <w:rPr>
          <w:rFonts w:asciiTheme="majorBidi" w:hAnsiTheme="majorBidi" w:cstheme="majorBidi"/>
          <w:b/>
          <w:bCs/>
          <w:noProof/>
          <w:sz w:val="28"/>
          <w:szCs w:val="28"/>
        </w:rPr>
        <w:drawing>
          <wp:inline distT="0" distB="0" distL="0" distR="0">
            <wp:extent cx="4804914" cy="1328468"/>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7619" w:rsidRPr="00BA14F4" w:rsidRDefault="00BA14F4" w:rsidP="00420D73">
      <w:pPr>
        <w:spacing w:line="360" w:lineRule="auto"/>
        <w:jc w:val="center"/>
        <w:rPr>
          <w:rFonts w:asciiTheme="majorBidi" w:hAnsiTheme="majorBidi" w:cstheme="majorBidi"/>
          <w:sz w:val="20"/>
          <w:szCs w:val="20"/>
        </w:rPr>
      </w:pPr>
      <w:r w:rsidRPr="00BA14F4">
        <w:rPr>
          <w:rFonts w:asciiTheme="majorBidi" w:hAnsiTheme="majorBidi" w:cstheme="majorBidi"/>
          <w:sz w:val="20"/>
          <w:szCs w:val="20"/>
        </w:rPr>
        <w:t>Source: Data Analysis, 2013</w:t>
      </w:r>
    </w:p>
    <w:p w:rsidR="0051486B" w:rsidRPr="00863312" w:rsidRDefault="0051486B" w:rsidP="00520577">
      <w:pPr>
        <w:spacing w:after="0" w:line="360" w:lineRule="auto"/>
        <w:rPr>
          <w:rFonts w:asciiTheme="majorBidi" w:hAnsiTheme="majorBidi" w:cstheme="majorBidi"/>
          <w:b/>
          <w:bCs/>
          <w:sz w:val="28"/>
          <w:szCs w:val="28"/>
        </w:rPr>
      </w:pPr>
      <w:r w:rsidRPr="001B6D4E">
        <w:rPr>
          <w:rFonts w:asciiTheme="majorBidi" w:hAnsiTheme="majorBidi" w:cstheme="majorBidi"/>
          <w:b/>
          <w:bCs/>
          <w:sz w:val="24"/>
          <w:szCs w:val="24"/>
        </w:rPr>
        <w:t xml:space="preserve">4.2.3 </w:t>
      </w:r>
      <w:r w:rsidR="00BB296F">
        <w:rPr>
          <w:rFonts w:asciiTheme="majorBidi" w:hAnsiTheme="majorBidi" w:cstheme="majorBidi"/>
          <w:b/>
          <w:bCs/>
          <w:i/>
          <w:iCs/>
          <w:sz w:val="24"/>
          <w:szCs w:val="24"/>
        </w:rPr>
        <w:t>Trend A</w:t>
      </w:r>
      <w:r w:rsidRPr="001B6D4E">
        <w:rPr>
          <w:rFonts w:asciiTheme="majorBidi" w:hAnsiTheme="majorBidi" w:cstheme="majorBidi"/>
          <w:b/>
          <w:bCs/>
          <w:i/>
          <w:iCs/>
          <w:sz w:val="24"/>
          <w:szCs w:val="24"/>
        </w:rPr>
        <w:t xml:space="preserve">nalysis </w:t>
      </w:r>
      <w:r w:rsidR="00BB296F">
        <w:rPr>
          <w:rFonts w:asciiTheme="majorBidi" w:hAnsiTheme="majorBidi" w:cstheme="majorBidi"/>
          <w:b/>
          <w:bCs/>
          <w:i/>
          <w:iCs/>
          <w:sz w:val="24"/>
          <w:szCs w:val="24"/>
        </w:rPr>
        <w:t>of Capital A</w:t>
      </w:r>
      <w:r w:rsidRPr="001B6D4E">
        <w:rPr>
          <w:rFonts w:asciiTheme="majorBidi" w:hAnsiTheme="majorBidi" w:cstheme="majorBidi"/>
          <w:b/>
          <w:bCs/>
          <w:i/>
          <w:iCs/>
          <w:sz w:val="24"/>
          <w:szCs w:val="24"/>
        </w:rPr>
        <w:t>dequacy</w:t>
      </w:r>
      <w:r w:rsidR="001318ED">
        <w:rPr>
          <w:rFonts w:asciiTheme="majorBidi" w:hAnsiTheme="majorBidi" w:cstheme="majorBidi"/>
          <w:b/>
          <w:bCs/>
          <w:sz w:val="28"/>
          <w:szCs w:val="28"/>
        </w:rPr>
        <w:t xml:space="preserve"> </w:t>
      </w:r>
      <w:r w:rsidR="001318ED" w:rsidRPr="001318ED">
        <w:rPr>
          <w:rFonts w:asciiTheme="majorBidi" w:hAnsiTheme="majorBidi" w:cstheme="majorBidi"/>
          <w:b/>
          <w:bCs/>
          <w:i/>
          <w:iCs/>
          <w:sz w:val="24"/>
          <w:szCs w:val="24"/>
        </w:rPr>
        <w:t>(EQTA)</w:t>
      </w:r>
    </w:p>
    <w:p w:rsidR="00A50FDB" w:rsidRDefault="0033278D" w:rsidP="00520577">
      <w:pPr>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Table 4.16</w:t>
      </w:r>
      <w:r w:rsidR="001318ED">
        <w:rPr>
          <w:rFonts w:asciiTheme="majorBidi" w:hAnsiTheme="majorBidi" w:cstheme="majorBidi"/>
          <w:sz w:val="24"/>
          <w:szCs w:val="24"/>
        </w:rPr>
        <w:t xml:space="preserve"> showed</w:t>
      </w:r>
      <w:r w:rsidR="00173875" w:rsidRPr="0052466A">
        <w:rPr>
          <w:rFonts w:asciiTheme="majorBidi" w:hAnsiTheme="majorBidi" w:cstheme="majorBidi"/>
          <w:sz w:val="24"/>
          <w:szCs w:val="24"/>
        </w:rPr>
        <w:t xml:space="preserve"> the mean scores of </w:t>
      </w:r>
      <w:r w:rsidR="001318ED">
        <w:rPr>
          <w:rFonts w:asciiTheme="majorBidi" w:hAnsiTheme="majorBidi" w:cstheme="majorBidi"/>
          <w:sz w:val="24"/>
          <w:szCs w:val="24"/>
        </w:rPr>
        <w:t>Total Equity to Total A</w:t>
      </w:r>
      <w:r w:rsidR="00173875">
        <w:rPr>
          <w:rFonts w:asciiTheme="majorBidi" w:hAnsiTheme="majorBidi" w:cstheme="majorBidi"/>
          <w:sz w:val="24"/>
          <w:szCs w:val="24"/>
        </w:rPr>
        <w:t xml:space="preserve">ssets. </w:t>
      </w:r>
      <w:r w:rsidR="001318ED">
        <w:rPr>
          <w:rFonts w:asciiTheme="majorBidi" w:hAnsiTheme="majorBidi" w:cstheme="majorBidi"/>
          <w:sz w:val="24"/>
          <w:szCs w:val="24"/>
        </w:rPr>
        <w:t>The Capital A</w:t>
      </w:r>
      <w:r w:rsidR="00173875" w:rsidRPr="00173875">
        <w:rPr>
          <w:rFonts w:asciiTheme="majorBidi" w:hAnsiTheme="majorBidi" w:cstheme="majorBidi"/>
          <w:sz w:val="24"/>
          <w:szCs w:val="24"/>
        </w:rPr>
        <w:t>dequa</w:t>
      </w:r>
      <w:r w:rsidR="00173875">
        <w:rPr>
          <w:rFonts w:asciiTheme="majorBidi" w:hAnsiTheme="majorBidi" w:cstheme="majorBidi"/>
          <w:sz w:val="24"/>
          <w:szCs w:val="24"/>
        </w:rPr>
        <w:t>cy results suggest that about 20</w:t>
      </w:r>
      <w:r w:rsidR="00FA0B9A">
        <w:rPr>
          <w:rFonts w:asciiTheme="majorBidi" w:hAnsiTheme="majorBidi" w:cstheme="majorBidi"/>
          <w:sz w:val="24"/>
          <w:szCs w:val="24"/>
        </w:rPr>
        <w:t>% of total a</w:t>
      </w:r>
      <w:r w:rsidR="00173875" w:rsidRPr="00173875">
        <w:rPr>
          <w:rFonts w:asciiTheme="majorBidi" w:hAnsiTheme="majorBidi" w:cstheme="majorBidi"/>
          <w:sz w:val="24"/>
          <w:szCs w:val="24"/>
        </w:rPr>
        <w:t>ssets</w:t>
      </w:r>
      <w:r w:rsidR="00FA0B9A">
        <w:rPr>
          <w:rFonts w:asciiTheme="majorBidi" w:hAnsiTheme="majorBidi" w:cstheme="majorBidi"/>
          <w:sz w:val="24"/>
          <w:szCs w:val="24"/>
        </w:rPr>
        <w:t xml:space="preserve"> held by </w:t>
      </w:r>
      <w:r w:rsidR="001318ED">
        <w:rPr>
          <w:rFonts w:asciiTheme="majorBidi" w:hAnsiTheme="majorBidi" w:cstheme="majorBidi"/>
          <w:sz w:val="24"/>
          <w:szCs w:val="24"/>
        </w:rPr>
        <w:t>the sector were financed by S</w:t>
      </w:r>
      <w:r w:rsidR="008608D6">
        <w:rPr>
          <w:rFonts w:asciiTheme="majorBidi" w:hAnsiTheme="majorBidi" w:cstheme="majorBidi"/>
          <w:sz w:val="24"/>
          <w:szCs w:val="24"/>
        </w:rPr>
        <w:t xml:space="preserve">hareholders </w:t>
      </w:r>
      <w:r w:rsidR="00173875">
        <w:rPr>
          <w:rFonts w:asciiTheme="majorBidi" w:hAnsiTheme="majorBidi" w:cstheme="majorBidi"/>
          <w:sz w:val="24"/>
          <w:szCs w:val="24"/>
        </w:rPr>
        <w:t>funds while the remaining 80</w:t>
      </w:r>
      <w:r w:rsidR="00FA0B9A">
        <w:rPr>
          <w:rFonts w:asciiTheme="majorBidi" w:hAnsiTheme="majorBidi" w:cstheme="majorBidi"/>
          <w:sz w:val="24"/>
          <w:szCs w:val="24"/>
        </w:rPr>
        <w:t>% were</w:t>
      </w:r>
      <w:r w:rsidR="00173875" w:rsidRPr="00173875">
        <w:rPr>
          <w:rFonts w:asciiTheme="majorBidi" w:hAnsiTheme="majorBidi" w:cstheme="majorBidi"/>
          <w:sz w:val="24"/>
          <w:szCs w:val="24"/>
        </w:rPr>
        <w:t xml:space="preserve"> financed by</w:t>
      </w:r>
      <w:r w:rsidR="00C40DF8">
        <w:rPr>
          <w:rFonts w:asciiTheme="majorBidi" w:hAnsiTheme="majorBidi" w:cstheme="majorBidi"/>
          <w:sz w:val="24"/>
          <w:szCs w:val="24"/>
        </w:rPr>
        <w:t xml:space="preserve"> other sources</w:t>
      </w:r>
      <w:r w:rsidR="00FA0B9A">
        <w:rPr>
          <w:rFonts w:asciiTheme="majorBidi" w:hAnsiTheme="majorBidi" w:cstheme="majorBidi"/>
          <w:sz w:val="24"/>
          <w:szCs w:val="24"/>
        </w:rPr>
        <w:t>,</w:t>
      </w:r>
      <w:r w:rsidR="00C40DF8">
        <w:rPr>
          <w:rFonts w:asciiTheme="majorBidi" w:hAnsiTheme="majorBidi" w:cstheme="majorBidi"/>
          <w:sz w:val="24"/>
          <w:szCs w:val="24"/>
        </w:rPr>
        <w:t xml:space="preserve"> particularly </w:t>
      </w:r>
      <w:r w:rsidR="00C40DF8" w:rsidRPr="00173875">
        <w:rPr>
          <w:rFonts w:asciiTheme="majorBidi" w:hAnsiTheme="majorBidi" w:cstheme="majorBidi"/>
          <w:sz w:val="24"/>
          <w:szCs w:val="24"/>
        </w:rPr>
        <w:t>deposit</w:t>
      </w:r>
      <w:r w:rsidR="00173875" w:rsidRPr="00173875">
        <w:rPr>
          <w:rFonts w:asciiTheme="majorBidi" w:hAnsiTheme="majorBidi" w:cstheme="majorBidi"/>
          <w:sz w:val="24"/>
          <w:szCs w:val="24"/>
        </w:rPr>
        <w:t xml:space="preserve"> liabilities. The high leverage is not surprising because the business of banking is to mobilize more </w:t>
      </w:r>
      <w:r w:rsidR="00173875">
        <w:rPr>
          <w:rFonts w:asciiTheme="majorBidi" w:hAnsiTheme="majorBidi" w:cstheme="majorBidi"/>
          <w:sz w:val="24"/>
          <w:szCs w:val="24"/>
        </w:rPr>
        <w:t>deposits from customers. The PMA</w:t>
      </w:r>
      <w:r w:rsidR="00173875" w:rsidRPr="00173875">
        <w:rPr>
          <w:rFonts w:asciiTheme="majorBidi" w:hAnsiTheme="majorBidi" w:cstheme="majorBidi"/>
          <w:sz w:val="24"/>
          <w:szCs w:val="24"/>
        </w:rPr>
        <w:t xml:space="preserve"> s</w:t>
      </w:r>
      <w:r w:rsidR="001318ED">
        <w:rPr>
          <w:rFonts w:asciiTheme="majorBidi" w:hAnsiTheme="majorBidi" w:cstheme="majorBidi"/>
          <w:sz w:val="24"/>
          <w:szCs w:val="24"/>
        </w:rPr>
        <w:t>tipulates that banks must keep Core Capital of no</w:t>
      </w:r>
      <w:r w:rsidR="00173875" w:rsidRPr="00173875">
        <w:rPr>
          <w:rFonts w:asciiTheme="majorBidi" w:hAnsiTheme="majorBidi" w:cstheme="majorBidi"/>
          <w:sz w:val="24"/>
          <w:szCs w:val="24"/>
        </w:rPr>
        <w:t xml:space="preserve"> less than 8% of total d</w:t>
      </w:r>
      <w:r w:rsidR="00173875">
        <w:rPr>
          <w:rFonts w:asciiTheme="majorBidi" w:hAnsiTheme="majorBidi" w:cstheme="majorBidi"/>
          <w:sz w:val="24"/>
          <w:szCs w:val="24"/>
        </w:rPr>
        <w:t>eposit. This implies that Palestinian</w:t>
      </w:r>
      <w:r w:rsidR="00173875" w:rsidRPr="00173875">
        <w:rPr>
          <w:rFonts w:asciiTheme="majorBidi" w:hAnsiTheme="majorBidi" w:cstheme="majorBidi"/>
          <w:sz w:val="24"/>
          <w:szCs w:val="24"/>
        </w:rPr>
        <w:t xml:space="preserve"> banks on average operated above minimum statutory levels.</w:t>
      </w:r>
    </w:p>
    <w:p w:rsidR="00152DC6" w:rsidRDefault="0033278D" w:rsidP="00A50FDB">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Table 4.16</w:t>
      </w:r>
      <w:r w:rsidR="001318ED">
        <w:rPr>
          <w:rFonts w:asciiTheme="majorBidi" w:hAnsiTheme="majorBidi" w:cstheme="majorBidi"/>
          <w:sz w:val="24"/>
          <w:szCs w:val="24"/>
        </w:rPr>
        <w:t xml:space="preserve"> </w:t>
      </w:r>
      <w:r w:rsidR="001318ED">
        <w:rPr>
          <w:rFonts w:ascii="TimesNewRoman" w:hAnsi="TimesNewRoman" w:cs="TimesNewRoman"/>
          <w:sz w:val="24"/>
          <w:szCs w:val="24"/>
        </w:rPr>
        <w:t>showed</w:t>
      </w:r>
      <w:r w:rsidR="00BD21B0">
        <w:rPr>
          <w:rFonts w:ascii="TimesNewRoman" w:hAnsi="TimesNewRoman" w:cs="TimesNewRoman"/>
          <w:sz w:val="24"/>
          <w:szCs w:val="24"/>
        </w:rPr>
        <w:t xml:space="preserve"> </w:t>
      </w:r>
      <w:r w:rsidR="00BD21B0" w:rsidRPr="00563D8D">
        <w:rPr>
          <w:rFonts w:ascii="TimesNewRoman" w:hAnsi="TimesNewRoman" w:cs="TimesNewRoman"/>
          <w:sz w:val="24"/>
          <w:szCs w:val="24"/>
        </w:rPr>
        <w:t>some fluctu</w:t>
      </w:r>
      <w:r w:rsidR="00152DC6">
        <w:rPr>
          <w:rFonts w:ascii="TimesNewRoman" w:hAnsi="TimesNewRoman" w:cs="TimesNewRoman"/>
          <w:sz w:val="24"/>
          <w:szCs w:val="24"/>
        </w:rPr>
        <w:t>ation from year to another in the five sample banks,</w:t>
      </w:r>
      <w:r w:rsidR="00E47415">
        <w:rPr>
          <w:rFonts w:ascii="TimesNewRoman" w:hAnsi="TimesNewRoman" w:cs="TimesNewRoman"/>
          <w:sz w:val="24"/>
          <w:szCs w:val="24"/>
        </w:rPr>
        <w:t xml:space="preserve"> EQTA was</w:t>
      </w:r>
      <w:r w:rsidR="0058702F">
        <w:rPr>
          <w:rFonts w:ascii="TimesNewRoman" w:hAnsi="TimesNewRoman" w:cs="TimesNewRoman"/>
          <w:sz w:val="24"/>
          <w:szCs w:val="24"/>
        </w:rPr>
        <w:t xml:space="preserve"> the</w:t>
      </w:r>
      <w:r w:rsidR="00E47415">
        <w:rPr>
          <w:rFonts w:ascii="TimesNewRoman" w:hAnsi="TimesNewRoman" w:cs="TimesNewRoman"/>
          <w:sz w:val="24"/>
          <w:szCs w:val="24"/>
        </w:rPr>
        <w:t xml:space="preserve"> hi</w:t>
      </w:r>
      <w:r w:rsidR="00152DC6">
        <w:rPr>
          <w:rFonts w:ascii="TimesNewRoman" w:hAnsi="TimesNewRoman" w:cs="TimesNewRoman"/>
          <w:sz w:val="24"/>
          <w:szCs w:val="24"/>
        </w:rPr>
        <w:t>ghest in 2006 (30%), after that</w:t>
      </w:r>
      <w:r w:rsidR="00E47415">
        <w:rPr>
          <w:rFonts w:ascii="TimesNewRoman" w:hAnsi="TimesNewRoman" w:cs="TimesNewRoman"/>
          <w:sz w:val="24"/>
          <w:szCs w:val="24"/>
        </w:rPr>
        <w:t xml:space="preserve"> it</w:t>
      </w:r>
      <w:r w:rsidR="00FA0B9A">
        <w:rPr>
          <w:rFonts w:ascii="TimesNewRoman" w:hAnsi="TimesNewRoman" w:cs="TimesNewRoman"/>
          <w:sz w:val="24"/>
          <w:szCs w:val="24"/>
        </w:rPr>
        <w:t xml:space="preserve"> continued declining till 2011</w:t>
      </w:r>
      <w:r w:rsidR="0058702F">
        <w:rPr>
          <w:rFonts w:ascii="TimesNewRoman" w:hAnsi="TimesNewRoman" w:cs="TimesNewRoman"/>
          <w:sz w:val="24"/>
          <w:szCs w:val="24"/>
        </w:rPr>
        <w:t xml:space="preserve"> where</w:t>
      </w:r>
      <w:r w:rsidR="00BD21B0">
        <w:rPr>
          <w:rFonts w:ascii="TimesNewRoman" w:hAnsi="TimesNewRoman" w:cs="TimesNewRoman"/>
          <w:sz w:val="24"/>
          <w:szCs w:val="24"/>
        </w:rPr>
        <w:t xml:space="preserve"> reached the lowest </w:t>
      </w:r>
      <w:r w:rsidR="00D513BA">
        <w:rPr>
          <w:rFonts w:ascii="TimesNewRoman" w:hAnsi="TimesNewRoman" w:cs="TimesNewRoman"/>
          <w:sz w:val="24"/>
          <w:szCs w:val="24"/>
        </w:rPr>
        <w:t>(15.6%). This declining was</w:t>
      </w:r>
      <w:r w:rsidR="00152DC6">
        <w:rPr>
          <w:rFonts w:ascii="TimesNewRoman" w:hAnsi="TimesNewRoman" w:cs="TimesNewRoman"/>
          <w:sz w:val="24"/>
          <w:szCs w:val="24"/>
        </w:rPr>
        <w:t xml:space="preserve"> attributed</w:t>
      </w:r>
      <w:r w:rsidR="00BD21B0">
        <w:rPr>
          <w:rFonts w:ascii="TimesNewRoman" w:hAnsi="TimesNewRoman" w:cs="TimesNewRoman"/>
          <w:sz w:val="24"/>
          <w:szCs w:val="24"/>
        </w:rPr>
        <w:t xml:space="preserve"> to the increasing</w:t>
      </w:r>
      <w:r w:rsidR="00187261">
        <w:rPr>
          <w:rFonts w:ascii="TimesNewRoman" w:hAnsi="TimesNewRoman" w:cs="TimesNewRoman"/>
          <w:sz w:val="24"/>
          <w:szCs w:val="24"/>
        </w:rPr>
        <w:t xml:space="preserve"> trend</w:t>
      </w:r>
      <w:r w:rsidR="00D513BA">
        <w:rPr>
          <w:rFonts w:ascii="TimesNewRoman" w:hAnsi="TimesNewRoman" w:cs="TimesNewRoman"/>
          <w:sz w:val="24"/>
          <w:szCs w:val="24"/>
        </w:rPr>
        <w:t xml:space="preserve"> of Bank’s A</w:t>
      </w:r>
      <w:r w:rsidR="0058702F">
        <w:rPr>
          <w:rFonts w:ascii="TimesNewRoman" w:hAnsi="TimesNewRoman" w:cs="TimesNewRoman"/>
          <w:sz w:val="24"/>
          <w:szCs w:val="24"/>
        </w:rPr>
        <w:t>ssets</w:t>
      </w:r>
      <w:r w:rsidR="00BD21B0">
        <w:rPr>
          <w:rFonts w:ascii="TimesNewRoman" w:hAnsi="TimesNewRoman" w:cs="TimesNewRoman"/>
          <w:sz w:val="24"/>
          <w:szCs w:val="24"/>
        </w:rPr>
        <w:t xml:space="preserve"> (particularly from</w:t>
      </w:r>
      <w:r w:rsidR="00152DC6">
        <w:rPr>
          <w:rFonts w:ascii="TimesNewRoman" w:hAnsi="TimesNewRoman" w:cs="TimesNewRoman"/>
          <w:sz w:val="24"/>
          <w:szCs w:val="24"/>
        </w:rPr>
        <w:t xml:space="preserve"> the continuous increasing</w:t>
      </w:r>
      <w:r w:rsidR="00BD21B0">
        <w:rPr>
          <w:rFonts w:ascii="TimesNewRoman" w:hAnsi="TimesNewRoman" w:cs="TimesNewRoman"/>
          <w:sz w:val="24"/>
          <w:szCs w:val="24"/>
        </w:rPr>
        <w:t xml:space="preserve"> rate of credit </w:t>
      </w:r>
      <w:r w:rsidR="00BD21B0" w:rsidRPr="00563D8D">
        <w:rPr>
          <w:rFonts w:ascii="TimesNewRoman" w:hAnsi="TimesNewRoman" w:cs="TimesNewRoman"/>
          <w:sz w:val="24"/>
          <w:szCs w:val="24"/>
        </w:rPr>
        <w:t xml:space="preserve">facilities </w:t>
      </w:r>
      <w:r w:rsidR="00BD21B0">
        <w:rPr>
          <w:rFonts w:ascii="TimesNewRoman" w:hAnsi="TimesNewRoman" w:cs="TimesNewRoman"/>
          <w:sz w:val="24"/>
          <w:szCs w:val="24"/>
        </w:rPr>
        <w:t xml:space="preserve">as a major </w:t>
      </w:r>
      <w:r w:rsidR="00BD21B0" w:rsidRPr="00563D8D">
        <w:rPr>
          <w:rFonts w:ascii="TimesNewRoman" w:hAnsi="TimesNewRoman" w:cs="TimesNewRoman"/>
          <w:sz w:val="24"/>
          <w:szCs w:val="24"/>
        </w:rPr>
        <w:t>componen</w:t>
      </w:r>
      <w:r w:rsidR="00152DC6">
        <w:rPr>
          <w:rFonts w:ascii="TimesNewRoman" w:hAnsi="TimesNewRoman" w:cs="TimesNewRoman"/>
          <w:sz w:val="24"/>
          <w:szCs w:val="24"/>
        </w:rPr>
        <w:t>t of the banks' assets)</w:t>
      </w:r>
      <w:r w:rsidR="0058702F">
        <w:rPr>
          <w:rFonts w:ascii="TimesNewRoman" w:hAnsi="TimesNewRoman" w:cs="TimesNewRoman"/>
          <w:sz w:val="24"/>
          <w:szCs w:val="24"/>
        </w:rPr>
        <w:t xml:space="preserve"> more than the increasin</w:t>
      </w:r>
      <w:r w:rsidR="00152DC6">
        <w:rPr>
          <w:rFonts w:ascii="TimesNewRoman" w:hAnsi="TimesNewRoman" w:cs="TimesNewRoman"/>
          <w:sz w:val="24"/>
          <w:szCs w:val="24"/>
        </w:rPr>
        <w:t>g rate of Shareholder’s Equity. Generally</w:t>
      </w:r>
      <w:r w:rsidR="00C40DF8">
        <w:rPr>
          <w:rFonts w:ascii="TimesNewRoman" w:hAnsi="TimesNewRoman" w:cs="TimesNewRoman"/>
          <w:sz w:val="24"/>
          <w:szCs w:val="24"/>
        </w:rPr>
        <w:t xml:space="preserve"> </w:t>
      </w:r>
      <w:r w:rsidR="00152DC6">
        <w:rPr>
          <w:rFonts w:ascii="TimesNewRoman" w:hAnsi="TimesNewRoman" w:cs="TimesNewRoman"/>
          <w:sz w:val="24"/>
          <w:szCs w:val="24"/>
        </w:rPr>
        <w:t>speaking, despite</w:t>
      </w:r>
      <w:r w:rsidR="00C40DF8">
        <w:rPr>
          <w:rFonts w:ascii="TimesNewRoman" w:hAnsi="TimesNewRoman" w:cs="TimesNewRoman"/>
          <w:sz w:val="24"/>
          <w:szCs w:val="24"/>
        </w:rPr>
        <w:t xml:space="preserve"> the declining trend,</w:t>
      </w:r>
      <w:r w:rsidR="00291873">
        <w:rPr>
          <w:rFonts w:ascii="TimesNewRoman" w:hAnsi="TimesNewRoman" w:cs="TimesNewRoman"/>
          <w:sz w:val="24"/>
          <w:szCs w:val="24"/>
        </w:rPr>
        <w:t xml:space="preserve"> the ratio still higher than neighbor countries as Jordan and Egypt (around 13%) </w:t>
      </w:r>
    </w:p>
    <w:p w:rsidR="00AD7619" w:rsidRPr="00A50FDB" w:rsidRDefault="00AD7619" w:rsidP="00A50FDB">
      <w:pPr>
        <w:spacing w:line="360" w:lineRule="auto"/>
        <w:contextualSpacing/>
        <w:jc w:val="both"/>
        <w:rPr>
          <w:rFonts w:asciiTheme="majorBidi" w:hAnsiTheme="majorBidi" w:cstheme="majorBidi"/>
          <w:sz w:val="24"/>
          <w:szCs w:val="24"/>
        </w:rPr>
      </w:pPr>
    </w:p>
    <w:p w:rsidR="0051486B" w:rsidRPr="00152DC6" w:rsidRDefault="0033278D" w:rsidP="00152DC6">
      <w:pPr>
        <w:spacing w:line="360" w:lineRule="auto"/>
        <w:jc w:val="center"/>
        <w:rPr>
          <w:rFonts w:ascii="TimesNewRoman" w:hAnsi="TimesNewRoman" w:cs="TimesNewRoman"/>
          <w:sz w:val="24"/>
          <w:szCs w:val="24"/>
        </w:rPr>
      </w:pPr>
      <w:r>
        <w:rPr>
          <w:rFonts w:asciiTheme="majorBidi" w:hAnsiTheme="majorBidi" w:cstheme="majorBidi"/>
          <w:b/>
          <w:bCs/>
        </w:rPr>
        <w:t>Table 4.16</w:t>
      </w:r>
      <w:r w:rsidR="00A365B1" w:rsidRPr="00BB296F">
        <w:rPr>
          <w:rFonts w:asciiTheme="majorBidi" w:hAnsiTheme="majorBidi" w:cstheme="majorBidi"/>
          <w:b/>
          <w:bCs/>
        </w:rPr>
        <w:t>:</w:t>
      </w:r>
      <w:r w:rsidR="009F3254">
        <w:rPr>
          <w:rFonts w:asciiTheme="majorBidi" w:hAnsiTheme="majorBidi" w:cstheme="majorBidi"/>
          <w:b/>
          <w:bCs/>
        </w:rPr>
        <w:t xml:space="preserve"> The annual mean score</w:t>
      </w:r>
      <w:r>
        <w:rPr>
          <w:rFonts w:asciiTheme="majorBidi" w:hAnsiTheme="majorBidi" w:cstheme="majorBidi"/>
          <w:b/>
          <w:bCs/>
        </w:rPr>
        <w:t>s (%) of Total Equity to Total A</w:t>
      </w:r>
      <w:r w:rsidR="00A365B1" w:rsidRPr="00BB296F">
        <w:rPr>
          <w:rFonts w:asciiTheme="majorBidi" w:hAnsiTheme="majorBidi" w:cstheme="majorBidi"/>
          <w:b/>
          <w:bCs/>
        </w:rPr>
        <w:t>ssets from 2005-2011</w:t>
      </w:r>
    </w:p>
    <w:tbl>
      <w:tblPr>
        <w:tblStyle w:val="TableGrid"/>
        <w:tblpPr w:leftFromText="180" w:rightFromText="180" w:vertAnchor="text" w:horzAnchor="margin" w:tblpXSpec="center"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002060"/>
        <w:tblLook w:val="04A0"/>
      </w:tblPr>
      <w:tblGrid>
        <w:gridCol w:w="1110"/>
        <w:gridCol w:w="841"/>
        <w:gridCol w:w="709"/>
        <w:gridCol w:w="850"/>
        <w:gridCol w:w="851"/>
        <w:gridCol w:w="709"/>
        <w:gridCol w:w="708"/>
        <w:gridCol w:w="709"/>
        <w:gridCol w:w="1134"/>
      </w:tblGrid>
      <w:tr w:rsidR="00C2614E" w:rsidTr="00E71DEE">
        <w:tc>
          <w:tcPr>
            <w:tcW w:w="1110"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Variable</w:t>
            </w:r>
          </w:p>
        </w:tc>
        <w:tc>
          <w:tcPr>
            <w:tcW w:w="841"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2005</w:t>
            </w:r>
          </w:p>
        </w:tc>
        <w:tc>
          <w:tcPr>
            <w:tcW w:w="709"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2006</w:t>
            </w:r>
          </w:p>
        </w:tc>
        <w:tc>
          <w:tcPr>
            <w:tcW w:w="850"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2007</w:t>
            </w:r>
          </w:p>
        </w:tc>
        <w:tc>
          <w:tcPr>
            <w:tcW w:w="851"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2008</w:t>
            </w:r>
          </w:p>
        </w:tc>
        <w:tc>
          <w:tcPr>
            <w:tcW w:w="709"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2009</w:t>
            </w:r>
          </w:p>
        </w:tc>
        <w:tc>
          <w:tcPr>
            <w:tcW w:w="708"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2010</w:t>
            </w:r>
          </w:p>
        </w:tc>
        <w:tc>
          <w:tcPr>
            <w:tcW w:w="709"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2011</w:t>
            </w:r>
          </w:p>
        </w:tc>
        <w:tc>
          <w:tcPr>
            <w:tcW w:w="1134"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Average Mean</w:t>
            </w:r>
          </w:p>
        </w:tc>
      </w:tr>
      <w:tr w:rsidR="00C2614E" w:rsidTr="00E71DEE">
        <w:trPr>
          <w:trHeight w:val="422"/>
        </w:trPr>
        <w:tc>
          <w:tcPr>
            <w:tcW w:w="1110"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EQTA</w:t>
            </w:r>
          </w:p>
        </w:tc>
        <w:tc>
          <w:tcPr>
            <w:tcW w:w="841"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22.36</w:t>
            </w:r>
          </w:p>
        </w:tc>
        <w:tc>
          <w:tcPr>
            <w:tcW w:w="709"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30</w:t>
            </w:r>
          </w:p>
        </w:tc>
        <w:tc>
          <w:tcPr>
            <w:tcW w:w="850"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20.4</w:t>
            </w:r>
          </w:p>
        </w:tc>
        <w:tc>
          <w:tcPr>
            <w:tcW w:w="851"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21.4</w:t>
            </w:r>
          </w:p>
        </w:tc>
        <w:tc>
          <w:tcPr>
            <w:tcW w:w="709"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17.7</w:t>
            </w:r>
          </w:p>
        </w:tc>
        <w:tc>
          <w:tcPr>
            <w:tcW w:w="708"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16</w:t>
            </w:r>
          </w:p>
        </w:tc>
        <w:tc>
          <w:tcPr>
            <w:tcW w:w="709"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15.6</w:t>
            </w:r>
          </w:p>
        </w:tc>
        <w:tc>
          <w:tcPr>
            <w:tcW w:w="1134" w:type="dxa"/>
            <w:shd w:val="clear" w:color="auto" w:fill="002060"/>
          </w:tcPr>
          <w:p w:rsidR="00C2614E" w:rsidRPr="00C2614E" w:rsidRDefault="00C2614E" w:rsidP="00C2614E">
            <w:pPr>
              <w:jc w:val="center"/>
              <w:rPr>
                <w:rFonts w:asciiTheme="majorBidi" w:hAnsiTheme="majorBidi" w:cstheme="majorBidi"/>
                <w:b/>
                <w:bCs/>
                <w:sz w:val="24"/>
                <w:szCs w:val="24"/>
              </w:rPr>
            </w:pPr>
            <w:r w:rsidRPr="00C2614E">
              <w:rPr>
                <w:rFonts w:asciiTheme="majorBidi" w:hAnsiTheme="majorBidi" w:cstheme="majorBidi"/>
                <w:b/>
                <w:bCs/>
                <w:sz w:val="24"/>
                <w:szCs w:val="24"/>
              </w:rPr>
              <w:t>20.5</w:t>
            </w:r>
          </w:p>
          <w:p w:rsidR="00C2614E" w:rsidRPr="00C2614E" w:rsidRDefault="00C2614E" w:rsidP="00C2614E">
            <w:pPr>
              <w:jc w:val="center"/>
              <w:rPr>
                <w:rFonts w:asciiTheme="majorBidi" w:hAnsiTheme="majorBidi" w:cstheme="majorBidi"/>
                <w:b/>
                <w:bCs/>
                <w:sz w:val="24"/>
                <w:szCs w:val="24"/>
              </w:rPr>
            </w:pPr>
          </w:p>
        </w:tc>
      </w:tr>
    </w:tbl>
    <w:p w:rsidR="00782BFB" w:rsidRDefault="00782BFB" w:rsidP="00C2614E">
      <w:pPr>
        <w:rPr>
          <w:rFonts w:asciiTheme="majorBidi" w:hAnsiTheme="majorBidi" w:cstheme="majorBidi"/>
          <w:sz w:val="24"/>
          <w:szCs w:val="24"/>
        </w:rPr>
      </w:pPr>
    </w:p>
    <w:p w:rsidR="00782BFB" w:rsidRDefault="00782BFB" w:rsidP="00C2614E">
      <w:pPr>
        <w:rPr>
          <w:rFonts w:asciiTheme="majorBidi" w:hAnsiTheme="majorBidi" w:cstheme="majorBidi"/>
          <w:sz w:val="24"/>
          <w:szCs w:val="24"/>
        </w:rPr>
      </w:pPr>
    </w:p>
    <w:p w:rsidR="008608D6" w:rsidRDefault="008608D6" w:rsidP="00152DC6">
      <w:pPr>
        <w:rPr>
          <w:rFonts w:asciiTheme="majorBidi" w:hAnsiTheme="majorBidi" w:cstheme="majorBidi"/>
        </w:rPr>
      </w:pPr>
    </w:p>
    <w:p w:rsidR="00152DC6" w:rsidRPr="00BA14F4" w:rsidRDefault="005A54B8" w:rsidP="00420D73">
      <w:pPr>
        <w:jc w:val="center"/>
        <w:rPr>
          <w:rFonts w:asciiTheme="majorBidi" w:hAnsiTheme="majorBidi" w:cstheme="majorBidi"/>
          <w:b/>
          <w:bCs/>
          <w:sz w:val="20"/>
          <w:szCs w:val="20"/>
        </w:rPr>
      </w:pPr>
      <w:r>
        <w:rPr>
          <w:rFonts w:asciiTheme="majorBidi" w:hAnsiTheme="majorBidi" w:cstheme="majorBidi"/>
          <w:sz w:val="20"/>
          <w:szCs w:val="20"/>
        </w:rPr>
        <w:t>Source: Research D</w:t>
      </w:r>
      <w:r w:rsidR="00AD4005" w:rsidRPr="00BA14F4">
        <w:rPr>
          <w:rFonts w:asciiTheme="majorBidi" w:hAnsiTheme="majorBidi" w:cstheme="majorBidi"/>
          <w:sz w:val="20"/>
          <w:szCs w:val="20"/>
        </w:rPr>
        <w:t>ata, 2013</w:t>
      </w:r>
    </w:p>
    <w:p w:rsidR="00C21F14" w:rsidRDefault="00C21F14" w:rsidP="00D513BA">
      <w:pPr>
        <w:jc w:val="center"/>
        <w:rPr>
          <w:rFonts w:asciiTheme="majorBidi" w:hAnsiTheme="majorBidi" w:cstheme="majorBidi"/>
          <w:b/>
          <w:bCs/>
        </w:rPr>
      </w:pPr>
    </w:p>
    <w:p w:rsidR="00CE41FC" w:rsidRPr="00152DC6" w:rsidRDefault="00FC0744" w:rsidP="00D513BA">
      <w:pPr>
        <w:jc w:val="center"/>
        <w:rPr>
          <w:rFonts w:asciiTheme="majorBidi" w:hAnsiTheme="majorBidi" w:cstheme="majorBidi"/>
          <w:b/>
          <w:bCs/>
          <w:sz w:val="24"/>
          <w:szCs w:val="24"/>
        </w:rPr>
      </w:pPr>
      <w:r w:rsidRPr="00BB296F">
        <w:rPr>
          <w:rFonts w:asciiTheme="majorBidi" w:hAnsiTheme="majorBidi" w:cstheme="majorBidi"/>
          <w:b/>
          <w:bCs/>
        </w:rPr>
        <w:lastRenderedPageBreak/>
        <w:t>Figure 4.19</w:t>
      </w:r>
      <w:r w:rsidR="009F3254">
        <w:rPr>
          <w:rFonts w:asciiTheme="majorBidi" w:hAnsiTheme="majorBidi" w:cstheme="majorBidi"/>
          <w:b/>
          <w:bCs/>
        </w:rPr>
        <w:t>: Capital A</w:t>
      </w:r>
      <w:r w:rsidR="00CE41FC" w:rsidRPr="00BB296F">
        <w:rPr>
          <w:rFonts w:asciiTheme="majorBidi" w:hAnsiTheme="majorBidi" w:cstheme="majorBidi"/>
          <w:b/>
          <w:bCs/>
        </w:rPr>
        <w:t>dequacy from 2005 till 2011 in (%)</w:t>
      </w:r>
    </w:p>
    <w:p w:rsidR="0047089C" w:rsidRDefault="0047089C" w:rsidP="007D0F58">
      <w:pPr>
        <w:jc w:val="center"/>
        <w:rPr>
          <w:rFonts w:asciiTheme="majorBidi" w:hAnsiTheme="majorBidi" w:cstheme="majorBidi"/>
          <w:b/>
          <w:bCs/>
          <w:sz w:val="28"/>
          <w:szCs w:val="28"/>
        </w:rPr>
      </w:pPr>
      <w:r w:rsidRPr="0047089C">
        <w:rPr>
          <w:rFonts w:asciiTheme="majorBidi" w:hAnsiTheme="majorBidi" w:cstheme="majorBidi"/>
          <w:b/>
          <w:bCs/>
          <w:noProof/>
          <w:sz w:val="28"/>
          <w:szCs w:val="28"/>
        </w:rPr>
        <w:drawing>
          <wp:inline distT="0" distB="0" distL="0" distR="0">
            <wp:extent cx="4882551" cy="1725283"/>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365B1" w:rsidRPr="001B6D4E" w:rsidRDefault="004550D4" w:rsidP="0054691D">
      <w:pPr>
        <w:spacing w:after="0" w:line="360" w:lineRule="auto"/>
        <w:rPr>
          <w:rFonts w:asciiTheme="majorBidi" w:hAnsiTheme="majorBidi" w:cstheme="majorBidi"/>
          <w:b/>
          <w:bCs/>
          <w:sz w:val="24"/>
          <w:szCs w:val="24"/>
        </w:rPr>
      </w:pPr>
      <w:r w:rsidRPr="001B6D4E">
        <w:rPr>
          <w:rFonts w:asciiTheme="majorBidi" w:hAnsiTheme="majorBidi" w:cstheme="majorBidi"/>
          <w:b/>
          <w:bCs/>
          <w:sz w:val="24"/>
          <w:szCs w:val="24"/>
        </w:rPr>
        <w:t xml:space="preserve">4.2.4 </w:t>
      </w:r>
      <w:r w:rsidR="000E136A">
        <w:rPr>
          <w:rFonts w:asciiTheme="majorBidi" w:hAnsiTheme="majorBidi" w:cstheme="majorBidi"/>
          <w:b/>
          <w:bCs/>
          <w:i/>
          <w:iCs/>
          <w:sz w:val="24"/>
          <w:szCs w:val="24"/>
        </w:rPr>
        <w:t>Trend Analysis of Non I</w:t>
      </w:r>
      <w:r w:rsidR="00BB296F">
        <w:rPr>
          <w:rFonts w:asciiTheme="majorBidi" w:hAnsiTheme="majorBidi" w:cstheme="majorBidi"/>
          <w:b/>
          <w:bCs/>
          <w:i/>
          <w:iCs/>
          <w:sz w:val="24"/>
          <w:szCs w:val="24"/>
        </w:rPr>
        <w:t>nterest I</w:t>
      </w:r>
      <w:r w:rsidRPr="001B6D4E">
        <w:rPr>
          <w:rFonts w:asciiTheme="majorBidi" w:hAnsiTheme="majorBidi" w:cstheme="majorBidi"/>
          <w:b/>
          <w:bCs/>
          <w:i/>
          <w:iCs/>
          <w:sz w:val="24"/>
          <w:szCs w:val="24"/>
        </w:rPr>
        <w:t>ncome</w:t>
      </w:r>
      <w:r w:rsidR="00CB3916">
        <w:rPr>
          <w:rFonts w:asciiTheme="majorBidi" w:hAnsiTheme="majorBidi" w:cstheme="majorBidi"/>
          <w:b/>
          <w:bCs/>
          <w:sz w:val="24"/>
          <w:szCs w:val="24"/>
        </w:rPr>
        <w:t xml:space="preserve"> </w:t>
      </w:r>
      <w:r w:rsidR="00241400">
        <w:rPr>
          <w:rFonts w:asciiTheme="majorBidi" w:hAnsiTheme="majorBidi" w:cstheme="majorBidi"/>
          <w:b/>
          <w:bCs/>
          <w:i/>
          <w:iCs/>
          <w:sz w:val="24"/>
          <w:szCs w:val="24"/>
        </w:rPr>
        <w:t>(NIDR) (Income</w:t>
      </w:r>
      <w:r w:rsidR="00CB3916" w:rsidRPr="00CB3916">
        <w:rPr>
          <w:rFonts w:asciiTheme="majorBidi" w:hAnsiTheme="majorBidi" w:cstheme="majorBidi"/>
          <w:b/>
          <w:bCs/>
          <w:i/>
          <w:iCs/>
          <w:sz w:val="24"/>
          <w:szCs w:val="24"/>
        </w:rPr>
        <w:t xml:space="preserve"> Diversification)</w:t>
      </w:r>
    </w:p>
    <w:p w:rsidR="0054691D" w:rsidRDefault="0033278D" w:rsidP="0054691D">
      <w:pPr>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Table 4.17</w:t>
      </w:r>
      <w:r w:rsidR="00CB3916">
        <w:rPr>
          <w:rFonts w:asciiTheme="majorBidi" w:hAnsiTheme="majorBidi" w:cstheme="majorBidi"/>
          <w:sz w:val="24"/>
          <w:szCs w:val="24"/>
        </w:rPr>
        <w:t xml:space="preserve"> reported</w:t>
      </w:r>
      <w:r w:rsidR="00B426A7" w:rsidRPr="0052466A">
        <w:rPr>
          <w:rFonts w:asciiTheme="majorBidi" w:hAnsiTheme="majorBidi" w:cstheme="majorBidi"/>
          <w:sz w:val="24"/>
          <w:szCs w:val="24"/>
        </w:rPr>
        <w:t xml:space="preserve"> the mean scores of </w:t>
      </w:r>
      <w:r w:rsidR="00CB3916">
        <w:rPr>
          <w:rFonts w:asciiTheme="majorBidi" w:hAnsiTheme="majorBidi" w:cstheme="majorBidi"/>
          <w:sz w:val="24"/>
          <w:szCs w:val="24"/>
        </w:rPr>
        <w:t>Noninterest Income to Total Income (NIDR).</w:t>
      </w:r>
      <w:r w:rsidR="00B426A7">
        <w:rPr>
          <w:rFonts w:asciiTheme="majorBidi" w:hAnsiTheme="majorBidi" w:cstheme="majorBidi"/>
          <w:sz w:val="24"/>
          <w:szCs w:val="24"/>
        </w:rPr>
        <w:t xml:space="preserve"> The </w:t>
      </w:r>
      <w:r w:rsidR="009070F6">
        <w:rPr>
          <w:rFonts w:asciiTheme="majorBidi" w:hAnsiTheme="majorBidi" w:cstheme="majorBidi"/>
          <w:sz w:val="24"/>
          <w:szCs w:val="24"/>
        </w:rPr>
        <w:t>results suggest</w:t>
      </w:r>
      <w:r w:rsidR="00CB3916">
        <w:rPr>
          <w:rFonts w:asciiTheme="majorBidi" w:hAnsiTheme="majorBidi" w:cstheme="majorBidi"/>
          <w:sz w:val="24"/>
          <w:szCs w:val="24"/>
        </w:rPr>
        <w:t>ed</w:t>
      </w:r>
      <w:r w:rsidR="009070F6">
        <w:rPr>
          <w:rFonts w:asciiTheme="majorBidi" w:hAnsiTheme="majorBidi" w:cstheme="majorBidi"/>
          <w:sz w:val="24"/>
          <w:szCs w:val="24"/>
        </w:rPr>
        <w:t xml:space="preserve"> that about 32% </w:t>
      </w:r>
      <w:r w:rsidR="00D03F9A">
        <w:rPr>
          <w:rFonts w:asciiTheme="majorBidi" w:hAnsiTheme="majorBidi" w:cstheme="majorBidi"/>
          <w:sz w:val="24"/>
          <w:szCs w:val="24"/>
        </w:rPr>
        <w:t>of the total income of the sample</w:t>
      </w:r>
      <w:r w:rsidR="00CB3916">
        <w:rPr>
          <w:rFonts w:asciiTheme="majorBidi" w:hAnsiTheme="majorBidi" w:cstheme="majorBidi"/>
          <w:sz w:val="24"/>
          <w:szCs w:val="24"/>
        </w:rPr>
        <w:t xml:space="preserve"> banks were</w:t>
      </w:r>
      <w:r w:rsidR="00D513BA">
        <w:rPr>
          <w:rFonts w:asciiTheme="majorBidi" w:hAnsiTheme="majorBidi" w:cstheme="majorBidi"/>
          <w:sz w:val="24"/>
          <w:szCs w:val="24"/>
        </w:rPr>
        <w:t xml:space="preserve"> from Noninterest Income </w:t>
      </w:r>
      <w:r w:rsidR="009070F6">
        <w:rPr>
          <w:rFonts w:asciiTheme="majorBidi" w:hAnsiTheme="majorBidi" w:cstheme="majorBidi"/>
          <w:sz w:val="24"/>
          <w:szCs w:val="24"/>
        </w:rPr>
        <w:t>while the remaining 68</w:t>
      </w:r>
      <w:r w:rsidR="00CB3916">
        <w:rPr>
          <w:rFonts w:asciiTheme="majorBidi" w:hAnsiTheme="majorBidi" w:cstheme="majorBidi"/>
          <w:sz w:val="24"/>
          <w:szCs w:val="24"/>
        </w:rPr>
        <w:t xml:space="preserve">% were </w:t>
      </w:r>
      <w:r w:rsidR="009070F6">
        <w:rPr>
          <w:rFonts w:asciiTheme="majorBidi" w:hAnsiTheme="majorBidi" w:cstheme="majorBidi"/>
          <w:sz w:val="24"/>
          <w:szCs w:val="24"/>
        </w:rPr>
        <w:t xml:space="preserve">from interest products. </w:t>
      </w:r>
      <w:r w:rsidR="00BF5B38">
        <w:rPr>
          <w:rFonts w:asciiTheme="majorBidi" w:hAnsiTheme="majorBidi" w:cstheme="majorBidi"/>
          <w:sz w:val="24"/>
          <w:szCs w:val="24"/>
        </w:rPr>
        <w:t>F</w:t>
      </w:r>
      <w:r>
        <w:rPr>
          <w:rFonts w:asciiTheme="majorBidi" w:hAnsiTheme="majorBidi" w:cstheme="majorBidi"/>
          <w:sz w:val="24"/>
          <w:szCs w:val="24"/>
        </w:rPr>
        <w:t>igure 4.20</w:t>
      </w:r>
      <w:r w:rsidR="00CB3916">
        <w:rPr>
          <w:rFonts w:asciiTheme="majorBidi" w:hAnsiTheme="majorBidi" w:cstheme="majorBidi"/>
          <w:sz w:val="24"/>
          <w:szCs w:val="24"/>
        </w:rPr>
        <w:t xml:space="preserve"> showed</w:t>
      </w:r>
      <w:r w:rsidR="00D14DEB">
        <w:rPr>
          <w:rFonts w:asciiTheme="majorBidi" w:hAnsiTheme="majorBidi" w:cstheme="majorBidi"/>
          <w:sz w:val="24"/>
          <w:szCs w:val="24"/>
        </w:rPr>
        <w:t xml:space="preserve"> </w:t>
      </w:r>
      <w:r w:rsidR="00CB3916">
        <w:rPr>
          <w:rFonts w:asciiTheme="majorBidi" w:hAnsiTheme="majorBidi" w:cstheme="majorBidi"/>
          <w:sz w:val="24"/>
          <w:szCs w:val="24"/>
        </w:rPr>
        <w:t>that Palestinian banks still largely</w:t>
      </w:r>
      <w:r w:rsidR="00D513BA">
        <w:rPr>
          <w:rFonts w:asciiTheme="majorBidi" w:hAnsiTheme="majorBidi" w:cstheme="majorBidi"/>
          <w:sz w:val="24"/>
          <w:szCs w:val="24"/>
        </w:rPr>
        <w:t xml:space="preserve"> depend</w:t>
      </w:r>
      <w:r w:rsidR="00CB3916">
        <w:rPr>
          <w:rFonts w:asciiTheme="majorBidi" w:hAnsiTheme="majorBidi" w:cstheme="majorBidi"/>
          <w:sz w:val="24"/>
          <w:szCs w:val="24"/>
        </w:rPr>
        <w:t xml:space="preserve"> on interest income in generating their income</w:t>
      </w:r>
      <w:r w:rsidR="006605F8">
        <w:rPr>
          <w:rFonts w:asciiTheme="majorBidi" w:hAnsiTheme="majorBidi" w:cstheme="majorBidi"/>
          <w:sz w:val="24"/>
          <w:szCs w:val="24"/>
        </w:rPr>
        <w:t xml:space="preserve"> with </w:t>
      </w:r>
      <w:r w:rsidR="00D14DEB">
        <w:rPr>
          <w:rFonts w:asciiTheme="majorBidi" w:hAnsiTheme="majorBidi" w:cstheme="majorBidi"/>
          <w:sz w:val="24"/>
          <w:szCs w:val="24"/>
        </w:rPr>
        <w:t>fluctuation</w:t>
      </w:r>
      <w:r w:rsidR="00D03F9A">
        <w:rPr>
          <w:rFonts w:asciiTheme="majorBidi" w:hAnsiTheme="majorBidi" w:cstheme="majorBidi"/>
          <w:sz w:val="24"/>
          <w:szCs w:val="24"/>
        </w:rPr>
        <w:t xml:space="preserve"> trend of noninterest income</w:t>
      </w:r>
      <w:r w:rsidR="006605F8">
        <w:rPr>
          <w:rFonts w:asciiTheme="majorBidi" w:hAnsiTheme="majorBidi" w:cstheme="majorBidi"/>
          <w:sz w:val="24"/>
          <w:szCs w:val="24"/>
        </w:rPr>
        <w:t xml:space="preserve"> activities,</w:t>
      </w:r>
      <w:r w:rsidR="003B2F3D">
        <w:rPr>
          <w:rFonts w:asciiTheme="majorBidi" w:hAnsiTheme="majorBidi" w:cstheme="majorBidi"/>
          <w:sz w:val="24"/>
          <w:szCs w:val="24"/>
        </w:rPr>
        <w:t xml:space="preserve"> since the major revenue generated by commercial banks </w:t>
      </w:r>
      <w:r w:rsidR="00C40DF8">
        <w:rPr>
          <w:rFonts w:asciiTheme="majorBidi" w:hAnsiTheme="majorBidi" w:cstheme="majorBidi"/>
          <w:sz w:val="24"/>
          <w:szCs w:val="24"/>
        </w:rPr>
        <w:t>comes</w:t>
      </w:r>
      <w:r w:rsidR="003B2F3D">
        <w:rPr>
          <w:rFonts w:asciiTheme="majorBidi" w:hAnsiTheme="majorBidi" w:cstheme="majorBidi"/>
          <w:sz w:val="24"/>
          <w:szCs w:val="24"/>
        </w:rPr>
        <w:t xml:space="preserve"> from lending activities. </w:t>
      </w:r>
      <w:r w:rsidR="00BF5B38">
        <w:rPr>
          <w:rFonts w:asciiTheme="majorBidi" w:hAnsiTheme="majorBidi" w:cstheme="majorBidi"/>
          <w:sz w:val="24"/>
          <w:szCs w:val="24"/>
        </w:rPr>
        <w:t xml:space="preserve">The mean score of NIDR </w:t>
      </w:r>
      <w:r w:rsidR="006605F8">
        <w:rPr>
          <w:rFonts w:asciiTheme="majorBidi" w:hAnsiTheme="majorBidi" w:cstheme="majorBidi"/>
          <w:sz w:val="24"/>
          <w:szCs w:val="24"/>
        </w:rPr>
        <w:t xml:space="preserve">for the </w:t>
      </w:r>
      <w:r w:rsidR="00BF5B38" w:rsidRPr="0052466A">
        <w:rPr>
          <w:rFonts w:asciiTheme="majorBidi" w:hAnsiTheme="majorBidi" w:cstheme="majorBidi"/>
          <w:sz w:val="24"/>
          <w:szCs w:val="24"/>
        </w:rPr>
        <w:t>fiv</w:t>
      </w:r>
      <w:r w:rsidR="00BF5B38">
        <w:rPr>
          <w:rFonts w:asciiTheme="majorBidi" w:hAnsiTheme="majorBidi" w:cstheme="majorBidi"/>
          <w:sz w:val="24"/>
          <w:szCs w:val="24"/>
        </w:rPr>
        <w:t xml:space="preserve">e </w:t>
      </w:r>
      <w:r w:rsidR="006605F8">
        <w:rPr>
          <w:rFonts w:asciiTheme="majorBidi" w:hAnsiTheme="majorBidi" w:cstheme="majorBidi"/>
          <w:sz w:val="24"/>
          <w:szCs w:val="24"/>
        </w:rPr>
        <w:t>sample banks</w:t>
      </w:r>
      <w:r w:rsidR="00BF5B38">
        <w:rPr>
          <w:rFonts w:asciiTheme="majorBidi" w:hAnsiTheme="majorBidi" w:cstheme="majorBidi"/>
          <w:sz w:val="24"/>
          <w:szCs w:val="24"/>
        </w:rPr>
        <w:t xml:space="preserve"> reached the peak in</w:t>
      </w:r>
      <w:r w:rsidR="00D513BA">
        <w:rPr>
          <w:rFonts w:asciiTheme="majorBidi" w:hAnsiTheme="majorBidi" w:cstheme="majorBidi"/>
          <w:sz w:val="24"/>
          <w:szCs w:val="24"/>
        </w:rPr>
        <w:t xml:space="preserve"> </w:t>
      </w:r>
      <w:r w:rsidR="00BF5B38">
        <w:rPr>
          <w:rFonts w:asciiTheme="majorBidi" w:hAnsiTheme="majorBidi" w:cstheme="majorBidi"/>
          <w:sz w:val="24"/>
          <w:szCs w:val="24"/>
        </w:rPr>
        <w:t>2009 (40</w:t>
      </w:r>
      <w:r w:rsidR="00BF5B38" w:rsidRPr="0052466A">
        <w:rPr>
          <w:rFonts w:asciiTheme="majorBidi" w:hAnsiTheme="majorBidi" w:cstheme="majorBidi"/>
          <w:sz w:val="24"/>
          <w:szCs w:val="24"/>
        </w:rPr>
        <w:t>%)</w:t>
      </w:r>
      <w:r w:rsidR="006605F8">
        <w:rPr>
          <w:rFonts w:asciiTheme="majorBidi" w:hAnsiTheme="majorBidi" w:cstheme="majorBidi"/>
          <w:sz w:val="24"/>
          <w:szCs w:val="24"/>
        </w:rPr>
        <w:t xml:space="preserve"> which was</w:t>
      </w:r>
      <w:r w:rsidR="007D0F58">
        <w:rPr>
          <w:rFonts w:asciiTheme="majorBidi" w:hAnsiTheme="majorBidi" w:cstheme="majorBidi"/>
          <w:sz w:val="24"/>
          <w:szCs w:val="24"/>
        </w:rPr>
        <w:t xml:space="preserve"> reflected in the increased r</w:t>
      </w:r>
      <w:r w:rsidR="00A54BEE">
        <w:rPr>
          <w:rFonts w:asciiTheme="majorBidi" w:hAnsiTheme="majorBidi" w:cstheme="majorBidi"/>
          <w:sz w:val="24"/>
          <w:szCs w:val="24"/>
        </w:rPr>
        <w:t xml:space="preserve">ate of ROA and ROE in that year by 190% and 8.4% respectively. This </w:t>
      </w:r>
      <w:r w:rsidR="006605F8">
        <w:rPr>
          <w:rFonts w:asciiTheme="majorBidi" w:hAnsiTheme="majorBidi" w:cstheme="majorBidi"/>
          <w:sz w:val="24"/>
          <w:szCs w:val="24"/>
        </w:rPr>
        <w:t>increase was attributed</w:t>
      </w:r>
      <w:r w:rsidR="00A54BEE">
        <w:rPr>
          <w:rFonts w:asciiTheme="majorBidi" w:hAnsiTheme="majorBidi" w:cstheme="majorBidi"/>
          <w:sz w:val="24"/>
          <w:szCs w:val="24"/>
        </w:rPr>
        <w:t xml:space="preserve"> </w:t>
      </w:r>
      <w:r w:rsidR="00A54BEE" w:rsidRPr="0052466A">
        <w:rPr>
          <w:rFonts w:asciiTheme="majorBidi" w:hAnsiTheme="majorBidi" w:cstheme="majorBidi"/>
          <w:sz w:val="24"/>
          <w:szCs w:val="24"/>
        </w:rPr>
        <w:t>to</w:t>
      </w:r>
      <w:r w:rsidR="00BF5B38">
        <w:rPr>
          <w:rFonts w:asciiTheme="majorBidi" w:hAnsiTheme="majorBidi" w:cstheme="majorBidi"/>
          <w:sz w:val="24"/>
          <w:szCs w:val="24"/>
        </w:rPr>
        <w:t xml:space="preserve"> the financial </w:t>
      </w:r>
      <w:r w:rsidR="003B2F3D">
        <w:rPr>
          <w:rFonts w:asciiTheme="majorBidi" w:hAnsiTheme="majorBidi" w:cstheme="majorBidi"/>
          <w:sz w:val="24"/>
          <w:szCs w:val="24"/>
        </w:rPr>
        <w:t>crisis hitting the word in</w:t>
      </w:r>
      <w:r w:rsidR="006605F8">
        <w:rPr>
          <w:rFonts w:asciiTheme="majorBidi" w:hAnsiTheme="majorBidi" w:cstheme="majorBidi"/>
          <w:sz w:val="24"/>
          <w:szCs w:val="24"/>
        </w:rPr>
        <w:t xml:space="preserve"> </w:t>
      </w:r>
      <w:r w:rsidR="007D0F58">
        <w:rPr>
          <w:rFonts w:asciiTheme="majorBidi" w:hAnsiTheme="majorBidi" w:cstheme="majorBidi"/>
          <w:sz w:val="24"/>
          <w:szCs w:val="24"/>
        </w:rPr>
        <w:t>2007-</w:t>
      </w:r>
      <w:r w:rsidR="003B2F3D">
        <w:rPr>
          <w:rFonts w:asciiTheme="majorBidi" w:hAnsiTheme="majorBidi" w:cstheme="majorBidi"/>
          <w:sz w:val="24"/>
          <w:szCs w:val="24"/>
        </w:rPr>
        <w:t xml:space="preserve"> 2008, in which banks became conservat</w:t>
      </w:r>
      <w:r w:rsidR="00A54BEE">
        <w:rPr>
          <w:rFonts w:asciiTheme="majorBidi" w:hAnsiTheme="majorBidi" w:cstheme="majorBidi"/>
          <w:sz w:val="24"/>
          <w:szCs w:val="24"/>
        </w:rPr>
        <w:t xml:space="preserve">ive in their lending operations and </w:t>
      </w:r>
      <w:r w:rsidR="000B5050">
        <w:rPr>
          <w:rFonts w:asciiTheme="majorBidi" w:hAnsiTheme="majorBidi" w:cstheme="majorBidi"/>
          <w:sz w:val="24"/>
          <w:szCs w:val="24"/>
        </w:rPr>
        <w:t>expand or depend largely on fee based services.</w:t>
      </w:r>
    </w:p>
    <w:p w:rsidR="00CA6806" w:rsidRPr="00BB296F" w:rsidRDefault="000B5050" w:rsidP="00863862">
      <w:pPr>
        <w:spacing w:after="0" w:line="360" w:lineRule="auto"/>
        <w:contextualSpacing/>
        <w:jc w:val="both"/>
        <w:rPr>
          <w:rFonts w:asciiTheme="majorBidi" w:hAnsiTheme="majorBidi" w:cstheme="majorBidi"/>
          <w:b/>
          <w:bCs/>
        </w:rPr>
      </w:pPr>
      <w:r>
        <w:rPr>
          <w:rFonts w:asciiTheme="majorBidi" w:hAnsiTheme="majorBidi" w:cstheme="majorBidi"/>
          <w:sz w:val="24"/>
          <w:szCs w:val="24"/>
        </w:rPr>
        <w:t xml:space="preserve"> </w:t>
      </w:r>
      <w:r w:rsidR="0033278D">
        <w:rPr>
          <w:rFonts w:asciiTheme="majorBidi" w:hAnsiTheme="majorBidi" w:cstheme="majorBidi"/>
          <w:b/>
          <w:bCs/>
        </w:rPr>
        <w:t>Table 4.17</w:t>
      </w:r>
      <w:r w:rsidR="00CA6806" w:rsidRPr="00BB296F">
        <w:rPr>
          <w:rFonts w:asciiTheme="majorBidi" w:hAnsiTheme="majorBidi" w:cstheme="majorBidi"/>
          <w:b/>
          <w:bCs/>
        </w:rPr>
        <w:t>:</w:t>
      </w:r>
      <w:r w:rsidR="009F3254">
        <w:rPr>
          <w:rFonts w:asciiTheme="majorBidi" w:hAnsiTheme="majorBidi" w:cstheme="majorBidi"/>
          <w:b/>
          <w:bCs/>
        </w:rPr>
        <w:t xml:space="preserve"> The annual mean scores (%) of Noninterest Income to Total I</w:t>
      </w:r>
      <w:r w:rsidR="00CA6806" w:rsidRPr="00BB296F">
        <w:rPr>
          <w:rFonts w:asciiTheme="majorBidi" w:hAnsiTheme="majorBidi" w:cstheme="majorBidi"/>
          <w:b/>
          <w:bCs/>
        </w:rPr>
        <w:t>ncome from 2005-2011</w:t>
      </w:r>
    </w:p>
    <w:tbl>
      <w:tblPr>
        <w:tblStyle w:val="TableGrid"/>
        <w:tblpPr w:leftFromText="180" w:rightFromText="180" w:vertAnchor="text" w:horzAnchor="margin" w:tblpXSpec="center" w:tblpY="2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002060"/>
        <w:tblLook w:val="04A0"/>
      </w:tblPr>
      <w:tblGrid>
        <w:gridCol w:w="1110"/>
        <w:gridCol w:w="699"/>
        <w:gridCol w:w="709"/>
        <w:gridCol w:w="709"/>
        <w:gridCol w:w="709"/>
        <w:gridCol w:w="708"/>
        <w:gridCol w:w="709"/>
        <w:gridCol w:w="709"/>
        <w:gridCol w:w="1559"/>
      </w:tblGrid>
      <w:tr w:rsidR="00BF5B38" w:rsidTr="00E71DEE">
        <w:tc>
          <w:tcPr>
            <w:tcW w:w="1110"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Variable</w:t>
            </w:r>
          </w:p>
        </w:tc>
        <w:tc>
          <w:tcPr>
            <w:tcW w:w="69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2005</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2006</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2007</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2008</w:t>
            </w:r>
          </w:p>
        </w:tc>
        <w:tc>
          <w:tcPr>
            <w:tcW w:w="708"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2009</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2010</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2011</w:t>
            </w:r>
          </w:p>
        </w:tc>
        <w:tc>
          <w:tcPr>
            <w:tcW w:w="155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Average Mean</w:t>
            </w:r>
          </w:p>
        </w:tc>
      </w:tr>
      <w:tr w:rsidR="00BF5B38" w:rsidTr="00E71DEE">
        <w:tc>
          <w:tcPr>
            <w:tcW w:w="1110" w:type="dxa"/>
            <w:shd w:val="clear" w:color="auto" w:fill="002060"/>
          </w:tcPr>
          <w:p w:rsidR="00BF5B38" w:rsidRPr="00BD74BA" w:rsidRDefault="00BF5B38" w:rsidP="00BF5B38">
            <w:pPr>
              <w:jc w:val="center"/>
              <w:rPr>
                <w:rFonts w:asciiTheme="majorBidi" w:hAnsiTheme="majorBidi" w:cstheme="majorBidi"/>
                <w:b/>
                <w:bCs/>
                <w:sz w:val="24"/>
                <w:szCs w:val="24"/>
              </w:rPr>
            </w:pPr>
            <w:r>
              <w:rPr>
                <w:rFonts w:asciiTheme="majorBidi" w:hAnsiTheme="majorBidi" w:cstheme="majorBidi"/>
                <w:b/>
                <w:bCs/>
                <w:sz w:val="24"/>
                <w:szCs w:val="24"/>
              </w:rPr>
              <w:t>NIDR</w:t>
            </w:r>
          </w:p>
        </w:tc>
        <w:tc>
          <w:tcPr>
            <w:tcW w:w="69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34.8</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26</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24.6</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28.5</w:t>
            </w:r>
          </w:p>
        </w:tc>
        <w:tc>
          <w:tcPr>
            <w:tcW w:w="708"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40</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35.3</w:t>
            </w:r>
          </w:p>
        </w:tc>
        <w:tc>
          <w:tcPr>
            <w:tcW w:w="70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34.7</w:t>
            </w:r>
          </w:p>
          <w:p w:rsidR="00BF5B38" w:rsidRPr="00897155" w:rsidRDefault="00BF5B38" w:rsidP="00BF5B38">
            <w:pPr>
              <w:jc w:val="center"/>
              <w:rPr>
                <w:rFonts w:asciiTheme="majorBidi" w:hAnsiTheme="majorBidi" w:cstheme="majorBidi"/>
                <w:b/>
                <w:bCs/>
                <w:sz w:val="24"/>
                <w:szCs w:val="24"/>
              </w:rPr>
            </w:pPr>
          </w:p>
        </w:tc>
        <w:tc>
          <w:tcPr>
            <w:tcW w:w="1559" w:type="dxa"/>
            <w:shd w:val="clear" w:color="auto" w:fill="002060"/>
          </w:tcPr>
          <w:p w:rsidR="00BF5B38" w:rsidRPr="00897155" w:rsidRDefault="00BF5B38" w:rsidP="00BF5B38">
            <w:pPr>
              <w:jc w:val="center"/>
              <w:rPr>
                <w:rFonts w:asciiTheme="majorBidi" w:hAnsiTheme="majorBidi" w:cstheme="majorBidi"/>
                <w:b/>
                <w:bCs/>
                <w:sz w:val="24"/>
                <w:szCs w:val="24"/>
              </w:rPr>
            </w:pPr>
            <w:r w:rsidRPr="00897155">
              <w:rPr>
                <w:rFonts w:asciiTheme="majorBidi" w:hAnsiTheme="majorBidi" w:cstheme="majorBidi"/>
                <w:b/>
                <w:bCs/>
                <w:sz w:val="24"/>
                <w:szCs w:val="24"/>
              </w:rPr>
              <w:t>32</w:t>
            </w:r>
          </w:p>
        </w:tc>
      </w:tr>
    </w:tbl>
    <w:p w:rsidR="007D0F58" w:rsidRDefault="007D0F58" w:rsidP="007209B1">
      <w:pPr>
        <w:rPr>
          <w:rFonts w:asciiTheme="majorBidi" w:hAnsiTheme="majorBidi" w:cstheme="majorBidi"/>
          <w:sz w:val="24"/>
          <w:szCs w:val="24"/>
        </w:rPr>
      </w:pPr>
    </w:p>
    <w:p w:rsidR="007D0F58" w:rsidRDefault="007D0F58" w:rsidP="007209B1">
      <w:pPr>
        <w:rPr>
          <w:rFonts w:asciiTheme="majorBidi" w:hAnsiTheme="majorBidi" w:cstheme="majorBidi"/>
          <w:sz w:val="24"/>
          <w:szCs w:val="24"/>
        </w:rPr>
      </w:pPr>
    </w:p>
    <w:p w:rsidR="00A50FDB" w:rsidRDefault="00A50FDB" w:rsidP="00BB296F">
      <w:pPr>
        <w:rPr>
          <w:rFonts w:asciiTheme="majorBidi" w:hAnsiTheme="majorBidi" w:cstheme="majorBidi"/>
        </w:rPr>
      </w:pPr>
    </w:p>
    <w:p w:rsidR="00BD74BA" w:rsidRPr="00BA14F4" w:rsidRDefault="005A54B8" w:rsidP="00420D73">
      <w:pPr>
        <w:jc w:val="center"/>
        <w:rPr>
          <w:rFonts w:asciiTheme="majorBidi" w:hAnsiTheme="majorBidi" w:cstheme="majorBidi"/>
          <w:sz w:val="20"/>
          <w:szCs w:val="20"/>
        </w:rPr>
      </w:pPr>
      <w:r>
        <w:rPr>
          <w:rFonts w:asciiTheme="majorBidi" w:hAnsiTheme="majorBidi" w:cstheme="majorBidi"/>
          <w:sz w:val="20"/>
          <w:szCs w:val="20"/>
        </w:rPr>
        <w:t>Source: Research D</w:t>
      </w:r>
      <w:r w:rsidR="00CC0C16" w:rsidRPr="00BA14F4">
        <w:rPr>
          <w:rFonts w:asciiTheme="majorBidi" w:hAnsiTheme="majorBidi" w:cstheme="majorBidi"/>
          <w:sz w:val="20"/>
          <w:szCs w:val="20"/>
        </w:rPr>
        <w:t>ata, 2013</w:t>
      </w:r>
    </w:p>
    <w:p w:rsidR="00897155" w:rsidRPr="00BB296F" w:rsidRDefault="00FC0744" w:rsidP="00420D73">
      <w:pPr>
        <w:jc w:val="center"/>
        <w:rPr>
          <w:rFonts w:asciiTheme="majorBidi" w:hAnsiTheme="majorBidi" w:cstheme="majorBidi"/>
          <w:b/>
          <w:bCs/>
        </w:rPr>
      </w:pPr>
      <w:r w:rsidRPr="00BB296F">
        <w:rPr>
          <w:rFonts w:asciiTheme="majorBidi" w:hAnsiTheme="majorBidi" w:cstheme="majorBidi"/>
          <w:b/>
          <w:bCs/>
        </w:rPr>
        <w:t>Figure 4.20</w:t>
      </w:r>
      <w:r w:rsidR="009F3254">
        <w:rPr>
          <w:rFonts w:asciiTheme="majorBidi" w:hAnsiTheme="majorBidi" w:cstheme="majorBidi"/>
          <w:b/>
          <w:bCs/>
        </w:rPr>
        <w:t>: Noninterest I</w:t>
      </w:r>
      <w:r w:rsidR="00897155" w:rsidRPr="00BB296F">
        <w:rPr>
          <w:rFonts w:asciiTheme="majorBidi" w:hAnsiTheme="majorBidi" w:cstheme="majorBidi"/>
          <w:b/>
          <w:bCs/>
        </w:rPr>
        <w:t>ncome from 2005 till 2011 in (%)</w:t>
      </w:r>
    </w:p>
    <w:p w:rsidR="00897155" w:rsidRPr="00897155" w:rsidRDefault="00CE41FC" w:rsidP="00B53A16">
      <w:pPr>
        <w:jc w:val="center"/>
        <w:rPr>
          <w:rFonts w:asciiTheme="majorBidi" w:hAnsiTheme="majorBidi" w:cstheme="majorBidi"/>
          <w:b/>
          <w:bCs/>
          <w:sz w:val="24"/>
          <w:szCs w:val="24"/>
        </w:rPr>
      </w:pPr>
      <w:r w:rsidRPr="00897155">
        <w:rPr>
          <w:rFonts w:asciiTheme="majorBidi" w:hAnsiTheme="majorBidi" w:cstheme="majorBidi"/>
          <w:b/>
          <w:bCs/>
          <w:noProof/>
          <w:sz w:val="28"/>
          <w:szCs w:val="28"/>
        </w:rPr>
        <w:drawing>
          <wp:inline distT="0" distB="0" distL="0" distR="0">
            <wp:extent cx="4436828" cy="930303"/>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3862" w:rsidRPr="00BA14F4" w:rsidRDefault="00863862" w:rsidP="00844919">
      <w:pPr>
        <w:autoSpaceDE w:val="0"/>
        <w:autoSpaceDN w:val="0"/>
        <w:adjustRightInd w:val="0"/>
        <w:spacing w:after="0" w:line="360" w:lineRule="auto"/>
        <w:rPr>
          <w:rFonts w:asciiTheme="majorBidi" w:hAnsiTheme="majorBidi" w:cstheme="majorBidi"/>
          <w:sz w:val="20"/>
          <w:szCs w:val="20"/>
        </w:rPr>
      </w:pPr>
    </w:p>
    <w:p w:rsidR="007F7932" w:rsidRPr="001B6D4E" w:rsidRDefault="00844919" w:rsidP="00844919">
      <w:pPr>
        <w:autoSpaceDE w:val="0"/>
        <w:autoSpaceDN w:val="0"/>
        <w:adjustRightInd w:val="0"/>
        <w:spacing w:after="0" w:line="360" w:lineRule="auto"/>
        <w:rPr>
          <w:rFonts w:asciiTheme="majorBidi" w:hAnsiTheme="majorBidi" w:cstheme="majorBidi"/>
          <w:b/>
          <w:bCs/>
          <w:sz w:val="24"/>
          <w:szCs w:val="24"/>
        </w:rPr>
      </w:pPr>
      <w:r w:rsidRPr="001B6D4E">
        <w:rPr>
          <w:rFonts w:asciiTheme="majorBidi" w:hAnsiTheme="majorBidi" w:cstheme="majorBidi"/>
          <w:b/>
          <w:bCs/>
          <w:sz w:val="24"/>
          <w:szCs w:val="24"/>
        </w:rPr>
        <w:lastRenderedPageBreak/>
        <w:t xml:space="preserve">4.2.5 </w:t>
      </w:r>
      <w:r w:rsidR="00BB296F">
        <w:rPr>
          <w:rFonts w:asciiTheme="majorBidi" w:hAnsiTheme="majorBidi" w:cstheme="majorBidi"/>
          <w:b/>
          <w:bCs/>
          <w:i/>
          <w:iCs/>
          <w:sz w:val="24"/>
          <w:szCs w:val="24"/>
        </w:rPr>
        <w:t>Trend Analysis of Loan loss P</w:t>
      </w:r>
      <w:r w:rsidRPr="001B6D4E">
        <w:rPr>
          <w:rFonts w:asciiTheme="majorBidi" w:hAnsiTheme="majorBidi" w:cstheme="majorBidi"/>
          <w:b/>
          <w:bCs/>
          <w:i/>
          <w:iCs/>
          <w:sz w:val="24"/>
          <w:szCs w:val="24"/>
        </w:rPr>
        <w:t>rovisions</w:t>
      </w:r>
      <w:r w:rsidR="006605F8">
        <w:rPr>
          <w:rFonts w:asciiTheme="majorBidi" w:hAnsiTheme="majorBidi" w:cstheme="majorBidi"/>
          <w:b/>
          <w:bCs/>
          <w:sz w:val="24"/>
          <w:szCs w:val="24"/>
        </w:rPr>
        <w:t xml:space="preserve"> </w:t>
      </w:r>
      <w:r w:rsidR="006605F8" w:rsidRPr="006605F8">
        <w:rPr>
          <w:rFonts w:asciiTheme="majorBidi" w:hAnsiTheme="majorBidi" w:cstheme="majorBidi"/>
          <w:b/>
          <w:bCs/>
          <w:i/>
          <w:iCs/>
          <w:sz w:val="24"/>
          <w:szCs w:val="24"/>
        </w:rPr>
        <w:t>(LLPI)</w:t>
      </w:r>
    </w:p>
    <w:p w:rsidR="00A50FDB" w:rsidRDefault="0033278D" w:rsidP="00A50FDB">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Table 4.18</w:t>
      </w:r>
      <w:r w:rsidR="0031486E">
        <w:rPr>
          <w:rFonts w:asciiTheme="majorBidi" w:hAnsiTheme="majorBidi" w:cstheme="majorBidi"/>
          <w:sz w:val="24"/>
          <w:szCs w:val="24"/>
        </w:rPr>
        <w:t xml:space="preserve"> below,</w:t>
      </w:r>
      <w:r w:rsidR="0031486E" w:rsidRPr="0052466A">
        <w:rPr>
          <w:rFonts w:asciiTheme="majorBidi" w:hAnsiTheme="majorBidi" w:cstheme="majorBidi"/>
          <w:sz w:val="24"/>
          <w:szCs w:val="24"/>
        </w:rPr>
        <w:t xml:space="preserve"> re</w:t>
      </w:r>
      <w:r w:rsidR="006605F8">
        <w:rPr>
          <w:rFonts w:asciiTheme="majorBidi" w:hAnsiTheme="majorBidi" w:cstheme="majorBidi"/>
          <w:sz w:val="24"/>
          <w:szCs w:val="24"/>
        </w:rPr>
        <w:t>ported the mean scores of Loan Loss P</w:t>
      </w:r>
      <w:r w:rsidR="0031486E">
        <w:rPr>
          <w:rFonts w:asciiTheme="majorBidi" w:hAnsiTheme="majorBidi" w:cstheme="majorBidi"/>
          <w:sz w:val="24"/>
          <w:szCs w:val="24"/>
        </w:rPr>
        <w:t>r</w:t>
      </w:r>
      <w:r w:rsidR="009F3254">
        <w:rPr>
          <w:rFonts w:asciiTheme="majorBidi" w:hAnsiTheme="majorBidi" w:cstheme="majorBidi"/>
          <w:sz w:val="24"/>
          <w:szCs w:val="24"/>
        </w:rPr>
        <w:t>ovisions as a Share of Net Interest I</w:t>
      </w:r>
      <w:r w:rsidR="0031486E">
        <w:rPr>
          <w:rFonts w:asciiTheme="majorBidi" w:hAnsiTheme="majorBidi" w:cstheme="majorBidi"/>
          <w:sz w:val="24"/>
          <w:szCs w:val="24"/>
        </w:rPr>
        <w:t>n</w:t>
      </w:r>
      <w:r w:rsidR="009F3254">
        <w:rPr>
          <w:rFonts w:asciiTheme="majorBidi" w:hAnsiTheme="majorBidi" w:cstheme="majorBidi"/>
          <w:sz w:val="24"/>
          <w:szCs w:val="24"/>
        </w:rPr>
        <w:t>come. The results suggested that Loan Loss P</w:t>
      </w:r>
      <w:r w:rsidR="0031486E">
        <w:rPr>
          <w:rFonts w:asciiTheme="majorBidi" w:hAnsiTheme="majorBidi" w:cstheme="majorBidi"/>
          <w:sz w:val="24"/>
          <w:szCs w:val="24"/>
        </w:rPr>
        <w:t xml:space="preserve">rovisions </w:t>
      </w:r>
      <w:r w:rsidR="001B6D4E">
        <w:rPr>
          <w:rFonts w:asciiTheme="majorBidi" w:hAnsiTheme="majorBidi" w:cstheme="majorBidi"/>
          <w:sz w:val="24"/>
          <w:szCs w:val="24"/>
        </w:rPr>
        <w:t>represent about</w:t>
      </w:r>
      <w:r w:rsidR="009F3254">
        <w:rPr>
          <w:rFonts w:asciiTheme="majorBidi" w:hAnsiTheme="majorBidi" w:cstheme="majorBidi"/>
          <w:sz w:val="24"/>
          <w:szCs w:val="24"/>
        </w:rPr>
        <w:t xml:space="preserve"> 16% of Net Interest I</w:t>
      </w:r>
      <w:r w:rsidR="0031486E">
        <w:rPr>
          <w:rFonts w:asciiTheme="majorBidi" w:hAnsiTheme="majorBidi" w:cstheme="majorBidi"/>
          <w:sz w:val="24"/>
          <w:szCs w:val="24"/>
        </w:rPr>
        <w:t xml:space="preserve">ncome which is </w:t>
      </w:r>
      <w:r w:rsidR="00CE4BF1">
        <w:rPr>
          <w:rFonts w:asciiTheme="majorBidi" w:hAnsiTheme="majorBidi" w:cstheme="majorBidi"/>
          <w:sz w:val="24"/>
          <w:szCs w:val="24"/>
        </w:rPr>
        <w:t>around</w:t>
      </w:r>
      <w:r w:rsidR="009F3254">
        <w:rPr>
          <w:rFonts w:asciiTheme="majorBidi" w:hAnsiTheme="majorBidi" w:cstheme="majorBidi"/>
          <w:sz w:val="24"/>
          <w:szCs w:val="24"/>
        </w:rPr>
        <w:t xml:space="preserve"> </w:t>
      </w:r>
      <w:r w:rsidR="00CE4BF1">
        <w:rPr>
          <w:rFonts w:asciiTheme="majorBidi" w:hAnsiTheme="majorBidi" w:cstheme="majorBidi"/>
          <w:sz w:val="24"/>
          <w:szCs w:val="24"/>
        </w:rPr>
        <w:t>the</w:t>
      </w:r>
      <w:r w:rsidR="0031486E">
        <w:rPr>
          <w:rFonts w:asciiTheme="majorBidi" w:hAnsiTheme="majorBidi" w:cstheme="majorBidi"/>
          <w:sz w:val="24"/>
          <w:szCs w:val="24"/>
        </w:rPr>
        <w:t xml:space="preserve"> industry standards.</w:t>
      </w:r>
    </w:p>
    <w:p w:rsidR="00863862" w:rsidRDefault="009F3254" w:rsidP="003721D6">
      <w:pPr>
        <w:spacing w:line="360" w:lineRule="auto"/>
        <w:contextualSpacing/>
        <w:jc w:val="both"/>
        <w:rPr>
          <w:rFonts w:asciiTheme="majorBidi" w:hAnsiTheme="majorBidi" w:cstheme="majorBidi"/>
          <w:sz w:val="24"/>
          <w:szCs w:val="24"/>
        </w:rPr>
      </w:pPr>
      <w:r>
        <w:rPr>
          <w:rFonts w:asciiTheme="majorBidi" w:hAnsiTheme="majorBidi" w:cstheme="majorBidi"/>
          <w:sz w:val="24"/>
          <w:szCs w:val="24"/>
        </w:rPr>
        <w:t>Figure 4.21 showed</w:t>
      </w:r>
      <w:r w:rsidR="00CE4BF1">
        <w:rPr>
          <w:rFonts w:asciiTheme="majorBidi" w:hAnsiTheme="majorBidi" w:cstheme="majorBidi"/>
          <w:sz w:val="24"/>
          <w:szCs w:val="24"/>
        </w:rPr>
        <w:t xml:space="preserve"> significanc</w:t>
      </w:r>
      <w:r>
        <w:rPr>
          <w:rFonts w:asciiTheme="majorBidi" w:hAnsiTheme="majorBidi" w:cstheme="majorBidi"/>
          <w:sz w:val="24"/>
          <w:szCs w:val="24"/>
        </w:rPr>
        <w:t>e decline in LLPI from 2005 -</w:t>
      </w:r>
      <w:r w:rsidR="00CE4BF1">
        <w:rPr>
          <w:rFonts w:asciiTheme="majorBidi" w:hAnsiTheme="majorBidi" w:cstheme="majorBidi"/>
          <w:sz w:val="24"/>
          <w:szCs w:val="24"/>
        </w:rPr>
        <w:t xml:space="preserve"> 2010</w:t>
      </w:r>
      <w:r>
        <w:rPr>
          <w:rFonts w:asciiTheme="majorBidi" w:hAnsiTheme="majorBidi" w:cstheme="majorBidi"/>
          <w:sz w:val="24"/>
          <w:szCs w:val="24"/>
        </w:rPr>
        <w:t xml:space="preserve"> particularly in the year 2009</w:t>
      </w:r>
      <w:r>
        <w:rPr>
          <w:rFonts w:ascii="TimesNewRoman" w:hAnsi="TimesNewRoman" w:cs="TimesNewRoman"/>
          <w:sz w:val="24"/>
          <w:szCs w:val="24"/>
        </w:rPr>
        <w:t>.</w:t>
      </w:r>
      <w:r w:rsidR="00CE4BF1">
        <w:rPr>
          <w:rFonts w:asciiTheme="majorBidi" w:hAnsiTheme="majorBidi" w:cstheme="majorBidi"/>
          <w:sz w:val="24"/>
          <w:szCs w:val="24"/>
        </w:rPr>
        <w:t xml:space="preserve"> This decline could be attributed to the significance decline in nonperforming loans as mentioned before and to the improvements in net interest income. </w:t>
      </w:r>
      <w:r w:rsidR="00A931E6">
        <w:rPr>
          <w:rFonts w:asciiTheme="majorBidi" w:hAnsiTheme="majorBidi" w:cstheme="majorBidi"/>
          <w:sz w:val="24"/>
          <w:szCs w:val="24"/>
        </w:rPr>
        <w:t>However, in</w:t>
      </w:r>
      <w:r w:rsidR="00CE4BF1">
        <w:rPr>
          <w:rFonts w:asciiTheme="majorBidi" w:hAnsiTheme="majorBidi" w:cstheme="majorBidi"/>
          <w:sz w:val="24"/>
          <w:szCs w:val="24"/>
        </w:rPr>
        <w:t xml:space="preserve"> 2011 the ratio </w:t>
      </w:r>
      <w:r w:rsidR="003232B4">
        <w:rPr>
          <w:rFonts w:asciiTheme="majorBidi" w:hAnsiTheme="majorBidi" w:cstheme="majorBidi"/>
          <w:sz w:val="24"/>
          <w:szCs w:val="24"/>
        </w:rPr>
        <w:t>raised</w:t>
      </w:r>
      <w:r w:rsidR="00CE4BF1">
        <w:rPr>
          <w:rFonts w:asciiTheme="majorBidi" w:hAnsiTheme="majorBidi" w:cstheme="majorBidi"/>
          <w:sz w:val="24"/>
          <w:szCs w:val="24"/>
        </w:rPr>
        <w:t xml:space="preserve">, because of the high loan loss provisions related to the </w:t>
      </w:r>
      <w:r w:rsidR="00A931E6">
        <w:rPr>
          <w:rFonts w:asciiTheme="majorBidi" w:hAnsiTheme="majorBidi" w:cstheme="majorBidi"/>
          <w:sz w:val="24"/>
          <w:szCs w:val="24"/>
        </w:rPr>
        <w:t>Palestinian commercial bank (19%).</w:t>
      </w:r>
    </w:p>
    <w:p w:rsidR="003721D6" w:rsidRPr="003721D6" w:rsidRDefault="003721D6" w:rsidP="003721D6">
      <w:pPr>
        <w:spacing w:line="360" w:lineRule="auto"/>
        <w:contextualSpacing/>
        <w:jc w:val="both"/>
        <w:rPr>
          <w:rFonts w:asciiTheme="majorBidi" w:hAnsiTheme="majorBidi" w:cstheme="majorBidi"/>
          <w:sz w:val="10"/>
          <w:szCs w:val="10"/>
        </w:rPr>
      </w:pPr>
    </w:p>
    <w:p w:rsidR="001703DE" w:rsidRPr="00BB296F" w:rsidRDefault="007D6162" w:rsidP="00BB296F">
      <w:pPr>
        <w:spacing w:line="360" w:lineRule="auto"/>
        <w:jc w:val="center"/>
        <w:rPr>
          <w:rFonts w:asciiTheme="majorBidi" w:hAnsiTheme="majorBidi" w:cstheme="majorBidi"/>
          <w:b/>
          <w:bCs/>
          <w:sz w:val="28"/>
          <w:szCs w:val="28"/>
        </w:rPr>
      </w:pPr>
      <w:r>
        <w:rPr>
          <w:rFonts w:asciiTheme="majorBidi" w:hAnsiTheme="majorBidi" w:cstheme="majorBidi"/>
          <w:b/>
          <w:bCs/>
        </w:rPr>
        <w:t>Table 4.18</w:t>
      </w:r>
      <w:r w:rsidR="001703DE" w:rsidRPr="00BB296F">
        <w:rPr>
          <w:rFonts w:asciiTheme="majorBidi" w:hAnsiTheme="majorBidi" w:cstheme="majorBidi"/>
          <w:b/>
          <w:bCs/>
        </w:rPr>
        <w:t>:</w:t>
      </w:r>
      <w:r w:rsidR="009F3254">
        <w:rPr>
          <w:rFonts w:asciiTheme="majorBidi" w:hAnsiTheme="majorBidi" w:cstheme="majorBidi"/>
          <w:b/>
          <w:bCs/>
        </w:rPr>
        <w:t xml:space="preserve"> The annual mean scores (%) of Loan Loss Provisions to Net Interest I</w:t>
      </w:r>
      <w:r w:rsidR="00A50FDB">
        <w:rPr>
          <w:rFonts w:asciiTheme="majorBidi" w:hAnsiTheme="majorBidi" w:cstheme="majorBidi"/>
          <w:b/>
          <w:bCs/>
        </w:rPr>
        <w:t>ncome,</w:t>
      </w:r>
      <w:r w:rsidR="001703DE" w:rsidRPr="00BB296F">
        <w:rPr>
          <w:rFonts w:asciiTheme="majorBidi" w:hAnsiTheme="majorBidi" w:cstheme="majorBidi"/>
          <w:b/>
          <w:bCs/>
        </w:rPr>
        <w:t xml:space="preserve"> 2005-2011</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002060"/>
        <w:tblLook w:val="04A0"/>
      </w:tblPr>
      <w:tblGrid>
        <w:gridCol w:w="1110"/>
        <w:gridCol w:w="699"/>
        <w:gridCol w:w="709"/>
        <w:gridCol w:w="709"/>
        <w:gridCol w:w="709"/>
        <w:gridCol w:w="708"/>
        <w:gridCol w:w="709"/>
        <w:gridCol w:w="709"/>
        <w:gridCol w:w="1417"/>
      </w:tblGrid>
      <w:tr w:rsidR="001703DE" w:rsidTr="00E71DEE">
        <w:trPr>
          <w:jc w:val="center"/>
        </w:trPr>
        <w:tc>
          <w:tcPr>
            <w:tcW w:w="1110"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Variable</w:t>
            </w:r>
          </w:p>
          <w:p w:rsidR="001703DE" w:rsidRPr="00A32112" w:rsidRDefault="001703DE" w:rsidP="001703DE">
            <w:pPr>
              <w:jc w:val="center"/>
              <w:rPr>
                <w:rFonts w:asciiTheme="majorBidi" w:hAnsiTheme="majorBidi" w:cstheme="majorBidi"/>
                <w:b/>
                <w:bCs/>
                <w:sz w:val="24"/>
                <w:szCs w:val="24"/>
              </w:rPr>
            </w:pPr>
          </w:p>
        </w:tc>
        <w:tc>
          <w:tcPr>
            <w:tcW w:w="69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2005</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2006</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2007</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2008</w:t>
            </w:r>
          </w:p>
        </w:tc>
        <w:tc>
          <w:tcPr>
            <w:tcW w:w="708"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2009</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2010</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2011</w:t>
            </w:r>
          </w:p>
        </w:tc>
        <w:tc>
          <w:tcPr>
            <w:tcW w:w="1417"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Average Mean</w:t>
            </w:r>
          </w:p>
        </w:tc>
      </w:tr>
      <w:tr w:rsidR="001703DE" w:rsidTr="00E71DEE">
        <w:trPr>
          <w:trHeight w:val="503"/>
          <w:jc w:val="center"/>
        </w:trPr>
        <w:tc>
          <w:tcPr>
            <w:tcW w:w="1110"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LLPI</w:t>
            </w:r>
          </w:p>
        </w:tc>
        <w:tc>
          <w:tcPr>
            <w:tcW w:w="69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29</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22.3</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20.5</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11</w:t>
            </w:r>
          </w:p>
        </w:tc>
        <w:tc>
          <w:tcPr>
            <w:tcW w:w="708"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8</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9.8</w:t>
            </w:r>
          </w:p>
        </w:tc>
        <w:tc>
          <w:tcPr>
            <w:tcW w:w="709"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14.4</w:t>
            </w:r>
          </w:p>
        </w:tc>
        <w:tc>
          <w:tcPr>
            <w:tcW w:w="1417" w:type="dxa"/>
            <w:shd w:val="clear" w:color="auto" w:fill="002060"/>
          </w:tcPr>
          <w:p w:rsidR="001703DE" w:rsidRPr="00A32112" w:rsidRDefault="001703DE" w:rsidP="001703DE">
            <w:pPr>
              <w:jc w:val="center"/>
              <w:rPr>
                <w:rFonts w:asciiTheme="majorBidi" w:hAnsiTheme="majorBidi" w:cstheme="majorBidi"/>
                <w:b/>
                <w:bCs/>
                <w:sz w:val="24"/>
                <w:szCs w:val="24"/>
              </w:rPr>
            </w:pPr>
            <w:r w:rsidRPr="00A32112">
              <w:rPr>
                <w:rFonts w:asciiTheme="majorBidi" w:hAnsiTheme="majorBidi" w:cstheme="majorBidi"/>
                <w:b/>
                <w:bCs/>
                <w:sz w:val="24"/>
                <w:szCs w:val="24"/>
              </w:rPr>
              <w:t>16</w:t>
            </w:r>
          </w:p>
        </w:tc>
      </w:tr>
    </w:tbl>
    <w:p w:rsidR="006C5F91" w:rsidRPr="006C5F91" w:rsidRDefault="006C5F91" w:rsidP="006C5F91">
      <w:pPr>
        <w:tabs>
          <w:tab w:val="left" w:pos="1753"/>
        </w:tabs>
        <w:rPr>
          <w:rFonts w:asciiTheme="majorBidi" w:hAnsiTheme="majorBidi" w:cstheme="majorBidi"/>
          <w:sz w:val="10"/>
          <w:szCs w:val="10"/>
        </w:rPr>
      </w:pPr>
      <w:r w:rsidRPr="006C5F91">
        <w:rPr>
          <w:rFonts w:asciiTheme="majorBidi" w:hAnsiTheme="majorBidi" w:cstheme="majorBidi"/>
          <w:sz w:val="10"/>
          <w:szCs w:val="10"/>
        </w:rPr>
        <w:tab/>
      </w:r>
    </w:p>
    <w:p w:rsidR="0033278D" w:rsidRPr="00BA14F4" w:rsidRDefault="00BA14F4" w:rsidP="00420D73">
      <w:pPr>
        <w:jc w:val="center"/>
        <w:rPr>
          <w:rFonts w:asciiTheme="majorBidi" w:hAnsiTheme="majorBidi" w:cstheme="majorBidi"/>
          <w:sz w:val="20"/>
          <w:szCs w:val="20"/>
        </w:rPr>
      </w:pPr>
      <w:r w:rsidRPr="00BA14F4">
        <w:rPr>
          <w:rFonts w:asciiTheme="majorBidi" w:hAnsiTheme="majorBidi" w:cstheme="majorBidi"/>
          <w:sz w:val="20"/>
          <w:szCs w:val="20"/>
        </w:rPr>
        <w:t>Source: Research Data, 2013</w:t>
      </w:r>
    </w:p>
    <w:p w:rsidR="00844919" w:rsidRPr="00BB296F" w:rsidRDefault="00FC0744" w:rsidP="001640C6">
      <w:pPr>
        <w:jc w:val="center"/>
        <w:rPr>
          <w:rFonts w:asciiTheme="majorBidi" w:hAnsiTheme="majorBidi" w:cstheme="majorBidi"/>
          <w:b/>
          <w:bCs/>
        </w:rPr>
      </w:pPr>
      <w:r w:rsidRPr="00BB296F">
        <w:rPr>
          <w:rFonts w:asciiTheme="majorBidi" w:hAnsiTheme="majorBidi" w:cstheme="majorBidi"/>
          <w:b/>
          <w:bCs/>
        </w:rPr>
        <w:t>Figure 4.21</w:t>
      </w:r>
      <w:r w:rsidR="009F3254">
        <w:rPr>
          <w:rFonts w:asciiTheme="majorBidi" w:hAnsiTheme="majorBidi" w:cstheme="majorBidi"/>
          <w:b/>
          <w:bCs/>
        </w:rPr>
        <w:t>: Loan L</w:t>
      </w:r>
      <w:r w:rsidR="00844919" w:rsidRPr="00BB296F">
        <w:rPr>
          <w:rFonts w:asciiTheme="majorBidi" w:hAnsiTheme="majorBidi" w:cstheme="majorBidi"/>
          <w:b/>
          <w:bCs/>
        </w:rPr>
        <w:t>os</w:t>
      </w:r>
      <w:r w:rsidR="009F3254">
        <w:rPr>
          <w:rFonts w:asciiTheme="majorBidi" w:hAnsiTheme="majorBidi" w:cstheme="majorBidi"/>
          <w:b/>
          <w:bCs/>
        </w:rPr>
        <w:t>s Provisions to Net Interest I</w:t>
      </w:r>
      <w:r w:rsidR="00844919" w:rsidRPr="00BB296F">
        <w:rPr>
          <w:rFonts w:asciiTheme="majorBidi" w:hAnsiTheme="majorBidi" w:cstheme="majorBidi"/>
          <w:b/>
          <w:bCs/>
        </w:rPr>
        <w:t>ncome (LLPI</w:t>
      </w:r>
      <w:r w:rsidR="00E33929" w:rsidRPr="00BB296F">
        <w:rPr>
          <w:rFonts w:asciiTheme="majorBidi" w:hAnsiTheme="majorBidi" w:cstheme="majorBidi"/>
          <w:b/>
          <w:bCs/>
        </w:rPr>
        <w:t>) from</w:t>
      </w:r>
      <w:r w:rsidR="009F3254">
        <w:rPr>
          <w:rFonts w:asciiTheme="majorBidi" w:hAnsiTheme="majorBidi" w:cstheme="majorBidi"/>
          <w:b/>
          <w:bCs/>
        </w:rPr>
        <w:t xml:space="preserve"> 2005 -</w:t>
      </w:r>
      <w:r w:rsidR="00844919" w:rsidRPr="00BB296F">
        <w:rPr>
          <w:rFonts w:asciiTheme="majorBidi" w:hAnsiTheme="majorBidi" w:cstheme="majorBidi"/>
          <w:b/>
          <w:bCs/>
        </w:rPr>
        <w:t xml:space="preserve"> 2011 in (%)</w:t>
      </w:r>
    </w:p>
    <w:p w:rsidR="00A8717D" w:rsidRDefault="00C43C14" w:rsidP="00A8717D">
      <w:pPr>
        <w:jc w:val="center"/>
        <w:rPr>
          <w:rFonts w:asciiTheme="majorBidi" w:hAnsiTheme="majorBidi" w:cstheme="majorBidi"/>
          <w:sz w:val="24"/>
          <w:szCs w:val="24"/>
        </w:rPr>
      </w:pPr>
      <w:r w:rsidRPr="00C43C14">
        <w:rPr>
          <w:rFonts w:asciiTheme="majorBidi" w:hAnsiTheme="majorBidi" w:cstheme="majorBidi"/>
          <w:noProof/>
          <w:sz w:val="24"/>
          <w:szCs w:val="24"/>
        </w:rPr>
        <w:drawing>
          <wp:inline distT="0" distB="0" distL="0" distR="0">
            <wp:extent cx="5248275" cy="1647825"/>
            <wp:effectExtent l="0" t="0" r="0" b="0"/>
            <wp:docPr id="25"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32B4" w:rsidRPr="00B30CFE" w:rsidRDefault="003232B4" w:rsidP="00A50FDB">
      <w:pPr>
        <w:rPr>
          <w:rFonts w:asciiTheme="majorBidi" w:hAnsiTheme="majorBidi" w:cstheme="majorBidi"/>
          <w:sz w:val="24"/>
          <w:szCs w:val="24"/>
        </w:rPr>
      </w:pPr>
      <w:r>
        <w:rPr>
          <w:rFonts w:asciiTheme="majorBidi" w:hAnsiTheme="majorBidi" w:cstheme="majorBidi"/>
          <w:b/>
          <w:bCs/>
          <w:sz w:val="24"/>
          <w:szCs w:val="24"/>
        </w:rPr>
        <w:t xml:space="preserve">4.2.6 </w:t>
      </w:r>
      <w:r w:rsidR="00BB296F">
        <w:rPr>
          <w:rFonts w:asciiTheme="majorBidi" w:hAnsiTheme="majorBidi" w:cstheme="majorBidi"/>
          <w:b/>
          <w:bCs/>
          <w:i/>
          <w:iCs/>
          <w:sz w:val="24"/>
          <w:szCs w:val="24"/>
        </w:rPr>
        <w:t>Trend A</w:t>
      </w:r>
      <w:r w:rsidRPr="001B6D4E">
        <w:rPr>
          <w:rFonts w:asciiTheme="majorBidi" w:hAnsiTheme="majorBidi" w:cstheme="majorBidi"/>
          <w:b/>
          <w:bCs/>
          <w:i/>
          <w:iCs/>
          <w:sz w:val="24"/>
          <w:szCs w:val="24"/>
        </w:rPr>
        <w:t>nalysis of</w:t>
      </w:r>
      <w:r w:rsidR="00BB296F">
        <w:rPr>
          <w:rFonts w:asciiTheme="majorBidi" w:hAnsiTheme="majorBidi" w:cstheme="majorBidi"/>
          <w:b/>
          <w:bCs/>
          <w:i/>
          <w:iCs/>
          <w:sz w:val="24"/>
          <w:szCs w:val="24"/>
        </w:rPr>
        <w:t xml:space="preserve"> O</w:t>
      </w:r>
      <w:r w:rsidR="00A0323F">
        <w:rPr>
          <w:rFonts w:asciiTheme="majorBidi" w:hAnsiTheme="majorBidi" w:cstheme="majorBidi"/>
          <w:b/>
          <w:bCs/>
          <w:i/>
          <w:iCs/>
          <w:sz w:val="24"/>
          <w:szCs w:val="24"/>
        </w:rPr>
        <w:t>perational</w:t>
      </w:r>
      <w:r w:rsidR="00BB296F">
        <w:rPr>
          <w:rFonts w:asciiTheme="majorBidi" w:hAnsiTheme="majorBidi" w:cstheme="majorBidi"/>
          <w:b/>
          <w:bCs/>
          <w:i/>
          <w:iCs/>
          <w:sz w:val="24"/>
          <w:szCs w:val="24"/>
        </w:rPr>
        <w:t xml:space="preserve"> </w:t>
      </w:r>
      <w:r w:rsidR="00241400">
        <w:rPr>
          <w:rFonts w:asciiTheme="majorBidi" w:hAnsiTheme="majorBidi" w:cstheme="majorBidi"/>
          <w:b/>
          <w:bCs/>
          <w:i/>
          <w:iCs/>
          <w:sz w:val="24"/>
          <w:szCs w:val="24"/>
        </w:rPr>
        <w:t>Costs</w:t>
      </w:r>
      <w:r w:rsidR="009F3254">
        <w:rPr>
          <w:rFonts w:asciiTheme="majorBidi" w:hAnsiTheme="majorBidi" w:cstheme="majorBidi"/>
          <w:sz w:val="24"/>
          <w:szCs w:val="24"/>
        </w:rPr>
        <w:t xml:space="preserve"> </w:t>
      </w:r>
      <w:r w:rsidR="009F3254" w:rsidRPr="009F3254">
        <w:rPr>
          <w:rFonts w:asciiTheme="majorBidi" w:hAnsiTheme="majorBidi" w:cstheme="majorBidi"/>
          <w:b/>
          <w:bCs/>
          <w:i/>
          <w:iCs/>
          <w:sz w:val="24"/>
          <w:szCs w:val="24"/>
        </w:rPr>
        <w:t>(OPNI)</w:t>
      </w:r>
    </w:p>
    <w:p w:rsidR="00FC0744" w:rsidRDefault="0033278D" w:rsidP="00BB296F">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rPr>
        <w:t>Table 4.19</w:t>
      </w:r>
      <w:r w:rsidR="00FC0744" w:rsidRPr="00BB296F">
        <w:rPr>
          <w:rFonts w:asciiTheme="majorBidi" w:hAnsiTheme="majorBidi" w:cstheme="majorBidi"/>
          <w:b/>
          <w:bCs/>
        </w:rPr>
        <w:t>:</w:t>
      </w:r>
      <w:r w:rsidR="009F3254">
        <w:rPr>
          <w:rFonts w:asciiTheme="majorBidi" w:hAnsiTheme="majorBidi" w:cstheme="majorBidi"/>
          <w:b/>
          <w:bCs/>
        </w:rPr>
        <w:t xml:space="preserve"> The annual mean scores (%) of N</w:t>
      </w:r>
      <w:r w:rsidR="00FC0744" w:rsidRPr="00BB296F">
        <w:rPr>
          <w:rFonts w:asciiTheme="majorBidi" w:hAnsiTheme="majorBidi" w:cstheme="majorBidi"/>
          <w:b/>
          <w:bCs/>
        </w:rPr>
        <w:t>on</w:t>
      </w:r>
      <w:r w:rsidR="009F3254">
        <w:rPr>
          <w:rFonts w:asciiTheme="majorBidi" w:hAnsiTheme="majorBidi" w:cstheme="majorBidi"/>
          <w:b/>
          <w:bCs/>
        </w:rPr>
        <w:t xml:space="preserve"> Interest Expense to Net Interest I</w:t>
      </w:r>
      <w:r w:rsidR="00FC0744" w:rsidRPr="00BB296F">
        <w:rPr>
          <w:rFonts w:asciiTheme="majorBidi" w:hAnsiTheme="majorBidi" w:cstheme="majorBidi"/>
          <w:b/>
          <w:bCs/>
        </w:rPr>
        <w:t>ncome</w:t>
      </w:r>
      <w:r w:rsidR="003A6144" w:rsidRPr="00BB296F">
        <w:rPr>
          <w:rFonts w:asciiTheme="majorBidi" w:hAnsiTheme="majorBidi" w:cstheme="majorBidi"/>
          <w:b/>
          <w:bCs/>
        </w:rPr>
        <w:t xml:space="preserve"> plus</w:t>
      </w:r>
      <w:r w:rsidR="009F3254">
        <w:rPr>
          <w:rFonts w:asciiTheme="majorBidi" w:hAnsiTheme="majorBidi" w:cstheme="majorBidi"/>
          <w:b/>
          <w:bCs/>
        </w:rPr>
        <w:t xml:space="preserve"> Noninterest I</w:t>
      </w:r>
      <w:r w:rsidR="00FC0744" w:rsidRPr="00BB296F">
        <w:rPr>
          <w:rFonts w:asciiTheme="majorBidi" w:hAnsiTheme="majorBidi" w:cstheme="majorBidi"/>
          <w:b/>
          <w:bCs/>
        </w:rPr>
        <w:t>ncome from 2005 -2011.</w:t>
      </w:r>
    </w:p>
    <w:p w:rsidR="003721D6" w:rsidRPr="003721D6" w:rsidRDefault="003721D6" w:rsidP="00BB296F">
      <w:pPr>
        <w:autoSpaceDE w:val="0"/>
        <w:autoSpaceDN w:val="0"/>
        <w:adjustRightInd w:val="0"/>
        <w:spacing w:after="0" w:line="360" w:lineRule="auto"/>
        <w:jc w:val="center"/>
        <w:rPr>
          <w:rFonts w:asciiTheme="majorBidi" w:hAnsiTheme="majorBidi" w:cstheme="majorBidi"/>
          <w:b/>
          <w:bCs/>
          <w:sz w:val="16"/>
          <w:szCs w:val="16"/>
        </w:rPr>
      </w:pPr>
    </w:p>
    <w:tbl>
      <w:tblPr>
        <w:tblStyle w:val="TableGrid"/>
        <w:tblW w:w="0" w:type="auto"/>
        <w:jc w:val="center"/>
        <w:tblInd w:w="3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002060"/>
        <w:tblLook w:val="04A0"/>
      </w:tblPr>
      <w:tblGrid>
        <w:gridCol w:w="1110"/>
        <w:gridCol w:w="756"/>
        <w:gridCol w:w="791"/>
        <w:gridCol w:w="900"/>
        <w:gridCol w:w="900"/>
        <w:gridCol w:w="900"/>
        <w:gridCol w:w="810"/>
        <w:gridCol w:w="720"/>
        <w:gridCol w:w="1057"/>
      </w:tblGrid>
      <w:tr w:rsidR="00B81761" w:rsidTr="00C7681F">
        <w:trPr>
          <w:jc w:val="center"/>
        </w:trPr>
        <w:tc>
          <w:tcPr>
            <w:tcW w:w="111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Variable</w:t>
            </w:r>
          </w:p>
        </w:tc>
        <w:tc>
          <w:tcPr>
            <w:tcW w:w="756"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2005</w:t>
            </w:r>
          </w:p>
        </w:tc>
        <w:tc>
          <w:tcPr>
            <w:tcW w:w="791"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2006</w:t>
            </w:r>
          </w:p>
        </w:tc>
        <w:tc>
          <w:tcPr>
            <w:tcW w:w="90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2007</w:t>
            </w:r>
          </w:p>
        </w:tc>
        <w:tc>
          <w:tcPr>
            <w:tcW w:w="90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2008</w:t>
            </w:r>
          </w:p>
        </w:tc>
        <w:tc>
          <w:tcPr>
            <w:tcW w:w="90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2009</w:t>
            </w:r>
          </w:p>
        </w:tc>
        <w:tc>
          <w:tcPr>
            <w:tcW w:w="81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2010</w:t>
            </w:r>
          </w:p>
        </w:tc>
        <w:tc>
          <w:tcPr>
            <w:tcW w:w="72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2011</w:t>
            </w:r>
          </w:p>
        </w:tc>
        <w:tc>
          <w:tcPr>
            <w:tcW w:w="1057" w:type="dxa"/>
            <w:shd w:val="clear" w:color="auto" w:fill="002060"/>
          </w:tcPr>
          <w:p w:rsidR="00213FD6" w:rsidRPr="00FC0744" w:rsidRDefault="00213FD6" w:rsidP="0082673E">
            <w:pPr>
              <w:autoSpaceDE w:val="0"/>
              <w:autoSpaceDN w:val="0"/>
              <w:adjustRightInd w:val="0"/>
              <w:spacing w:line="360" w:lineRule="auto"/>
              <w:jc w:val="center"/>
              <w:rPr>
                <w:rFonts w:asciiTheme="majorBidi" w:hAnsiTheme="majorBidi" w:cstheme="majorBidi"/>
                <w:b/>
                <w:bCs/>
                <w:sz w:val="20"/>
                <w:szCs w:val="20"/>
              </w:rPr>
            </w:pPr>
            <w:r w:rsidRPr="00FC0744">
              <w:rPr>
                <w:rFonts w:asciiTheme="majorBidi" w:hAnsiTheme="majorBidi" w:cstheme="majorBidi"/>
                <w:b/>
                <w:bCs/>
                <w:sz w:val="20"/>
                <w:szCs w:val="20"/>
              </w:rPr>
              <w:t>Average mean</w:t>
            </w:r>
          </w:p>
        </w:tc>
      </w:tr>
      <w:tr w:rsidR="00B81761" w:rsidTr="00C7681F">
        <w:trPr>
          <w:jc w:val="center"/>
        </w:trPr>
        <w:tc>
          <w:tcPr>
            <w:tcW w:w="1110" w:type="dxa"/>
            <w:shd w:val="clear" w:color="auto" w:fill="002060"/>
          </w:tcPr>
          <w:p w:rsidR="00213FD6" w:rsidRDefault="00213FD6"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OPNI</w:t>
            </w:r>
          </w:p>
        </w:tc>
        <w:tc>
          <w:tcPr>
            <w:tcW w:w="756"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111.5</w:t>
            </w:r>
          </w:p>
        </w:tc>
        <w:tc>
          <w:tcPr>
            <w:tcW w:w="791"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99</w:t>
            </w:r>
          </w:p>
        </w:tc>
        <w:tc>
          <w:tcPr>
            <w:tcW w:w="900"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81.2</w:t>
            </w:r>
          </w:p>
        </w:tc>
        <w:tc>
          <w:tcPr>
            <w:tcW w:w="900"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89</w:t>
            </w:r>
          </w:p>
        </w:tc>
        <w:tc>
          <w:tcPr>
            <w:tcW w:w="900"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78.3</w:t>
            </w:r>
          </w:p>
        </w:tc>
        <w:tc>
          <w:tcPr>
            <w:tcW w:w="810"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89</w:t>
            </w:r>
          </w:p>
        </w:tc>
        <w:tc>
          <w:tcPr>
            <w:tcW w:w="720"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90</w:t>
            </w:r>
          </w:p>
        </w:tc>
        <w:tc>
          <w:tcPr>
            <w:tcW w:w="1057" w:type="dxa"/>
            <w:shd w:val="clear" w:color="auto" w:fill="002060"/>
          </w:tcPr>
          <w:p w:rsidR="00213FD6" w:rsidRDefault="00FC0744" w:rsidP="0082673E">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91.14</w:t>
            </w:r>
          </w:p>
        </w:tc>
      </w:tr>
    </w:tbl>
    <w:p w:rsidR="006C5F91" w:rsidRPr="006C5F91" w:rsidRDefault="006C5F91" w:rsidP="00420D73">
      <w:pPr>
        <w:autoSpaceDE w:val="0"/>
        <w:autoSpaceDN w:val="0"/>
        <w:adjustRightInd w:val="0"/>
        <w:spacing w:after="0" w:line="360" w:lineRule="auto"/>
        <w:jc w:val="center"/>
        <w:rPr>
          <w:rFonts w:asciiTheme="majorBidi" w:hAnsiTheme="majorBidi" w:cstheme="majorBidi"/>
          <w:sz w:val="10"/>
          <w:szCs w:val="10"/>
        </w:rPr>
      </w:pPr>
    </w:p>
    <w:p w:rsidR="006C5F91" w:rsidRPr="006C5F91" w:rsidRDefault="006C5F91" w:rsidP="00420D73">
      <w:pPr>
        <w:autoSpaceDE w:val="0"/>
        <w:autoSpaceDN w:val="0"/>
        <w:adjustRightInd w:val="0"/>
        <w:spacing w:after="0" w:line="360" w:lineRule="auto"/>
        <w:jc w:val="center"/>
        <w:rPr>
          <w:rFonts w:asciiTheme="majorBidi" w:hAnsiTheme="majorBidi" w:cstheme="majorBidi"/>
          <w:sz w:val="10"/>
          <w:szCs w:val="10"/>
        </w:rPr>
      </w:pPr>
    </w:p>
    <w:p w:rsidR="003C7C3C" w:rsidRPr="00BA14F4" w:rsidRDefault="00BA14F4" w:rsidP="00420D73">
      <w:pPr>
        <w:autoSpaceDE w:val="0"/>
        <w:autoSpaceDN w:val="0"/>
        <w:adjustRightInd w:val="0"/>
        <w:spacing w:after="0" w:line="360" w:lineRule="auto"/>
        <w:jc w:val="center"/>
        <w:rPr>
          <w:rFonts w:asciiTheme="majorBidi" w:hAnsiTheme="majorBidi" w:cstheme="majorBidi"/>
          <w:sz w:val="20"/>
          <w:szCs w:val="20"/>
        </w:rPr>
      </w:pPr>
      <w:r w:rsidRPr="00BA14F4">
        <w:rPr>
          <w:rFonts w:asciiTheme="majorBidi" w:hAnsiTheme="majorBidi" w:cstheme="majorBidi"/>
          <w:sz w:val="20"/>
          <w:szCs w:val="20"/>
        </w:rPr>
        <w:t>Source: Research Data, 2013</w:t>
      </w:r>
    </w:p>
    <w:p w:rsidR="00C70B1A" w:rsidRDefault="00C70B1A" w:rsidP="00BB296F">
      <w:pPr>
        <w:autoSpaceDE w:val="0"/>
        <w:autoSpaceDN w:val="0"/>
        <w:adjustRightInd w:val="0"/>
        <w:spacing w:after="0" w:line="360" w:lineRule="auto"/>
        <w:jc w:val="center"/>
        <w:rPr>
          <w:rFonts w:asciiTheme="majorBidi" w:hAnsiTheme="majorBidi" w:cstheme="majorBidi"/>
          <w:b/>
          <w:bCs/>
        </w:rPr>
      </w:pPr>
    </w:p>
    <w:p w:rsidR="003721D6" w:rsidRDefault="003721D6" w:rsidP="00BB296F">
      <w:pPr>
        <w:autoSpaceDE w:val="0"/>
        <w:autoSpaceDN w:val="0"/>
        <w:adjustRightInd w:val="0"/>
        <w:spacing w:after="0" w:line="360" w:lineRule="auto"/>
        <w:jc w:val="center"/>
        <w:rPr>
          <w:rFonts w:asciiTheme="majorBidi" w:hAnsiTheme="majorBidi" w:cstheme="majorBidi"/>
          <w:b/>
          <w:bCs/>
        </w:rPr>
      </w:pPr>
    </w:p>
    <w:p w:rsidR="00FC0744" w:rsidRPr="00BB296F" w:rsidRDefault="00FC0744" w:rsidP="00BB296F">
      <w:pPr>
        <w:autoSpaceDE w:val="0"/>
        <w:autoSpaceDN w:val="0"/>
        <w:adjustRightInd w:val="0"/>
        <w:spacing w:after="0" w:line="360" w:lineRule="auto"/>
        <w:jc w:val="center"/>
        <w:rPr>
          <w:rFonts w:asciiTheme="majorBidi" w:hAnsiTheme="majorBidi" w:cstheme="majorBidi"/>
          <w:b/>
          <w:bCs/>
        </w:rPr>
      </w:pPr>
      <w:r w:rsidRPr="00BB296F">
        <w:rPr>
          <w:rFonts w:asciiTheme="majorBidi" w:hAnsiTheme="majorBidi" w:cstheme="majorBidi"/>
          <w:b/>
          <w:bCs/>
        </w:rPr>
        <w:t>Figure</w:t>
      </w:r>
      <w:r w:rsidR="0033278D">
        <w:rPr>
          <w:rFonts w:asciiTheme="majorBidi" w:hAnsiTheme="majorBidi" w:cstheme="majorBidi"/>
          <w:b/>
          <w:bCs/>
        </w:rPr>
        <w:t xml:space="preserve"> </w:t>
      </w:r>
      <w:r w:rsidRPr="00BB296F">
        <w:rPr>
          <w:rFonts w:asciiTheme="majorBidi" w:hAnsiTheme="majorBidi" w:cstheme="majorBidi"/>
          <w:b/>
          <w:bCs/>
        </w:rPr>
        <w:t>4.2</w:t>
      </w:r>
      <w:r w:rsidR="00624DE7" w:rsidRPr="00BB296F">
        <w:rPr>
          <w:rFonts w:asciiTheme="majorBidi" w:hAnsiTheme="majorBidi" w:cstheme="majorBidi"/>
          <w:b/>
          <w:bCs/>
        </w:rPr>
        <w:t>2</w:t>
      </w:r>
      <w:r w:rsidR="00151FB8" w:rsidRPr="00BB296F">
        <w:rPr>
          <w:rFonts w:asciiTheme="majorBidi" w:hAnsiTheme="majorBidi" w:cstheme="majorBidi"/>
          <w:b/>
          <w:bCs/>
        </w:rPr>
        <w:t>: The</w:t>
      </w:r>
      <w:r w:rsidR="003C7C3C">
        <w:rPr>
          <w:rFonts w:asciiTheme="majorBidi" w:hAnsiTheme="majorBidi" w:cstheme="majorBidi"/>
          <w:b/>
          <w:bCs/>
        </w:rPr>
        <w:t xml:space="preserve"> annual mean scores (%) of N</w:t>
      </w:r>
      <w:r w:rsidRPr="00BB296F">
        <w:rPr>
          <w:rFonts w:asciiTheme="majorBidi" w:hAnsiTheme="majorBidi" w:cstheme="majorBidi"/>
          <w:b/>
          <w:bCs/>
        </w:rPr>
        <w:t>on</w:t>
      </w:r>
      <w:r w:rsidR="003C7C3C">
        <w:rPr>
          <w:rFonts w:asciiTheme="majorBidi" w:hAnsiTheme="majorBidi" w:cstheme="majorBidi"/>
          <w:b/>
          <w:bCs/>
        </w:rPr>
        <w:t>- interest Expense to Net Interest I</w:t>
      </w:r>
      <w:r w:rsidRPr="00BB296F">
        <w:rPr>
          <w:rFonts w:asciiTheme="majorBidi" w:hAnsiTheme="majorBidi" w:cstheme="majorBidi"/>
          <w:b/>
          <w:bCs/>
        </w:rPr>
        <w:t>ncome</w:t>
      </w:r>
      <w:r w:rsidR="003A6144" w:rsidRPr="00BB296F">
        <w:rPr>
          <w:rFonts w:asciiTheme="majorBidi" w:hAnsiTheme="majorBidi" w:cstheme="majorBidi"/>
          <w:b/>
          <w:bCs/>
        </w:rPr>
        <w:t xml:space="preserve"> plus</w:t>
      </w:r>
      <w:r w:rsidR="003C7C3C">
        <w:rPr>
          <w:rFonts w:asciiTheme="majorBidi" w:hAnsiTheme="majorBidi" w:cstheme="majorBidi"/>
          <w:b/>
          <w:bCs/>
        </w:rPr>
        <w:t xml:space="preserve"> N</w:t>
      </w:r>
      <w:r w:rsidR="003C7C3C" w:rsidRPr="00BB296F">
        <w:rPr>
          <w:rFonts w:asciiTheme="majorBidi" w:hAnsiTheme="majorBidi" w:cstheme="majorBidi"/>
          <w:b/>
          <w:bCs/>
        </w:rPr>
        <w:t>on</w:t>
      </w:r>
      <w:r w:rsidR="00AF5691">
        <w:rPr>
          <w:rFonts w:asciiTheme="majorBidi" w:hAnsiTheme="majorBidi" w:cstheme="majorBidi"/>
          <w:b/>
          <w:bCs/>
        </w:rPr>
        <w:t>-</w:t>
      </w:r>
      <w:r w:rsidR="003C7C3C">
        <w:rPr>
          <w:rFonts w:asciiTheme="majorBidi" w:hAnsiTheme="majorBidi" w:cstheme="majorBidi"/>
          <w:b/>
          <w:bCs/>
        </w:rPr>
        <w:t>i</w:t>
      </w:r>
      <w:r w:rsidR="003C7C3C" w:rsidRPr="00BB296F">
        <w:rPr>
          <w:rFonts w:asciiTheme="majorBidi" w:hAnsiTheme="majorBidi" w:cstheme="majorBidi"/>
          <w:b/>
          <w:bCs/>
        </w:rPr>
        <w:t>nterest</w:t>
      </w:r>
      <w:r w:rsidR="003C7C3C">
        <w:rPr>
          <w:rFonts w:asciiTheme="majorBidi" w:hAnsiTheme="majorBidi" w:cstheme="majorBidi"/>
          <w:b/>
          <w:bCs/>
        </w:rPr>
        <w:t xml:space="preserve"> I</w:t>
      </w:r>
      <w:r w:rsidRPr="00BB296F">
        <w:rPr>
          <w:rFonts w:asciiTheme="majorBidi" w:hAnsiTheme="majorBidi" w:cstheme="majorBidi"/>
          <w:b/>
          <w:bCs/>
        </w:rPr>
        <w:t>ncome from 2005 -2011</w:t>
      </w:r>
      <w:r w:rsidR="00151FB8" w:rsidRPr="00BB296F">
        <w:rPr>
          <w:rFonts w:asciiTheme="majorBidi" w:hAnsiTheme="majorBidi" w:cstheme="majorBidi"/>
          <w:b/>
          <w:bCs/>
        </w:rPr>
        <w:t>:</w:t>
      </w:r>
    </w:p>
    <w:p w:rsidR="00151FB8" w:rsidRPr="00FC0744" w:rsidRDefault="00151FB8" w:rsidP="00151FB8">
      <w:pPr>
        <w:autoSpaceDE w:val="0"/>
        <w:autoSpaceDN w:val="0"/>
        <w:adjustRightInd w:val="0"/>
        <w:spacing w:after="0" w:line="360" w:lineRule="auto"/>
        <w:jc w:val="center"/>
        <w:rPr>
          <w:rFonts w:asciiTheme="majorBidi" w:hAnsiTheme="majorBidi" w:cstheme="majorBidi"/>
        </w:rPr>
      </w:pPr>
      <w:r w:rsidRPr="00151FB8">
        <w:rPr>
          <w:rFonts w:asciiTheme="majorBidi" w:hAnsiTheme="majorBidi" w:cstheme="majorBidi"/>
          <w:noProof/>
        </w:rPr>
        <w:drawing>
          <wp:inline distT="0" distB="0" distL="0" distR="0">
            <wp:extent cx="5153025" cy="1552575"/>
            <wp:effectExtent l="0" t="0" r="0"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A14F4" w:rsidRDefault="00BA14F4" w:rsidP="00420D73">
      <w:pPr>
        <w:autoSpaceDE w:val="0"/>
        <w:autoSpaceDN w:val="0"/>
        <w:adjustRightInd w:val="0"/>
        <w:spacing w:after="0" w:line="360" w:lineRule="auto"/>
        <w:jc w:val="center"/>
        <w:rPr>
          <w:rFonts w:asciiTheme="majorBidi" w:hAnsiTheme="majorBidi" w:cstheme="majorBidi"/>
          <w:sz w:val="20"/>
          <w:szCs w:val="20"/>
        </w:rPr>
      </w:pPr>
      <w:r w:rsidRPr="00BA14F4">
        <w:rPr>
          <w:rFonts w:asciiTheme="majorBidi" w:hAnsiTheme="majorBidi" w:cstheme="majorBidi"/>
          <w:sz w:val="20"/>
          <w:szCs w:val="20"/>
        </w:rPr>
        <w:t>Source: Data analysis, 2013</w:t>
      </w:r>
    </w:p>
    <w:p w:rsidR="006C5F91" w:rsidRPr="00BA14F4" w:rsidRDefault="006C5F91" w:rsidP="00420D73">
      <w:pPr>
        <w:autoSpaceDE w:val="0"/>
        <w:autoSpaceDN w:val="0"/>
        <w:adjustRightInd w:val="0"/>
        <w:spacing w:after="0" w:line="360" w:lineRule="auto"/>
        <w:jc w:val="center"/>
        <w:rPr>
          <w:rFonts w:asciiTheme="majorBidi" w:hAnsiTheme="majorBidi" w:cstheme="majorBidi"/>
          <w:sz w:val="20"/>
          <w:szCs w:val="20"/>
        </w:rPr>
      </w:pPr>
    </w:p>
    <w:p w:rsidR="008606AB" w:rsidRDefault="0033278D" w:rsidP="00601E5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Table 4.19</w:t>
      </w:r>
      <w:r w:rsidR="003C7C3C">
        <w:rPr>
          <w:rFonts w:asciiTheme="majorBidi" w:hAnsiTheme="majorBidi" w:cstheme="majorBidi"/>
          <w:sz w:val="24"/>
          <w:szCs w:val="24"/>
        </w:rPr>
        <w:t xml:space="preserve"> reported the mean scores of Non-Interest Expense to Net Interest Income plus Non-interest I</w:t>
      </w:r>
      <w:r w:rsidR="0082673E" w:rsidRPr="00DB7098">
        <w:rPr>
          <w:rFonts w:asciiTheme="majorBidi" w:hAnsiTheme="majorBidi" w:cstheme="majorBidi"/>
          <w:sz w:val="24"/>
          <w:szCs w:val="24"/>
        </w:rPr>
        <w:t>ncome. It is a measure of how effective a bank is in using</w:t>
      </w:r>
      <w:r w:rsidR="003C7C3C">
        <w:rPr>
          <w:rFonts w:asciiTheme="majorBidi" w:hAnsiTheme="majorBidi" w:cstheme="majorBidi"/>
          <w:sz w:val="24"/>
          <w:szCs w:val="24"/>
        </w:rPr>
        <w:t xml:space="preserve"> O</w:t>
      </w:r>
      <w:r w:rsidR="00BC6770">
        <w:rPr>
          <w:rFonts w:asciiTheme="majorBidi" w:hAnsiTheme="majorBidi" w:cstheme="majorBidi"/>
          <w:sz w:val="24"/>
          <w:szCs w:val="24"/>
        </w:rPr>
        <w:t>perational</w:t>
      </w:r>
      <w:r w:rsidR="003C7C3C">
        <w:rPr>
          <w:rFonts w:asciiTheme="majorBidi" w:hAnsiTheme="majorBidi" w:cstheme="majorBidi"/>
          <w:sz w:val="24"/>
          <w:szCs w:val="24"/>
        </w:rPr>
        <w:t xml:space="preserve"> E</w:t>
      </w:r>
      <w:r w:rsidR="003A6144">
        <w:rPr>
          <w:rFonts w:asciiTheme="majorBidi" w:hAnsiTheme="majorBidi" w:cstheme="majorBidi"/>
          <w:sz w:val="24"/>
          <w:szCs w:val="24"/>
        </w:rPr>
        <w:t>xpenses including salaries, benefit costs, occupancy expenses and</w:t>
      </w:r>
      <w:r w:rsidR="0082673E" w:rsidRPr="00DB7098">
        <w:rPr>
          <w:rFonts w:asciiTheme="majorBidi" w:hAnsiTheme="majorBidi" w:cstheme="majorBidi"/>
          <w:sz w:val="24"/>
          <w:szCs w:val="24"/>
        </w:rPr>
        <w:t xml:space="preserve"> other</w:t>
      </w:r>
      <w:r w:rsidR="00AF5691">
        <w:rPr>
          <w:rFonts w:asciiTheme="majorBidi" w:hAnsiTheme="majorBidi" w:cstheme="majorBidi"/>
          <w:sz w:val="24"/>
          <w:szCs w:val="24"/>
        </w:rPr>
        <w:t xml:space="preserve"> </w:t>
      </w:r>
      <w:r w:rsidR="0082673E" w:rsidRPr="00DB7098">
        <w:rPr>
          <w:rFonts w:asciiTheme="majorBidi" w:hAnsiTheme="majorBidi" w:cstheme="majorBidi"/>
          <w:sz w:val="24"/>
          <w:szCs w:val="24"/>
        </w:rPr>
        <w:t xml:space="preserve">operating expenses in generating </w:t>
      </w:r>
    </w:p>
    <w:p w:rsidR="00004192" w:rsidRDefault="0082673E" w:rsidP="00FE5247">
      <w:pPr>
        <w:autoSpaceDE w:val="0"/>
        <w:autoSpaceDN w:val="0"/>
        <w:adjustRightInd w:val="0"/>
        <w:spacing w:after="0" w:line="360" w:lineRule="auto"/>
        <w:jc w:val="both"/>
        <w:rPr>
          <w:rFonts w:asciiTheme="majorBidi" w:hAnsiTheme="majorBidi" w:cstheme="majorBidi"/>
          <w:sz w:val="24"/>
          <w:szCs w:val="24"/>
        </w:rPr>
      </w:pPr>
      <w:r w:rsidRPr="00DB7098">
        <w:rPr>
          <w:rFonts w:asciiTheme="majorBidi" w:hAnsiTheme="majorBidi" w:cstheme="majorBidi"/>
          <w:sz w:val="24"/>
          <w:szCs w:val="24"/>
        </w:rPr>
        <w:t>revenues.</w:t>
      </w:r>
      <w:r w:rsidR="003A6144">
        <w:rPr>
          <w:rFonts w:asciiTheme="majorBidi" w:hAnsiTheme="majorBidi" w:cstheme="majorBidi"/>
          <w:sz w:val="24"/>
          <w:szCs w:val="24"/>
        </w:rPr>
        <w:t xml:space="preserve"> An efficiency ratio of 50</w:t>
      </w:r>
      <w:r w:rsidR="00DB7098">
        <w:rPr>
          <w:rFonts w:asciiTheme="majorBidi" w:hAnsiTheme="majorBidi" w:cstheme="majorBidi"/>
          <w:sz w:val="24"/>
          <w:szCs w:val="24"/>
        </w:rPr>
        <w:t xml:space="preserve"> percent, for example, </w:t>
      </w:r>
      <w:r w:rsidR="003A6144">
        <w:rPr>
          <w:rFonts w:asciiTheme="majorBidi" w:hAnsiTheme="majorBidi" w:cstheme="majorBidi"/>
          <w:sz w:val="24"/>
          <w:szCs w:val="24"/>
        </w:rPr>
        <w:t>means that a bank is spending 50</w:t>
      </w:r>
      <w:r w:rsidR="00DB7098">
        <w:rPr>
          <w:rFonts w:asciiTheme="majorBidi" w:hAnsiTheme="majorBidi" w:cstheme="majorBidi"/>
          <w:sz w:val="24"/>
          <w:szCs w:val="24"/>
        </w:rPr>
        <w:t xml:space="preserve"> cents to generate a dollar of income. O</w:t>
      </w:r>
      <w:r w:rsidR="00DB7098" w:rsidRPr="00DB7098">
        <w:rPr>
          <w:rFonts w:asciiTheme="majorBidi" w:hAnsiTheme="majorBidi" w:cstheme="majorBidi"/>
          <w:sz w:val="24"/>
          <w:szCs w:val="24"/>
        </w:rPr>
        <w:t>ther</w:t>
      </w:r>
      <w:r w:rsidR="00BC6770">
        <w:rPr>
          <w:rFonts w:asciiTheme="majorBidi" w:hAnsiTheme="majorBidi" w:cstheme="majorBidi"/>
          <w:sz w:val="24"/>
          <w:szCs w:val="24"/>
        </w:rPr>
        <w:t xml:space="preserve"> things being equal,</w:t>
      </w:r>
      <w:r w:rsidRPr="00DB7098">
        <w:rPr>
          <w:rFonts w:asciiTheme="majorBidi" w:hAnsiTheme="majorBidi" w:cstheme="majorBidi"/>
          <w:sz w:val="24"/>
          <w:szCs w:val="24"/>
        </w:rPr>
        <w:t xml:space="preserve"> a decrease in the efficiency</w:t>
      </w:r>
      <w:r w:rsidR="003C7C3C">
        <w:rPr>
          <w:rFonts w:asciiTheme="majorBidi" w:hAnsiTheme="majorBidi" w:cstheme="majorBidi"/>
          <w:sz w:val="24"/>
          <w:szCs w:val="24"/>
        </w:rPr>
        <w:t xml:space="preserve"> </w:t>
      </w:r>
      <w:r w:rsidRPr="00DB7098">
        <w:rPr>
          <w:rFonts w:asciiTheme="majorBidi" w:hAnsiTheme="majorBidi" w:cstheme="majorBidi"/>
          <w:sz w:val="24"/>
          <w:szCs w:val="24"/>
        </w:rPr>
        <w:t>ratio is viewed as a positive while a rising efficiency ratio is generally undesirable.</w:t>
      </w:r>
      <w:r w:rsidR="00DB7098">
        <w:rPr>
          <w:rFonts w:asciiTheme="majorBidi" w:hAnsiTheme="majorBidi" w:cstheme="majorBidi"/>
          <w:sz w:val="24"/>
          <w:szCs w:val="24"/>
        </w:rPr>
        <w:t xml:space="preserve"> According to the</w:t>
      </w:r>
      <w:r w:rsidR="003C7C3C">
        <w:rPr>
          <w:rFonts w:asciiTheme="majorBidi" w:hAnsiTheme="majorBidi" w:cstheme="majorBidi"/>
          <w:sz w:val="24"/>
          <w:szCs w:val="24"/>
        </w:rPr>
        <w:t xml:space="preserve"> five sample </w:t>
      </w:r>
      <w:r w:rsidR="009713CA">
        <w:rPr>
          <w:rFonts w:asciiTheme="majorBidi" w:hAnsiTheme="majorBidi" w:cstheme="majorBidi"/>
          <w:sz w:val="24"/>
          <w:szCs w:val="24"/>
        </w:rPr>
        <w:t>banks there</w:t>
      </w:r>
      <w:r w:rsidR="00DB7098">
        <w:rPr>
          <w:rFonts w:asciiTheme="majorBidi" w:hAnsiTheme="majorBidi" w:cstheme="majorBidi"/>
          <w:sz w:val="24"/>
          <w:szCs w:val="24"/>
        </w:rPr>
        <w:t xml:space="preserve"> </w:t>
      </w:r>
      <w:r w:rsidR="00AF5691">
        <w:rPr>
          <w:rFonts w:asciiTheme="majorBidi" w:hAnsiTheme="majorBidi" w:cstheme="majorBidi"/>
          <w:sz w:val="24"/>
          <w:szCs w:val="24"/>
        </w:rPr>
        <w:t>were</w:t>
      </w:r>
      <w:r w:rsidR="003A6144">
        <w:rPr>
          <w:rFonts w:asciiTheme="majorBidi" w:hAnsiTheme="majorBidi" w:cstheme="majorBidi"/>
          <w:sz w:val="24"/>
          <w:szCs w:val="24"/>
        </w:rPr>
        <w:t xml:space="preserve"> a steady</w:t>
      </w:r>
      <w:r w:rsidR="008C6453">
        <w:rPr>
          <w:rFonts w:asciiTheme="majorBidi" w:hAnsiTheme="majorBidi" w:cstheme="majorBidi"/>
          <w:sz w:val="24"/>
          <w:szCs w:val="24"/>
        </w:rPr>
        <w:t xml:space="preserve"> trend</w:t>
      </w:r>
      <w:r w:rsidR="00AF5691">
        <w:rPr>
          <w:rFonts w:asciiTheme="majorBidi" w:hAnsiTheme="majorBidi" w:cstheme="majorBidi"/>
          <w:sz w:val="24"/>
          <w:szCs w:val="24"/>
        </w:rPr>
        <w:t xml:space="preserve"> </w:t>
      </w:r>
      <w:r w:rsidR="008C6453">
        <w:rPr>
          <w:rFonts w:asciiTheme="majorBidi" w:hAnsiTheme="majorBidi" w:cstheme="majorBidi"/>
          <w:sz w:val="24"/>
          <w:szCs w:val="24"/>
        </w:rPr>
        <w:t xml:space="preserve">in the operational expense from 2005 till 2011. The ratio declined by 19% (111.5% in 2005 to 90% in 2011). </w:t>
      </w:r>
      <w:r w:rsidR="004427F4">
        <w:rPr>
          <w:rFonts w:asciiTheme="majorBidi" w:hAnsiTheme="majorBidi" w:cstheme="majorBidi"/>
          <w:sz w:val="24"/>
          <w:szCs w:val="24"/>
        </w:rPr>
        <w:t>Looking at each bank separately, we can see that there is an increasing trend in operati</w:t>
      </w:r>
      <w:r w:rsidR="00CB6F65">
        <w:rPr>
          <w:rFonts w:asciiTheme="majorBidi" w:hAnsiTheme="majorBidi" w:cstheme="majorBidi"/>
          <w:sz w:val="24"/>
          <w:szCs w:val="24"/>
        </w:rPr>
        <w:t xml:space="preserve">onal expenses year after year. </w:t>
      </w:r>
      <w:r w:rsidR="00D40560">
        <w:rPr>
          <w:rFonts w:asciiTheme="majorBidi" w:hAnsiTheme="majorBidi" w:cstheme="majorBidi"/>
          <w:sz w:val="24"/>
          <w:szCs w:val="24"/>
        </w:rPr>
        <w:t xml:space="preserve">The average mean of the ratio </w:t>
      </w:r>
      <w:r w:rsidR="00AF5691">
        <w:rPr>
          <w:rFonts w:asciiTheme="majorBidi" w:hAnsiTheme="majorBidi" w:cstheme="majorBidi"/>
          <w:sz w:val="24"/>
          <w:szCs w:val="24"/>
        </w:rPr>
        <w:t>for the sample banks was</w:t>
      </w:r>
      <w:r w:rsidR="00D40560">
        <w:rPr>
          <w:rFonts w:asciiTheme="majorBidi" w:hAnsiTheme="majorBidi" w:cstheme="majorBidi"/>
          <w:sz w:val="24"/>
          <w:szCs w:val="24"/>
        </w:rPr>
        <w:t xml:space="preserve"> (91%),</w:t>
      </w:r>
      <w:r w:rsidR="008C6453">
        <w:rPr>
          <w:rFonts w:asciiTheme="majorBidi" w:hAnsiTheme="majorBidi" w:cstheme="majorBidi"/>
          <w:sz w:val="24"/>
          <w:szCs w:val="24"/>
        </w:rPr>
        <w:t xml:space="preserve"> much higher than indu</w:t>
      </w:r>
      <w:r w:rsidR="00E87B47">
        <w:rPr>
          <w:rFonts w:asciiTheme="majorBidi" w:hAnsiTheme="majorBidi" w:cstheme="majorBidi"/>
          <w:sz w:val="24"/>
          <w:szCs w:val="24"/>
        </w:rPr>
        <w:t>s</w:t>
      </w:r>
      <w:r w:rsidR="008C6453">
        <w:rPr>
          <w:rFonts w:asciiTheme="majorBidi" w:hAnsiTheme="majorBidi" w:cstheme="majorBidi"/>
          <w:sz w:val="24"/>
          <w:szCs w:val="24"/>
        </w:rPr>
        <w:t>try standards (around 60%)</w:t>
      </w:r>
      <w:r w:rsidR="00E87B47">
        <w:rPr>
          <w:rFonts w:asciiTheme="majorBidi" w:hAnsiTheme="majorBidi" w:cstheme="majorBidi"/>
          <w:sz w:val="24"/>
          <w:szCs w:val="24"/>
        </w:rPr>
        <w:t xml:space="preserve">. It should be mentioned, that bank of Palestine is the only bank had good control on its operational expenses. </w:t>
      </w:r>
    </w:p>
    <w:p w:rsidR="00AC6FAE" w:rsidRPr="00502966" w:rsidRDefault="00AC6FAE" w:rsidP="00FE5247">
      <w:pPr>
        <w:autoSpaceDE w:val="0"/>
        <w:autoSpaceDN w:val="0"/>
        <w:adjustRightInd w:val="0"/>
        <w:spacing w:after="0" w:line="360" w:lineRule="auto"/>
        <w:jc w:val="both"/>
        <w:rPr>
          <w:rFonts w:asciiTheme="majorBidi" w:hAnsiTheme="majorBidi" w:cstheme="majorBidi"/>
          <w:sz w:val="24"/>
          <w:szCs w:val="24"/>
        </w:rPr>
      </w:pPr>
    </w:p>
    <w:p w:rsidR="00FA06DA" w:rsidRPr="001B6D4E" w:rsidRDefault="00721FE5" w:rsidP="00FE5247">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4.3 Multiple L</w:t>
      </w:r>
      <w:r w:rsidR="002302DA">
        <w:rPr>
          <w:rFonts w:asciiTheme="majorBidi" w:hAnsiTheme="majorBidi" w:cstheme="majorBidi"/>
          <w:b/>
          <w:bCs/>
          <w:sz w:val="24"/>
          <w:szCs w:val="24"/>
        </w:rPr>
        <w:t>inear Regression A</w:t>
      </w:r>
      <w:r w:rsidR="00FA06DA" w:rsidRPr="001B6D4E">
        <w:rPr>
          <w:rFonts w:asciiTheme="majorBidi" w:hAnsiTheme="majorBidi" w:cstheme="majorBidi"/>
          <w:b/>
          <w:bCs/>
          <w:sz w:val="24"/>
          <w:szCs w:val="24"/>
        </w:rPr>
        <w:t>nalysis</w:t>
      </w:r>
    </w:p>
    <w:p w:rsidR="006C4A60" w:rsidRDefault="00331B91" w:rsidP="00601E54">
      <w:pPr>
        <w:autoSpaceDE w:val="0"/>
        <w:autoSpaceDN w:val="0"/>
        <w:adjustRightInd w:val="0"/>
        <w:spacing w:after="0" w:line="360" w:lineRule="auto"/>
        <w:jc w:val="both"/>
        <w:rPr>
          <w:rFonts w:asciiTheme="majorBidi" w:hAnsiTheme="majorBidi" w:cstheme="majorBidi"/>
          <w:color w:val="FF0000"/>
          <w:sz w:val="28"/>
          <w:szCs w:val="28"/>
        </w:rPr>
      </w:pPr>
      <w:r w:rsidRPr="00331B91">
        <w:rPr>
          <w:rFonts w:asciiTheme="majorBidi" w:hAnsiTheme="majorBidi" w:cstheme="majorBidi"/>
          <w:sz w:val="24"/>
          <w:szCs w:val="24"/>
        </w:rPr>
        <w:t>One of</w:t>
      </w:r>
      <w:r w:rsidR="00FA06DA" w:rsidRPr="00331B91">
        <w:rPr>
          <w:rFonts w:asciiTheme="majorBidi" w:hAnsiTheme="majorBidi" w:cstheme="majorBidi"/>
          <w:sz w:val="24"/>
          <w:szCs w:val="24"/>
        </w:rPr>
        <w:t xml:space="preserve"> the functions of multiple linear regression that examines the strength of the relationship</w:t>
      </w:r>
      <w:r>
        <w:rPr>
          <w:rFonts w:asciiTheme="majorBidi" w:hAnsiTheme="majorBidi" w:cstheme="majorBidi"/>
          <w:sz w:val="24"/>
          <w:szCs w:val="24"/>
        </w:rPr>
        <w:t xml:space="preserve"> between independent variables and dependent variable, </w:t>
      </w:r>
      <w:r w:rsidRPr="00331B91">
        <w:rPr>
          <w:rFonts w:asciiTheme="majorBidi" w:hAnsiTheme="majorBidi" w:cstheme="majorBidi"/>
          <w:sz w:val="24"/>
          <w:szCs w:val="24"/>
        </w:rPr>
        <w:t>In addition to that it works on framing this relationship</w:t>
      </w:r>
      <w:r>
        <w:rPr>
          <w:rFonts w:asciiTheme="majorBidi" w:hAnsiTheme="majorBidi" w:cstheme="majorBidi"/>
          <w:sz w:val="24"/>
          <w:szCs w:val="24"/>
        </w:rPr>
        <w:t xml:space="preserve"> in a mathematical model used for</w:t>
      </w:r>
      <w:r w:rsidRPr="00331B91">
        <w:rPr>
          <w:rFonts w:asciiTheme="majorBidi" w:hAnsiTheme="majorBidi" w:cstheme="majorBidi"/>
          <w:sz w:val="24"/>
          <w:szCs w:val="24"/>
        </w:rPr>
        <w:t xml:space="preserve"> predict</w:t>
      </w:r>
      <w:r>
        <w:rPr>
          <w:rFonts w:asciiTheme="majorBidi" w:hAnsiTheme="majorBidi" w:cstheme="majorBidi"/>
          <w:sz w:val="24"/>
          <w:szCs w:val="24"/>
        </w:rPr>
        <w:t xml:space="preserve">ion </w:t>
      </w:r>
      <w:r w:rsidR="00F126EF">
        <w:rPr>
          <w:rFonts w:asciiTheme="majorBidi" w:hAnsiTheme="majorBidi" w:cstheme="majorBidi"/>
          <w:sz w:val="24"/>
          <w:szCs w:val="24"/>
        </w:rPr>
        <w:t>.(Gujarati, 2003</w:t>
      </w:r>
      <w:r w:rsidRPr="00F126EF">
        <w:rPr>
          <w:rFonts w:asciiTheme="majorBidi" w:hAnsiTheme="majorBidi" w:cstheme="majorBidi"/>
          <w:sz w:val="24"/>
          <w:szCs w:val="24"/>
        </w:rPr>
        <w:t>).</w:t>
      </w:r>
    </w:p>
    <w:p w:rsidR="00004192" w:rsidRPr="00502966" w:rsidRDefault="00A02D7B" w:rsidP="004975E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w:t>
      </w:r>
      <w:r w:rsidRPr="006C4A60">
        <w:rPr>
          <w:rFonts w:asciiTheme="majorBidi" w:hAnsiTheme="majorBidi" w:cstheme="majorBidi"/>
          <w:sz w:val="24"/>
          <w:szCs w:val="24"/>
        </w:rPr>
        <w:t>his part</w:t>
      </w:r>
      <w:r>
        <w:rPr>
          <w:rFonts w:asciiTheme="majorBidi" w:hAnsiTheme="majorBidi" w:cstheme="majorBidi"/>
          <w:sz w:val="24"/>
          <w:szCs w:val="24"/>
        </w:rPr>
        <w:t xml:space="preserve"> will</w:t>
      </w:r>
      <w:r w:rsidR="005920F2">
        <w:rPr>
          <w:rFonts w:asciiTheme="majorBidi" w:hAnsiTheme="majorBidi" w:cstheme="majorBidi"/>
          <w:sz w:val="24"/>
          <w:szCs w:val="24"/>
        </w:rPr>
        <w:t xml:space="preserve"> present</w:t>
      </w:r>
      <w:r w:rsidR="006C4A60" w:rsidRPr="006C4A60">
        <w:rPr>
          <w:rFonts w:asciiTheme="majorBidi" w:hAnsiTheme="majorBidi" w:cstheme="majorBidi"/>
          <w:sz w:val="24"/>
          <w:szCs w:val="24"/>
        </w:rPr>
        <w:t xml:space="preserve"> the results of multiple linear regression analysis</w:t>
      </w:r>
      <w:r w:rsidR="006A4765">
        <w:rPr>
          <w:rFonts w:asciiTheme="majorBidi" w:hAnsiTheme="majorBidi" w:cstheme="majorBidi"/>
          <w:sz w:val="24"/>
          <w:szCs w:val="24"/>
        </w:rPr>
        <w:t xml:space="preserve"> for the two models</w:t>
      </w:r>
      <w:r w:rsidR="006C4A60" w:rsidRPr="006C4A60">
        <w:rPr>
          <w:rFonts w:asciiTheme="majorBidi" w:hAnsiTheme="majorBidi" w:cstheme="majorBidi"/>
          <w:sz w:val="24"/>
          <w:szCs w:val="24"/>
        </w:rPr>
        <w:t xml:space="preserve"> and the results will </w:t>
      </w:r>
      <w:r w:rsidR="005920F2">
        <w:rPr>
          <w:rFonts w:asciiTheme="majorBidi" w:hAnsiTheme="majorBidi" w:cstheme="majorBidi"/>
          <w:sz w:val="24"/>
          <w:szCs w:val="24"/>
        </w:rPr>
        <w:t>be divided into five</w:t>
      </w:r>
      <w:r w:rsidR="00E62789">
        <w:rPr>
          <w:rFonts w:asciiTheme="majorBidi" w:hAnsiTheme="majorBidi" w:cstheme="majorBidi"/>
          <w:sz w:val="24"/>
          <w:szCs w:val="24"/>
        </w:rPr>
        <w:t xml:space="preserve"> parts</w:t>
      </w:r>
      <w:r w:rsidR="006C4A60">
        <w:rPr>
          <w:rFonts w:asciiTheme="majorBidi" w:hAnsiTheme="majorBidi" w:cstheme="majorBidi"/>
          <w:sz w:val="24"/>
          <w:szCs w:val="24"/>
        </w:rPr>
        <w:t xml:space="preserve"> based on the</w:t>
      </w:r>
      <w:r w:rsidR="00601E54">
        <w:rPr>
          <w:rFonts w:asciiTheme="majorBidi" w:hAnsiTheme="majorBidi" w:cstheme="majorBidi"/>
          <w:sz w:val="24"/>
          <w:szCs w:val="24"/>
        </w:rPr>
        <w:t xml:space="preserve"> </w:t>
      </w:r>
      <w:r w:rsidR="00446F27" w:rsidRPr="005920F2">
        <w:rPr>
          <w:rFonts w:asciiTheme="majorBidi" w:hAnsiTheme="majorBidi" w:cstheme="majorBidi"/>
          <w:sz w:val="24"/>
          <w:szCs w:val="24"/>
        </w:rPr>
        <w:t>five</w:t>
      </w:r>
      <w:r w:rsidR="00D10A2E">
        <w:rPr>
          <w:rFonts w:asciiTheme="majorBidi" w:hAnsiTheme="majorBidi" w:cstheme="majorBidi"/>
          <w:sz w:val="24"/>
          <w:szCs w:val="24"/>
        </w:rPr>
        <w:t xml:space="preserve"> independent</w:t>
      </w:r>
      <w:r w:rsidR="00601E54">
        <w:rPr>
          <w:rFonts w:asciiTheme="majorBidi" w:hAnsiTheme="majorBidi" w:cstheme="majorBidi"/>
          <w:sz w:val="24"/>
          <w:szCs w:val="24"/>
        </w:rPr>
        <w:t xml:space="preserve"> </w:t>
      </w:r>
      <w:r w:rsidR="006C4A60" w:rsidRPr="006C4A60">
        <w:rPr>
          <w:rFonts w:asciiTheme="majorBidi" w:hAnsiTheme="majorBidi" w:cstheme="majorBidi"/>
          <w:sz w:val="24"/>
          <w:szCs w:val="24"/>
        </w:rPr>
        <w:t xml:space="preserve">variables that were measured by financial ratios </w:t>
      </w:r>
      <w:r>
        <w:rPr>
          <w:rFonts w:asciiTheme="majorBidi" w:hAnsiTheme="majorBidi" w:cstheme="majorBidi"/>
          <w:sz w:val="24"/>
          <w:szCs w:val="24"/>
        </w:rPr>
        <w:t>of the five</w:t>
      </w:r>
      <w:r w:rsidR="00A6461F">
        <w:rPr>
          <w:rFonts w:asciiTheme="majorBidi" w:hAnsiTheme="majorBidi" w:cstheme="majorBidi"/>
          <w:sz w:val="24"/>
          <w:szCs w:val="24"/>
        </w:rPr>
        <w:t xml:space="preserve"> sample banks.</w:t>
      </w:r>
    </w:p>
    <w:p w:rsidR="00502966" w:rsidRDefault="00502966" w:rsidP="004975EA">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5920F2" w:rsidRDefault="005920F2" w:rsidP="004975EA">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5920F2">
        <w:rPr>
          <w:rFonts w:asciiTheme="majorBidi" w:hAnsiTheme="majorBidi" w:cstheme="majorBidi"/>
          <w:b/>
          <w:bCs/>
          <w:color w:val="000000" w:themeColor="text1"/>
          <w:sz w:val="24"/>
          <w:szCs w:val="24"/>
        </w:rPr>
        <w:t>4.3.1</w:t>
      </w:r>
      <w:r w:rsidRPr="005920F2">
        <w:rPr>
          <w:rFonts w:asciiTheme="majorBidi" w:hAnsiTheme="majorBidi" w:cstheme="majorBidi"/>
          <w:b/>
          <w:bCs/>
          <w:sz w:val="24"/>
          <w:szCs w:val="24"/>
        </w:rPr>
        <w:t>Correlat</w:t>
      </w:r>
      <w:r w:rsidR="002302DA">
        <w:rPr>
          <w:rFonts w:asciiTheme="majorBidi" w:hAnsiTheme="majorBidi" w:cstheme="majorBidi"/>
          <w:b/>
          <w:bCs/>
          <w:sz w:val="24"/>
          <w:szCs w:val="24"/>
        </w:rPr>
        <w:t>ion and Regression Results for M</w:t>
      </w:r>
      <w:r w:rsidRPr="005920F2">
        <w:rPr>
          <w:rFonts w:asciiTheme="majorBidi" w:hAnsiTheme="majorBidi" w:cstheme="majorBidi"/>
          <w:b/>
          <w:bCs/>
          <w:sz w:val="24"/>
          <w:szCs w:val="24"/>
        </w:rPr>
        <w:t>odel I</w:t>
      </w:r>
    </w:p>
    <w:p w:rsidR="00AD7619" w:rsidRPr="003721D6" w:rsidRDefault="00AD7619" w:rsidP="004975EA">
      <w:pPr>
        <w:autoSpaceDE w:val="0"/>
        <w:autoSpaceDN w:val="0"/>
        <w:adjustRightInd w:val="0"/>
        <w:spacing w:after="0" w:line="360" w:lineRule="auto"/>
        <w:jc w:val="both"/>
        <w:rPr>
          <w:rFonts w:asciiTheme="majorBidi" w:hAnsiTheme="majorBidi" w:cstheme="majorBidi"/>
          <w:b/>
          <w:bCs/>
          <w:color w:val="000000" w:themeColor="text1"/>
          <w:sz w:val="16"/>
          <w:szCs w:val="16"/>
        </w:rPr>
      </w:pPr>
    </w:p>
    <w:p w:rsidR="006A4765" w:rsidRPr="006A4765" w:rsidRDefault="006A4765" w:rsidP="009964F8">
      <w:pPr>
        <w:autoSpaceDE w:val="0"/>
        <w:autoSpaceDN w:val="0"/>
        <w:adjustRightInd w:val="0"/>
        <w:spacing w:after="0" w:line="360" w:lineRule="auto"/>
        <w:rPr>
          <w:rFonts w:asciiTheme="majorBidi" w:hAnsiTheme="majorBidi" w:cstheme="majorBidi"/>
          <w:b/>
          <w:bCs/>
          <w:sz w:val="24"/>
          <w:szCs w:val="24"/>
        </w:rPr>
      </w:pPr>
      <w:r w:rsidRPr="006A4765">
        <w:rPr>
          <w:rFonts w:asciiTheme="majorBidi" w:hAnsiTheme="majorBidi" w:cstheme="majorBidi"/>
          <w:b/>
          <w:bCs/>
          <w:sz w:val="24"/>
          <w:szCs w:val="24"/>
        </w:rPr>
        <w:t>4.3.1.1. Correlation Matrix</w:t>
      </w:r>
    </w:p>
    <w:p w:rsidR="005920F2" w:rsidRPr="00F87077" w:rsidRDefault="009964F8" w:rsidP="00004192">
      <w:pPr>
        <w:autoSpaceDE w:val="0"/>
        <w:autoSpaceDN w:val="0"/>
        <w:adjustRightInd w:val="0"/>
        <w:spacing w:after="0" w:line="360" w:lineRule="auto"/>
        <w:jc w:val="both"/>
        <w:rPr>
          <w:rFonts w:asciiTheme="majorBidi" w:hAnsiTheme="majorBidi" w:cstheme="majorBidi"/>
          <w:sz w:val="24"/>
          <w:szCs w:val="24"/>
        </w:rPr>
      </w:pPr>
      <w:r w:rsidRPr="009964F8">
        <w:rPr>
          <w:rFonts w:asciiTheme="majorBidi" w:hAnsiTheme="majorBidi" w:cstheme="majorBidi"/>
          <w:sz w:val="24"/>
          <w:szCs w:val="24"/>
        </w:rPr>
        <w:t>The</w:t>
      </w:r>
      <w:r w:rsidR="002334D8">
        <w:rPr>
          <w:rFonts w:asciiTheme="majorBidi" w:hAnsiTheme="majorBidi" w:cstheme="majorBidi"/>
          <w:sz w:val="24"/>
          <w:szCs w:val="24"/>
        </w:rPr>
        <w:t xml:space="preserve"> Correlation among the explanatory variables (independent variables) and the dependent variable (ROA), </w:t>
      </w:r>
      <w:r w:rsidR="002334D8" w:rsidRPr="009964F8">
        <w:rPr>
          <w:rFonts w:asciiTheme="majorBidi" w:hAnsiTheme="majorBidi" w:cstheme="majorBidi"/>
          <w:sz w:val="24"/>
          <w:szCs w:val="24"/>
        </w:rPr>
        <w:t>bank’s profitability ratio</w:t>
      </w:r>
      <w:r w:rsidR="008608D6">
        <w:rPr>
          <w:rFonts w:asciiTheme="majorBidi" w:hAnsiTheme="majorBidi" w:cstheme="majorBidi"/>
          <w:sz w:val="24"/>
          <w:szCs w:val="24"/>
        </w:rPr>
        <w:t>, were</w:t>
      </w:r>
      <w:r w:rsidRPr="009964F8">
        <w:rPr>
          <w:rFonts w:asciiTheme="majorBidi" w:hAnsiTheme="majorBidi" w:cstheme="majorBidi"/>
          <w:sz w:val="24"/>
          <w:szCs w:val="24"/>
        </w:rPr>
        <w:t xml:space="preserve"> teste</w:t>
      </w:r>
      <w:r>
        <w:rPr>
          <w:rFonts w:asciiTheme="majorBidi" w:hAnsiTheme="majorBidi" w:cstheme="majorBidi"/>
          <w:sz w:val="24"/>
          <w:szCs w:val="24"/>
        </w:rPr>
        <w:t>d</w:t>
      </w:r>
      <w:r w:rsidR="002334D8">
        <w:rPr>
          <w:rFonts w:asciiTheme="majorBidi" w:hAnsiTheme="majorBidi" w:cstheme="majorBidi"/>
          <w:sz w:val="24"/>
          <w:szCs w:val="24"/>
        </w:rPr>
        <w:t xml:space="preserve"> by</w:t>
      </w:r>
      <w:r>
        <w:rPr>
          <w:rFonts w:asciiTheme="majorBidi" w:hAnsiTheme="majorBidi" w:cstheme="majorBidi"/>
          <w:sz w:val="24"/>
          <w:szCs w:val="24"/>
        </w:rPr>
        <w:t xml:space="preserve"> using</w:t>
      </w:r>
      <w:r w:rsidR="002334D8">
        <w:rPr>
          <w:rFonts w:asciiTheme="majorBidi" w:hAnsiTheme="majorBidi" w:cstheme="majorBidi"/>
          <w:sz w:val="24"/>
          <w:szCs w:val="24"/>
        </w:rPr>
        <w:t xml:space="preserve"> Person Correlation, </w:t>
      </w:r>
      <w:r w:rsidRPr="009964F8">
        <w:rPr>
          <w:rFonts w:asciiTheme="majorBidi" w:hAnsiTheme="majorBidi" w:cstheme="majorBidi"/>
          <w:sz w:val="24"/>
          <w:szCs w:val="24"/>
        </w:rPr>
        <w:t xml:space="preserve">which is presented in </w:t>
      </w:r>
      <w:r w:rsidR="00CC27EA" w:rsidRPr="00CC27EA">
        <w:rPr>
          <w:rFonts w:asciiTheme="majorBidi" w:hAnsiTheme="majorBidi" w:cstheme="majorBidi"/>
          <w:color w:val="000000" w:themeColor="text1"/>
          <w:sz w:val="24"/>
          <w:szCs w:val="24"/>
        </w:rPr>
        <w:t>a</w:t>
      </w:r>
      <w:r w:rsidRPr="00CC27EA">
        <w:rPr>
          <w:rFonts w:asciiTheme="majorBidi" w:hAnsiTheme="majorBidi" w:cstheme="majorBidi"/>
          <w:color w:val="000000" w:themeColor="text1"/>
          <w:sz w:val="24"/>
          <w:szCs w:val="24"/>
        </w:rPr>
        <w:t>ppendix 5.</w:t>
      </w:r>
      <w:r w:rsidR="009335E5" w:rsidRPr="00F87077">
        <w:rPr>
          <w:rFonts w:asciiTheme="majorBidi" w:hAnsiTheme="majorBidi" w:cstheme="majorBidi"/>
          <w:sz w:val="24"/>
          <w:szCs w:val="24"/>
        </w:rPr>
        <w:t xml:space="preserve"> Results show</w:t>
      </w:r>
      <w:r w:rsidR="002334D8">
        <w:rPr>
          <w:rFonts w:asciiTheme="majorBidi" w:hAnsiTheme="majorBidi" w:cstheme="majorBidi"/>
          <w:sz w:val="24"/>
          <w:szCs w:val="24"/>
        </w:rPr>
        <w:t>ed</w:t>
      </w:r>
      <w:r w:rsidR="009335E5" w:rsidRPr="00F87077">
        <w:rPr>
          <w:rFonts w:asciiTheme="majorBidi" w:hAnsiTheme="majorBidi" w:cstheme="majorBidi"/>
          <w:sz w:val="24"/>
          <w:szCs w:val="24"/>
        </w:rPr>
        <w:t xml:space="preserve"> that:</w:t>
      </w:r>
    </w:p>
    <w:p w:rsidR="00D70D6D" w:rsidRDefault="00D70D6D" w:rsidP="00F873C9">
      <w:pPr>
        <w:pStyle w:val="Default"/>
        <w:numPr>
          <w:ilvl w:val="0"/>
          <w:numId w:val="27"/>
        </w:numPr>
        <w:spacing w:line="360" w:lineRule="auto"/>
        <w:jc w:val="both"/>
      </w:pPr>
      <w:r w:rsidRPr="00D70D6D">
        <w:rPr>
          <w:rFonts w:asciiTheme="majorBidi" w:hAnsiTheme="majorBidi" w:cstheme="majorBidi"/>
        </w:rPr>
        <w:t xml:space="preserve">Medium negative correlation between </w:t>
      </w:r>
      <w:r w:rsidRPr="00D70D6D">
        <w:t xml:space="preserve">the dependent variable ROA and the independent variable </w:t>
      </w:r>
      <w:r>
        <w:t>good lending principals, measured by nonperforming loan</w:t>
      </w:r>
      <w:r w:rsidR="00EA7B5B">
        <w:t>s to total loans (NPLR) ratio (-</w:t>
      </w:r>
      <w:r>
        <w:t xml:space="preserve">.535). </w:t>
      </w:r>
      <w:r w:rsidR="00E172E5">
        <w:t>This</w:t>
      </w:r>
      <w:r>
        <w:t xml:space="preserve"> means that, when NPLR decreased </w:t>
      </w:r>
      <w:r w:rsidR="00E172E5">
        <w:t>ROA increased.</w:t>
      </w:r>
    </w:p>
    <w:p w:rsidR="00F36CCD" w:rsidRDefault="00E172E5" w:rsidP="00F873C9">
      <w:pPr>
        <w:pStyle w:val="Default"/>
        <w:numPr>
          <w:ilvl w:val="0"/>
          <w:numId w:val="27"/>
        </w:numPr>
        <w:spacing w:line="360" w:lineRule="auto"/>
        <w:jc w:val="both"/>
      </w:pPr>
      <w:r>
        <w:t xml:space="preserve">A negative correlation </w:t>
      </w:r>
      <w:r w:rsidR="002E2305">
        <w:t xml:space="preserve">was found between ROA and capital adequacy, measured by total equity to total assets (EQTA) ratio. This means when equity </w:t>
      </w:r>
      <w:r w:rsidR="00F32945">
        <w:t>decreases</w:t>
      </w:r>
      <w:r w:rsidR="002E2305">
        <w:t xml:space="preserve"> profitability increase</w:t>
      </w:r>
      <w:r w:rsidR="00F32945">
        <w:t xml:space="preserve"> (-.399).</w:t>
      </w:r>
    </w:p>
    <w:p w:rsidR="002E2305" w:rsidRDefault="002E2305" w:rsidP="00F873C9">
      <w:pPr>
        <w:pStyle w:val="Default"/>
        <w:numPr>
          <w:ilvl w:val="0"/>
          <w:numId w:val="27"/>
        </w:numPr>
        <w:spacing w:line="360" w:lineRule="auto"/>
        <w:jc w:val="both"/>
      </w:pPr>
      <w:r>
        <w:t>Medium negative correlation between the independent variable ROA, profitability measure and loan loss provisions (</w:t>
      </w:r>
      <w:r w:rsidR="00F32945">
        <w:t>LLPI) ratio. This means when LLPI decrease profitability (ROA) increase (-.569).</w:t>
      </w:r>
    </w:p>
    <w:p w:rsidR="008606AB" w:rsidRDefault="008606AB" w:rsidP="00004192">
      <w:pPr>
        <w:pStyle w:val="Default"/>
        <w:spacing w:line="360" w:lineRule="auto"/>
        <w:jc w:val="both"/>
      </w:pPr>
    </w:p>
    <w:p w:rsidR="00F32945" w:rsidRDefault="00F32945" w:rsidP="00F873C9">
      <w:pPr>
        <w:pStyle w:val="Default"/>
        <w:numPr>
          <w:ilvl w:val="0"/>
          <w:numId w:val="27"/>
        </w:numPr>
        <w:spacing w:line="360" w:lineRule="auto"/>
        <w:jc w:val="both"/>
      </w:pPr>
      <w:r>
        <w:t>Weak positive correlation between the dependent variable (ROA), profitability measure and income diversification (NIDR) ratio. This mean when NIDR increase profitability increase (+.201).</w:t>
      </w:r>
    </w:p>
    <w:p w:rsidR="00F32945" w:rsidRDefault="00F32945" w:rsidP="00F873C9">
      <w:pPr>
        <w:pStyle w:val="Default"/>
        <w:numPr>
          <w:ilvl w:val="0"/>
          <w:numId w:val="27"/>
        </w:numPr>
        <w:spacing w:line="360" w:lineRule="auto"/>
        <w:jc w:val="both"/>
      </w:pPr>
      <w:r>
        <w:t>A strong negative correlation between the dependent variable (ROA), profitability measure and operation</w:t>
      </w:r>
      <w:r w:rsidR="00241400">
        <w:t xml:space="preserve"> cost</w:t>
      </w:r>
      <w:r>
        <w:t xml:space="preserve"> efficiency (OPNI) ratio. This mean when operational expenses increase profitability decrease (-.673). </w:t>
      </w:r>
    </w:p>
    <w:p w:rsidR="00AD7619" w:rsidRPr="003721D6" w:rsidRDefault="00AD7619" w:rsidP="00004192">
      <w:pPr>
        <w:pStyle w:val="Default"/>
        <w:spacing w:line="360" w:lineRule="auto"/>
        <w:ind w:left="720"/>
        <w:jc w:val="both"/>
        <w:rPr>
          <w:sz w:val="16"/>
          <w:szCs w:val="16"/>
        </w:rPr>
      </w:pPr>
    </w:p>
    <w:p w:rsidR="009964F8" w:rsidRDefault="006A4765" w:rsidP="009964F8">
      <w:pPr>
        <w:autoSpaceDE w:val="0"/>
        <w:autoSpaceDN w:val="0"/>
        <w:adjustRightInd w:val="0"/>
        <w:spacing w:after="0" w:line="360" w:lineRule="auto"/>
        <w:rPr>
          <w:rFonts w:asciiTheme="majorBidi" w:hAnsiTheme="majorBidi" w:cstheme="majorBidi"/>
          <w:b/>
          <w:bCs/>
          <w:sz w:val="24"/>
          <w:szCs w:val="24"/>
        </w:rPr>
      </w:pPr>
      <w:r w:rsidRPr="006A4765">
        <w:rPr>
          <w:rFonts w:asciiTheme="majorBidi" w:hAnsiTheme="majorBidi" w:cstheme="majorBidi"/>
          <w:b/>
          <w:bCs/>
          <w:sz w:val="24"/>
          <w:szCs w:val="24"/>
        </w:rPr>
        <w:t>4.3.1.2</w:t>
      </w:r>
      <w:r w:rsidR="002302DA">
        <w:rPr>
          <w:rFonts w:asciiTheme="majorBidi" w:hAnsiTheme="majorBidi" w:cstheme="majorBidi"/>
          <w:b/>
          <w:bCs/>
          <w:sz w:val="24"/>
          <w:szCs w:val="24"/>
        </w:rPr>
        <w:t>. Multiple Regression R</w:t>
      </w:r>
      <w:r w:rsidR="007E2CB6">
        <w:rPr>
          <w:rFonts w:asciiTheme="majorBidi" w:hAnsiTheme="majorBidi" w:cstheme="majorBidi"/>
          <w:b/>
          <w:bCs/>
          <w:sz w:val="24"/>
          <w:szCs w:val="24"/>
        </w:rPr>
        <w:t>esults</w:t>
      </w:r>
    </w:p>
    <w:p w:rsidR="00AD7619" w:rsidRDefault="00E62789" w:rsidP="001077E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This part</w:t>
      </w:r>
      <w:r w:rsidR="00392B7F" w:rsidRPr="00894435">
        <w:rPr>
          <w:rFonts w:asciiTheme="majorBidi" w:hAnsiTheme="majorBidi" w:cstheme="majorBidi"/>
          <w:sz w:val="24"/>
          <w:szCs w:val="24"/>
        </w:rPr>
        <w:t xml:space="preserve"> aimed at establishing the relationship between the p</w:t>
      </w:r>
      <w:r w:rsidR="00BC6770">
        <w:rPr>
          <w:rFonts w:asciiTheme="majorBidi" w:hAnsiTheme="majorBidi" w:cstheme="majorBidi"/>
          <w:sz w:val="24"/>
          <w:szCs w:val="24"/>
        </w:rPr>
        <w:t xml:space="preserve">rofitability of the five sample banks </w:t>
      </w:r>
      <w:r w:rsidR="0072309B">
        <w:rPr>
          <w:rFonts w:asciiTheme="majorBidi" w:hAnsiTheme="majorBidi" w:cstheme="majorBidi"/>
          <w:sz w:val="24"/>
          <w:szCs w:val="24"/>
        </w:rPr>
        <w:t>measured by Return On A</w:t>
      </w:r>
      <w:r w:rsidR="00392B7F">
        <w:rPr>
          <w:rFonts w:asciiTheme="majorBidi" w:hAnsiTheme="majorBidi" w:cstheme="majorBidi"/>
          <w:sz w:val="24"/>
          <w:szCs w:val="24"/>
        </w:rPr>
        <w:t>ssets (ROA) and the five</w:t>
      </w:r>
      <w:r w:rsidR="00392B7F" w:rsidRPr="00894435">
        <w:rPr>
          <w:rFonts w:asciiTheme="majorBidi" w:hAnsiTheme="majorBidi" w:cstheme="majorBidi"/>
          <w:sz w:val="24"/>
          <w:szCs w:val="24"/>
        </w:rPr>
        <w:t xml:space="preserve"> explanatory variables</w:t>
      </w:r>
      <w:r w:rsidR="00392B7F">
        <w:rPr>
          <w:rFonts w:asciiTheme="majorBidi" w:hAnsiTheme="majorBidi" w:cstheme="majorBidi"/>
          <w:sz w:val="24"/>
          <w:szCs w:val="24"/>
        </w:rPr>
        <w:t xml:space="preserve"> of credit risk management (independent v</w:t>
      </w:r>
      <w:r w:rsidR="001077EC">
        <w:rPr>
          <w:rFonts w:asciiTheme="majorBidi" w:hAnsiTheme="majorBidi" w:cstheme="majorBidi"/>
          <w:sz w:val="24"/>
          <w:szCs w:val="24"/>
        </w:rPr>
        <w:t>ariab</w:t>
      </w:r>
      <w:r w:rsidR="00BC6770">
        <w:rPr>
          <w:rFonts w:asciiTheme="majorBidi" w:hAnsiTheme="majorBidi" w:cstheme="majorBidi"/>
          <w:sz w:val="24"/>
          <w:szCs w:val="24"/>
        </w:rPr>
        <w:t>les)</w:t>
      </w:r>
      <w:r w:rsidR="0072309B">
        <w:rPr>
          <w:rFonts w:asciiTheme="majorBidi" w:hAnsiTheme="majorBidi" w:cstheme="majorBidi"/>
          <w:sz w:val="24"/>
          <w:szCs w:val="24"/>
        </w:rPr>
        <w:t xml:space="preserve"> </w:t>
      </w:r>
      <w:r w:rsidR="00392B7F">
        <w:rPr>
          <w:rFonts w:asciiTheme="majorBidi" w:hAnsiTheme="majorBidi" w:cstheme="majorBidi"/>
          <w:sz w:val="24"/>
          <w:szCs w:val="24"/>
        </w:rPr>
        <w:t>(</w:t>
      </w:r>
      <w:r w:rsidR="00EB0D50">
        <w:rPr>
          <w:rFonts w:asciiTheme="majorBidi" w:hAnsiTheme="majorBidi" w:cstheme="majorBidi"/>
          <w:sz w:val="24"/>
          <w:szCs w:val="24"/>
        </w:rPr>
        <w:t xml:space="preserve">see Appendix 5 in full details), </w:t>
      </w:r>
      <w:r w:rsidR="00EB0D50">
        <w:rPr>
          <w:rFonts w:asciiTheme="majorBidi" w:hAnsiTheme="majorBidi" w:cstheme="majorBidi"/>
          <w:color w:val="000000" w:themeColor="text1"/>
          <w:sz w:val="24"/>
          <w:szCs w:val="24"/>
        </w:rPr>
        <w:t>t</w:t>
      </w:r>
      <w:r w:rsidR="00EB0D50" w:rsidRPr="00263682">
        <w:rPr>
          <w:rFonts w:asciiTheme="majorBidi" w:hAnsiTheme="majorBidi" w:cstheme="majorBidi"/>
          <w:color w:val="000000" w:themeColor="text1"/>
          <w:sz w:val="24"/>
          <w:szCs w:val="24"/>
        </w:rPr>
        <w:t xml:space="preserve">he F-Test to examine the </w:t>
      </w:r>
      <w:r w:rsidR="00EB0D50" w:rsidRPr="00263682">
        <w:rPr>
          <w:rFonts w:asciiTheme="majorBidi" w:hAnsiTheme="majorBidi" w:cstheme="majorBidi"/>
          <w:color w:val="000000" w:themeColor="text1"/>
          <w:sz w:val="24"/>
          <w:szCs w:val="24"/>
        </w:rPr>
        <w:lastRenderedPageBreak/>
        <w:t>appropriateness of the model as a whole</w:t>
      </w:r>
      <w:r w:rsidR="00162349">
        <w:rPr>
          <w:rFonts w:asciiTheme="majorBidi" w:hAnsiTheme="majorBidi" w:cstheme="majorBidi"/>
          <w:color w:val="000000" w:themeColor="text1"/>
          <w:sz w:val="24"/>
          <w:szCs w:val="24"/>
        </w:rPr>
        <w:t xml:space="preserve">, </w:t>
      </w:r>
      <w:r w:rsidR="00EB0D50">
        <w:rPr>
          <w:rFonts w:asciiTheme="majorBidi" w:hAnsiTheme="majorBidi" w:cstheme="majorBidi"/>
          <w:color w:val="000000" w:themeColor="text1"/>
          <w:sz w:val="24"/>
          <w:szCs w:val="24"/>
        </w:rPr>
        <w:t>the</w:t>
      </w:r>
      <w:r w:rsidR="0072309B">
        <w:rPr>
          <w:rFonts w:asciiTheme="majorBidi" w:hAnsiTheme="majorBidi" w:cstheme="majorBidi"/>
          <w:color w:val="000000" w:themeColor="text1"/>
          <w:sz w:val="24"/>
          <w:szCs w:val="24"/>
        </w:rPr>
        <w:t xml:space="preserve"> </w:t>
      </w:r>
      <w:r w:rsidR="00EB0D50" w:rsidRPr="00EB0D50">
        <w:rPr>
          <w:rFonts w:asciiTheme="majorBidi" w:hAnsiTheme="majorBidi" w:cstheme="majorBidi"/>
          <w:sz w:val="24"/>
          <w:szCs w:val="24"/>
        </w:rPr>
        <w:t>R Square analysis</w:t>
      </w:r>
      <w:r w:rsidR="00162349">
        <w:rPr>
          <w:rFonts w:asciiTheme="majorBidi" w:hAnsiTheme="majorBidi" w:cstheme="majorBidi"/>
          <w:sz w:val="24"/>
          <w:szCs w:val="24"/>
        </w:rPr>
        <w:t xml:space="preserve">, the </w:t>
      </w:r>
      <w:r w:rsidR="00162349" w:rsidRPr="00162349">
        <w:rPr>
          <w:rFonts w:asciiTheme="majorBidi" w:hAnsiTheme="majorBidi" w:cstheme="majorBidi"/>
          <w:sz w:val="24"/>
          <w:szCs w:val="24"/>
        </w:rPr>
        <w:t>Multicolinearity test</w:t>
      </w:r>
      <w:r w:rsidR="00162349">
        <w:rPr>
          <w:rFonts w:asciiTheme="majorBidi" w:hAnsiTheme="majorBidi" w:cstheme="majorBidi"/>
          <w:sz w:val="24"/>
          <w:szCs w:val="24"/>
        </w:rPr>
        <w:t xml:space="preserve"> and the relationship between each independent and dependant variable.  </w:t>
      </w:r>
    </w:p>
    <w:p w:rsidR="00EB0D50" w:rsidRPr="00162349" w:rsidRDefault="00162349" w:rsidP="001077E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392B7F" w:rsidRDefault="000A73DC" w:rsidP="00A37F47">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4.3.1.2.1</w:t>
      </w:r>
      <w:r w:rsidR="002302DA">
        <w:rPr>
          <w:rFonts w:asciiTheme="majorBidi" w:hAnsiTheme="majorBidi" w:cstheme="majorBidi"/>
          <w:b/>
          <w:bCs/>
          <w:sz w:val="24"/>
          <w:szCs w:val="24"/>
        </w:rPr>
        <w:t>The R</w:t>
      </w:r>
      <w:r w:rsidR="0072309B">
        <w:rPr>
          <w:rFonts w:asciiTheme="majorBidi" w:hAnsiTheme="majorBidi" w:cstheme="majorBidi"/>
          <w:b/>
          <w:bCs/>
          <w:sz w:val="24"/>
          <w:szCs w:val="24"/>
        </w:rPr>
        <w:t xml:space="preserve">elationship </w:t>
      </w:r>
      <w:r w:rsidR="007E6F9F">
        <w:rPr>
          <w:rFonts w:asciiTheme="majorBidi" w:hAnsiTheme="majorBidi" w:cstheme="majorBidi"/>
          <w:b/>
          <w:bCs/>
          <w:sz w:val="24"/>
          <w:szCs w:val="24"/>
        </w:rPr>
        <w:t>between</w:t>
      </w:r>
      <w:r w:rsidR="002302DA">
        <w:rPr>
          <w:rFonts w:asciiTheme="majorBidi" w:hAnsiTheme="majorBidi" w:cstheme="majorBidi"/>
          <w:b/>
          <w:bCs/>
          <w:sz w:val="24"/>
          <w:szCs w:val="24"/>
        </w:rPr>
        <w:t xml:space="preserve"> Credit Risk M</w:t>
      </w:r>
      <w:r w:rsidR="0072309B">
        <w:rPr>
          <w:rFonts w:asciiTheme="majorBidi" w:hAnsiTheme="majorBidi" w:cstheme="majorBidi"/>
          <w:b/>
          <w:bCs/>
          <w:sz w:val="24"/>
          <w:szCs w:val="24"/>
        </w:rPr>
        <w:t xml:space="preserve">anagement and </w:t>
      </w:r>
      <w:r w:rsidR="002302DA">
        <w:rPr>
          <w:rFonts w:asciiTheme="majorBidi" w:hAnsiTheme="majorBidi" w:cstheme="majorBidi"/>
          <w:b/>
          <w:bCs/>
          <w:sz w:val="24"/>
          <w:szCs w:val="24"/>
        </w:rPr>
        <w:t>P</w:t>
      </w:r>
      <w:r w:rsidR="00782F6D">
        <w:rPr>
          <w:rFonts w:asciiTheme="majorBidi" w:hAnsiTheme="majorBidi" w:cstheme="majorBidi"/>
          <w:b/>
          <w:bCs/>
          <w:sz w:val="24"/>
          <w:szCs w:val="24"/>
        </w:rPr>
        <w:t>rofitability (</w:t>
      </w:r>
      <w:r w:rsidR="002239E9">
        <w:rPr>
          <w:rFonts w:asciiTheme="majorBidi" w:hAnsiTheme="majorBidi" w:cstheme="majorBidi"/>
          <w:b/>
          <w:bCs/>
          <w:sz w:val="24"/>
          <w:szCs w:val="24"/>
        </w:rPr>
        <w:t>ROA</w:t>
      </w:r>
      <w:r w:rsidR="00782F6D">
        <w:rPr>
          <w:rFonts w:asciiTheme="majorBidi" w:hAnsiTheme="majorBidi" w:cstheme="majorBidi"/>
          <w:b/>
          <w:bCs/>
          <w:sz w:val="24"/>
          <w:szCs w:val="24"/>
        </w:rPr>
        <w:t>) in</w:t>
      </w:r>
      <w:r w:rsidR="002302DA">
        <w:rPr>
          <w:rFonts w:asciiTheme="majorBidi" w:hAnsiTheme="majorBidi" w:cstheme="majorBidi"/>
          <w:b/>
          <w:bCs/>
          <w:sz w:val="24"/>
          <w:szCs w:val="24"/>
        </w:rPr>
        <w:t xml:space="preserve"> All B</w:t>
      </w:r>
      <w:r w:rsidR="002239E9">
        <w:rPr>
          <w:rFonts w:asciiTheme="majorBidi" w:hAnsiTheme="majorBidi" w:cstheme="majorBidi"/>
          <w:b/>
          <w:bCs/>
          <w:sz w:val="24"/>
          <w:szCs w:val="24"/>
        </w:rPr>
        <w:t>anks</w:t>
      </w:r>
    </w:p>
    <w:p w:rsidR="00BC6770" w:rsidRPr="0033278D" w:rsidRDefault="000A73DC" w:rsidP="0033278D">
      <w:pPr>
        <w:autoSpaceDE w:val="0"/>
        <w:autoSpaceDN w:val="0"/>
        <w:adjustRightInd w:val="0"/>
        <w:spacing w:after="0" w:line="360" w:lineRule="auto"/>
        <w:jc w:val="both"/>
        <w:rPr>
          <w:rFonts w:asciiTheme="majorBidi" w:hAnsiTheme="majorBidi" w:cstheme="majorBidi"/>
          <w:color w:val="000000" w:themeColor="text1"/>
          <w:sz w:val="24"/>
          <w:szCs w:val="24"/>
        </w:rPr>
      </w:pPr>
      <w:r w:rsidRPr="006C4A60">
        <w:rPr>
          <w:rFonts w:asciiTheme="majorBidi" w:hAnsiTheme="majorBidi" w:cstheme="majorBidi"/>
          <w:color w:val="000000" w:themeColor="text1"/>
          <w:sz w:val="24"/>
          <w:szCs w:val="24"/>
        </w:rPr>
        <w:t>The equation</w:t>
      </w:r>
      <w:r>
        <w:rPr>
          <w:rFonts w:asciiTheme="majorBidi" w:hAnsiTheme="majorBidi" w:cstheme="majorBidi"/>
          <w:color w:val="000000" w:themeColor="text1"/>
          <w:sz w:val="24"/>
          <w:szCs w:val="24"/>
        </w:rPr>
        <w:t xml:space="preserve"> below,</w:t>
      </w:r>
      <w:r w:rsidRPr="006C4A60">
        <w:rPr>
          <w:rFonts w:asciiTheme="majorBidi" w:hAnsiTheme="majorBidi" w:cstheme="majorBidi"/>
          <w:color w:val="000000" w:themeColor="text1"/>
          <w:sz w:val="24"/>
          <w:szCs w:val="24"/>
        </w:rPr>
        <w:t xml:space="preserve"> referred to the linear</w:t>
      </w:r>
      <w:r>
        <w:rPr>
          <w:rFonts w:asciiTheme="majorBidi" w:hAnsiTheme="majorBidi" w:cstheme="majorBidi"/>
          <w:color w:val="000000" w:themeColor="text1"/>
          <w:sz w:val="24"/>
          <w:szCs w:val="24"/>
        </w:rPr>
        <w:t xml:space="preserve"> regression equation of dependent</w:t>
      </w:r>
      <w:r w:rsidR="00A144F9">
        <w:rPr>
          <w:rFonts w:asciiTheme="majorBidi" w:hAnsiTheme="majorBidi" w:cstheme="majorBidi"/>
          <w:color w:val="000000" w:themeColor="text1"/>
          <w:sz w:val="24"/>
          <w:szCs w:val="24"/>
        </w:rPr>
        <w:t xml:space="preserve"> (ROA)</w:t>
      </w:r>
      <w:r w:rsidRPr="006C4A60">
        <w:rPr>
          <w:rFonts w:asciiTheme="majorBidi" w:hAnsiTheme="majorBidi" w:cstheme="majorBidi"/>
          <w:color w:val="000000" w:themeColor="text1"/>
          <w:sz w:val="24"/>
          <w:szCs w:val="24"/>
        </w:rPr>
        <w:t xml:space="preserve"> and independent variables</w:t>
      </w:r>
      <w:r>
        <w:rPr>
          <w:rFonts w:asciiTheme="majorBidi" w:hAnsiTheme="majorBidi" w:cstheme="majorBidi"/>
          <w:color w:val="000000" w:themeColor="text1"/>
          <w:sz w:val="24"/>
          <w:szCs w:val="24"/>
        </w:rPr>
        <w:t xml:space="preserve"> b</w:t>
      </w:r>
      <w:r w:rsidR="00F87077">
        <w:rPr>
          <w:rFonts w:asciiTheme="majorBidi" w:hAnsiTheme="majorBidi" w:cstheme="majorBidi"/>
          <w:color w:val="000000" w:themeColor="text1"/>
          <w:sz w:val="24"/>
          <w:szCs w:val="24"/>
        </w:rPr>
        <w:t>ased on the regression analysis (see Appendix 5 in full details);</w:t>
      </w:r>
    </w:p>
    <w:p w:rsidR="000A73DC" w:rsidRPr="00782F6D" w:rsidRDefault="000A73DC" w:rsidP="00F87077">
      <w:pPr>
        <w:autoSpaceDE w:val="0"/>
        <w:autoSpaceDN w:val="0"/>
        <w:adjustRightInd w:val="0"/>
        <w:spacing w:after="0" w:line="360" w:lineRule="auto"/>
        <w:jc w:val="center"/>
        <w:rPr>
          <w:rFonts w:asciiTheme="majorBidi" w:hAnsiTheme="majorBidi" w:cstheme="majorBidi"/>
          <w:b/>
          <w:bCs/>
        </w:rPr>
      </w:pPr>
      <w:r w:rsidRPr="00782F6D">
        <w:rPr>
          <w:rFonts w:asciiTheme="majorBidi" w:hAnsiTheme="majorBidi" w:cstheme="majorBidi"/>
          <w:b/>
          <w:bCs/>
        </w:rPr>
        <w:t xml:space="preserve">ROA= 2.205 – 0.024 NPLR – 0.022 EQTA – 0.015 LLPI + 0.010 NIDR – 0.007 OPNI + </w:t>
      </w:r>
      <w:r w:rsidRPr="00782F6D">
        <w:rPr>
          <w:rFonts w:asciiTheme="majorBidi" w:hAnsiTheme="majorBidi" w:cstheme="majorBidi"/>
          <w:b/>
          <w:bCs/>
          <w:i/>
          <w:iCs/>
        </w:rPr>
        <w:t>ε</w:t>
      </w:r>
    </w:p>
    <w:p w:rsidR="000A73DC" w:rsidRPr="00782F6D" w:rsidRDefault="000A73DC" w:rsidP="00F87077">
      <w:pPr>
        <w:autoSpaceDE w:val="0"/>
        <w:autoSpaceDN w:val="0"/>
        <w:adjustRightInd w:val="0"/>
        <w:spacing w:after="0" w:line="360" w:lineRule="auto"/>
        <w:jc w:val="center"/>
        <w:rPr>
          <w:rFonts w:asciiTheme="majorBidi" w:hAnsiTheme="majorBidi" w:cstheme="majorBidi"/>
          <w:b/>
          <w:bCs/>
          <w:color w:val="000000" w:themeColor="text1"/>
        </w:rPr>
      </w:pPr>
      <w:r w:rsidRPr="00782F6D">
        <w:rPr>
          <w:rFonts w:asciiTheme="majorBidi" w:hAnsiTheme="majorBidi" w:cstheme="majorBidi"/>
          <w:b/>
          <w:bCs/>
          <w:color w:val="000000" w:themeColor="text1"/>
        </w:rPr>
        <w:t>T (4.427) T (-2.925)     T (-2.362)        T (-2.403)      T (1.099)         T (-2.343)</w:t>
      </w:r>
    </w:p>
    <w:p w:rsidR="000A73DC" w:rsidRPr="00EB0D50" w:rsidRDefault="000A73DC" w:rsidP="00F87077">
      <w:pPr>
        <w:autoSpaceDE w:val="0"/>
        <w:autoSpaceDN w:val="0"/>
        <w:adjustRightInd w:val="0"/>
        <w:spacing w:after="0" w:line="360" w:lineRule="auto"/>
        <w:jc w:val="center"/>
        <w:rPr>
          <w:rFonts w:asciiTheme="majorBidi" w:hAnsiTheme="majorBidi" w:cstheme="majorBidi"/>
          <w:b/>
          <w:bCs/>
          <w:color w:val="000000" w:themeColor="text1"/>
        </w:rPr>
      </w:pPr>
      <w:r w:rsidRPr="00EB0D50">
        <w:rPr>
          <w:rFonts w:asciiTheme="majorBidi" w:hAnsiTheme="majorBidi" w:cstheme="majorBidi"/>
          <w:b/>
          <w:bCs/>
          <w:color w:val="000000" w:themeColor="text1"/>
        </w:rPr>
        <w:t>Sig (.000)</w:t>
      </w:r>
      <w:r>
        <w:rPr>
          <w:rFonts w:asciiTheme="majorBidi" w:hAnsiTheme="majorBidi" w:cstheme="majorBidi"/>
          <w:b/>
          <w:bCs/>
          <w:color w:val="000000" w:themeColor="text1"/>
        </w:rPr>
        <w:t xml:space="preserve">       (.007)         (.025)                 (.023)            (.281)                (.026)</w:t>
      </w:r>
    </w:p>
    <w:p w:rsidR="002239E9" w:rsidRDefault="00B54BEC" w:rsidP="0057079E">
      <w:pPr>
        <w:autoSpaceDE w:val="0"/>
        <w:autoSpaceDN w:val="0"/>
        <w:adjustRightInd w:val="0"/>
        <w:spacing w:after="0" w:line="360" w:lineRule="auto"/>
        <w:jc w:val="both"/>
        <w:rPr>
          <w:rFonts w:ascii="TimesNewRoman" w:hAnsi="TimesNewRoman" w:cs="TimesNewRoman"/>
          <w:sz w:val="24"/>
          <w:szCs w:val="24"/>
        </w:rPr>
      </w:pPr>
      <w:r w:rsidRPr="001F3821">
        <w:rPr>
          <w:rFonts w:asciiTheme="majorBidi" w:hAnsiTheme="majorBidi" w:cstheme="majorBidi"/>
          <w:sz w:val="24"/>
          <w:szCs w:val="24"/>
        </w:rPr>
        <w:t xml:space="preserve">The results </w:t>
      </w:r>
      <w:r w:rsidR="001F3821" w:rsidRPr="001F3821">
        <w:rPr>
          <w:rFonts w:asciiTheme="majorBidi" w:hAnsiTheme="majorBidi" w:cstheme="majorBidi"/>
          <w:sz w:val="24"/>
          <w:szCs w:val="24"/>
        </w:rPr>
        <w:t>show</w:t>
      </w:r>
      <w:r w:rsidR="0072309B">
        <w:rPr>
          <w:rFonts w:asciiTheme="majorBidi" w:hAnsiTheme="majorBidi" w:cstheme="majorBidi"/>
          <w:sz w:val="24"/>
          <w:szCs w:val="24"/>
        </w:rPr>
        <w:t>ed</w:t>
      </w:r>
      <w:r w:rsidR="001F3821" w:rsidRPr="001F3821">
        <w:rPr>
          <w:rFonts w:asciiTheme="majorBidi" w:hAnsiTheme="majorBidi" w:cstheme="majorBidi"/>
          <w:sz w:val="24"/>
          <w:szCs w:val="24"/>
        </w:rPr>
        <w:t xml:space="preserve"> that</w:t>
      </w:r>
      <w:r w:rsidR="0072309B">
        <w:rPr>
          <w:rFonts w:asciiTheme="majorBidi" w:hAnsiTheme="majorBidi" w:cstheme="majorBidi"/>
          <w:sz w:val="24"/>
          <w:szCs w:val="24"/>
        </w:rPr>
        <w:t xml:space="preserve"> NPLR affected</w:t>
      </w:r>
      <w:r w:rsidRPr="001F3821">
        <w:rPr>
          <w:rFonts w:asciiTheme="majorBidi" w:hAnsiTheme="majorBidi" w:cstheme="majorBidi"/>
          <w:sz w:val="24"/>
          <w:szCs w:val="24"/>
        </w:rPr>
        <w:t xml:space="preserve"> ROA negatively. NPLR β coe</w:t>
      </w:r>
      <w:r w:rsidR="00BC6770">
        <w:rPr>
          <w:rFonts w:asciiTheme="majorBidi" w:hAnsiTheme="majorBidi" w:cstheme="majorBidi"/>
          <w:sz w:val="24"/>
          <w:szCs w:val="24"/>
        </w:rPr>
        <w:t>fficient was</w:t>
      </w:r>
      <w:r w:rsidRPr="001F3821">
        <w:rPr>
          <w:rFonts w:asciiTheme="majorBidi" w:hAnsiTheme="majorBidi" w:cstheme="majorBidi"/>
          <w:sz w:val="24"/>
          <w:szCs w:val="24"/>
        </w:rPr>
        <w:t xml:space="preserve"> </w:t>
      </w:r>
      <w:r w:rsidR="001F3821">
        <w:rPr>
          <w:rFonts w:asciiTheme="majorBidi" w:hAnsiTheme="majorBidi" w:cstheme="majorBidi"/>
          <w:sz w:val="24"/>
          <w:szCs w:val="24"/>
        </w:rPr>
        <w:t xml:space="preserve">-.024 </w:t>
      </w:r>
      <w:r w:rsidR="001F3821">
        <w:rPr>
          <w:rFonts w:ascii="TimesNewRoman" w:hAnsi="TimesNewRoman" w:cs="TimesNewRoman"/>
          <w:sz w:val="24"/>
          <w:szCs w:val="24"/>
        </w:rPr>
        <w:t>which means that one unit increase in NPLR decreases ROA by 2.4% unit while the rest of variables are held constant. The statistical sig</w:t>
      </w:r>
      <w:r w:rsidR="0057079E">
        <w:rPr>
          <w:rFonts w:ascii="TimesNewRoman" w:hAnsi="TimesNewRoman" w:cs="TimesNewRoman"/>
          <w:sz w:val="24"/>
          <w:szCs w:val="24"/>
        </w:rPr>
        <w:t>nificance of NPLR on ROA is.007 which is less than 0.05.</w:t>
      </w:r>
      <w:r w:rsidR="001F3821">
        <w:rPr>
          <w:rFonts w:ascii="TimesNewRoman" w:hAnsi="TimesNewRoman" w:cs="TimesNewRoman"/>
          <w:sz w:val="24"/>
          <w:szCs w:val="24"/>
        </w:rPr>
        <w:t>This means that NPLR predicts effect on ROA with 99.3% probability.</w:t>
      </w:r>
      <w:r w:rsidR="0072309B">
        <w:rPr>
          <w:rFonts w:ascii="TimesNewRoman" w:hAnsi="TimesNewRoman" w:cs="TimesNewRoman"/>
          <w:sz w:val="24"/>
          <w:szCs w:val="24"/>
        </w:rPr>
        <w:t xml:space="preserve"> According to EQTA, it also had</w:t>
      </w:r>
      <w:r w:rsidR="002A31FA">
        <w:rPr>
          <w:rFonts w:ascii="TimesNewRoman" w:hAnsi="TimesNewRoman" w:cs="TimesNewRoman"/>
          <w:sz w:val="24"/>
          <w:szCs w:val="24"/>
        </w:rPr>
        <w:t xml:space="preserve"> a negative effect on ROA with </w:t>
      </w:r>
      <w:r w:rsidR="002A31FA" w:rsidRPr="001F3821">
        <w:rPr>
          <w:rFonts w:asciiTheme="majorBidi" w:hAnsiTheme="majorBidi" w:cstheme="majorBidi"/>
          <w:sz w:val="24"/>
          <w:szCs w:val="24"/>
        </w:rPr>
        <w:t>β coefficient</w:t>
      </w:r>
      <w:r w:rsidR="002A31FA">
        <w:rPr>
          <w:rFonts w:asciiTheme="majorBidi" w:hAnsiTheme="majorBidi" w:cstheme="majorBidi"/>
          <w:sz w:val="24"/>
          <w:szCs w:val="24"/>
        </w:rPr>
        <w:t xml:space="preserve"> of -.022. </w:t>
      </w:r>
      <w:r w:rsidR="002A31FA">
        <w:rPr>
          <w:rFonts w:ascii="TimesNewRoman" w:hAnsi="TimesNewRoman" w:cs="TimesNewRoman"/>
          <w:sz w:val="24"/>
          <w:szCs w:val="24"/>
        </w:rPr>
        <w:t>This indicates that one unit increases in EQTA will decrease ROA by 2.2% unit</w:t>
      </w:r>
      <w:r w:rsidR="0057079E">
        <w:rPr>
          <w:rFonts w:ascii="TimesNewRoman" w:hAnsi="TimesNewRoman" w:cs="TimesNewRoman"/>
          <w:sz w:val="24"/>
          <w:szCs w:val="24"/>
        </w:rPr>
        <w:t>s, holding the other variables constant. The statistical significance of EQTA is .025 which is less than 0.05. It implies that EQTA predicts ROA with 97</w:t>
      </w:r>
      <w:r w:rsidR="00C94370">
        <w:rPr>
          <w:rFonts w:ascii="TimesNewRoman" w:hAnsi="TimesNewRoman" w:cs="TimesNewRoman"/>
          <w:sz w:val="24"/>
          <w:szCs w:val="24"/>
        </w:rPr>
        <w:t>. %</w:t>
      </w:r>
      <w:r w:rsidR="002C2BAD">
        <w:rPr>
          <w:rFonts w:ascii="TimesNewRoman" w:hAnsi="TimesNewRoman" w:cs="TimesNewRoman"/>
          <w:sz w:val="24"/>
          <w:szCs w:val="24"/>
        </w:rPr>
        <w:t xml:space="preserve"> </w:t>
      </w:r>
      <w:r w:rsidR="00983A89">
        <w:rPr>
          <w:rFonts w:ascii="TimesNewRoman" w:hAnsi="TimesNewRoman" w:cs="TimesNewRoman"/>
          <w:sz w:val="24"/>
          <w:szCs w:val="24"/>
        </w:rPr>
        <w:t>probability.</w:t>
      </w:r>
    </w:p>
    <w:p w:rsidR="0057079E" w:rsidRDefault="0057079E" w:rsidP="00626D00">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According to LLPI and its effect on ROA</w:t>
      </w:r>
      <w:r w:rsidR="00B47068">
        <w:rPr>
          <w:rFonts w:ascii="TimesNewRoman" w:hAnsi="TimesNewRoman" w:cs="TimesNewRoman"/>
          <w:sz w:val="24"/>
          <w:szCs w:val="24"/>
        </w:rPr>
        <w:t>, the results show</w:t>
      </w:r>
      <w:r w:rsidR="0072309B">
        <w:rPr>
          <w:rFonts w:ascii="TimesNewRoman" w:hAnsi="TimesNewRoman" w:cs="TimesNewRoman"/>
          <w:sz w:val="24"/>
          <w:szCs w:val="24"/>
        </w:rPr>
        <w:t>ed</w:t>
      </w:r>
      <w:r w:rsidR="00861DB8">
        <w:rPr>
          <w:rFonts w:ascii="TimesNewRoman" w:hAnsi="TimesNewRoman" w:cs="TimesNewRoman"/>
          <w:sz w:val="24"/>
          <w:szCs w:val="24"/>
        </w:rPr>
        <w:t xml:space="preserve"> that LLPI affected</w:t>
      </w:r>
      <w:r w:rsidR="00B47068">
        <w:rPr>
          <w:rFonts w:ascii="TimesNewRoman" w:hAnsi="TimesNewRoman" w:cs="TimesNewRoman"/>
          <w:sz w:val="24"/>
          <w:szCs w:val="24"/>
        </w:rPr>
        <w:t xml:space="preserve"> ROA negatively. LLPI </w:t>
      </w:r>
      <w:r w:rsidR="00B47068" w:rsidRPr="001F3821">
        <w:rPr>
          <w:rFonts w:asciiTheme="majorBidi" w:hAnsiTheme="majorBidi" w:cstheme="majorBidi"/>
          <w:sz w:val="24"/>
          <w:szCs w:val="24"/>
        </w:rPr>
        <w:t>β coefficient is</w:t>
      </w:r>
      <w:r w:rsidR="009E7D62">
        <w:rPr>
          <w:rFonts w:asciiTheme="majorBidi" w:hAnsiTheme="majorBidi" w:cstheme="majorBidi"/>
          <w:sz w:val="24"/>
          <w:szCs w:val="24"/>
        </w:rPr>
        <w:t>-</w:t>
      </w:r>
      <w:r w:rsidR="00B47068">
        <w:rPr>
          <w:rFonts w:asciiTheme="majorBidi" w:hAnsiTheme="majorBidi" w:cstheme="majorBidi"/>
          <w:sz w:val="24"/>
          <w:szCs w:val="24"/>
        </w:rPr>
        <w:t xml:space="preserve">.015 which means that one unit increase in LLPI decreases ROA by 1.5% unit </w:t>
      </w:r>
      <w:r w:rsidR="00B47068">
        <w:rPr>
          <w:rFonts w:ascii="TimesNewRoman" w:hAnsi="TimesNewRoman" w:cs="TimesNewRoman"/>
          <w:sz w:val="24"/>
          <w:szCs w:val="24"/>
        </w:rPr>
        <w:t xml:space="preserve">while the rest of variables are held </w:t>
      </w:r>
      <w:r w:rsidR="00F87077">
        <w:rPr>
          <w:rFonts w:ascii="TimesNewRoman" w:hAnsi="TimesNewRoman" w:cs="TimesNewRoman"/>
          <w:sz w:val="24"/>
          <w:szCs w:val="24"/>
        </w:rPr>
        <w:t>constant. The</w:t>
      </w:r>
      <w:r w:rsidR="00B47068">
        <w:rPr>
          <w:rFonts w:ascii="TimesNewRoman" w:hAnsi="TimesNewRoman" w:cs="TimesNewRoman"/>
          <w:sz w:val="24"/>
          <w:szCs w:val="24"/>
        </w:rPr>
        <w:t xml:space="preserve"> statistical significance of LLPI on ROA is</w:t>
      </w:r>
      <w:r w:rsidR="00763F8E">
        <w:rPr>
          <w:rFonts w:ascii="TimesNewRoman" w:hAnsi="TimesNewRoman" w:cs="TimesNewRoman"/>
          <w:sz w:val="24"/>
          <w:szCs w:val="24"/>
        </w:rPr>
        <w:t xml:space="preserve"> </w:t>
      </w:r>
      <w:r w:rsidR="009E7D62">
        <w:rPr>
          <w:rFonts w:ascii="TimesNewRoman" w:hAnsi="TimesNewRoman" w:cs="TimesNewRoman"/>
          <w:sz w:val="24"/>
          <w:szCs w:val="24"/>
        </w:rPr>
        <w:t>-</w:t>
      </w:r>
      <w:r w:rsidR="00B47068">
        <w:rPr>
          <w:rFonts w:ascii="TimesNewRoman" w:hAnsi="TimesNewRoman" w:cs="TimesNewRoman"/>
          <w:sz w:val="24"/>
          <w:szCs w:val="24"/>
        </w:rPr>
        <w:t>.023 which is less than 0.05. It implies that LLPI predicts ROA with 97.7% probability.</w:t>
      </w:r>
    </w:p>
    <w:p w:rsidR="00B47068" w:rsidRDefault="00B47068" w:rsidP="00626D00">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NIDR as a proxy o</w:t>
      </w:r>
      <w:r w:rsidR="00861DB8">
        <w:rPr>
          <w:rFonts w:ascii="TimesNewRoman" w:hAnsi="TimesNewRoman" w:cs="TimesNewRoman"/>
          <w:sz w:val="24"/>
          <w:szCs w:val="24"/>
        </w:rPr>
        <w:t>f income diversification affected</w:t>
      </w:r>
      <w:r>
        <w:rPr>
          <w:rFonts w:ascii="TimesNewRoman" w:hAnsi="TimesNewRoman" w:cs="TimesNewRoman"/>
          <w:sz w:val="24"/>
          <w:szCs w:val="24"/>
        </w:rPr>
        <w:t xml:space="preserve"> ROA</w:t>
      </w:r>
      <w:r w:rsidR="009E7D62">
        <w:rPr>
          <w:rFonts w:ascii="TimesNewRoman" w:hAnsi="TimesNewRoman" w:cs="TimesNewRoman"/>
          <w:sz w:val="24"/>
          <w:szCs w:val="24"/>
        </w:rPr>
        <w:t xml:space="preserve"> positively. NIDR </w:t>
      </w:r>
      <w:r w:rsidR="009E7D62" w:rsidRPr="001F3821">
        <w:rPr>
          <w:rFonts w:asciiTheme="majorBidi" w:hAnsiTheme="majorBidi" w:cstheme="majorBidi"/>
          <w:sz w:val="24"/>
          <w:szCs w:val="24"/>
        </w:rPr>
        <w:t>β coefficient is</w:t>
      </w:r>
      <w:r w:rsidR="009E7D62">
        <w:rPr>
          <w:rFonts w:ascii="TimesNewRoman" w:hAnsi="TimesNewRoman" w:cs="TimesNewRoman"/>
          <w:sz w:val="24"/>
          <w:szCs w:val="24"/>
        </w:rPr>
        <w:t xml:space="preserve"> .010 </w:t>
      </w:r>
      <w:r w:rsidR="009E7D62">
        <w:rPr>
          <w:rFonts w:asciiTheme="majorBidi" w:hAnsiTheme="majorBidi" w:cstheme="majorBidi"/>
          <w:sz w:val="24"/>
          <w:szCs w:val="24"/>
        </w:rPr>
        <w:t xml:space="preserve">which means that one unit increase in NIDR increases ROA by 1% units </w:t>
      </w:r>
      <w:r w:rsidR="009E7D62">
        <w:rPr>
          <w:rFonts w:ascii="TimesNewRoman" w:hAnsi="TimesNewRoman" w:cs="TimesNewRoman"/>
          <w:sz w:val="24"/>
          <w:szCs w:val="24"/>
        </w:rPr>
        <w:t>while the rest of variables are held constant. The statistical significance of NIDR on ROA is .281 which is a sign of relatively low significance. It implies that NIDR predicts ROA with 71.9% probability.</w:t>
      </w:r>
    </w:p>
    <w:p w:rsidR="009E7D62" w:rsidRDefault="00F34FE8" w:rsidP="00626D00">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Finally OPNI as a proxy of operational</w:t>
      </w:r>
      <w:r w:rsidR="007034FC">
        <w:rPr>
          <w:rFonts w:ascii="TimesNewRoman" w:hAnsi="TimesNewRoman" w:cs="TimesNewRoman"/>
          <w:sz w:val="24"/>
          <w:szCs w:val="24"/>
        </w:rPr>
        <w:t xml:space="preserve"> costs</w:t>
      </w:r>
      <w:r w:rsidR="00AE26D3">
        <w:rPr>
          <w:rFonts w:ascii="TimesNewRoman" w:hAnsi="TimesNewRoman" w:cs="TimesNewRoman"/>
          <w:sz w:val="24"/>
          <w:szCs w:val="24"/>
        </w:rPr>
        <w:t xml:space="preserve"> efficiency affected</w:t>
      </w:r>
      <w:r>
        <w:rPr>
          <w:rFonts w:ascii="TimesNewRoman" w:hAnsi="TimesNewRoman" w:cs="TimesNewRoman"/>
          <w:sz w:val="24"/>
          <w:szCs w:val="24"/>
        </w:rPr>
        <w:t xml:space="preserve"> ROA negatively. OPNI β</w:t>
      </w:r>
      <w:r w:rsidRPr="001F3821">
        <w:rPr>
          <w:rFonts w:asciiTheme="majorBidi" w:hAnsiTheme="majorBidi" w:cstheme="majorBidi"/>
          <w:sz w:val="24"/>
          <w:szCs w:val="24"/>
        </w:rPr>
        <w:t xml:space="preserve"> coefficient is</w:t>
      </w:r>
      <w:r>
        <w:rPr>
          <w:rFonts w:asciiTheme="majorBidi" w:hAnsiTheme="majorBidi" w:cstheme="majorBidi"/>
          <w:sz w:val="24"/>
          <w:szCs w:val="24"/>
        </w:rPr>
        <w:t xml:space="preserve"> -.007 which means that one unit increase in OPNI decreases ROA by .7% units.  </w:t>
      </w:r>
      <w:r>
        <w:rPr>
          <w:rFonts w:ascii="TimesNewRoman" w:hAnsi="TimesNewRoman" w:cs="TimesNewRoman"/>
          <w:sz w:val="24"/>
          <w:szCs w:val="24"/>
        </w:rPr>
        <w:t>The statistical significance of OPNI on ROA is .026 which is less than 0.05. It implies that OPNI predicts ROA with 97.4% probability.</w:t>
      </w:r>
    </w:p>
    <w:p w:rsidR="00AD7619" w:rsidRDefault="000E575B" w:rsidP="00626D00">
      <w:pPr>
        <w:autoSpaceDE w:val="0"/>
        <w:autoSpaceDN w:val="0"/>
        <w:adjustRightInd w:val="0"/>
        <w:spacing w:after="0" w:line="360" w:lineRule="auto"/>
        <w:jc w:val="both"/>
        <w:rPr>
          <w:rFonts w:asciiTheme="majorBidi" w:hAnsiTheme="majorBidi" w:cstheme="majorBidi"/>
          <w:sz w:val="24"/>
          <w:szCs w:val="24"/>
        </w:rPr>
      </w:pPr>
      <w:r w:rsidRPr="000E575B">
        <w:rPr>
          <w:rFonts w:asciiTheme="majorBidi" w:hAnsiTheme="majorBidi" w:cstheme="majorBidi"/>
          <w:sz w:val="24"/>
          <w:szCs w:val="24"/>
        </w:rPr>
        <w:lastRenderedPageBreak/>
        <w:t>To conclude the analysis of the relationship between profitability</w:t>
      </w:r>
      <w:r w:rsidR="00625006">
        <w:rPr>
          <w:rFonts w:asciiTheme="majorBidi" w:hAnsiTheme="majorBidi" w:cstheme="majorBidi"/>
          <w:sz w:val="24"/>
          <w:szCs w:val="24"/>
        </w:rPr>
        <w:t xml:space="preserve"> which</w:t>
      </w:r>
      <w:r w:rsidR="00BC6770">
        <w:rPr>
          <w:rFonts w:asciiTheme="majorBidi" w:hAnsiTheme="majorBidi" w:cstheme="majorBidi"/>
          <w:sz w:val="24"/>
          <w:szCs w:val="24"/>
        </w:rPr>
        <w:t xml:space="preserve"> measured by</w:t>
      </w:r>
      <w:r>
        <w:rPr>
          <w:rFonts w:asciiTheme="majorBidi" w:hAnsiTheme="majorBidi" w:cstheme="majorBidi"/>
          <w:sz w:val="24"/>
          <w:szCs w:val="24"/>
        </w:rPr>
        <w:t xml:space="preserve"> (ROA)</w:t>
      </w:r>
      <w:r w:rsidR="006952A8">
        <w:rPr>
          <w:rFonts w:asciiTheme="majorBidi" w:hAnsiTheme="majorBidi" w:cstheme="majorBidi"/>
          <w:sz w:val="24"/>
          <w:szCs w:val="24"/>
        </w:rPr>
        <w:t xml:space="preserve"> and credit risk </w:t>
      </w:r>
      <w:r w:rsidRPr="000E575B">
        <w:rPr>
          <w:rFonts w:asciiTheme="majorBidi" w:hAnsiTheme="majorBidi" w:cstheme="majorBidi"/>
          <w:sz w:val="24"/>
          <w:szCs w:val="24"/>
        </w:rPr>
        <w:t>management in</w:t>
      </w:r>
      <w:r>
        <w:rPr>
          <w:rFonts w:asciiTheme="majorBidi" w:hAnsiTheme="majorBidi" w:cstheme="majorBidi"/>
          <w:sz w:val="24"/>
          <w:szCs w:val="24"/>
        </w:rPr>
        <w:t xml:space="preserve"> the five</w:t>
      </w:r>
      <w:r w:rsidR="00604E9A">
        <w:rPr>
          <w:rFonts w:asciiTheme="majorBidi" w:hAnsiTheme="majorBidi" w:cstheme="majorBidi"/>
          <w:sz w:val="24"/>
          <w:szCs w:val="24"/>
        </w:rPr>
        <w:t xml:space="preserve"> sample banks</w:t>
      </w:r>
      <w:r>
        <w:rPr>
          <w:rFonts w:asciiTheme="majorBidi" w:hAnsiTheme="majorBidi" w:cstheme="majorBidi"/>
          <w:sz w:val="24"/>
          <w:szCs w:val="24"/>
        </w:rPr>
        <w:t xml:space="preserve"> in Palestine</w:t>
      </w:r>
      <w:r w:rsidRPr="000E575B">
        <w:rPr>
          <w:rFonts w:asciiTheme="majorBidi" w:hAnsiTheme="majorBidi" w:cstheme="majorBidi"/>
          <w:sz w:val="24"/>
          <w:szCs w:val="24"/>
        </w:rPr>
        <w:t>,</w:t>
      </w:r>
      <w:r>
        <w:rPr>
          <w:rFonts w:asciiTheme="majorBidi" w:hAnsiTheme="majorBidi" w:cstheme="majorBidi"/>
          <w:sz w:val="24"/>
          <w:szCs w:val="24"/>
        </w:rPr>
        <w:t xml:space="preserve"> NIDR as a proxy of income diversification </w:t>
      </w:r>
      <w:r>
        <w:rPr>
          <w:rFonts w:ascii="TimesNewRoman" w:hAnsi="TimesNewRoman" w:cs="TimesNewRoman"/>
          <w:sz w:val="24"/>
          <w:szCs w:val="24"/>
        </w:rPr>
        <w:t>contributed positively</w:t>
      </w:r>
      <w:r w:rsidR="0024783C">
        <w:rPr>
          <w:rFonts w:ascii="TimesNewRoman" w:hAnsi="TimesNewRoman" w:cs="TimesNewRoman"/>
          <w:sz w:val="24"/>
          <w:szCs w:val="24"/>
        </w:rPr>
        <w:t xml:space="preserve"> and insignificant with</w:t>
      </w:r>
      <w:r>
        <w:rPr>
          <w:rFonts w:ascii="TimesNewRoman" w:hAnsi="TimesNewRoman" w:cs="TimesNewRoman"/>
          <w:sz w:val="24"/>
          <w:szCs w:val="24"/>
        </w:rPr>
        <w:t xml:space="preserve"> banks profitability (ROA)</w:t>
      </w:r>
      <w:r w:rsidR="00604E9A">
        <w:rPr>
          <w:rFonts w:ascii="TimesNewRoman" w:hAnsi="TimesNewRoman" w:cs="TimesNewRoman"/>
          <w:sz w:val="24"/>
          <w:szCs w:val="24"/>
        </w:rPr>
        <w:t>. While NPLR (Nonperforming Loans), EQTA (Capital Adequacy), LLPI (Loan Loss Provisions) and OPNI (Operational E</w:t>
      </w:r>
      <w:r w:rsidR="0024783C">
        <w:rPr>
          <w:rFonts w:ascii="TimesNewRoman" w:hAnsi="TimesNewRoman" w:cs="TimesNewRoman"/>
          <w:sz w:val="24"/>
          <w:szCs w:val="24"/>
        </w:rPr>
        <w:t xml:space="preserve">xpenses) were </w:t>
      </w:r>
      <w:r w:rsidR="0024783C" w:rsidRPr="0024783C">
        <w:rPr>
          <w:rFonts w:asciiTheme="majorBidi" w:hAnsiTheme="majorBidi" w:cstheme="majorBidi"/>
          <w:sz w:val="24"/>
          <w:szCs w:val="24"/>
        </w:rPr>
        <w:t>negatively s</w:t>
      </w:r>
      <w:r w:rsidR="0072309B">
        <w:rPr>
          <w:rFonts w:asciiTheme="majorBidi" w:hAnsiTheme="majorBidi" w:cstheme="majorBidi"/>
          <w:sz w:val="24"/>
          <w:szCs w:val="24"/>
        </w:rPr>
        <w:t xml:space="preserve">ignificant with ROA at 5% level. </w:t>
      </w:r>
      <w:r w:rsidR="00D10A2E" w:rsidRPr="00AB595F">
        <w:rPr>
          <w:rFonts w:asciiTheme="majorBidi" w:hAnsiTheme="majorBidi" w:cstheme="majorBidi"/>
          <w:sz w:val="24"/>
          <w:szCs w:val="24"/>
        </w:rPr>
        <w:t>The findings and</w:t>
      </w:r>
      <w:r w:rsidR="00D10A2E">
        <w:rPr>
          <w:rFonts w:asciiTheme="majorBidi" w:hAnsiTheme="majorBidi" w:cstheme="majorBidi"/>
          <w:sz w:val="24"/>
          <w:szCs w:val="24"/>
        </w:rPr>
        <w:t xml:space="preserve"> the previous</w:t>
      </w:r>
      <w:r w:rsidR="00D10A2E" w:rsidRPr="00AB595F">
        <w:rPr>
          <w:rFonts w:asciiTheme="majorBidi" w:hAnsiTheme="majorBidi" w:cstheme="majorBidi"/>
          <w:sz w:val="24"/>
          <w:szCs w:val="24"/>
        </w:rPr>
        <w:t xml:space="preserve"> analysis reveal</w:t>
      </w:r>
      <w:r w:rsidR="0072309B">
        <w:rPr>
          <w:rFonts w:asciiTheme="majorBidi" w:hAnsiTheme="majorBidi" w:cstheme="majorBidi"/>
          <w:sz w:val="24"/>
          <w:szCs w:val="24"/>
        </w:rPr>
        <w:t>ed that credit risk management had</w:t>
      </w:r>
      <w:r w:rsidR="00AE26D3">
        <w:rPr>
          <w:rFonts w:asciiTheme="majorBidi" w:hAnsiTheme="majorBidi" w:cstheme="majorBidi"/>
          <w:sz w:val="24"/>
          <w:szCs w:val="24"/>
        </w:rPr>
        <w:t xml:space="preserve"> significant</w:t>
      </w:r>
      <w:r w:rsidR="00D10A2E" w:rsidRPr="00AB595F">
        <w:rPr>
          <w:rFonts w:asciiTheme="majorBidi" w:hAnsiTheme="majorBidi" w:cstheme="majorBidi"/>
          <w:sz w:val="24"/>
          <w:szCs w:val="24"/>
        </w:rPr>
        <w:t xml:space="preserve"> </w:t>
      </w:r>
      <w:r w:rsidR="0072309B">
        <w:rPr>
          <w:rFonts w:asciiTheme="majorBidi" w:hAnsiTheme="majorBidi" w:cstheme="majorBidi"/>
          <w:sz w:val="24"/>
          <w:szCs w:val="24"/>
        </w:rPr>
        <w:t>effect on profitability in the five sample</w:t>
      </w:r>
      <w:r w:rsidR="00D10A2E" w:rsidRPr="00AB595F">
        <w:rPr>
          <w:rFonts w:asciiTheme="majorBidi" w:hAnsiTheme="majorBidi" w:cstheme="majorBidi"/>
          <w:sz w:val="24"/>
          <w:szCs w:val="24"/>
        </w:rPr>
        <w:t xml:space="preserve"> banks.</w:t>
      </w:r>
    </w:p>
    <w:p w:rsidR="00AC6FAE" w:rsidRPr="00853896" w:rsidRDefault="00AC6FAE" w:rsidP="00626D00">
      <w:pPr>
        <w:autoSpaceDE w:val="0"/>
        <w:autoSpaceDN w:val="0"/>
        <w:adjustRightInd w:val="0"/>
        <w:spacing w:after="0" w:line="360" w:lineRule="auto"/>
        <w:jc w:val="both"/>
        <w:rPr>
          <w:rFonts w:asciiTheme="majorBidi" w:hAnsiTheme="majorBidi" w:cstheme="majorBidi"/>
          <w:sz w:val="24"/>
          <w:szCs w:val="24"/>
        </w:rPr>
      </w:pPr>
    </w:p>
    <w:p w:rsidR="007E2CB6" w:rsidRDefault="000A73DC" w:rsidP="004975EA">
      <w:pPr>
        <w:autoSpaceDE w:val="0"/>
        <w:autoSpaceDN w:val="0"/>
        <w:adjustRightInd w:val="0"/>
        <w:spacing w:after="0" w:line="360" w:lineRule="auto"/>
        <w:jc w:val="both"/>
        <w:rPr>
          <w:rFonts w:asciiTheme="majorBidi" w:hAnsiTheme="majorBidi" w:cstheme="majorBidi"/>
          <w:sz w:val="24"/>
          <w:szCs w:val="24"/>
        </w:rPr>
      </w:pPr>
      <w:r w:rsidRPr="00F60D43">
        <w:rPr>
          <w:rFonts w:asciiTheme="majorBidi" w:hAnsiTheme="majorBidi" w:cstheme="majorBidi"/>
          <w:b/>
          <w:bCs/>
          <w:sz w:val="24"/>
          <w:szCs w:val="24"/>
        </w:rPr>
        <w:t>4.3.1.2.2</w:t>
      </w:r>
      <w:r w:rsidR="00DE64C3">
        <w:rPr>
          <w:rFonts w:asciiTheme="majorBidi" w:hAnsiTheme="majorBidi" w:cstheme="majorBidi"/>
          <w:b/>
          <w:bCs/>
          <w:sz w:val="24"/>
          <w:szCs w:val="24"/>
        </w:rPr>
        <w:t xml:space="preserve"> </w:t>
      </w:r>
      <w:r w:rsidRPr="00D27963">
        <w:rPr>
          <w:rFonts w:asciiTheme="majorBidi" w:hAnsiTheme="majorBidi" w:cstheme="majorBidi"/>
          <w:b/>
          <w:bCs/>
          <w:sz w:val="24"/>
          <w:szCs w:val="24"/>
        </w:rPr>
        <w:t>Goodness- of –Fit Tests</w:t>
      </w:r>
    </w:p>
    <w:p w:rsidR="00A8717D" w:rsidRDefault="00F60D43" w:rsidP="00A50FDB">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According to the table of F-distribution, the critical value of F distribution at the 5% significant</w:t>
      </w:r>
      <w:r w:rsidR="0072309B">
        <w:rPr>
          <w:rFonts w:ascii="TimesNewRoman" w:hAnsi="TimesNewRoman" w:cs="TimesNewRoman"/>
          <w:sz w:val="24"/>
          <w:szCs w:val="24"/>
        </w:rPr>
        <w:t xml:space="preserve"> level was</w:t>
      </w:r>
      <w:r w:rsidR="00C21429">
        <w:rPr>
          <w:rFonts w:ascii="TimesNewRoman" w:hAnsi="TimesNewRoman" w:cs="TimesNewRoman"/>
          <w:sz w:val="24"/>
          <w:szCs w:val="24"/>
        </w:rPr>
        <w:t xml:space="preserve"> 2.545.</w:t>
      </w:r>
      <w:r>
        <w:rPr>
          <w:rFonts w:ascii="TimesNewRoman" w:hAnsi="TimesNewRoman" w:cs="TimesNewRoman"/>
          <w:sz w:val="24"/>
          <w:szCs w:val="24"/>
        </w:rPr>
        <w:t xml:space="preserve"> In Table 4.18 the statistic value of F is </w:t>
      </w:r>
      <w:r w:rsidR="00C21429">
        <w:rPr>
          <w:rFonts w:ascii="TimesNewRoman" w:hAnsi="TimesNewRoman" w:cs="TimesNewRoman"/>
          <w:sz w:val="24"/>
          <w:szCs w:val="24"/>
        </w:rPr>
        <w:t>13.94</w:t>
      </w:r>
      <w:r>
        <w:rPr>
          <w:rFonts w:ascii="TimesNewRoman" w:hAnsi="TimesNewRoman" w:cs="TimesNewRoman"/>
          <w:sz w:val="24"/>
          <w:szCs w:val="24"/>
        </w:rPr>
        <w:t xml:space="preserve"> which </w:t>
      </w:r>
      <w:r w:rsidR="007E6F9F">
        <w:rPr>
          <w:rFonts w:ascii="TimesNewRoman" w:hAnsi="TimesNewRoman" w:cs="TimesNewRoman"/>
          <w:sz w:val="24"/>
          <w:szCs w:val="24"/>
        </w:rPr>
        <w:t>exceed</w:t>
      </w:r>
      <w:r>
        <w:rPr>
          <w:rFonts w:ascii="TimesNewRoman" w:hAnsi="TimesNewRoman" w:cs="TimesNewRoman"/>
          <w:sz w:val="24"/>
          <w:szCs w:val="24"/>
        </w:rPr>
        <w:t xml:space="preserve"> the critical value of F</w:t>
      </w:r>
      <w:r w:rsidR="0072309B">
        <w:rPr>
          <w:rFonts w:ascii="TimesNewRoman" w:hAnsi="TimesNewRoman" w:cs="TimesNewRoman"/>
          <w:sz w:val="24"/>
          <w:szCs w:val="24"/>
        </w:rPr>
        <w:t xml:space="preserve"> </w:t>
      </w:r>
      <w:r w:rsidR="00C21429">
        <w:rPr>
          <w:rFonts w:ascii="TimesNewRoman" w:hAnsi="TimesNewRoman" w:cs="TimesNewRoman"/>
          <w:sz w:val="24"/>
          <w:szCs w:val="24"/>
        </w:rPr>
        <w:t>(2.545</w:t>
      </w:r>
      <w:r>
        <w:rPr>
          <w:rFonts w:ascii="TimesNewRoman" w:hAnsi="TimesNewRoman" w:cs="TimesNewRoman"/>
          <w:sz w:val="24"/>
          <w:szCs w:val="24"/>
        </w:rPr>
        <w:t>). Hence, the regression as whole is significant; this m</w:t>
      </w:r>
      <w:r w:rsidR="00C21429">
        <w:rPr>
          <w:rFonts w:ascii="TimesNewRoman" w:hAnsi="TimesNewRoman" w:cs="TimesNewRoman"/>
          <w:sz w:val="24"/>
          <w:szCs w:val="24"/>
        </w:rPr>
        <w:t>eans that NPLR, EQTA, LLPI,</w:t>
      </w:r>
      <w:r>
        <w:rPr>
          <w:rFonts w:ascii="TimesNewRoman" w:hAnsi="TimesNewRoman" w:cs="TimesNewRoman"/>
          <w:sz w:val="24"/>
          <w:szCs w:val="24"/>
        </w:rPr>
        <w:t xml:space="preserve"> NIDR</w:t>
      </w:r>
      <w:r w:rsidR="00C21429">
        <w:rPr>
          <w:rFonts w:ascii="TimesNewRoman" w:hAnsi="TimesNewRoman" w:cs="TimesNewRoman"/>
          <w:sz w:val="24"/>
          <w:szCs w:val="24"/>
        </w:rPr>
        <w:t xml:space="preserve"> and OPNI predict ROA</w:t>
      </w:r>
      <w:r>
        <w:rPr>
          <w:rFonts w:ascii="TimesNewRoman" w:hAnsi="TimesNewRoman" w:cs="TimesNewRoman"/>
          <w:sz w:val="24"/>
          <w:szCs w:val="24"/>
        </w:rPr>
        <w:t>. Furthe</w:t>
      </w:r>
      <w:r w:rsidR="00C21429">
        <w:rPr>
          <w:rFonts w:ascii="TimesNewRoman" w:hAnsi="TimesNewRoman" w:cs="TimesNewRoman"/>
          <w:sz w:val="24"/>
          <w:szCs w:val="24"/>
        </w:rPr>
        <w:t>rmore, the significance is 0.000 which also indicates that ROA</w:t>
      </w:r>
      <w:r>
        <w:rPr>
          <w:rFonts w:ascii="TimesNewRoman" w:hAnsi="TimesNewRoman" w:cs="TimesNewRoman"/>
          <w:sz w:val="24"/>
          <w:szCs w:val="24"/>
        </w:rPr>
        <w:t xml:space="preserve"> is</w:t>
      </w:r>
      <w:r w:rsidR="00C21429">
        <w:rPr>
          <w:rFonts w:ascii="TimesNewRoman" w:hAnsi="TimesNewRoman" w:cs="TimesNewRoman"/>
          <w:sz w:val="24"/>
          <w:szCs w:val="24"/>
        </w:rPr>
        <w:t xml:space="preserve"> predicted with 100</w:t>
      </w:r>
      <w:r>
        <w:rPr>
          <w:rFonts w:ascii="TimesNewRoman" w:hAnsi="TimesNewRoman" w:cs="TimesNewRoman"/>
          <w:sz w:val="24"/>
          <w:szCs w:val="24"/>
        </w:rPr>
        <w:t>% prob</w:t>
      </w:r>
      <w:r w:rsidR="00C21429">
        <w:rPr>
          <w:rFonts w:ascii="TimesNewRoman" w:hAnsi="TimesNewRoman" w:cs="TimesNewRoman"/>
          <w:sz w:val="24"/>
          <w:szCs w:val="24"/>
        </w:rPr>
        <w:t>ability by NPLR, EQTA, LLPI, NIDR and OPNI</w:t>
      </w:r>
      <w:r>
        <w:rPr>
          <w:rFonts w:ascii="TimesNewRoman" w:hAnsi="TimesNewRoman" w:cs="TimesNewRoman"/>
          <w:sz w:val="24"/>
          <w:szCs w:val="24"/>
        </w:rPr>
        <w:t xml:space="preserve"> together and shows a statistically significant relationship among them. Therefore, the F value proves that there is a significant relationship between the profitability,</w:t>
      </w:r>
      <w:r w:rsidR="00C21429">
        <w:rPr>
          <w:rFonts w:ascii="TimesNewRoman" w:hAnsi="TimesNewRoman" w:cs="TimesNewRoman"/>
          <w:sz w:val="24"/>
          <w:szCs w:val="24"/>
        </w:rPr>
        <w:t xml:space="preserve"> measured as ROA</w:t>
      </w:r>
      <w:r>
        <w:rPr>
          <w:rFonts w:ascii="TimesNewRoman" w:hAnsi="TimesNewRoman" w:cs="TimesNewRoman"/>
          <w:sz w:val="24"/>
          <w:szCs w:val="24"/>
        </w:rPr>
        <w:t xml:space="preserve"> and credit ris</w:t>
      </w:r>
      <w:r w:rsidR="00BD4A0F">
        <w:rPr>
          <w:rFonts w:ascii="TimesNewRoman" w:hAnsi="TimesNewRoman" w:cs="TimesNewRoman"/>
          <w:sz w:val="24"/>
          <w:szCs w:val="24"/>
        </w:rPr>
        <w:t>k management</w:t>
      </w:r>
      <w:r w:rsidR="00625006">
        <w:rPr>
          <w:rFonts w:ascii="TimesNewRoman" w:hAnsi="TimesNewRoman" w:cs="TimesNewRoman"/>
          <w:sz w:val="24"/>
          <w:szCs w:val="24"/>
        </w:rPr>
        <w:t xml:space="preserve"> which</w:t>
      </w:r>
      <w:r w:rsidR="00BD4A0F">
        <w:rPr>
          <w:rFonts w:ascii="TimesNewRoman" w:hAnsi="TimesNewRoman" w:cs="TimesNewRoman"/>
          <w:sz w:val="24"/>
          <w:szCs w:val="24"/>
        </w:rPr>
        <w:t xml:space="preserve"> measured by</w:t>
      </w:r>
      <w:r w:rsidR="000B7094">
        <w:rPr>
          <w:rFonts w:ascii="TimesNewRoman" w:hAnsi="TimesNewRoman" w:cs="TimesNewRoman"/>
          <w:sz w:val="24"/>
          <w:szCs w:val="24"/>
        </w:rPr>
        <w:t xml:space="preserve"> </w:t>
      </w:r>
      <w:r w:rsidR="00BD4A0F">
        <w:rPr>
          <w:rFonts w:ascii="TimesNewRoman" w:hAnsi="TimesNewRoman" w:cs="TimesNewRoman"/>
          <w:sz w:val="24"/>
          <w:szCs w:val="24"/>
        </w:rPr>
        <w:t>NPLR, E</w:t>
      </w:r>
      <w:r w:rsidR="008A114D">
        <w:rPr>
          <w:rFonts w:ascii="TimesNewRoman" w:hAnsi="TimesNewRoman" w:cs="TimesNewRoman"/>
          <w:sz w:val="24"/>
          <w:szCs w:val="24"/>
        </w:rPr>
        <w:t>QTA, LLPI, NIDR and OPNI ratios</w:t>
      </w:r>
    </w:p>
    <w:p w:rsidR="00C21429" w:rsidRDefault="0033278D" w:rsidP="002302DA">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rPr>
        <w:t>Table 4.20</w:t>
      </w:r>
      <w:r w:rsidR="00C21429" w:rsidRPr="002302DA">
        <w:rPr>
          <w:rFonts w:asciiTheme="majorBidi" w:hAnsiTheme="majorBidi" w:cstheme="majorBidi"/>
          <w:b/>
          <w:bCs/>
        </w:rPr>
        <w:t>: Goodness- of –Fit Tests</w:t>
      </w:r>
      <w:r w:rsidR="007D6162">
        <w:rPr>
          <w:rFonts w:asciiTheme="majorBidi" w:hAnsiTheme="majorBidi" w:cstheme="majorBidi"/>
          <w:b/>
          <w:bCs/>
        </w:rPr>
        <w:t xml:space="preserve"> for Model 1</w:t>
      </w:r>
    </w:p>
    <w:p w:rsidR="00206EBD" w:rsidRPr="00206EBD" w:rsidRDefault="00206EBD" w:rsidP="002302DA">
      <w:pPr>
        <w:autoSpaceDE w:val="0"/>
        <w:autoSpaceDN w:val="0"/>
        <w:adjustRightInd w:val="0"/>
        <w:spacing w:after="0" w:line="360" w:lineRule="auto"/>
        <w:jc w:val="center"/>
        <w:rPr>
          <w:rFonts w:asciiTheme="majorBidi" w:hAnsiTheme="majorBidi" w:cstheme="majorBidi"/>
          <w:bCs/>
        </w:rPr>
      </w:pPr>
      <w:r w:rsidRPr="00206EBD">
        <w:rPr>
          <w:rFonts w:asciiTheme="majorBidi" w:hAnsiTheme="majorBidi" w:cstheme="majorBidi"/>
          <w:bCs/>
        </w:rPr>
        <w:t>ANOVA(b)</w:t>
      </w:r>
    </w:p>
    <w:tbl>
      <w:tblPr>
        <w:tblW w:w="0" w:type="auto"/>
        <w:jc w:val="center"/>
        <w:tblInd w:w="93" w:type="dxa"/>
        <w:shd w:val="clear" w:color="auto" w:fill="EEECE1" w:themeFill="background2"/>
        <w:tblLayout w:type="fixed"/>
        <w:tblCellMar>
          <w:left w:w="93" w:type="dxa"/>
          <w:right w:w="93" w:type="dxa"/>
        </w:tblCellMar>
        <w:tblLook w:val="0000"/>
      </w:tblPr>
      <w:tblGrid>
        <w:gridCol w:w="1148"/>
        <w:gridCol w:w="1377"/>
        <w:gridCol w:w="1984"/>
        <w:gridCol w:w="709"/>
        <w:gridCol w:w="1559"/>
        <w:gridCol w:w="993"/>
        <w:gridCol w:w="1150"/>
      </w:tblGrid>
      <w:tr w:rsidR="00206EBD" w:rsidRPr="00BA3A6E" w:rsidTr="00F23753">
        <w:trPr>
          <w:trHeight w:val="504"/>
          <w:jc w:val="center"/>
        </w:trPr>
        <w:tc>
          <w:tcPr>
            <w:tcW w:w="1148" w:type="dxa"/>
            <w:tcBorders>
              <w:top w:val="single" w:sz="12" w:space="0" w:color="000000"/>
              <w:left w:val="single" w:sz="12" w:space="0" w:color="000000"/>
              <w:bottom w:val="single" w:sz="12" w:space="0" w:color="000000"/>
              <w:right w:val="nil"/>
            </w:tcBorders>
            <w:shd w:val="clear" w:color="auto" w:fill="EEECE1" w:themeFill="background2"/>
            <w:vAlign w:val="center"/>
          </w:tcPr>
          <w:p w:rsidR="00206EBD" w:rsidRPr="00BA3A6E" w:rsidRDefault="00965CC6" w:rsidP="00F23753">
            <w:pPr>
              <w:autoSpaceDE w:val="0"/>
              <w:autoSpaceDN w:val="0"/>
              <w:adjustRightInd w:val="0"/>
              <w:spacing w:after="0" w:line="240" w:lineRule="auto"/>
              <w:ind w:right="-336"/>
              <w:jc w:val="center"/>
              <w:rPr>
                <w:rFonts w:asciiTheme="majorBidi" w:hAnsiTheme="majorBidi" w:cstheme="majorBidi"/>
                <w:color w:val="000000"/>
                <w:sz w:val="24"/>
                <w:szCs w:val="24"/>
              </w:rPr>
            </w:pPr>
            <w:r>
              <w:rPr>
                <w:rFonts w:asciiTheme="majorBidi" w:hAnsiTheme="majorBidi" w:cstheme="majorBidi"/>
                <w:color w:val="000000"/>
                <w:sz w:val="24"/>
                <w:szCs w:val="24"/>
              </w:rPr>
              <w:t>Model</w:t>
            </w:r>
          </w:p>
        </w:tc>
        <w:tc>
          <w:tcPr>
            <w:tcW w:w="1377" w:type="dxa"/>
            <w:tcBorders>
              <w:top w:val="single" w:sz="12" w:space="0" w:color="000000"/>
              <w:left w:val="nil"/>
              <w:bottom w:val="single" w:sz="12" w:space="0" w:color="000000"/>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ind w:left="371"/>
              <w:jc w:val="center"/>
              <w:rPr>
                <w:rFonts w:asciiTheme="majorBidi" w:hAnsiTheme="majorBidi" w:cstheme="majorBidi"/>
                <w:color w:val="000000"/>
                <w:sz w:val="24"/>
                <w:szCs w:val="24"/>
              </w:rPr>
            </w:pPr>
          </w:p>
        </w:tc>
        <w:tc>
          <w:tcPr>
            <w:tcW w:w="1984" w:type="dxa"/>
            <w:tcBorders>
              <w:top w:val="single" w:sz="12" w:space="0" w:color="000000"/>
              <w:left w:val="single" w:sz="1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BA3A6E">
              <w:rPr>
                <w:rFonts w:asciiTheme="majorBidi" w:hAnsiTheme="majorBidi" w:cstheme="majorBidi"/>
                <w:color w:val="000000"/>
                <w:sz w:val="24"/>
                <w:szCs w:val="24"/>
              </w:rPr>
              <w:t>Sum of Squares</w:t>
            </w:r>
          </w:p>
        </w:tc>
        <w:tc>
          <w:tcPr>
            <w:tcW w:w="709"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BA3A6E">
              <w:rPr>
                <w:rFonts w:asciiTheme="majorBidi" w:hAnsiTheme="majorBidi" w:cstheme="majorBidi"/>
                <w:color w:val="000000"/>
                <w:sz w:val="24"/>
                <w:szCs w:val="24"/>
              </w:rPr>
              <w:t>df</w:t>
            </w:r>
          </w:p>
        </w:tc>
        <w:tc>
          <w:tcPr>
            <w:tcW w:w="1559"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BA3A6E">
              <w:rPr>
                <w:rFonts w:asciiTheme="majorBidi" w:hAnsiTheme="majorBidi" w:cstheme="majorBidi"/>
                <w:color w:val="000000"/>
                <w:sz w:val="24"/>
                <w:szCs w:val="24"/>
              </w:rPr>
              <w:t>Mean Square</w:t>
            </w:r>
          </w:p>
        </w:tc>
        <w:tc>
          <w:tcPr>
            <w:tcW w:w="993"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BA3A6E">
              <w:rPr>
                <w:rFonts w:asciiTheme="majorBidi" w:hAnsiTheme="majorBidi" w:cstheme="majorBidi"/>
                <w:color w:val="000000"/>
                <w:sz w:val="24"/>
                <w:szCs w:val="24"/>
              </w:rPr>
              <w:t>F</w:t>
            </w:r>
          </w:p>
        </w:tc>
        <w:tc>
          <w:tcPr>
            <w:tcW w:w="1150" w:type="dxa"/>
            <w:tcBorders>
              <w:top w:val="single" w:sz="12" w:space="0" w:color="000000"/>
              <w:left w:val="single" w:sz="2" w:space="0" w:color="000000"/>
              <w:bottom w:val="single" w:sz="12" w:space="0" w:color="000000"/>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BA3A6E">
              <w:rPr>
                <w:rFonts w:asciiTheme="majorBidi" w:hAnsiTheme="majorBidi" w:cstheme="majorBidi"/>
                <w:color w:val="000000"/>
                <w:sz w:val="24"/>
                <w:szCs w:val="24"/>
              </w:rPr>
              <w:t>Sig.</w:t>
            </w:r>
          </w:p>
        </w:tc>
      </w:tr>
      <w:tr w:rsidR="00206EBD" w:rsidRPr="00BA3A6E" w:rsidTr="00F23753">
        <w:trPr>
          <w:trHeight w:val="273"/>
          <w:jc w:val="center"/>
        </w:trPr>
        <w:tc>
          <w:tcPr>
            <w:tcW w:w="1148" w:type="dxa"/>
            <w:vMerge w:val="restart"/>
            <w:tcBorders>
              <w:top w:val="single" w:sz="12" w:space="0" w:color="000000"/>
              <w:left w:val="single" w:sz="12" w:space="0" w:color="000000"/>
              <w:bottom w:val="nil"/>
              <w:right w:val="nil"/>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1</w:t>
            </w:r>
          </w:p>
        </w:tc>
        <w:tc>
          <w:tcPr>
            <w:tcW w:w="1377" w:type="dxa"/>
            <w:tcBorders>
              <w:top w:val="single" w:sz="12" w:space="0" w:color="000000"/>
              <w:left w:val="nil"/>
              <w:bottom w:val="nil"/>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Regression</w:t>
            </w:r>
          </w:p>
        </w:tc>
        <w:tc>
          <w:tcPr>
            <w:tcW w:w="1984" w:type="dxa"/>
            <w:tcBorders>
              <w:top w:val="single" w:sz="12" w:space="0" w:color="000000"/>
              <w:left w:val="single" w:sz="1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16.924</w:t>
            </w:r>
          </w:p>
        </w:tc>
        <w:tc>
          <w:tcPr>
            <w:tcW w:w="709" w:type="dxa"/>
            <w:tcBorders>
              <w:top w:val="single" w:sz="12" w:space="0" w:color="000000"/>
              <w:left w:val="single" w:sz="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5</w:t>
            </w:r>
          </w:p>
        </w:tc>
        <w:tc>
          <w:tcPr>
            <w:tcW w:w="1559" w:type="dxa"/>
            <w:tcBorders>
              <w:top w:val="single" w:sz="12" w:space="0" w:color="000000"/>
              <w:left w:val="single" w:sz="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3.385</w:t>
            </w:r>
          </w:p>
        </w:tc>
        <w:tc>
          <w:tcPr>
            <w:tcW w:w="993" w:type="dxa"/>
            <w:tcBorders>
              <w:top w:val="single" w:sz="12" w:space="0" w:color="000000"/>
              <w:left w:val="single" w:sz="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13.945</w:t>
            </w:r>
          </w:p>
        </w:tc>
        <w:tc>
          <w:tcPr>
            <w:tcW w:w="1150" w:type="dxa"/>
            <w:tcBorders>
              <w:top w:val="single" w:sz="12" w:space="0" w:color="000000"/>
              <w:left w:val="single" w:sz="2" w:space="0" w:color="000000"/>
              <w:bottom w:val="nil"/>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.000(a)</w:t>
            </w:r>
          </w:p>
        </w:tc>
      </w:tr>
      <w:tr w:rsidR="00206EBD" w:rsidRPr="00BA3A6E" w:rsidTr="00F23753">
        <w:trPr>
          <w:trHeight w:val="273"/>
          <w:jc w:val="center"/>
        </w:trPr>
        <w:tc>
          <w:tcPr>
            <w:tcW w:w="1148" w:type="dxa"/>
            <w:vMerge/>
            <w:tcBorders>
              <w:top w:val="nil"/>
              <w:left w:val="single" w:sz="12" w:space="0" w:color="000000"/>
              <w:bottom w:val="nil"/>
              <w:right w:val="nil"/>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c>
          <w:tcPr>
            <w:tcW w:w="1377" w:type="dxa"/>
            <w:tcBorders>
              <w:top w:val="nil"/>
              <w:left w:val="nil"/>
              <w:bottom w:val="nil"/>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Residual</w:t>
            </w:r>
          </w:p>
        </w:tc>
        <w:tc>
          <w:tcPr>
            <w:tcW w:w="1984" w:type="dxa"/>
            <w:tcBorders>
              <w:top w:val="nil"/>
              <w:left w:val="single" w:sz="1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7.039</w:t>
            </w:r>
          </w:p>
        </w:tc>
        <w:tc>
          <w:tcPr>
            <w:tcW w:w="709" w:type="dxa"/>
            <w:tcBorders>
              <w:top w:val="nil"/>
              <w:left w:val="single" w:sz="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29</w:t>
            </w:r>
          </w:p>
        </w:tc>
        <w:tc>
          <w:tcPr>
            <w:tcW w:w="1559" w:type="dxa"/>
            <w:tcBorders>
              <w:top w:val="nil"/>
              <w:left w:val="single" w:sz="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.243</w:t>
            </w:r>
          </w:p>
        </w:tc>
        <w:tc>
          <w:tcPr>
            <w:tcW w:w="993" w:type="dxa"/>
            <w:tcBorders>
              <w:top w:val="nil"/>
              <w:left w:val="single" w:sz="2" w:space="0" w:color="000000"/>
              <w:bottom w:val="nil"/>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c>
          <w:tcPr>
            <w:tcW w:w="1150" w:type="dxa"/>
            <w:tcBorders>
              <w:top w:val="nil"/>
              <w:left w:val="single" w:sz="2" w:space="0" w:color="000000"/>
              <w:bottom w:val="nil"/>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r>
      <w:tr w:rsidR="00206EBD" w:rsidRPr="00BA3A6E" w:rsidTr="00F23753">
        <w:trPr>
          <w:trHeight w:val="76"/>
          <w:jc w:val="center"/>
        </w:trPr>
        <w:tc>
          <w:tcPr>
            <w:tcW w:w="1148" w:type="dxa"/>
            <w:vMerge/>
            <w:tcBorders>
              <w:top w:val="nil"/>
              <w:left w:val="single" w:sz="12" w:space="0" w:color="000000"/>
              <w:bottom w:val="single" w:sz="12" w:space="0" w:color="000000"/>
              <w:right w:val="nil"/>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c>
          <w:tcPr>
            <w:tcW w:w="1377" w:type="dxa"/>
            <w:tcBorders>
              <w:top w:val="nil"/>
              <w:left w:val="nil"/>
              <w:bottom w:val="single" w:sz="12" w:space="0" w:color="000000"/>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Total</w:t>
            </w:r>
          </w:p>
        </w:tc>
        <w:tc>
          <w:tcPr>
            <w:tcW w:w="1984" w:type="dxa"/>
            <w:tcBorders>
              <w:top w:val="nil"/>
              <w:left w:val="single" w:sz="1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23.963</w:t>
            </w:r>
          </w:p>
        </w:tc>
        <w:tc>
          <w:tcPr>
            <w:tcW w:w="709" w:type="dxa"/>
            <w:tcBorders>
              <w:top w:val="nil"/>
              <w:left w:val="single" w:sz="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r w:rsidRPr="00BA3A6E">
              <w:rPr>
                <w:rFonts w:ascii="Times New Roman" w:hAnsi="Times New Roman" w:cs="Times New Roman"/>
                <w:color w:val="000000"/>
                <w:sz w:val="24"/>
                <w:szCs w:val="24"/>
              </w:rPr>
              <w:t>34</w:t>
            </w:r>
          </w:p>
        </w:tc>
        <w:tc>
          <w:tcPr>
            <w:tcW w:w="1559" w:type="dxa"/>
            <w:tcBorders>
              <w:top w:val="nil"/>
              <w:left w:val="single" w:sz="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c>
          <w:tcPr>
            <w:tcW w:w="993" w:type="dxa"/>
            <w:tcBorders>
              <w:top w:val="nil"/>
              <w:left w:val="single" w:sz="2" w:space="0" w:color="000000"/>
              <w:bottom w:val="single" w:sz="12" w:space="0" w:color="000000"/>
              <w:right w:val="single" w:sz="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c>
          <w:tcPr>
            <w:tcW w:w="1150" w:type="dxa"/>
            <w:tcBorders>
              <w:top w:val="nil"/>
              <w:left w:val="single" w:sz="2" w:space="0" w:color="000000"/>
              <w:bottom w:val="single" w:sz="12" w:space="0" w:color="000000"/>
              <w:right w:val="single" w:sz="12" w:space="0" w:color="000000"/>
            </w:tcBorders>
            <w:shd w:val="clear" w:color="auto" w:fill="EEECE1" w:themeFill="background2"/>
            <w:vAlign w:val="center"/>
          </w:tcPr>
          <w:p w:rsidR="00206EBD" w:rsidRPr="00BA3A6E" w:rsidRDefault="00206EBD" w:rsidP="00F23753">
            <w:pPr>
              <w:autoSpaceDE w:val="0"/>
              <w:autoSpaceDN w:val="0"/>
              <w:adjustRightInd w:val="0"/>
              <w:spacing w:after="0" w:line="240" w:lineRule="auto"/>
              <w:jc w:val="center"/>
              <w:rPr>
                <w:rFonts w:ascii="Times New Roman" w:hAnsi="Times New Roman" w:cs="Times New Roman"/>
                <w:color w:val="000000"/>
                <w:sz w:val="24"/>
                <w:szCs w:val="24"/>
              </w:rPr>
            </w:pPr>
          </w:p>
        </w:tc>
      </w:tr>
    </w:tbl>
    <w:p w:rsidR="00206EBD" w:rsidRPr="00002724" w:rsidRDefault="00206EBD" w:rsidP="00206EBD">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Pr="00002724">
        <w:rPr>
          <w:rFonts w:ascii="Arabic Transparent" w:hAnsi="Arabic Transparent" w:cs="Arabic Transparent"/>
          <w:color w:val="000000"/>
          <w:sz w:val="18"/>
          <w:szCs w:val="18"/>
        </w:rPr>
        <w:t>a Predictors: (Constant), OPNI, NPLR, EQTA, NIDR, LLPI</w:t>
      </w:r>
    </w:p>
    <w:p w:rsidR="00AC6FAE" w:rsidRDefault="00206EBD" w:rsidP="006C5F91">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Pr="00002724">
        <w:rPr>
          <w:rFonts w:ascii="Arabic Transparent" w:hAnsi="Arabic Transparent" w:cs="Arabic Transparent"/>
          <w:color w:val="000000"/>
          <w:sz w:val="18"/>
          <w:szCs w:val="18"/>
        </w:rPr>
        <w:t>b Dependent Variable: ROA</w:t>
      </w:r>
    </w:p>
    <w:p w:rsidR="006C5F91" w:rsidRPr="006C5F91" w:rsidRDefault="006C5F91" w:rsidP="006C5F91">
      <w:pPr>
        <w:autoSpaceDE w:val="0"/>
        <w:autoSpaceDN w:val="0"/>
        <w:adjustRightInd w:val="0"/>
        <w:spacing w:after="0" w:line="240" w:lineRule="auto"/>
        <w:rPr>
          <w:rFonts w:ascii="Arabic Transparent" w:hAnsi="Arabic Transparent" w:cs="Arabic Transparent"/>
          <w:color w:val="000000"/>
          <w:sz w:val="18"/>
          <w:szCs w:val="18"/>
        </w:rPr>
      </w:pPr>
    </w:p>
    <w:p w:rsidR="00C21429" w:rsidRPr="008E570C" w:rsidRDefault="00C136B1" w:rsidP="00C21429">
      <w:pPr>
        <w:autoSpaceDE w:val="0"/>
        <w:autoSpaceDN w:val="0"/>
        <w:adjustRightInd w:val="0"/>
        <w:spacing w:after="0" w:line="360" w:lineRule="auto"/>
        <w:rPr>
          <w:rFonts w:asciiTheme="majorBidi" w:hAnsiTheme="majorBidi" w:cstheme="majorBidi"/>
          <w:sz w:val="24"/>
          <w:szCs w:val="24"/>
        </w:rPr>
      </w:pPr>
      <w:r w:rsidRPr="00C136B1">
        <w:rPr>
          <w:rFonts w:asciiTheme="majorBidi" w:hAnsiTheme="majorBidi" w:cstheme="majorBidi"/>
          <w:b/>
          <w:bCs/>
          <w:sz w:val="24"/>
          <w:szCs w:val="24"/>
        </w:rPr>
        <w:t>4.3.1.2.3 R Square</w:t>
      </w:r>
      <w:r w:rsidR="002302DA">
        <w:rPr>
          <w:rFonts w:asciiTheme="majorBidi" w:hAnsiTheme="majorBidi" w:cstheme="majorBidi"/>
          <w:b/>
          <w:bCs/>
          <w:sz w:val="24"/>
          <w:szCs w:val="24"/>
        </w:rPr>
        <w:t xml:space="preserve"> A</w:t>
      </w:r>
      <w:r w:rsidRPr="00D27963">
        <w:rPr>
          <w:rFonts w:asciiTheme="majorBidi" w:hAnsiTheme="majorBidi" w:cstheme="majorBidi"/>
          <w:b/>
          <w:bCs/>
          <w:sz w:val="24"/>
          <w:szCs w:val="24"/>
        </w:rPr>
        <w:t>nalysis</w:t>
      </w:r>
    </w:p>
    <w:p w:rsidR="00004192" w:rsidRPr="00AC6FAE" w:rsidRDefault="00C136B1" w:rsidP="00AC6FAE">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R</w:t>
      </w:r>
      <w:r>
        <w:rPr>
          <w:rFonts w:ascii="TimesNewRoman" w:hAnsi="TimesNewRoman" w:cs="TimesNewRoman"/>
          <w:sz w:val="16"/>
          <w:szCs w:val="16"/>
        </w:rPr>
        <w:t xml:space="preserve">2 </w:t>
      </w:r>
      <w:r>
        <w:rPr>
          <w:rFonts w:ascii="TimesNewRoman" w:hAnsi="TimesNewRoman" w:cs="TimesNewRoman"/>
          <w:sz w:val="24"/>
          <w:szCs w:val="24"/>
        </w:rPr>
        <w:t>represents the prediction level</w:t>
      </w:r>
      <w:r w:rsidR="00251785">
        <w:rPr>
          <w:rFonts w:ascii="TimesNewRoman" w:hAnsi="TimesNewRoman" w:cs="TimesNewRoman"/>
          <w:sz w:val="24"/>
          <w:szCs w:val="24"/>
        </w:rPr>
        <w:t xml:space="preserve"> of variance in return on assets</w:t>
      </w:r>
      <w:r>
        <w:rPr>
          <w:rFonts w:ascii="TimesNewRoman" w:hAnsi="TimesNewRoman" w:cs="TimesNewRoman"/>
          <w:sz w:val="24"/>
          <w:szCs w:val="24"/>
        </w:rPr>
        <w:t xml:space="preserve"> (ROA) by nonperforming loans (NPLR), capital adequacy (EQTA), loan loss provisions (LLPI), income diversification (NIDR</w:t>
      </w:r>
      <w:r w:rsidR="00206EBD">
        <w:rPr>
          <w:rFonts w:ascii="TimesNewRoman" w:hAnsi="TimesNewRoman" w:cs="TimesNewRoman"/>
          <w:sz w:val="24"/>
          <w:szCs w:val="24"/>
        </w:rPr>
        <w:t>) and</w:t>
      </w:r>
      <w:r>
        <w:rPr>
          <w:rFonts w:ascii="TimesNewRoman" w:hAnsi="TimesNewRoman" w:cs="TimesNewRoman"/>
          <w:sz w:val="24"/>
          <w:szCs w:val="24"/>
        </w:rPr>
        <w:t xml:space="preserve"> operational expenses (OPNI) </w:t>
      </w:r>
      <w:r w:rsidR="00B93220">
        <w:rPr>
          <w:rFonts w:ascii="TimesNewRoman" w:hAnsi="TimesNewRoman" w:cs="TimesNewRoman"/>
          <w:sz w:val="24"/>
          <w:szCs w:val="24"/>
        </w:rPr>
        <w:t>which is 0,706 as shown in table 4.19</w:t>
      </w:r>
      <w:r>
        <w:rPr>
          <w:rFonts w:ascii="TimesNewRoman" w:hAnsi="TimesNewRoman" w:cs="TimesNewRoman"/>
          <w:sz w:val="24"/>
          <w:szCs w:val="24"/>
        </w:rPr>
        <w:t xml:space="preserve"> below.</w:t>
      </w:r>
      <w:r w:rsidR="00DE64C3">
        <w:rPr>
          <w:rFonts w:ascii="TimesNewRoman" w:hAnsi="TimesNewRoman" w:cs="TimesNewRoman"/>
          <w:sz w:val="24"/>
          <w:szCs w:val="24"/>
        </w:rPr>
        <w:t xml:space="preserve"> This means that 70.6</w:t>
      </w:r>
      <w:r w:rsidR="00B93220">
        <w:rPr>
          <w:rFonts w:ascii="TimesNewRoman" w:hAnsi="TimesNewRoman" w:cs="TimesNewRoman"/>
          <w:sz w:val="24"/>
          <w:szCs w:val="24"/>
        </w:rPr>
        <w:t>% of ROA</w:t>
      </w:r>
      <w:r>
        <w:rPr>
          <w:rFonts w:ascii="TimesNewRoman" w:hAnsi="TimesNewRoman" w:cs="TimesNewRoman"/>
          <w:sz w:val="24"/>
          <w:szCs w:val="24"/>
        </w:rPr>
        <w:t xml:space="preserve"> can be predicted from the indepe</w:t>
      </w:r>
      <w:r w:rsidR="00AC6FAE">
        <w:rPr>
          <w:rFonts w:ascii="TimesNewRoman" w:hAnsi="TimesNewRoman" w:cs="TimesNewRoman"/>
          <w:sz w:val="24"/>
          <w:szCs w:val="24"/>
        </w:rPr>
        <w:t>ndent variables mentioned above</w:t>
      </w:r>
    </w:p>
    <w:p w:rsidR="006C5F91" w:rsidRDefault="006C5F91" w:rsidP="00763F8E">
      <w:pPr>
        <w:autoSpaceDE w:val="0"/>
        <w:autoSpaceDN w:val="0"/>
        <w:adjustRightInd w:val="0"/>
        <w:spacing w:after="0" w:line="240" w:lineRule="auto"/>
        <w:jc w:val="center"/>
        <w:rPr>
          <w:rFonts w:ascii="Times New Roman" w:hAnsi="Times New Roman" w:cs="Times New Roman"/>
          <w:b/>
          <w:bCs/>
        </w:rPr>
      </w:pPr>
    </w:p>
    <w:p w:rsidR="006C5F91" w:rsidRDefault="006C5F91" w:rsidP="00763F8E">
      <w:pPr>
        <w:autoSpaceDE w:val="0"/>
        <w:autoSpaceDN w:val="0"/>
        <w:adjustRightInd w:val="0"/>
        <w:spacing w:after="0" w:line="240" w:lineRule="auto"/>
        <w:jc w:val="center"/>
        <w:rPr>
          <w:rFonts w:ascii="Times New Roman" w:hAnsi="Times New Roman" w:cs="Times New Roman"/>
          <w:b/>
          <w:bCs/>
        </w:rPr>
      </w:pPr>
    </w:p>
    <w:p w:rsidR="006C5F91" w:rsidRDefault="006C5F91" w:rsidP="00763F8E">
      <w:pPr>
        <w:autoSpaceDE w:val="0"/>
        <w:autoSpaceDN w:val="0"/>
        <w:adjustRightInd w:val="0"/>
        <w:spacing w:after="0" w:line="240" w:lineRule="auto"/>
        <w:jc w:val="center"/>
        <w:rPr>
          <w:rFonts w:ascii="Times New Roman" w:hAnsi="Times New Roman" w:cs="Times New Roman"/>
          <w:b/>
          <w:bCs/>
        </w:rPr>
      </w:pPr>
    </w:p>
    <w:p w:rsidR="006C5F91" w:rsidRDefault="006C5F91" w:rsidP="00763F8E">
      <w:pPr>
        <w:autoSpaceDE w:val="0"/>
        <w:autoSpaceDN w:val="0"/>
        <w:adjustRightInd w:val="0"/>
        <w:spacing w:after="0" w:line="240" w:lineRule="auto"/>
        <w:jc w:val="center"/>
        <w:rPr>
          <w:rFonts w:ascii="Times New Roman" w:hAnsi="Times New Roman" w:cs="Times New Roman"/>
          <w:b/>
          <w:bCs/>
        </w:rPr>
      </w:pPr>
    </w:p>
    <w:p w:rsidR="00C21429" w:rsidRDefault="0033278D" w:rsidP="00763F8E">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Table 4.21</w:t>
      </w:r>
      <w:r w:rsidR="00B93220" w:rsidRPr="002302DA">
        <w:rPr>
          <w:rFonts w:ascii="Times New Roman" w:hAnsi="Times New Roman" w:cs="Times New Roman"/>
          <w:b/>
          <w:bCs/>
        </w:rPr>
        <w:t>: Results of R square analysis</w:t>
      </w:r>
    </w:p>
    <w:p w:rsidR="00763F8E" w:rsidRPr="00763F8E" w:rsidRDefault="00763F8E" w:rsidP="00763F8E">
      <w:pPr>
        <w:autoSpaceDE w:val="0"/>
        <w:autoSpaceDN w:val="0"/>
        <w:adjustRightInd w:val="0"/>
        <w:spacing w:after="0" w:line="240" w:lineRule="auto"/>
        <w:jc w:val="center"/>
        <w:rPr>
          <w:rFonts w:ascii="Times New Roman" w:hAnsi="Times New Roman" w:cs="Times New Roman"/>
          <w:b/>
          <w:bCs/>
        </w:rPr>
      </w:pPr>
    </w:p>
    <w:tbl>
      <w:tblPr>
        <w:tblW w:w="0" w:type="auto"/>
        <w:jc w:val="center"/>
        <w:tblInd w:w="-1538" w:type="dxa"/>
        <w:shd w:val="clear" w:color="auto" w:fill="EEECE1" w:themeFill="background2"/>
        <w:tblLayout w:type="fixed"/>
        <w:tblCellMar>
          <w:left w:w="93" w:type="dxa"/>
          <w:right w:w="93" w:type="dxa"/>
        </w:tblCellMar>
        <w:tblLook w:val="0000"/>
      </w:tblPr>
      <w:tblGrid>
        <w:gridCol w:w="1210"/>
        <w:gridCol w:w="992"/>
        <w:gridCol w:w="1276"/>
        <w:gridCol w:w="1559"/>
        <w:gridCol w:w="1978"/>
        <w:gridCol w:w="1928"/>
      </w:tblGrid>
      <w:tr w:rsidR="00206EBD" w:rsidRPr="00002724" w:rsidTr="00F23753">
        <w:trPr>
          <w:trHeight w:val="504"/>
          <w:jc w:val="center"/>
        </w:trPr>
        <w:tc>
          <w:tcPr>
            <w:tcW w:w="1210" w:type="dxa"/>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Model</w:t>
            </w:r>
          </w:p>
        </w:tc>
        <w:tc>
          <w:tcPr>
            <w:tcW w:w="992" w:type="dxa"/>
            <w:tcBorders>
              <w:top w:val="single" w:sz="12" w:space="0" w:color="000000"/>
              <w:left w:val="single" w:sz="1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R</w:t>
            </w:r>
          </w:p>
        </w:tc>
        <w:tc>
          <w:tcPr>
            <w:tcW w:w="1276"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R Square</w:t>
            </w:r>
          </w:p>
        </w:tc>
        <w:tc>
          <w:tcPr>
            <w:tcW w:w="1559"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Adjusted R Square</w:t>
            </w:r>
          </w:p>
        </w:tc>
        <w:tc>
          <w:tcPr>
            <w:tcW w:w="1978"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Std. Error of the Estimate</w:t>
            </w:r>
          </w:p>
        </w:tc>
        <w:tc>
          <w:tcPr>
            <w:tcW w:w="1928" w:type="dxa"/>
            <w:tcBorders>
              <w:top w:val="single" w:sz="12" w:space="0" w:color="000000"/>
              <w:left w:val="single" w:sz="2" w:space="0" w:color="000000"/>
              <w:bottom w:val="single" w:sz="12" w:space="0" w:color="000000"/>
              <w:right w:val="single" w:sz="1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Durbin-Watson</w:t>
            </w:r>
          </w:p>
        </w:tc>
      </w:tr>
      <w:tr w:rsidR="00206EBD" w:rsidRPr="00002724" w:rsidTr="00F23753">
        <w:trPr>
          <w:trHeight w:val="273"/>
          <w:jc w:val="center"/>
        </w:trPr>
        <w:tc>
          <w:tcPr>
            <w:tcW w:w="1210" w:type="dxa"/>
            <w:tcBorders>
              <w:top w:val="single" w:sz="12" w:space="0" w:color="000000"/>
              <w:left w:val="single" w:sz="12" w:space="0" w:color="000000"/>
              <w:bottom w:val="single" w:sz="12" w:space="0" w:color="000000"/>
              <w:right w:val="single" w:sz="1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1</w:t>
            </w:r>
          </w:p>
        </w:tc>
        <w:tc>
          <w:tcPr>
            <w:tcW w:w="992" w:type="dxa"/>
            <w:tcBorders>
              <w:top w:val="single" w:sz="12" w:space="0" w:color="000000"/>
              <w:left w:val="single" w:sz="1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.840(a)</w:t>
            </w:r>
          </w:p>
        </w:tc>
        <w:tc>
          <w:tcPr>
            <w:tcW w:w="1276"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.706</w:t>
            </w:r>
          </w:p>
        </w:tc>
        <w:tc>
          <w:tcPr>
            <w:tcW w:w="1559"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.656</w:t>
            </w:r>
          </w:p>
        </w:tc>
        <w:tc>
          <w:tcPr>
            <w:tcW w:w="1978" w:type="dxa"/>
            <w:tcBorders>
              <w:top w:val="single" w:sz="12" w:space="0" w:color="000000"/>
              <w:left w:val="single" w:sz="2" w:space="0" w:color="000000"/>
              <w:bottom w:val="single" w:sz="12" w:space="0" w:color="000000"/>
              <w:right w:val="single" w:sz="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.49267</w:t>
            </w:r>
          </w:p>
        </w:tc>
        <w:tc>
          <w:tcPr>
            <w:tcW w:w="1928" w:type="dxa"/>
            <w:tcBorders>
              <w:top w:val="single" w:sz="12" w:space="0" w:color="000000"/>
              <w:left w:val="single" w:sz="2" w:space="0" w:color="000000"/>
              <w:bottom w:val="single" w:sz="12" w:space="0" w:color="000000"/>
              <w:right w:val="single" w:sz="12" w:space="0" w:color="000000"/>
            </w:tcBorders>
            <w:shd w:val="clear" w:color="auto" w:fill="EEECE1" w:themeFill="background2"/>
            <w:vAlign w:val="center"/>
          </w:tcPr>
          <w:p w:rsidR="00206EBD" w:rsidRPr="00002724" w:rsidRDefault="00206EBD" w:rsidP="00F23753">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1.932</w:t>
            </w:r>
          </w:p>
        </w:tc>
      </w:tr>
    </w:tbl>
    <w:p w:rsidR="00206EBD" w:rsidRPr="00002724" w:rsidRDefault="00206EBD" w:rsidP="00206EBD">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Pr="00002724">
        <w:rPr>
          <w:rFonts w:ascii="Arabic Transparent" w:hAnsi="Arabic Transparent" w:cs="Arabic Transparent"/>
          <w:color w:val="000000"/>
          <w:sz w:val="18"/>
          <w:szCs w:val="18"/>
        </w:rPr>
        <w:t>a Predictors: (Constant), OPNI, NPLR, EQTA, NIDR, LLPI</w:t>
      </w:r>
    </w:p>
    <w:p w:rsidR="00206EBD" w:rsidRDefault="00206EBD" w:rsidP="00206EBD">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Pr="00002724">
        <w:rPr>
          <w:rFonts w:ascii="Arabic Transparent" w:hAnsi="Arabic Transparent" w:cs="Arabic Transparent"/>
          <w:color w:val="000000"/>
          <w:sz w:val="18"/>
          <w:szCs w:val="18"/>
        </w:rPr>
        <w:t>b Dependent Variable: ROA</w:t>
      </w:r>
    </w:p>
    <w:p w:rsidR="00F32559" w:rsidRDefault="00F32559" w:rsidP="00B93220">
      <w:pPr>
        <w:autoSpaceDE w:val="0"/>
        <w:autoSpaceDN w:val="0"/>
        <w:adjustRightInd w:val="0"/>
        <w:spacing w:after="0" w:line="360" w:lineRule="auto"/>
        <w:rPr>
          <w:rFonts w:asciiTheme="majorBidi" w:hAnsiTheme="majorBidi" w:cstheme="majorBidi"/>
          <w:sz w:val="24"/>
          <w:szCs w:val="24"/>
        </w:rPr>
      </w:pPr>
    </w:p>
    <w:p w:rsidR="00B93220" w:rsidRPr="007621B5" w:rsidRDefault="00B93220" w:rsidP="00004192">
      <w:pPr>
        <w:autoSpaceDE w:val="0"/>
        <w:autoSpaceDN w:val="0"/>
        <w:adjustRightInd w:val="0"/>
        <w:spacing w:after="0" w:line="360" w:lineRule="auto"/>
        <w:jc w:val="both"/>
        <w:rPr>
          <w:rFonts w:asciiTheme="majorBidi" w:hAnsiTheme="majorBidi" w:cstheme="majorBidi"/>
          <w:sz w:val="24"/>
          <w:szCs w:val="24"/>
        </w:rPr>
      </w:pPr>
      <w:r w:rsidRPr="007621B5">
        <w:rPr>
          <w:rFonts w:asciiTheme="majorBidi" w:hAnsiTheme="majorBidi" w:cstheme="majorBidi"/>
          <w:sz w:val="24"/>
          <w:szCs w:val="24"/>
        </w:rPr>
        <w:t xml:space="preserve">Adjusted R2 </w:t>
      </w:r>
      <w:r>
        <w:rPr>
          <w:rFonts w:asciiTheme="majorBidi" w:hAnsiTheme="majorBidi" w:cstheme="majorBidi"/>
          <w:sz w:val="24"/>
          <w:szCs w:val="24"/>
        </w:rPr>
        <w:t>(65.6</w:t>
      </w:r>
      <w:r w:rsidRPr="007621B5">
        <w:rPr>
          <w:rFonts w:asciiTheme="majorBidi" w:hAnsiTheme="majorBidi" w:cstheme="majorBidi"/>
          <w:sz w:val="24"/>
          <w:szCs w:val="24"/>
        </w:rPr>
        <w:t>) avoids the ove</w:t>
      </w:r>
      <w:r>
        <w:rPr>
          <w:rFonts w:asciiTheme="majorBidi" w:hAnsiTheme="majorBidi" w:cstheme="majorBidi"/>
          <w:sz w:val="24"/>
          <w:szCs w:val="24"/>
        </w:rPr>
        <w:t>restimation effect of adding other variables as</w:t>
      </w:r>
      <w:r w:rsidRPr="007621B5">
        <w:rPr>
          <w:rFonts w:asciiTheme="majorBidi" w:hAnsiTheme="majorBidi" w:cstheme="majorBidi"/>
          <w:sz w:val="24"/>
          <w:szCs w:val="24"/>
        </w:rPr>
        <w:t xml:space="preserve"> independent</w:t>
      </w:r>
    </w:p>
    <w:p w:rsidR="00B93220" w:rsidRPr="007621B5" w:rsidRDefault="002C2BAD" w:rsidP="0000419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v</w:t>
      </w:r>
      <w:r w:rsidRPr="007621B5">
        <w:rPr>
          <w:rFonts w:asciiTheme="majorBidi" w:hAnsiTheme="majorBidi" w:cstheme="majorBidi"/>
          <w:sz w:val="24"/>
          <w:szCs w:val="24"/>
        </w:rPr>
        <w:t>ariables</w:t>
      </w:r>
      <w:r w:rsidR="00B93220" w:rsidRPr="007621B5">
        <w:rPr>
          <w:rFonts w:asciiTheme="majorBidi" w:hAnsiTheme="majorBidi" w:cstheme="majorBidi"/>
          <w:sz w:val="24"/>
          <w:szCs w:val="24"/>
        </w:rPr>
        <w:t xml:space="preserve"> to the model. Therefore, adjusted R </w:t>
      </w:r>
      <w:r w:rsidR="00B93220">
        <w:rPr>
          <w:rFonts w:asciiTheme="majorBidi" w:hAnsiTheme="majorBidi" w:cstheme="majorBidi"/>
          <w:sz w:val="24"/>
          <w:szCs w:val="24"/>
        </w:rPr>
        <w:t>differing by 5% (70.6%-65.6%=8.7</w:t>
      </w:r>
      <w:r w:rsidR="00B93220" w:rsidRPr="007621B5">
        <w:rPr>
          <w:rFonts w:asciiTheme="majorBidi" w:hAnsiTheme="majorBidi" w:cstheme="majorBidi"/>
          <w:sz w:val="24"/>
          <w:szCs w:val="24"/>
        </w:rPr>
        <w:t>%).</w:t>
      </w:r>
    </w:p>
    <w:p w:rsidR="00AC6FAE" w:rsidRDefault="005035E6" w:rsidP="005A7A9A">
      <w:pPr>
        <w:autoSpaceDE w:val="0"/>
        <w:autoSpaceDN w:val="0"/>
        <w:adjustRightInd w:val="0"/>
        <w:spacing w:after="0" w:line="360" w:lineRule="auto"/>
        <w:jc w:val="both"/>
        <w:rPr>
          <w:rFonts w:asciiTheme="majorBidi" w:hAnsiTheme="majorBidi" w:cstheme="majorBidi"/>
          <w:sz w:val="24"/>
          <w:szCs w:val="24"/>
        </w:rPr>
      </w:pPr>
      <w:r w:rsidRPr="005035E6">
        <w:rPr>
          <w:rFonts w:asciiTheme="majorBidi" w:hAnsiTheme="majorBidi" w:cstheme="majorBidi"/>
          <w:sz w:val="24"/>
          <w:szCs w:val="24"/>
        </w:rPr>
        <w:t>Durbin-Watson (DW) statistics is the ratio of sum of squares of successive differences of residuals to the sum of squares of errors. As a rule of thumb, if the DW statistic is less than 2, there is evidence of positive serial correlation (Büyüksalvarcı and Abdioğlu, 2011</w:t>
      </w:r>
      <w:r>
        <w:rPr>
          <w:rFonts w:asciiTheme="majorBidi" w:hAnsiTheme="majorBidi" w:cstheme="majorBidi"/>
          <w:sz w:val="24"/>
          <w:szCs w:val="24"/>
        </w:rPr>
        <w:t>).</w:t>
      </w:r>
      <w:r w:rsidRPr="005035E6">
        <w:rPr>
          <w:rFonts w:asciiTheme="majorBidi" w:hAnsiTheme="majorBidi" w:cstheme="majorBidi"/>
          <w:sz w:val="24"/>
          <w:szCs w:val="24"/>
        </w:rPr>
        <w:t>The D</w:t>
      </w:r>
      <w:r>
        <w:rPr>
          <w:rFonts w:asciiTheme="majorBidi" w:hAnsiTheme="majorBidi" w:cstheme="majorBidi"/>
          <w:sz w:val="24"/>
          <w:szCs w:val="24"/>
        </w:rPr>
        <w:t>urbin-Watson statistic was 1.932</w:t>
      </w:r>
      <w:r w:rsidRPr="005035E6">
        <w:rPr>
          <w:rFonts w:asciiTheme="majorBidi" w:hAnsiTheme="majorBidi" w:cstheme="majorBidi"/>
          <w:sz w:val="24"/>
          <w:szCs w:val="24"/>
        </w:rPr>
        <w:t>; it means that there was no serial correlation between independent variables and ROA.</w:t>
      </w:r>
    </w:p>
    <w:p w:rsidR="006C5F91" w:rsidRPr="00853896" w:rsidRDefault="006C5F91" w:rsidP="005A7A9A">
      <w:pPr>
        <w:autoSpaceDE w:val="0"/>
        <w:autoSpaceDN w:val="0"/>
        <w:adjustRightInd w:val="0"/>
        <w:spacing w:after="0" w:line="360" w:lineRule="auto"/>
        <w:jc w:val="both"/>
        <w:rPr>
          <w:rFonts w:asciiTheme="majorBidi" w:hAnsiTheme="majorBidi" w:cstheme="majorBidi"/>
          <w:sz w:val="24"/>
          <w:szCs w:val="24"/>
        </w:rPr>
      </w:pPr>
    </w:p>
    <w:p w:rsidR="00F35219" w:rsidRPr="004D61EE" w:rsidRDefault="00D6720C" w:rsidP="005A7A9A">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4D61EE">
        <w:rPr>
          <w:rFonts w:asciiTheme="majorBidi" w:hAnsiTheme="majorBidi" w:cstheme="majorBidi"/>
          <w:b/>
          <w:bCs/>
          <w:color w:val="000000" w:themeColor="text1"/>
          <w:sz w:val="24"/>
          <w:szCs w:val="24"/>
        </w:rPr>
        <w:t>4.3.</w:t>
      </w:r>
      <w:r w:rsidR="00F35219" w:rsidRPr="004D61EE">
        <w:rPr>
          <w:rFonts w:asciiTheme="majorBidi" w:hAnsiTheme="majorBidi" w:cstheme="majorBidi"/>
          <w:b/>
          <w:bCs/>
          <w:color w:val="000000" w:themeColor="text1"/>
          <w:sz w:val="24"/>
          <w:szCs w:val="24"/>
        </w:rPr>
        <w:t>1</w:t>
      </w:r>
      <w:r w:rsidRPr="004D61EE">
        <w:rPr>
          <w:rFonts w:asciiTheme="majorBidi" w:hAnsiTheme="majorBidi" w:cstheme="majorBidi"/>
          <w:b/>
          <w:bCs/>
          <w:color w:val="000000" w:themeColor="text1"/>
          <w:sz w:val="24"/>
          <w:szCs w:val="24"/>
        </w:rPr>
        <w:t>.2.</w:t>
      </w:r>
      <w:r w:rsidR="00F35219" w:rsidRPr="004D61EE">
        <w:rPr>
          <w:rFonts w:asciiTheme="majorBidi" w:hAnsiTheme="majorBidi" w:cstheme="majorBidi"/>
          <w:b/>
          <w:bCs/>
          <w:color w:val="000000" w:themeColor="text1"/>
          <w:sz w:val="24"/>
          <w:szCs w:val="24"/>
        </w:rPr>
        <w:t xml:space="preserve">4 </w:t>
      </w:r>
      <w:r w:rsidR="004D61EE" w:rsidRPr="004D61EE">
        <w:rPr>
          <w:rStyle w:val="Emphasis"/>
          <w:rFonts w:asciiTheme="majorBidi" w:hAnsiTheme="majorBidi" w:cstheme="majorBidi"/>
          <w:b/>
          <w:bCs/>
          <w:i w:val="0"/>
          <w:iCs w:val="0"/>
          <w:color w:val="000000" w:themeColor="text1"/>
          <w:sz w:val="24"/>
          <w:szCs w:val="24"/>
          <w:shd w:val="clear" w:color="auto" w:fill="FFFFFF"/>
        </w:rPr>
        <w:t>Multicollinearity</w:t>
      </w:r>
      <w:r w:rsidR="002302DA" w:rsidRPr="004D61EE">
        <w:rPr>
          <w:rFonts w:asciiTheme="majorBidi" w:hAnsiTheme="majorBidi" w:cstheme="majorBidi"/>
          <w:b/>
          <w:bCs/>
          <w:color w:val="000000" w:themeColor="text1"/>
          <w:sz w:val="24"/>
          <w:szCs w:val="24"/>
        </w:rPr>
        <w:t>T</w:t>
      </w:r>
      <w:r w:rsidR="00F35219" w:rsidRPr="004D61EE">
        <w:rPr>
          <w:rFonts w:asciiTheme="majorBidi" w:hAnsiTheme="majorBidi" w:cstheme="majorBidi"/>
          <w:b/>
          <w:bCs/>
          <w:color w:val="000000" w:themeColor="text1"/>
          <w:sz w:val="24"/>
          <w:szCs w:val="24"/>
        </w:rPr>
        <w:t>est</w:t>
      </w:r>
    </w:p>
    <w:p w:rsidR="00604E9A" w:rsidRDefault="00F35219" w:rsidP="005A7A9A">
      <w:pPr>
        <w:autoSpaceDE w:val="0"/>
        <w:autoSpaceDN w:val="0"/>
        <w:adjustRightInd w:val="0"/>
        <w:spacing w:after="0" w:line="360" w:lineRule="auto"/>
        <w:jc w:val="both"/>
        <w:rPr>
          <w:rFonts w:asciiTheme="majorBidi" w:hAnsiTheme="majorBidi" w:cstheme="majorBidi"/>
          <w:sz w:val="24"/>
          <w:szCs w:val="24"/>
        </w:rPr>
      </w:pPr>
      <w:r w:rsidRPr="00F35219">
        <w:rPr>
          <w:rFonts w:asciiTheme="majorBidi" w:hAnsiTheme="majorBidi" w:cstheme="majorBidi"/>
          <w:sz w:val="24"/>
          <w:szCs w:val="24"/>
        </w:rPr>
        <w:t xml:space="preserve">By analyzing </w:t>
      </w:r>
      <w:r w:rsidR="00251785">
        <w:rPr>
          <w:rFonts w:asciiTheme="majorBidi" w:hAnsiTheme="majorBidi" w:cstheme="majorBidi"/>
          <w:sz w:val="24"/>
          <w:szCs w:val="24"/>
        </w:rPr>
        <w:t>variance inflation factor in ROA</w:t>
      </w:r>
      <w:r w:rsidRPr="00F35219">
        <w:rPr>
          <w:rFonts w:asciiTheme="majorBidi" w:hAnsiTheme="majorBidi" w:cstheme="majorBidi"/>
          <w:sz w:val="24"/>
          <w:szCs w:val="24"/>
        </w:rPr>
        <w:t xml:space="preserve"> model, it can be said that all independent variables had tolerance value bigger than 0.1. The results c</w:t>
      </w:r>
      <w:r w:rsidR="004D61EE">
        <w:rPr>
          <w:rFonts w:asciiTheme="majorBidi" w:hAnsiTheme="majorBidi" w:cstheme="majorBidi"/>
          <w:sz w:val="24"/>
          <w:szCs w:val="24"/>
        </w:rPr>
        <w:t>an prove that all variables had</w:t>
      </w:r>
      <w:r w:rsidR="008507C6">
        <w:rPr>
          <w:rFonts w:asciiTheme="majorBidi" w:hAnsiTheme="majorBidi" w:cstheme="majorBidi"/>
          <w:sz w:val="24"/>
          <w:szCs w:val="24"/>
        </w:rPr>
        <w:t xml:space="preserve"> VIF value less than 10.</w:t>
      </w:r>
      <w:r w:rsidRPr="00F35219">
        <w:rPr>
          <w:rFonts w:asciiTheme="majorBidi" w:hAnsiTheme="majorBidi" w:cstheme="majorBidi"/>
          <w:sz w:val="24"/>
          <w:szCs w:val="24"/>
        </w:rPr>
        <w:t>This finding suggests that multicolinearity was not a problem when selected explanatory variables were used to develop the predicted m</w:t>
      </w:r>
      <w:r w:rsidR="004D61EE">
        <w:rPr>
          <w:rFonts w:asciiTheme="majorBidi" w:hAnsiTheme="majorBidi" w:cstheme="majorBidi"/>
          <w:sz w:val="24"/>
          <w:szCs w:val="24"/>
        </w:rPr>
        <w:t xml:space="preserve">odel in the logistic regression </w:t>
      </w:r>
      <w:r w:rsidRPr="00F35219">
        <w:rPr>
          <w:rFonts w:asciiTheme="majorBidi" w:hAnsiTheme="majorBidi" w:cstheme="majorBidi"/>
          <w:sz w:val="24"/>
          <w:szCs w:val="24"/>
        </w:rPr>
        <w:t xml:space="preserve">analysis and to validate the evidence </w:t>
      </w:r>
      <w:r>
        <w:rPr>
          <w:rFonts w:asciiTheme="majorBidi" w:hAnsiTheme="majorBidi" w:cstheme="majorBidi"/>
          <w:sz w:val="24"/>
          <w:szCs w:val="24"/>
        </w:rPr>
        <w:t>presented in co</w:t>
      </w:r>
      <w:r w:rsidR="00F85636">
        <w:rPr>
          <w:rFonts w:asciiTheme="majorBidi" w:hAnsiTheme="majorBidi" w:cstheme="majorBidi"/>
          <w:sz w:val="24"/>
          <w:szCs w:val="24"/>
        </w:rPr>
        <w:t>rrelation matrix (see table 4.20 below</w:t>
      </w:r>
      <w:r>
        <w:rPr>
          <w:rFonts w:asciiTheme="majorBidi" w:hAnsiTheme="majorBidi" w:cstheme="majorBidi"/>
          <w:sz w:val="24"/>
          <w:szCs w:val="24"/>
        </w:rPr>
        <w:t>).</w:t>
      </w:r>
    </w:p>
    <w:p w:rsidR="00473DA0" w:rsidRPr="00A8717D" w:rsidRDefault="006431B9" w:rsidP="005A7A9A">
      <w:pPr>
        <w:autoSpaceDE w:val="0"/>
        <w:autoSpaceDN w:val="0"/>
        <w:adjustRightInd w:val="0"/>
        <w:spacing w:after="0" w:line="360" w:lineRule="auto"/>
        <w:jc w:val="both"/>
        <w:rPr>
          <w:rFonts w:asciiTheme="majorBidi" w:hAnsiTheme="majorBidi" w:cstheme="majorBidi"/>
          <w:sz w:val="24"/>
          <w:szCs w:val="24"/>
        </w:rPr>
      </w:pPr>
      <w:r w:rsidRPr="006431B9">
        <w:rPr>
          <w:rFonts w:asciiTheme="majorBidi" w:hAnsiTheme="majorBidi" w:cstheme="majorBidi"/>
          <w:sz w:val="24"/>
          <w:szCs w:val="24"/>
        </w:rPr>
        <w:t>To assess the significance of each independent variable on the dependent va</w:t>
      </w:r>
      <w:r>
        <w:rPr>
          <w:rFonts w:asciiTheme="majorBidi" w:hAnsiTheme="majorBidi" w:cstheme="majorBidi"/>
          <w:sz w:val="24"/>
          <w:szCs w:val="24"/>
        </w:rPr>
        <w:t>ria</w:t>
      </w:r>
      <w:r w:rsidR="00816AB9">
        <w:rPr>
          <w:rFonts w:asciiTheme="majorBidi" w:hAnsiTheme="majorBidi" w:cstheme="majorBidi"/>
          <w:sz w:val="24"/>
          <w:szCs w:val="24"/>
        </w:rPr>
        <w:t>ble ROA, we consulted table 4.22</w:t>
      </w:r>
      <w:r w:rsidRPr="006431B9">
        <w:rPr>
          <w:rFonts w:asciiTheme="majorBidi" w:hAnsiTheme="majorBidi" w:cstheme="majorBidi"/>
          <w:sz w:val="24"/>
          <w:szCs w:val="24"/>
        </w:rPr>
        <w:t xml:space="preserve"> which contains the t-tes</w:t>
      </w:r>
      <w:r w:rsidR="00F87077">
        <w:rPr>
          <w:rFonts w:asciiTheme="majorBidi" w:hAnsiTheme="majorBidi" w:cstheme="majorBidi"/>
          <w:sz w:val="24"/>
          <w:szCs w:val="24"/>
        </w:rPr>
        <w:t>t with the signif</w:t>
      </w:r>
      <w:r w:rsidR="00A8717D">
        <w:rPr>
          <w:rFonts w:asciiTheme="majorBidi" w:hAnsiTheme="majorBidi" w:cstheme="majorBidi"/>
          <w:sz w:val="24"/>
          <w:szCs w:val="24"/>
        </w:rPr>
        <w:t>icance factors (see Appendix 5).</w:t>
      </w:r>
    </w:p>
    <w:p w:rsidR="00AD4A38" w:rsidRPr="008A114D" w:rsidRDefault="00AD4A38" w:rsidP="00004192">
      <w:pPr>
        <w:autoSpaceDE w:val="0"/>
        <w:autoSpaceDN w:val="0"/>
        <w:adjustRightInd w:val="0"/>
        <w:spacing w:after="0" w:line="360" w:lineRule="auto"/>
        <w:rPr>
          <w:rFonts w:asciiTheme="majorBidi" w:hAnsiTheme="majorBidi" w:cstheme="majorBidi"/>
          <w:b/>
          <w:bCs/>
          <w:color w:val="000000" w:themeColor="text1"/>
          <w:sz w:val="16"/>
          <w:szCs w:val="16"/>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6C5F91" w:rsidRDefault="006C5F91" w:rsidP="00206EBD">
      <w:pPr>
        <w:autoSpaceDE w:val="0"/>
        <w:autoSpaceDN w:val="0"/>
        <w:adjustRightInd w:val="0"/>
        <w:spacing w:after="0" w:line="360" w:lineRule="auto"/>
        <w:jc w:val="center"/>
        <w:rPr>
          <w:rFonts w:asciiTheme="majorBidi" w:hAnsiTheme="majorBidi" w:cstheme="majorBidi"/>
          <w:b/>
          <w:bCs/>
          <w:color w:val="000000" w:themeColor="text1"/>
        </w:rPr>
      </w:pPr>
    </w:p>
    <w:p w:rsidR="00F85636" w:rsidRPr="002302DA" w:rsidRDefault="00816AB9" w:rsidP="00206EBD">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color w:val="000000" w:themeColor="text1"/>
        </w:rPr>
        <w:lastRenderedPageBreak/>
        <w:t>Table 4.22</w:t>
      </w:r>
      <w:r w:rsidR="00F85636" w:rsidRPr="002302DA">
        <w:rPr>
          <w:rFonts w:asciiTheme="majorBidi" w:hAnsiTheme="majorBidi" w:cstheme="majorBidi"/>
          <w:b/>
          <w:bCs/>
          <w:color w:val="000000" w:themeColor="text1"/>
        </w:rPr>
        <w:t xml:space="preserve">: </w:t>
      </w:r>
      <w:r w:rsidR="00F85636" w:rsidRPr="002302DA">
        <w:rPr>
          <w:rFonts w:asciiTheme="majorBidi" w:hAnsiTheme="majorBidi" w:cstheme="majorBidi"/>
          <w:b/>
          <w:bCs/>
        </w:rPr>
        <w:t>Multiple Linear Regression Matrixes</w:t>
      </w:r>
      <w:r w:rsidR="002E3E3E">
        <w:rPr>
          <w:rFonts w:asciiTheme="majorBidi" w:hAnsiTheme="majorBidi" w:cstheme="majorBidi"/>
          <w:b/>
          <w:bCs/>
        </w:rPr>
        <w:t xml:space="preserve"> for model 1</w:t>
      </w:r>
    </w:p>
    <w:tbl>
      <w:tblPr>
        <w:tblW w:w="8790" w:type="dxa"/>
        <w:jc w:val="center"/>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tblPr>
      <w:tblGrid>
        <w:gridCol w:w="41"/>
        <w:gridCol w:w="1112"/>
        <w:gridCol w:w="833"/>
        <w:gridCol w:w="1134"/>
        <w:gridCol w:w="1417"/>
        <w:gridCol w:w="1134"/>
        <w:gridCol w:w="851"/>
        <w:gridCol w:w="1134"/>
        <w:gridCol w:w="1134"/>
      </w:tblGrid>
      <w:tr w:rsidR="00CE380E" w:rsidRPr="00C4629A" w:rsidTr="005A7A9A">
        <w:trPr>
          <w:cantSplit/>
          <w:tblHeader/>
          <w:jc w:val="center"/>
        </w:trPr>
        <w:tc>
          <w:tcPr>
            <w:tcW w:w="8790" w:type="dxa"/>
            <w:gridSpan w:val="9"/>
            <w:tcBorders>
              <w:top w:val="nil"/>
              <w:left w:val="nil"/>
              <w:bottom w:val="nil"/>
              <w:right w:val="nil"/>
            </w:tcBorders>
            <w:shd w:val="clear" w:color="auto" w:fill="FFFFFF" w:themeFill="background1"/>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b/>
                <w:bCs/>
                <w:color w:val="000000"/>
                <w:sz w:val="18"/>
                <w:szCs w:val="18"/>
              </w:rPr>
              <w:t>Coefficients</w:t>
            </w:r>
            <w:r w:rsidRPr="00C4629A">
              <w:rPr>
                <w:rFonts w:ascii="Arial" w:hAnsi="Arial" w:cs="Arial"/>
                <w:b/>
                <w:bCs/>
                <w:color w:val="000000"/>
                <w:sz w:val="18"/>
                <w:szCs w:val="18"/>
                <w:vertAlign w:val="superscript"/>
              </w:rPr>
              <w:t>a</w:t>
            </w:r>
          </w:p>
        </w:tc>
      </w:tr>
      <w:tr w:rsidR="00CE380E" w:rsidRPr="00C4629A" w:rsidTr="005A7A9A">
        <w:trPr>
          <w:cantSplit/>
          <w:tblHeader/>
          <w:jc w:val="center"/>
        </w:trPr>
        <w:tc>
          <w:tcPr>
            <w:tcW w:w="1153" w:type="dxa"/>
            <w:gridSpan w:val="2"/>
            <w:vMerge w:val="restart"/>
            <w:tcBorders>
              <w:top w:val="single" w:sz="16" w:space="0" w:color="000000"/>
              <w:left w:val="single" w:sz="16" w:space="0" w:color="000000"/>
              <w:bottom w:val="single" w:sz="16" w:space="0" w:color="000000"/>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Model</w:t>
            </w:r>
          </w:p>
        </w:tc>
        <w:tc>
          <w:tcPr>
            <w:tcW w:w="1967" w:type="dxa"/>
            <w:gridSpan w:val="2"/>
            <w:tcBorders>
              <w:top w:val="single" w:sz="16" w:space="0" w:color="000000"/>
              <w:lef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Unstandardized Coefficients</w:t>
            </w:r>
          </w:p>
        </w:tc>
        <w:tc>
          <w:tcPr>
            <w:tcW w:w="1417" w:type="dxa"/>
            <w:tcBorders>
              <w:top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Standardized Coefficients</w:t>
            </w:r>
          </w:p>
        </w:tc>
        <w:tc>
          <w:tcPr>
            <w:tcW w:w="1134" w:type="dxa"/>
            <w:vMerge w:val="restart"/>
            <w:tcBorders>
              <w:top w:val="single" w:sz="16" w:space="0" w:color="000000"/>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t</w:t>
            </w:r>
          </w:p>
        </w:tc>
        <w:tc>
          <w:tcPr>
            <w:tcW w:w="851" w:type="dxa"/>
            <w:vMerge w:val="restart"/>
            <w:tcBorders>
              <w:top w:val="single" w:sz="16" w:space="0" w:color="000000"/>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Sig.</w:t>
            </w:r>
          </w:p>
        </w:tc>
        <w:tc>
          <w:tcPr>
            <w:tcW w:w="2268" w:type="dxa"/>
            <w:gridSpan w:val="2"/>
            <w:tcBorders>
              <w:top w:val="single" w:sz="16" w:space="0" w:color="000000"/>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Collinearity Statistics</w:t>
            </w:r>
          </w:p>
        </w:tc>
      </w:tr>
      <w:tr w:rsidR="0042214F" w:rsidRPr="00C4629A" w:rsidTr="005A7A9A">
        <w:trPr>
          <w:cantSplit/>
          <w:tblHeader/>
          <w:jc w:val="center"/>
        </w:trPr>
        <w:tc>
          <w:tcPr>
            <w:tcW w:w="1153" w:type="dxa"/>
            <w:gridSpan w:val="2"/>
            <w:vMerge/>
            <w:tcBorders>
              <w:top w:val="single" w:sz="16" w:space="0" w:color="000000"/>
              <w:left w:val="single" w:sz="16" w:space="0" w:color="000000"/>
              <w:bottom w:val="single" w:sz="16" w:space="0" w:color="000000"/>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833" w:type="dxa"/>
            <w:tcBorders>
              <w:left w:val="single" w:sz="16" w:space="0" w:color="000000"/>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B</w:t>
            </w:r>
          </w:p>
        </w:tc>
        <w:tc>
          <w:tcPr>
            <w:tcW w:w="1134" w:type="dxa"/>
            <w:tcBorders>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Std. Error</w:t>
            </w:r>
          </w:p>
        </w:tc>
        <w:tc>
          <w:tcPr>
            <w:tcW w:w="1417" w:type="dxa"/>
            <w:tcBorders>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Beta</w:t>
            </w:r>
          </w:p>
        </w:tc>
        <w:tc>
          <w:tcPr>
            <w:tcW w:w="1134" w:type="dxa"/>
            <w:vMerge/>
            <w:tcBorders>
              <w:top w:val="single" w:sz="16" w:space="0" w:color="000000"/>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851" w:type="dxa"/>
            <w:vMerge/>
            <w:tcBorders>
              <w:top w:val="single" w:sz="16" w:space="0" w:color="000000"/>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1134" w:type="dxa"/>
            <w:tcBorders>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Tolerance</w:t>
            </w:r>
          </w:p>
        </w:tc>
        <w:tc>
          <w:tcPr>
            <w:tcW w:w="1134" w:type="dxa"/>
            <w:tcBorders>
              <w:bottom w:val="single" w:sz="16" w:space="0" w:color="000000"/>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VIF</w:t>
            </w:r>
          </w:p>
        </w:tc>
      </w:tr>
      <w:tr w:rsidR="0042214F" w:rsidRPr="00C4629A" w:rsidTr="005A7A9A">
        <w:trPr>
          <w:cantSplit/>
          <w:tblHeader/>
          <w:jc w:val="center"/>
        </w:trPr>
        <w:tc>
          <w:tcPr>
            <w:tcW w:w="41" w:type="dxa"/>
            <w:vMerge w:val="restart"/>
            <w:tcBorders>
              <w:top w:val="single" w:sz="16" w:space="0" w:color="000000"/>
              <w:left w:val="single" w:sz="16" w:space="0" w:color="000000"/>
              <w:bottom w:val="single" w:sz="16" w:space="0" w:color="000000"/>
              <w:right w:val="nil"/>
            </w:tcBorders>
            <w:shd w:val="clear" w:color="auto" w:fill="FFFFFF" w:themeFill="background1"/>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w:t>
            </w:r>
          </w:p>
        </w:tc>
        <w:tc>
          <w:tcPr>
            <w:tcW w:w="1112" w:type="dxa"/>
            <w:tcBorders>
              <w:top w:val="single" w:sz="16" w:space="0" w:color="000000"/>
              <w:left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(Constant)</w:t>
            </w:r>
          </w:p>
        </w:tc>
        <w:tc>
          <w:tcPr>
            <w:tcW w:w="833" w:type="dxa"/>
            <w:tcBorders>
              <w:top w:val="single" w:sz="16" w:space="0" w:color="000000"/>
              <w:left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2.205</w:t>
            </w:r>
          </w:p>
        </w:tc>
        <w:tc>
          <w:tcPr>
            <w:tcW w:w="1134" w:type="dxa"/>
            <w:tcBorders>
              <w:top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.498</w:t>
            </w:r>
          </w:p>
        </w:tc>
        <w:tc>
          <w:tcPr>
            <w:tcW w:w="1417" w:type="dxa"/>
            <w:tcBorders>
              <w:top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4.427</w:t>
            </w:r>
          </w:p>
        </w:tc>
        <w:tc>
          <w:tcPr>
            <w:tcW w:w="851" w:type="dxa"/>
            <w:tcBorders>
              <w:top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.000</w:t>
            </w:r>
          </w:p>
        </w:tc>
        <w:tc>
          <w:tcPr>
            <w:tcW w:w="1134" w:type="dxa"/>
            <w:tcBorders>
              <w:top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240" w:lineRule="auto"/>
              <w:jc w:val="center"/>
              <w:rPr>
                <w:rFonts w:ascii="Times New Roman" w:hAnsi="Times New Roman" w:cs="Times New Roman"/>
                <w:sz w:val="24"/>
                <w:szCs w:val="24"/>
              </w:rPr>
            </w:pPr>
          </w:p>
        </w:tc>
      </w:tr>
      <w:tr w:rsidR="0042214F" w:rsidRPr="00C4629A" w:rsidTr="005A7A9A">
        <w:trPr>
          <w:cantSplit/>
          <w:tblHeader/>
          <w:jc w:val="center"/>
        </w:trPr>
        <w:tc>
          <w:tcPr>
            <w:tcW w:w="41" w:type="dxa"/>
            <w:vMerge/>
            <w:tcBorders>
              <w:top w:val="single" w:sz="16" w:space="0" w:color="000000"/>
              <w:left w:val="single" w:sz="16" w:space="0" w:color="000000"/>
              <w:bottom w:val="single" w:sz="16" w:space="0" w:color="000000"/>
              <w:right w:val="nil"/>
            </w:tcBorders>
            <w:shd w:val="clear" w:color="auto" w:fill="FFFFFF" w:themeFill="background1"/>
            <w:vAlign w:val="center"/>
          </w:tcPr>
          <w:p w:rsidR="00CE380E" w:rsidRPr="00C4629A" w:rsidRDefault="00CE380E" w:rsidP="005A7A9A">
            <w:pPr>
              <w:autoSpaceDE w:val="0"/>
              <w:autoSpaceDN w:val="0"/>
              <w:adjustRightInd w:val="0"/>
              <w:spacing w:after="0" w:line="240" w:lineRule="auto"/>
              <w:jc w:val="center"/>
              <w:rPr>
                <w:rFonts w:ascii="Times New Roman" w:hAnsi="Times New Roman" w:cs="Times New Roman"/>
                <w:sz w:val="24"/>
                <w:szCs w:val="24"/>
              </w:rPr>
            </w:pPr>
          </w:p>
        </w:tc>
        <w:tc>
          <w:tcPr>
            <w:tcW w:w="1112" w:type="dxa"/>
            <w:tcBorders>
              <w:top w:val="nil"/>
              <w:left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NPLR</w:t>
            </w:r>
          </w:p>
        </w:tc>
        <w:tc>
          <w:tcPr>
            <w:tcW w:w="833" w:type="dxa"/>
            <w:tcBorders>
              <w:top w:val="nil"/>
              <w:left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-.024-</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.008</w:t>
            </w:r>
          </w:p>
        </w:tc>
        <w:tc>
          <w:tcPr>
            <w:tcW w:w="1417"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-.346-</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-2.925-</w:t>
            </w:r>
          </w:p>
        </w:tc>
        <w:tc>
          <w:tcPr>
            <w:tcW w:w="851"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.007</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.725</w:t>
            </w:r>
          </w:p>
        </w:tc>
        <w:tc>
          <w:tcPr>
            <w:tcW w:w="1134" w:type="dxa"/>
            <w:tcBorders>
              <w:top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1.378</w:t>
            </w:r>
          </w:p>
        </w:tc>
      </w:tr>
      <w:tr w:rsidR="0042214F" w:rsidRPr="00C4629A" w:rsidTr="005A7A9A">
        <w:trPr>
          <w:cantSplit/>
          <w:tblHeader/>
          <w:jc w:val="center"/>
        </w:trPr>
        <w:tc>
          <w:tcPr>
            <w:tcW w:w="41" w:type="dxa"/>
            <w:vMerge/>
            <w:tcBorders>
              <w:top w:val="single" w:sz="16" w:space="0" w:color="000000"/>
              <w:left w:val="single" w:sz="16" w:space="0" w:color="000000"/>
              <w:bottom w:val="single" w:sz="16" w:space="0" w:color="000000"/>
              <w:right w:val="nil"/>
            </w:tcBorders>
            <w:shd w:val="clear" w:color="auto" w:fill="FFFFFF" w:themeFill="background1"/>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1112" w:type="dxa"/>
            <w:tcBorders>
              <w:top w:val="nil"/>
              <w:left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EQTA</w:t>
            </w:r>
          </w:p>
        </w:tc>
        <w:tc>
          <w:tcPr>
            <w:tcW w:w="833" w:type="dxa"/>
            <w:tcBorders>
              <w:top w:val="nil"/>
              <w:left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-.022-</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.009</w:t>
            </w:r>
          </w:p>
        </w:tc>
        <w:tc>
          <w:tcPr>
            <w:tcW w:w="1417"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-.269-</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-2.362-</w:t>
            </w:r>
          </w:p>
        </w:tc>
        <w:tc>
          <w:tcPr>
            <w:tcW w:w="851"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.025</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.780</w:t>
            </w:r>
          </w:p>
        </w:tc>
        <w:tc>
          <w:tcPr>
            <w:tcW w:w="1134" w:type="dxa"/>
            <w:tcBorders>
              <w:top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1.283</w:t>
            </w:r>
          </w:p>
        </w:tc>
      </w:tr>
      <w:tr w:rsidR="0042214F" w:rsidRPr="00C4629A" w:rsidTr="005A7A9A">
        <w:trPr>
          <w:cantSplit/>
          <w:tblHeader/>
          <w:jc w:val="center"/>
        </w:trPr>
        <w:tc>
          <w:tcPr>
            <w:tcW w:w="41" w:type="dxa"/>
            <w:vMerge/>
            <w:tcBorders>
              <w:top w:val="single" w:sz="16" w:space="0" w:color="000000"/>
              <w:left w:val="single" w:sz="16" w:space="0" w:color="000000"/>
              <w:bottom w:val="single" w:sz="16" w:space="0" w:color="000000"/>
              <w:right w:val="nil"/>
            </w:tcBorders>
            <w:shd w:val="clear" w:color="auto" w:fill="FFFFFF" w:themeFill="background1"/>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1112" w:type="dxa"/>
            <w:tcBorders>
              <w:top w:val="nil"/>
              <w:left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LLPI</w:t>
            </w:r>
          </w:p>
        </w:tc>
        <w:tc>
          <w:tcPr>
            <w:tcW w:w="833" w:type="dxa"/>
            <w:tcBorders>
              <w:top w:val="nil"/>
              <w:left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-.015-</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.006</w:t>
            </w:r>
          </w:p>
        </w:tc>
        <w:tc>
          <w:tcPr>
            <w:tcW w:w="1417"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-.311-</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-2.403-</w:t>
            </w:r>
          </w:p>
        </w:tc>
        <w:tc>
          <w:tcPr>
            <w:tcW w:w="851"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.023</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.604</w:t>
            </w:r>
          </w:p>
        </w:tc>
        <w:tc>
          <w:tcPr>
            <w:tcW w:w="1134" w:type="dxa"/>
            <w:tcBorders>
              <w:top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1.655</w:t>
            </w:r>
          </w:p>
        </w:tc>
      </w:tr>
      <w:tr w:rsidR="0042214F" w:rsidRPr="00C4629A" w:rsidTr="005A7A9A">
        <w:trPr>
          <w:cantSplit/>
          <w:tblHeader/>
          <w:jc w:val="center"/>
        </w:trPr>
        <w:tc>
          <w:tcPr>
            <w:tcW w:w="41" w:type="dxa"/>
            <w:vMerge/>
            <w:tcBorders>
              <w:top w:val="single" w:sz="16" w:space="0" w:color="000000"/>
              <w:left w:val="single" w:sz="16" w:space="0" w:color="000000"/>
              <w:bottom w:val="single" w:sz="16" w:space="0" w:color="000000"/>
              <w:right w:val="nil"/>
            </w:tcBorders>
            <w:shd w:val="clear" w:color="auto" w:fill="FFFFFF" w:themeFill="background1"/>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1112" w:type="dxa"/>
            <w:tcBorders>
              <w:top w:val="nil"/>
              <w:left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NIDR</w:t>
            </w:r>
          </w:p>
        </w:tc>
        <w:tc>
          <w:tcPr>
            <w:tcW w:w="833" w:type="dxa"/>
            <w:tcBorders>
              <w:top w:val="nil"/>
              <w:left w:val="single" w:sz="16" w:space="0" w:color="000000"/>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.010</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.009</w:t>
            </w:r>
          </w:p>
        </w:tc>
        <w:tc>
          <w:tcPr>
            <w:tcW w:w="1417"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.139</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1.099</w:t>
            </w:r>
          </w:p>
        </w:tc>
        <w:tc>
          <w:tcPr>
            <w:tcW w:w="851"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.281</w:t>
            </w:r>
          </w:p>
        </w:tc>
        <w:tc>
          <w:tcPr>
            <w:tcW w:w="1134" w:type="dxa"/>
            <w:tcBorders>
              <w:top w:val="nil"/>
              <w:bottom w:val="nil"/>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.636</w:t>
            </w:r>
          </w:p>
        </w:tc>
        <w:tc>
          <w:tcPr>
            <w:tcW w:w="1134" w:type="dxa"/>
            <w:tcBorders>
              <w:top w:val="nil"/>
              <w:bottom w:val="nil"/>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1.573</w:t>
            </w:r>
          </w:p>
        </w:tc>
      </w:tr>
      <w:tr w:rsidR="0042214F" w:rsidRPr="00C4629A" w:rsidTr="005A7A9A">
        <w:trPr>
          <w:cantSplit/>
          <w:tblHeader/>
          <w:jc w:val="center"/>
        </w:trPr>
        <w:tc>
          <w:tcPr>
            <w:tcW w:w="41" w:type="dxa"/>
            <w:vMerge/>
            <w:tcBorders>
              <w:top w:val="single" w:sz="16" w:space="0" w:color="000000"/>
              <w:left w:val="single" w:sz="16" w:space="0" w:color="000000"/>
              <w:bottom w:val="single" w:sz="16" w:space="0" w:color="000000"/>
              <w:right w:val="nil"/>
            </w:tcBorders>
            <w:shd w:val="clear" w:color="auto" w:fill="FFFFFF" w:themeFill="background1"/>
            <w:vAlign w:val="center"/>
          </w:tcPr>
          <w:p w:rsidR="00CE380E" w:rsidRPr="00C4629A" w:rsidRDefault="00CE380E" w:rsidP="005A7A9A">
            <w:pPr>
              <w:autoSpaceDE w:val="0"/>
              <w:autoSpaceDN w:val="0"/>
              <w:adjustRightInd w:val="0"/>
              <w:spacing w:after="0" w:line="240" w:lineRule="auto"/>
              <w:jc w:val="center"/>
              <w:rPr>
                <w:rFonts w:ascii="Arial" w:hAnsi="Arial" w:cs="Arial"/>
                <w:color w:val="000000"/>
                <w:sz w:val="18"/>
                <w:szCs w:val="18"/>
              </w:rPr>
            </w:pPr>
          </w:p>
        </w:tc>
        <w:tc>
          <w:tcPr>
            <w:tcW w:w="1112" w:type="dxa"/>
            <w:tcBorders>
              <w:top w:val="nil"/>
              <w:left w:val="nil"/>
              <w:bottom w:val="single" w:sz="16" w:space="0" w:color="000000"/>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OPNI</w:t>
            </w:r>
          </w:p>
        </w:tc>
        <w:tc>
          <w:tcPr>
            <w:tcW w:w="833" w:type="dxa"/>
            <w:tcBorders>
              <w:top w:val="nil"/>
              <w:left w:val="single" w:sz="16" w:space="0" w:color="000000"/>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-.007-</w:t>
            </w:r>
          </w:p>
        </w:tc>
        <w:tc>
          <w:tcPr>
            <w:tcW w:w="1134" w:type="dxa"/>
            <w:tcBorders>
              <w:top w:val="nil"/>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.003</w:t>
            </w:r>
          </w:p>
        </w:tc>
        <w:tc>
          <w:tcPr>
            <w:tcW w:w="1417" w:type="dxa"/>
            <w:tcBorders>
              <w:top w:val="nil"/>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-.311-</w:t>
            </w:r>
          </w:p>
        </w:tc>
        <w:tc>
          <w:tcPr>
            <w:tcW w:w="1134" w:type="dxa"/>
            <w:tcBorders>
              <w:top w:val="nil"/>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-2.343-</w:t>
            </w:r>
          </w:p>
        </w:tc>
        <w:tc>
          <w:tcPr>
            <w:tcW w:w="851" w:type="dxa"/>
            <w:tcBorders>
              <w:top w:val="nil"/>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.026</w:t>
            </w:r>
          </w:p>
        </w:tc>
        <w:tc>
          <w:tcPr>
            <w:tcW w:w="1134" w:type="dxa"/>
            <w:tcBorders>
              <w:top w:val="nil"/>
              <w:bottom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.576</w:t>
            </w:r>
          </w:p>
        </w:tc>
        <w:tc>
          <w:tcPr>
            <w:tcW w:w="1134" w:type="dxa"/>
            <w:tcBorders>
              <w:top w:val="nil"/>
              <w:bottom w:val="single" w:sz="16" w:space="0" w:color="000000"/>
              <w:right w:val="single" w:sz="16" w:space="0" w:color="000000"/>
            </w:tcBorders>
            <w:shd w:val="clear" w:color="auto" w:fill="EEECE1" w:themeFill="background2"/>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1.738</w:t>
            </w:r>
          </w:p>
        </w:tc>
      </w:tr>
      <w:tr w:rsidR="00CE380E" w:rsidRPr="00C4629A" w:rsidTr="005A7A9A">
        <w:trPr>
          <w:cantSplit/>
          <w:jc w:val="center"/>
        </w:trPr>
        <w:tc>
          <w:tcPr>
            <w:tcW w:w="8790" w:type="dxa"/>
            <w:gridSpan w:val="9"/>
            <w:tcBorders>
              <w:top w:val="nil"/>
              <w:left w:val="nil"/>
              <w:bottom w:val="nil"/>
              <w:right w:val="nil"/>
            </w:tcBorders>
            <w:shd w:val="clear" w:color="auto" w:fill="FFFFFF" w:themeFill="background1"/>
            <w:vAlign w:val="center"/>
          </w:tcPr>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r w:rsidRPr="00C4629A">
              <w:rPr>
                <w:rFonts w:ascii="Arial" w:hAnsi="Arial" w:cs="Arial"/>
                <w:color w:val="000000"/>
                <w:sz w:val="18"/>
                <w:szCs w:val="18"/>
              </w:rPr>
              <w:t>a. Dependent Variable: ROA</w:t>
            </w:r>
          </w:p>
          <w:p w:rsidR="00CE380E" w:rsidRPr="00C4629A" w:rsidRDefault="00CE380E" w:rsidP="005A7A9A">
            <w:pPr>
              <w:autoSpaceDE w:val="0"/>
              <w:autoSpaceDN w:val="0"/>
              <w:adjustRightInd w:val="0"/>
              <w:spacing w:after="0" w:line="320" w:lineRule="atLeast"/>
              <w:ind w:left="60" w:right="60"/>
              <w:jc w:val="center"/>
              <w:rPr>
                <w:rFonts w:ascii="Arial" w:hAnsi="Arial" w:cs="Arial"/>
                <w:color w:val="000000"/>
                <w:sz w:val="18"/>
                <w:szCs w:val="18"/>
              </w:rPr>
            </w:pPr>
          </w:p>
        </w:tc>
      </w:tr>
    </w:tbl>
    <w:p w:rsidR="00AC6FAE" w:rsidRDefault="00AC6FAE" w:rsidP="007E2CB6">
      <w:pPr>
        <w:rPr>
          <w:rFonts w:asciiTheme="majorBidi" w:hAnsiTheme="majorBidi" w:cstheme="majorBidi"/>
          <w:b/>
          <w:bCs/>
          <w:sz w:val="24"/>
          <w:szCs w:val="24"/>
        </w:rPr>
      </w:pPr>
    </w:p>
    <w:p w:rsidR="007E2CB6" w:rsidRPr="001B6D4E" w:rsidRDefault="007E2CB6" w:rsidP="007E2CB6">
      <w:pPr>
        <w:rPr>
          <w:rFonts w:asciiTheme="majorBidi" w:hAnsiTheme="majorBidi" w:cstheme="majorBidi"/>
          <w:b/>
          <w:bCs/>
          <w:sz w:val="24"/>
          <w:szCs w:val="24"/>
        </w:rPr>
      </w:pPr>
      <w:r w:rsidRPr="007E2CB6">
        <w:rPr>
          <w:rFonts w:asciiTheme="majorBidi" w:hAnsiTheme="majorBidi" w:cstheme="majorBidi"/>
          <w:b/>
          <w:bCs/>
          <w:sz w:val="24"/>
          <w:szCs w:val="24"/>
        </w:rPr>
        <w:t>4.3.1.</w:t>
      </w:r>
      <w:r w:rsidR="00D6720C">
        <w:rPr>
          <w:rFonts w:asciiTheme="majorBidi" w:hAnsiTheme="majorBidi" w:cstheme="majorBidi"/>
          <w:b/>
          <w:bCs/>
          <w:sz w:val="24"/>
          <w:szCs w:val="24"/>
        </w:rPr>
        <w:t>2.2</w:t>
      </w:r>
      <w:r w:rsidR="002302DA">
        <w:rPr>
          <w:rFonts w:asciiTheme="majorBidi" w:hAnsiTheme="majorBidi" w:cstheme="majorBidi"/>
          <w:b/>
          <w:bCs/>
          <w:sz w:val="24"/>
          <w:szCs w:val="24"/>
        </w:rPr>
        <w:t xml:space="preserve">The Relationship </w:t>
      </w:r>
      <w:r w:rsidR="002C2BAD">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Pr="001B6D4E">
        <w:rPr>
          <w:rFonts w:asciiTheme="majorBidi" w:hAnsiTheme="majorBidi" w:cstheme="majorBidi"/>
          <w:b/>
          <w:bCs/>
          <w:sz w:val="24"/>
          <w:szCs w:val="24"/>
        </w:rPr>
        <w:t>rofitability</w:t>
      </w:r>
      <w:r>
        <w:rPr>
          <w:rFonts w:asciiTheme="majorBidi" w:hAnsiTheme="majorBidi" w:cstheme="majorBidi"/>
          <w:b/>
          <w:bCs/>
          <w:sz w:val="24"/>
          <w:szCs w:val="24"/>
        </w:rPr>
        <w:t xml:space="preserve"> (ROA</w:t>
      </w:r>
      <w:r w:rsidR="002302DA">
        <w:rPr>
          <w:rFonts w:asciiTheme="majorBidi" w:hAnsiTheme="majorBidi" w:cstheme="majorBidi"/>
          <w:b/>
          <w:bCs/>
          <w:sz w:val="24"/>
          <w:szCs w:val="24"/>
        </w:rPr>
        <w:t>) and Nonperforming L</w:t>
      </w:r>
      <w:r w:rsidR="00FC522D">
        <w:rPr>
          <w:rFonts w:asciiTheme="majorBidi" w:hAnsiTheme="majorBidi" w:cstheme="majorBidi"/>
          <w:b/>
          <w:bCs/>
          <w:sz w:val="24"/>
          <w:szCs w:val="24"/>
        </w:rPr>
        <w:t>oans (NPLR)</w:t>
      </w:r>
    </w:p>
    <w:p w:rsidR="007E2CB6" w:rsidRDefault="00816AB9" w:rsidP="004975EA">
      <w:pPr>
        <w:autoSpaceDE w:val="0"/>
        <w:autoSpaceDN w:val="0"/>
        <w:adjustRightInd w:val="0"/>
        <w:spacing w:after="0" w:line="360" w:lineRule="auto"/>
        <w:jc w:val="both"/>
        <w:rPr>
          <w:rFonts w:ascii="TimesNewRoman" w:hAnsi="TimesNewRoman" w:cs="TimesNewRoman"/>
          <w:sz w:val="24"/>
          <w:szCs w:val="24"/>
        </w:rPr>
      </w:pPr>
      <w:r>
        <w:rPr>
          <w:rFonts w:asciiTheme="majorBidi" w:hAnsiTheme="majorBidi" w:cstheme="majorBidi"/>
          <w:sz w:val="24"/>
          <w:szCs w:val="24"/>
        </w:rPr>
        <w:t>Table 4.22</w:t>
      </w:r>
      <w:r w:rsidR="00983A89" w:rsidRPr="001F3821">
        <w:rPr>
          <w:rFonts w:asciiTheme="majorBidi" w:hAnsiTheme="majorBidi" w:cstheme="majorBidi"/>
          <w:sz w:val="24"/>
          <w:szCs w:val="24"/>
        </w:rPr>
        <w:t xml:space="preserve"> show</w:t>
      </w:r>
      <w:r w:rsidR="00AE26D3">
        <w:rPr>
          <w:rFonts w:asciiTheme="majorBidi" w:hAnsiTheme="majorBidi" w:cstheme="majorBidi"/>
          <w:sz w:val="24"/>
          <w:szCs w:val="24"/>
        </w:rPr>
        <w:t>ed that NPLR affected</w:t>
      </w:r>
      <w:r w:rsidR="00983A89" w:rsidRPr="001F3821">
        <w:rPr>
          <w:rFonts w:asciiTheme="majorBidi" w:hAnsiTheme="majorBidi" w:cstheme="majorBidi"/>
          <w:sz w:val="24"/>
          <w:szCs w:val="24"/>
        </w:rPr>
        <w:t xml:space="preserve"> ROA negatively. NPLR β coefficient is </w:t>
      </w:r>
      <w:r w:rsidR="00983A89">
        <w:rPr>
          <w:rFonts w:asciiTheme="majorBidi" w:hAnsiTheme="majorBidi" w:cstheme="majorBidi"/>
          <w:sz w:val="24"/>
          <w:szCs w:val="24"/>
        </w:rPr>
        <w:t xml:space="preserve">-.024 </w:t>
      </w:r>
      <w:r w:rsidR="00983A89">
        <w:rPr>
          <w:rFonts w:ascii="TimesNewRoman" w:hAnsi="TimesNewRoman" w:cs="TimesNewRoman"/>
          <w:sz w:val="24"/>
          <w:szCs w:val="24"/>
        </w:rPr>
        <w:t>which means that one unit increase in NPLR decreases ROA by 2.4% unit while the rest of variables are held constant. The statistical significance of NPLR on ROA is.007 which is less than 0.05.This means that NPLR predicts effect on ROA with 99.3% probability</w:t>
      </w:r>
      <w:r w:rsidR="00372E7B">
        <w:rPr>
          <w:rFonts w:ascii="TimesNewRoman" w:hAnsi="TimesNewRoman" w:cs="TimesNewRoman"/>
          <w:sz w:val="24"/>
          <w:szCs w:val="24"/>
        </w:rPr>
        <w:t xml:space="preserve"> (significant relationship).</w:t>
      </w:r>
    </w:p>
    <w:p w:rsidR="00FC522D" w:rsidRPr="007034FC" w:rsidRDefault="00372E7B" w:rsidP="00FC522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clear that there was significant</w:t>
      </w:r>
      <w:r w:rsidRPr="00372E7B">
        <w:rPr>
          <w:rFonts w:asciiTheme="majorBidi" w:hAnsiTheme="majorBidi" w:cstheme="majorBidi"/>
          <w:sz w:val="24"/>
          <w:szCs w:val="24"/>
        </w:rPr>
        <w:t xml:space="preserve"> negative relationship between poor asset </w:t>
      </w:r>
      <w:r w:rsidR="005E5295">
        <w:rPr>
          <w:rFonts w:asciiTheme="majorBidi" w:hAnsiTheme="majorBidi" w:cstheme="majorBidi"/>
          <w:sz w:val="24"/>
          <w:szCs w:val="24"/>
        </w:rPr>
        <w:t>quality and profitability</w:t>
      </w:r>
      <w:r w:rsidRPr="00372E7B">
        <w:rPr>
          <w:rFonts w:asciiTheme="majorBidi" w:hAnsiTheme="majorBidi" w:cstheme="majorBidi"/>
          <w:sz w:val="24"/>
          <w:szCs w:val="24"/>
        </w:rPr>
        <w:t>. This means the commercial banks, which failed to monitor their credit loans tend to be less profitable than those which paid particular attention to the assets quality.</w:t>
      </w:r>
      <w:r w:rsidR="00601E54">
        <w:rPr>
          <w:rFonts w:asciiTheme="majorBidi" w:hAnsiTheme="majorBidi" w:cstheme="majorBidi"/>
          <w:sz w:val="24"/>
          <w:szCs w:val="24"/>
        </w:rPr>
        <w:t xml:space="preserve"> </w:t>
      </w:r>
      <w:r w:rsidR="00891C85">
        <w:rPr>
          <w:rFonts w:asciiTheme="majorBidi" w:hAnsiTheme="majorBidi" w:cstheme="majorBidi"/>
          <w:sz w:val="24"/>
          <w:szCs w:val="24"/>
        </w:rPr>
        <w:t xml:space="preserve">This is consistent </w:t>
      </w:r>
      <w:r w:rsidR="00FC522D" w:rsidRPr="00EB4341">
        <w:rPr>
          <w:rFonts w:asciiTheme="majorBidi" w:hAnsiTheme="majorBidi" w:cstheme="majorBidi"/>
          <w:sz w:val="24"/>
          <w:szCs w:val="24"/>
        </w:rPr>
        <w:t>with the theory that increased exposure to credit risk is normally associated with decreased ba</w:t>
      </w:r>
      <w:r w:rsidR="00FC522D">
        <w:rPr>
          <w:rFonts w:asciiTheme="majorBidi" w:hAnsiTheme="majorBidi" w:cstheme="majorBidi"/>
          <w:sz w:val="24"/>
          <w:szCs w:val="24"/>
        </w:rPr>
        <w:t>nk profitability (</w:t>
      </w:r>
      <w:r w:rsidR="00FC522D" w:rsidRPr="00FC522D">
        <w:rPr>
          <w:rFonts w:asciiTheme="majorBidi" w:hAnsiTheme="majorBidi" w:cstheme="majorBidi"/>
          <w:sz w:val="24"/>
          <w:szCs w:val="24"/>
        </w:rPr>
        <w:t>Jha and Hui</w:t>
      </w:r>
      <w:r w:rsidR="005E5295">
        <w:rPr>
          <w:rFonts w:asciiTheme="majorBidi" w:hAnsiTheme="majorBidi" w:cstheme="majorBidi"/>
          <w:sz w:val="24"/>
          <w:szCs w:val="24"/>
        </w:rPr>
        <w:t>, 2012);</w:t>
      </w:r>
      <w:r w:rsidR="007E1164" w:rsidRPr="007E1164">
        <w:rPr>
          <w:rFonts w:asciiTheme="majorBidi" w:hAnsiTheme="majorBidi" w:cstheme="majorBidi"/>
          <w:sz w:val="24"/>
          <w:szCs w:val="24"/>
        </w:rPr>
        <w:t xml:space="preserve"> </w:t>
      </w:r>
      <w:r w:rsidR="007E1164" w:rsidRPr="007E1164">
        <w:rPr>
          <w:rFonts w:asciiTheme="majorBidi" w:hAnsiTheme="majorBidi" w:cstheme="majorBidi"/>
          <w:sz w:val="24"/>
          <w:szCs w:val="24"/>
          <w:lang w:val="en-GB"/>
        </w:rPr>
        <w:t xml:space="preserve">Felix and Claudine </w:t>
      </w:r>
      <w:r w:rsidR="005E5295">
        <w:rPr>
          <w:rFonts w:asciiTheme="majorBidi" w:hAnsiTheme="majorBidi" w:cstheme="majorBidi"/>
          <w:sz w:val="24"/>
          <w:szCs w:val="24"/>
          <w:lang w:val="en-GB"/>
        </w:rPr>
        <w:t>(</w:t>
      </w:r>
      <w:r w:rsidR="007E1164" w:rsidRPr="007E1164">
        <w:rPr>
          <w:rFonts w:asciiTheme="majorBidi" w:hAnsiTheme="majorBidi" w:cstheme="majorBidi"/>
          <w:sz w:val="24"/>
          <w:szCs w:val="24"/>
          <w:lang w:val="en-GB"/>
        </w:rPr>
        <w:t>2008</w:t>
      </w:r>
      <w:r w:rsidR="005E5295">
        <w:rPr>
          <w:rFonts w:asciiTheme="majorBidi" w:hAnsiTheme="majorBidi" w:cstheme="majorBidi"/>
          <w:sz w:val="24"/>
          <w:szCs w:val="24"/>
          <w:lang w:val="en-GB"/>
        </w:rPr>
        <w:t>)</w:t>
      </w:r>
      <w:r w:rsidR="007E1164">
        <w:rPr>
          <w:rFonts w:asciiTheme="majorBidi" w:hAnsiTheme="majorBidi" w:cstheme="majorBidi"/>
          <w:sz w:val="24"/>
          <w:szCs w:val="24"/>
          <w:lang w:val="en-GB"/>
        </w:rPr>
        <w:t>.</w:t>
      </w:r>
      <w:r w:rsidR="007034FC" w:rsidRPr="007034FC">
        <w:rPr>
          <w:rFonts w:asciiTheme="majorBidi" w:hAnsiTheme="majorBidi" w:cstheme="majorBidi"/>
          <w:sz w:val="24"/>
          <w:szCs w:val="24"/>
        </w:rPr>
        <w:t>This means local banks need to improve their processes of screening credit customers and monitoring of credit risk</w:t>
      </w:r>
      <w:r w:rsidR="007034FC">
        <w:rPr>
          <w:rFonts w:asciiTheme="majorBidi" w:hAnsiTheme="majorBidi" w:cstheme="majorBidi"/>
          <w:sz w:val="24"/>
          <w:szCs w:val="24"/>
        </w:rPr>
        <w:t>.</w:t>
      </w:r>
    </w:p>
    <w:p w:rsidR="00FC522D" w:rsidRDefault="00FC522D" w:rsidP="00FC522D">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 xml:space="preserve">Therefore, the </w:t>
      </w:r>
      <w:r>
        <w:rPr>
          <w:rFonts w:asciiTheme="majorBidi" w:hAnsiTheme="majorBidi" w:cstheme="majorBidi"/>
          <w:sz w:val="24"/>
          <w:szCs w:val="24"/>
        </w:rPr>
        <w:t>null hypothesis will be rejected and accept the alternative one:</w:t>
      </w:r>
    </w:p>
    <w:p w:rsidR="00AC6FAE" w:rsidRPr="00AC6FAE" w:rsidRDefault="00FC522D" w:rsidP="00AC6FAE">
      <w:pPr>
        <w:pStyle w:val="Subtitle"/>
        <w:rPr>
          <w:rFonts w:ascii="Times New Roman" w:hAnsi="Times New Roman" w:cs="Times New Roman"/>
          <w:b/>
          <w:bCs/>
          <w:color w:val="auto"/>
        </w:rPr>
      </w:pPr>
      <w:r w:rsidRPr="00692EFC">
        <w:rPr>
          <w:rFonts w:ascii="Times New Roman" w:hAnsi="Times New Roman" w:cs="Times New Roman"/>
          <w:b/>
          <w:bCs/>
          <w:color w:val="000000" w:themeColor="text1"/>
        </w:rPr>
        <w:t>H 1</w:t>
      </w:r>
      <w:r w:rsidR="002C2BAD" w:rsidRPr="00692EFC">
        <w:rPr>
          <w:rFonts w:ascii="Times New Roman" w:hAnsi="Times New Roman" w:cs="Times New Roman"/>
          <w:b/>
          <w:bCs/>
          <w:color w:val="000000" w:themeColor="text1"/>
        </w:rPr>
        <w:t>:</w:t>
      </w:r>
      <w:r w:rsidR="002C2BAD" w:rsidRPr="00692EFC">
        <w:rPr>
          <w:rFonts w:ascii="Times New Roman" w:hAnsi="Times New Roman" w:cs="Times New Roman"/>
          <w:b/>
          <w:bCs/>
          <w:color w:val="auto"/>
        </w:rPr>
        <w:t xml:space="preserve"> There</w:t>
      </w:r>
      <w:r w:rsidRPr="00692EFC">
        <w:rPr>
          <w:rFonts w:ascii="Times New Roman" w:hAnsi="Times New Roman" w:cs="Times New Roman"/>
          <w:b/>
          <w:bCs/>
          <w:color w:val="auto"/>
        </w:rPr>
        <w:t xml:space="preserve"> is significant relationship between asset credit quality (good lending principles) and bank’s profitability.</w:t>
      </w:r>
    </w:p>
    <w:p w:rsidR="006C5F91" w:rsidRDefault="006C5F91" w:rsidP="00FC522D">
      <w:pPr>
        <w:autoSpaceDE w:val="0"/>
        <w:autoSpaceDN w:val="0"/>
        <w:adjustRightInd w:val="0"/>
        <w:spacing w:after="0" w:line="360" w:lineRule="auto"/>
        <w:jc w:val="both"/>
        <w:rPr>
          <w:rFonts w:asciiTheme="majorBidi" w:hAnsiTheme="majorBidi" w:cstheme="majorBidi"/>
          <w:b/>
          <w:bCs/>
          <w:sz w:val="24"/>
          <w:szCs w:val="24"/>
        </w:rPr>
      </w:pPr>
    </w:p>
    <w:p w:rsidR="006C5F91" w:rsidRDefault="006C5F91" w:rsidP="00FC522D">
      <w:pPr>
        <w:autoSpaceDE w:val="0"/>
        <w:autoSpaceDN w:val="0"/>
        <w:adjustRightInd w:val="0"/>
        <w:spacing w:after="0" w:line="360" w:lineRule="auto"/>
        <w:jc w:val="both"/>
        <w:rPr>
          <w:rFonts w:asciiTheme="majorBidi" w:hAnsiTheme="majorBidi" w:cstheme="majorBidi"/>
          <w:b/>
          <w:bCs/>
          <w:sz w:val="24"/>
          <w:szCs w:val="24"/>
        </w:rPr>
      </w:pPr>
    </w:p>
    <w:p w:rsidR="00FC522D" w:rsidRPr="00FC522D" w:rsidRDefault="00FC522D" w:rsidP="00FC522D">
      <w:pPr>
        <w:autoSpaceDE w:val="0"/>
        <w:autoSpaceDN w:val="0"/>
        <w:adjustRightInd w:val="0"/>
        <w:spacing w:after="0" w:line="360" w:lineRule="auto"/>
        <w:jc w:val="both"/>
        <w:rPr>
          <w:rFonts w:asciiTheme="majorBidi" w:hAnsiTheme="majorBidi" w:cstheme="majorBidi"/>
          <w:sz w:val="24"/>
          <w:szCs w:val="24"/>
        </w:rPr>
      </w:pPr>
      <w:r w:rsidRPr="00FC522D">
        <w:rPr>
          <w:rFonts w:asciiTheme="majorBidi" w:hAnsiTheme="majorBidi" w:cstheme="majorBidi"/>
          <w:b/>
          <w:bCs/>
          <w:sz w:val="24"/>
          <w:szCs w:val="24"/>
        </w:rPr>
        <w:lastRenderedPageBreak/>
        <w:t>4.3.1.5</w:t>
      </w:r>
      <w:r w:rsidR="005E5295">
        <w:rPr>
          <w:rFonts w:asciiTheme="majorBidi" w:hAnsiTheme="majorBidi" w:cstheme="majorBidi"/>
          <w:b/>
          <w:bCs/>
          <w:sz w:val="24"/>
          <w:szCs w:val="24"/>
        </w:rPr>
        <w:t xml:space="preserve"> The R</w:t>
      </w:r>
      <w:r w:rsidR="002302DA">
        <w:rPr>
          <w:rFonts w:asciiTheme="majorBidi" w:hAnsiTheme="majorBidi" w:cstheme="majorBidi"/>
          <w:b/>
          <w:bCs/>
          <w:sz w:val="24"/>
          <w:szCs w:val="24"/>
        </w:rPr>
        <w:t xml:space="preserve">elationship </w:t>
      </w:r>
      <w:r w:rsidR="002C2BAD">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Pr="001B6D4E">
        <w:rPr>
          <w:rFonts w:asciiTheme="majorBidi" w:hAnsiTheme="majorBidi" w:cstheme="majorBidi"/>
          <w:b/>
          <w:bCs/>
          <w:sz w:val="24"/>
          <w:szCs w:val="24"/>
        </w:rPr>
        <w:t>rofitability</w:t>
      </w:r>
      <w:r w:rsidR="002302DA">
        <w:rPr>
          <w:rFonts w:asciiTheme="majorBidi" w:hAnsiTheme="majorBidi" w:cstheme="majorBidi"/>
          <w:b/>
          <w:bCs/>
          <w:sz w:val="24"/>
          <w:szCs w:val="24"/>
        </w:rPr>
        <w:t xml:space="preserve"> (ROA) and Capital A</w:t>
      </w:r>
      <w:r>
        <w:rPr>
          <w:rFonts w:asciiTheme="majorBidi" w:hAnsiTheme="majorBidi" w:cstheme="majorBidi"/>
          <w:b/>
          <w:bCs/>
          <w:sz w:val="24"/>
          <w:szCs w:val="24"/>
        </w:rPr>
        <w:t>dequacy (EQTA)</w:t>
      </w:r>
    </w:p>
    <w:p w:rsidR="008606AB" w:rsidRDefault="00116D54" w:rsidP="001E1F07">
      <w:pPr>
        <w:autoSpaceDE w:val="0"/>
        <w:autoSpaceDN w:val="0"/>
        <w:adjustRightInd w:val="0"/>
        <w:spacing w:after="0" w:line="360" w:lineRule="auto"/>
        <w:jc w:val="both"/>
        <w:rPr>
          <w:rFonts w:asciiTheme="majorBidi" w:hAnsiTheme="majorBidi" w:cstheme="majorBidi"/>
          <w:sz w:val="24"/>
          <w:szCs w:val="24"/>
        </w:rPr>
      </w:pPr>
      <w:r w:rsidRPr="00414CAD">
        <w:rPr>
          <w:rFonts w:asciiTheme="majorBidi" w:hAnsiTheme="majorBidi" w:cstheme="majorBidi"/>
          <w:sz w:val="24"/>
          <w:szCs w:val="24"/>
        </w:rPr>
        <w:t>The</w:t>
      </w:r>
      <w:r w:rsidR="00816AB9">
        <w:rPr>
          <w:rFonts w:asciiTheme="majorBidi" w:hAnsiTheme="majorBidi" w:cstheme="majorBidi"/>
          <w:sz w:val="24"/>
          <w:szCs w:val="24"/>
        </w:rPr>
        <w:t xml:space="preserve"> results presented in table 4.22</w:t>
      </w:r>
      <w:r w:rsidR="005E5295">
        <w:rPr>
          <w:rFonts w:asciiTheme="majorBidi" w:hAnsiTheme="majorBidi" w:cstheme="majorBidi"/>
          <w:sz w:val="24"/>
          <w:szCs w:val="24"/>
        </w:rPr>
        <w:t xml:space="preserve"> indicate that the Capital Adequacy R</w:t>
      </w:r>
      <w:r w:rsidRPr="00414CAD">
        <w:rPr>
          <w:rFonts w:asciiTheme="majorBidi" w:hAnsiTheme="majorBidi" w:cstheme="majorBidi"/>
          <w:sz w:val="24"/>
          <w:szCs w:val="24"/>
        </w:rPr>
        <w:t>atio (EQT</w:t>
      </w:r>
      <w:r w:rsidR="005E5295">
        <w:rPr>
          <w:rFonts w:asciiTheme="majorBidi" w:hAnsiTheme="majorBidi" w:cstheme="majorBidi"/>
          <w:sz w:val="24"/>
          <w:szCs w:val="24"/>
        </w:rPr>
        <w:t xml:space="preserve">A) was </w:t>
      </w:r>
      <w:r w:rsidRPr="00414CAD">
        <w:rPr>
          <w:rFonts w:asciiTheme="majorBidi" w:hAnsiTheme="majorBidi" w:cstheme="majorBidi"/>
          <w:sz w:val="24"/>
          <w:szCs w:val="24"/>
        </w:rPr>
        <w:t>negatively related</w:t>
      </w:r>
      <w:r w:rsidR="002B369A">
        <w:rPr>
          <w:rFonts w:asciiTheme="majorBidi" w:hAnsiTheme="majorBidi" w:cstheme="majorBidi"/>
          <w:sz w:val="24"/>
          <w:szCs w:val="24"/>
        </w:rPr>
        <w:t xml:space="preserve"> to</w:t>
      </w:r>
      <w:r w:rsidR="006A184D">
        <w:rPr>
          <w:rFonts w:asciiTheme="majorBidi" w:hAnsiTheme="majorBidi" w:cstheme="majorBidi"/>
          <w:sz w:val="24"/>
          <w:szCs w:val="24"/>
        </w:rPr>
        <w:t xml:space="preserve"> (ROA</w:t>
      </w:r>
      <w:r w:rsidRPr="00414CAD">
        <w:rPr>
          <w:rFonts w:asciiTheme="majorBidi" w:hAnsiTheme="majorBidi" w:cstheme="majorBidi"/>
          <w:sz w:val="24"/>
          <w:szCs w:val="24"/>
        </w:rPr>
        <w:t>), the profitability meas</w:t>
      </w:r>
      <w:r w:rsidR="005E5295">
        <w:rPr>
          <w:rFonts w:asciiTheme="majorBidi" w:hAnsiTheme="majorBidi" w:cstheme="majorBidi"/>
          <w:sz w:val="24"/>
          <w:szCs w:val="24"/>
        </w:rPr>
        <w:t>ure. The β coefficient was</w:t>
      </w:r>
      <w:r w:rsidR="006A184D">
        <w:rPr>
          <w:rFonts w:asciiTheme="majorBidi" w:hAnsiTheme="majorBidi" w:cstheme="majorBidi"/>
          <w:sz w:val="24"/>
          <w:szCs w:val="24"/>
        </w:rPr>
        <w:t xml:space="preserve"> -0.022</w:t>
      </w:r>
      <w:r w:rsidR="002A74E4">
        <w:rPr>
          <w:rFonts w:asciiTheme="majorBidi" w:hAnsiTheme="majorBidi" w:cstheme="majorBidi"/>
          <w:sz w:val="24"/>
          <w:szCs w:val="24"/>
        </w:rPr>
        <w:t xml:space="preserve"> whic</w:t>
      </w:r>
      <w:r w:rsidR="005E5295">
        <w:rPr>
          <w:rFonts w:asciiTheme="majorBidi" w:hAnsiTheme="majorBidi" w:cstheme="majorBidi"/>
          <w:sz w:val="24"/>
          <w:szCs w:val="24"/>
        </w:rPr>
        <w:t xml:space="preserve">h indicates that the effect of Equity Capital on ROA was </w:t>
      </w:r>
      <w:r w:rsidR="002A74E4">
        <w:rPr>
          <w:rFonts w:asciiTheme="majorBidi" w:hAnsiTheme="majorBidi" w:cstheme="majorBidi"/>
          <w:sz w:val="24"/>
          <w:szCs w:val="24"/>
        </w:rPr>
        <w:t>weak</w:t>
      </w:r>
      <w:r w:rsidR="006A184D">
        <w:rPr>
          <w:rFonts w:asciiTheme="majorBidi" w:hAnsiTheme="majorBidi" w:cstheme="majorBidi"/>
          <w:sz w:val="24"/>
          <w:szCs w:val="24"/>
        </w:rPr>
        <w:t>.</w:t>
      </w:r>
      <w:r w:rsidRPr="00414CAD">
        <w:rPr>
          <w:rFonts w:asciiTheme="majorBidi" w:hAnsiTheme="majorBidi" w:cstheme="majorBidi"/>
          <w:sz w:val="24"/>
          <w:szCs w:val="24"/>
        </w:rPr>
        <w:t xml:space="preserve"> This indicates that one </w:t>
      </w:r>
    </w:p>
    <w:p w:rsidR="00372E7B" w:rsidRDefault="00116D54" w:rsidP="001E1F07">
      <w:pPr>
        <w:autoSpaceDE w:val="0"/>
        <w:autoSpaceDN w:val="0"/>
        <w:adjustRightInd w:val="0"/>
        <w:spacing w:after="0" w:line="360" w:lineRule="auto"/>
        <w:jc w:val="both"/>
        <w:rPr>
          <w:rFonts w:asciiTheme="majorBidi" w:hAnsiTheme="majorBidi" w:cstheme="majorBidi"/>
          <w:sz w:val="24"/>
          <w:szCs w:val="24"/>
        </w:rPr>
      </w:pPr>
      <w:r w:rsidRPr="00414CAD">
        <w:rPr>
          <w:rFonts w:asciiTheme="majorBidi" w:hAnsiTheme="majorBidi" w:cstheme="majorBidi"/>
          <w:sz w:val="24"/>
          <w:szCs w:val="24"/>
        </w:rPr>
        <w:t>unit increases in</w:t>
      </w:r>
      <w:r w:rsidR="005E5295">
        <w:rPr>
          <w:rFonts w:asciiTheme="majorBidi" w:hAnsiTheme="majorBidi" w:cstheme="majorBidi"/>
          <w:sz w:val="24"/>
          <w:szCs w:val="24"/>
        </w:rPr>
        <w:t xml:space="preserve"> E</w:t>
      </w:r>
      <w:r w:rsidR="00877424">
        <w:rPr>
          <w:rFonts w:asciiTheme="majorBidi" w:hAnsiTheme="majorBidi" w:cstheme="majorBidi"/>
          <w:sz w:val="24"/>
          <w:szCs w:val="24"/>
        </w:rPr>
        <w:t xml:space="preserve">quity </w:t>
      </w:r>
      <w:r w:rsidR="005E5295">
        <w:rPr>
          <w:rFonts w:asciiTheme="majorBidi" w:hAnsiTheme="majorBidi" w:cstheme="majorBidi"/>
          <w:sz w:val="24"/>
          <w:szCs w:val="24"/>
        </w:rPr>
        <w:t>Capital</w:t>
      </w:r>
      <w:r w:rsidRPr="00414CAD">
        <w:rPr>
          <w:rFonts w:asciiTheme="majorBidi" w:hAnsiTheme="majorBidi" w:cstheme="majorBidi"/>
          <w:sz w:val="24"/>
          <w:szCs w:val="24"/>
        </w:rPr>
        <w:t xml:space="preserve"> </w:t>
      </w:r>
      <w:r w:rsidR="005E5295">
        <w:rPr>
          <w:rFonts w:asciiTheme="majorBidi" w:hAnsiTheme="majorBidi" w:cstheme="majorBidi"/>
          <w:sz w:val="24"/>
          <w:szCs w:val="24"/>
        </w:rPr>
        <w:t>(</w:t>
      </w:r>
      <w:r w:rsidRPr="00414CAD">
        <w:rPr>
          <w:rFonts w:asciiTheme="majorBidi" w:hAnsiTheme="majorBidi" w:cstheme="majorBidi"/>
          <w:sz w:val="24"/>
          <w:szCs w:val="24"/>
        </w:rPr>
        <w:t>EQTA</w:t>
      </w:r>
      <w:r w:rsidR="005E5295">
        <w:rPr>
          <w:rFonts w:asciiTheme="majorBidi" w:hAnsiTheme="majorBidi" w:cstheme="majorBidi"/>
          <w:sz w:val="24"/>
          <w:szCs w:val="24"/>
        </w:rPr>
        <w:t>)</w:t>
      </w:r>
      <w:r w:rsidRPr="00414CAD">
        <w:rPr>
          <w:rFonts w:asciiTheme="majorBidi" w:hAnsiTheme="majorBidi" w:cstheme="majorBidi"/>
          <w:sz w:val="24"/>
          <w:szCs w:val="24"/>
        </w:rPr>
        <w:t xml:space="preserve"> will decrease</w:t>
      </w:r>
      <w:r w:rsidR="006A184D">
        <w:rPr>
          <w:rFonts w:asciiTheme="majorBidi" w:hAnsiTheme="majorBidi" w:cstheme="majorBidi"/>
          <w:sz w:val="24"/>
          <w:szCs w:val="24"/>
        </w:rPr>
        <w:t xml:space="preserve"> ROA by 2.2</w:t>
      </w:r>
      <w:r w:rsidRPr="00414CAD">
        <w:rPr>
          <w:rFonts w:asciiTheme="majorBidi" w:hAnsiTheme="majorBidi" w:cstheme="majorBidi"/>
          <w:sz w:val="24"/>
          <w:szCs w:val="24"/>
        </w:rPr>
        <w:t>% units, holding the rest of variables constant. The statistical si</w:t>
      </w:r>
      <w:r w:rsidR="005E5295">
        <w:rPr>
          <w:rFonts w:asciiTheme="majorBidi" w:hAnsiTheme="majorBidi" w:cstheme="majorBidi"/>
          <w:sz w:val="24"/>
          <w:szCs w:val="24"/>
        </w:rPr>
        <w:t>gnificance of EQTA was 0.025 which was</w:t>
      </w:r>
      <w:r w:rsidR="006A184D">
        <w:rPr>
          <w:rFonts w:asciiTheme="majorBidi" w:hAnsiTheme="majorBidi" w:cstheme="majorBidi"/>
          <w:sz w:val="24"/>
          <w:szCs w:val="24"/>
        </w:rPr>
        <w:t xml:space="preserve"> a sign of significance relationship</w:t>
      </w:r>
      <w:r w:rsidRPr="00414CAD">
        <w:rPr>
          <w:rFonts w:asciiTheme="majorBidi" w:hAnsiTheme="majorBidi" w:cstheme="majorBidi"/>
          <w:sz w:val="24"/>
          <w:szCs w:val="24"/>
        </w:rPr>
        <w:t xml:space="preserve">. It implies </w:t>
      </w:r>
      <w:r w:rsidR="006A184D">
        <w:rPr>
          <w:rFonts w:asciiTheme="majorBidi" w:hAnsiTheme="majorBidi" w:cstheme="majorBidi"/>
          <w:sz w:val="24"/>
          <w:szCs w:val="24"/>
        </w:rPr>
        <w:t>that EQTA predicts ROE with 97.5</w:t>
      </w:r>
      <w:r w:rsidRPr="00414CAD">
        <w:rPr>
          <w:rFonts w:asciiTheme="majorBidi" w:hAnsiTheme="majorBidi" w:cstheme="majorBidi"/>
          <w:sz w:val="24"/>
          <w:szCs w:val="24"/>
        </w:rPr>
        <w:t>% probability.</w:t>
      </w:r>
      <w:r w:rsidR="005E5295">
        <w:rPr>
          <w:rFonts w:asciiTheme="majorBidi" w:hAnsiTheme="majorBidi" w:cstheme="majorBidi"/>
          <w:sz w:val="24"/>
          <w:szCs w:val="24"/>
        </w:rPr>
        <w:t xml:space="preserve"> </w:t>
      </w:r>
      <w:r w:rsidR="00BB6D59" w:rsidRPr="00BB6D59">
        <w:rPr>
          <w:rFonts w:asciiTheme="majorBidi" w:hAnsiTheme="majorBidi" w:cstheme="majorBidi"/>
          <w:sz w:val="24"/>
          <w:szCs w:val="24"/>
        </w:rPr>
        <w:t>Based on this result, we can tell that Banks that use more debt are</w:t>
      </w:r>
      <w:r w:rsidR="005E5295">
        <w:rPr>
          <w:rFonts w:asciiTheme="majorBidi" w:hAnsiTheme="majorBidi" w:cstheme="majorBidi"/>
          <w:sz w:val="24"/>
          <w:szCs w:val="24"/>
        </w:rPr>
        <w:t xml:space="preserve"> </w:t>
      </w:r>
      <w:r w:rsidR="00BB6D59" w:rsidRPr="00BB6D59">
        <w:rPr>
          <w:rFonts w:asciiTheme="majorBidi" w:hAnsiTheme="majorBidi" w:cstheme="majorBidi"/>
          <w:sz w:val="24"/>
          <w:szCs w:val="24"/>
        </w:rPr>
        <w:t>better able to increase their profitability than banks that do not. This is because of the added discipline and</w:t>
      </w:r>
      <w:r w:rsidR="005E5295">
        <w:rPr>
          <w:rFonts w:asciiTheme="majorBidi" w:hAnsiTheme="majorBidi" w:cstheme="majorBidi"/>
          <w:sz w:val="24"/>
          <w:szCs w:val="24"/>
        </w:rPr>
        <w:t xml:space="preserve"> </w:t>
      </w:r>
      <w:r w:rsidR="00BB6D59" w:rsidRPr="00BB6D59">
        <w:rPr>
          <w:rFonts w:asciiTheme="majorBidi" w:hAnsiTheme="majorBidi" w:cstheme="majorBidi"/>
          <w:sz w:val="24"/>
          <w:szCs w:val="24"/>
        </w:rPr>
        <w:t>interest tax shield that high debt brings to the banking business.</w:t>
      </w:r>
    </w:p>
    <w:p w:rsidR="006A184D" w:rsidRPr="00BB6D59" w:rsidRDefault="006A184D" w:rsidP="001E1F07">
      <w:pPr>
        <w:autoSpaceDE w:val="0"/>
        <w:autoSpaceDN w:val="0"/>
        <w:adjustRightInd w:val="0"/>
        <w:spacing w:after="0" w:line="360" w:lineRule="auto"/>
        <w:jc w:val="both"/>
        <w:rPr>
          <w:rFonts w:asciiTheme="majorBidi" w:hAnsiTheme="majorBidi" w:cstheme="majorBidi"/>
          <w:sz w:val="24"/>
          <w:szCs w:val="24"/>
        </w:rPr>
      </w:pPr>
      <w:r w:rsidRPr="00BB6D59">
        <w:rPr>
          <w:rFonts w:asciiTheme="majorBidi" w:hAnsiTheme="majorBidi" w:cstheme="majorBidi"/>
          <w:sz w:val="24"/>
          <w:szCs w:val="24"/>
        </w:rPr>
        <w:t>However, it is clear that the negative relationship was due to the volume of negative reserves of banks</w:t>
      </w:r>
      <w:r w:rsidR="00877424" w:rsidRPr="00BB6D59">
        <w:rPr>
          <w:rFonts w:asciiTheme="majorBidi" w:hAnsiTheme="majorBidi" w:cstheme="majorBidi"/>
          <w:sz w:val="24"/>
          <w:szCs w:val="24"/>
        </w:rPr>
        <w:t xml:space="preserve"> which produce </w:t>
      </w:r>
      <w:r w:rsidRPr="00BB6D59">
        <w:rPr>
          <w:rFonts w:asciiTheme="majorBidi" w:hAnsiTheme="majorBidi" w:cstheme="majorBidi"/>
          <w:sz w:val="24"/>
          <w:szCs w:val="24"/>
        </w:rPr>
        <w:t>poor profitability results, furthermore, it depicts that the larger banks</w:t>
      </w:r>
      <w:r w:rsidR="007034FC" w:rsidRPr="00BB6D59">
        <w:rPr>
          <w:rFonts w:asciiTheme="majorBidi" w:hAnsiTheme="majorBidi" w:cstheme="majorBidi"/>
          <w:sz w:val="24"/>
          <w:szCs w:val="24"/>
        </w:rPr>
        <w:t xml:space="preserve"> such as Bank of Palestine</w:t>
      </w:r>
      <w:r w:rsidRPr="00BB6D59">
        <w:rPr>
          <w:rFonts w:asciiTheme="majorBidi" w:hAnsiTheme="majorBidi" w:cstheme="majorBidi"/>
          <w:sz w:val="24"/>
          <w:szCs w:val="24"/>
        </w:rPr>
        <w:t xml:space="preserve"> are better placed </w:t>
      </w:r>
      <w:r w:rsidR="00415602" w:rsidRPr="00BB6D59">
        <w:rPr>
          <w:rFonts w:asciiTheme="majorBidi" w:hAnsiTheme="majorBidi" w:cstheme="majorBidi"/>
          <w:sz w:val="24"/>
          <w:szCs w:val="24"/>
        </w:rPr>
        <w:t>than smaller banks in utilizing</w:t>
      </w:r>
      <w:r w:rsidRPr="00BB6D59">
        <w:rPr>
          <w:rFonts w:asciiTheme="majorBidi" w:hAnsiTheme="majorBidi" w:cstheme="majorBidi"/>
          <w:sz w:val="24"/>
          <w:szCs w:val="24"/>
        </w:rPr>
        <w:t xml:space="preserve"> economies </w:t>
      </w:r>
      <w:r w:rsidR="007D0C36" w:rsidRPr="00BB6D59">
        <w:rPr>
          <w:rFonts w:asciiTheme="majorBidi" w:hAnsiTheme="majorBidi" w:cstheme="majorBidi"/>
          <w:sz w:val="24"/>
          <w:szCs w:val="24"/>
        </w:rPr>
        <w:t>of scale in transactions</w:t>
      </w:r>
      <w:r w:rsidRPr="00BB6D59">
        <w:rPr>
          <w:rFonts w:asciiTheme="majorBidi" w:hAnsiTheme="majorBidi" w:cstheme="majorBidi"/>
          <w:sz w:val="24"/>
          <w:szCs w:val="24"/>
        </w:rPr>
        <w:t xml:space="preserve"> to enjoy a higher level of profits.</w:t>
      </w:r>
      <w:r w:rsidR="00415602" w:rsidRPr="00BB6D59">
        <w:rPr>
          <w:rFonts w:asciiTheme="majorBidi" w:hAnsiTheme="majorBidi" w:cstheme="majorBidi"/>
          <w:sz w:val="24"/>
          <w:szCs w:val="24"/>
        </w:rPr>
        <w:t xml:space="preserve"> This negative relationship</w:t>
      </w:r>
      <w:r w:rsidR="00B14580" w:rsidRPr="00BB6D59">
        <w:rPr>
          <w:rFonts w:asciiTheme="majorBidi" w:hAnsiTheme="majorBidi" w:cstheme="majorBidi"/>
          <w:sz w:val="24"/>
          <w:szCs w:val="24"/>
        </w:rPr>
        <w:t xml:space="preserve"> also</w:t>
      </w:r>
      <w:r w:rsidR="005E5295">
        <w:rPr>
          <w:rFonts w:asciiTheme="majorBidi" w:hAnsiTheme="majorBidi" w:cstheme="majorBidi"/>
          <w:sz w:val="24"/>
          <w:szCs w:val="24"/>
        </w:rPr>
        <w:t xml:space="preserve"> </w:t>
      </w:r>
      <w:r w:rsidR="001C5FD3" w:rsidRPr="00BB6D59">
        <w:rPr>
          <w:rFonts w:asciiTheme="majorBidi" w:hAnsiTheme="majorBidi" w:cstheme="majorBidi"/>
          <w:sz w:val="24"/>
          <w:szCs w:val="24"/>
        </w:rPr>
        <w:t xml:space="preserve">attributes to the weak capital base by most of commercial in the study sample, since </w:t>
      </w:r>
      <w:r w:rsidR="0093260F" w:rsidRPr="00BB6D59">
        <w:rPr>
          <w:rFonts w:asciiTheme="majorBidi" w:hAnsiTheme="majorBidi" w:cstheme="majorBidi"/>
          <w:sz w:val="24"/>
          <w:szCs w:val="24"/>
        </w:rPr>
        <w:t>many banks still away from minimum capital requirements by PMA. The result is consistent to previous findings of Bikker and Hu (2002) and Goddard et al. (2004).</w:t>
      </w:r>
    </w:p>
    <w:p w:rsidR="0093260F" w:rsidRPr="00BB6D59" w:rsidRDefault="0093260F" w:rsidP="00BB6D59">
      <w:pPr>
        <w:autoSpaceDE w:val="0"/>
        <w:autoSpaceDN w:val="0"/>
        <w:adjustRightInd w:val="0"/>
        <w:spacing w:after="0" w:line="360" w:lineRule="auto"/>
        <w:jc w:val="both"/>
        <w:rPr>
          <w:rFonts w:asciiTheme="majorBidi" w:hAnsiTheme="majorBidi" w:cstheme="majorBidi"/>
          <w:sz w:val="24"/>
          <w:szCs w:val="24"/>
        </w:rPr>
      </w:pPr>
      <w:r w:rsidRPr="00BB6D59">
        <w:rPr>
          <w:rFonts w:asciiTheme="majorBidi" w:hAnsiTheme="majorBidi" w:cstheme="majorBidi"/>
          <w:sz w:val="24"/>
          <w:szCs w:val="24"/>
        </w:rPr>
        <w:t>Therefore, the null hypothesis will be rejected and accept the alternative one:</w:t>
      </w:r>
    </w:p>
    <w:p w:rsidR="00AC6FAE" w:rsidRPr="00AC6FAE" w:rsidRDefault="0093260F" w:rsidP="00AC6FAE">
      <w:pPr>
        <w:pStyle w:val="Subtitle"/>
        <w:spacing w:after="0" w:line="360" w:lineRule="auto"/>
        <w:rPr>
          <w:rFonts w:ascii="Times New Roman" w:hAnsi="Times New Roman" w:cs="Times New Roman"/>
          <w:b/>
          <w:bCs/>
          <w:color w:val="auto"/>
        </w:rPr>
      </w:pPr>
      <w:r>
        <w:rPr>
          <w:rFonts w:ascii="Times New Roman" w:hAnsi="Times New Roman" w:cs="Times New Roman"/>
          <w:b/>
          <w:bCs/>
          <w:color w:val="000000" w:themeColor="text1"/>
        </w:rPr>
        <w:t>H 2</w:t>
      </w:r>
      <w:r w:rsidR="006952A8" w:rsidRPr="00692EFC">
        <w:rPr>
          <w:rFonts w:ascii="Times New Roman" w:hAnsi="Times New Roman" w:cs="Times New Roman"/>
          <w:b/>
          <w:bCs/>
          <w:color w:val="000000" w:themeColor="text1"/>
        </w:rPr>
        <w:t>:</w:t>
      </w:r>
      <w:r w:rsidR="006952A8" w:rsidRPr="00692EFC">
        <w:rPr>
          <w:rFonts w:ascii="Times New Roman" w:hAnsi="Times New Roman" w:cs="Times New Roman"/>
          <w:b/>
          <w:bCs/>
          <w:color w:val="auto"/>
        </w:rPr>
        <w:t xml:space="preserve"> There</w:t>
      </w:r>
      <w:r w:rsidRPr="00692EFC">
        <w:rPr>
          <w:rFonts w:ascii="Times New Roman" w:hAnsi="Times New Roman" w:cs="Times New Roman"/>
          <w:b/>
          <w:bCs/>
          <w:color w:val="auto"/>
        </w:rPr>
        <w:t xml:space="preserve"> is significant rel</w:t>
      </w:r>
      <w:r>
        <w:rPr>
          <w:rFonts w:ascii="Times New Roman" w:hAnsi="Times New Roman" w:cs="Times New Roman"/>
          <w:b/>
          <w:bCs/>
          <w:color w:val="auto"/>
        </w:rPr>
        <w:t>ationship between capital adequacy</w:t>
      </w:r>
      <w:r w:rsidR="008507C6">
        <w:rPr>
          <w:rFonts w:ascii="Times New Roman" w:hAnsi="Times New Roman" w:cs="Times New Roman"/>
          <w:b/>
          <w:bCs/>
          <w:color w:val="auto"/>
        </w:rPr>
        <w:t xml:space="preserve"> and bank’s profitability.</w:t>
      </w:r>
    </w:p>
    <w:p w:rsidR="0093260F" w:rsidRPr="0093260F" w:rsidRDefault="00891C85" w:rsidP="00AC6FAE">
      <w:pPr>
        <w:autoSpaceDE w:val="0"/>
        <w:autoSpaceDN w:val="0"/>
        <w:adjustRightInd w:val="0"/>
        <w:spacing w:after="0" w:line="480" w:lineRule="auto"/>
        <w:rPr>
          <w:rFonts w:asciiTheme="majorBidi" w:hAnsiTheme="majorBidi" w:cstheme="majorBidi"/>
          <w:sz w:val="24"/>
          <w:szCs w:val="24"/>
        </w:rPr>
      </w:pPr>
      <w:r w:rsidRPr="00FC522D">
        <w:rPr>
          <w:rFonts w:asciiTheme="majorBidi" w:hAnsiTheme="majorBidi" w:cstheme="majorBidi"/>
          <w:b/>
          <w:bCs/>
          <w:sz w:val="24"/>
          <w:szCs w:val="24"/>
        </w:rPr>
        <w:t>4.3.1.</w:t>
      </w:r>
      <w:r>
        <w:rPr>
          <w:rFonts w:asciiTheme="majorBidi" w:hAnsiTheme="majorBidi" w:cstheme="majorBidi"/>
          <w:b/>
          <w:bCs/>
          <w:sz w:val="24"/>
          <w:szCs w:val="24"/>
        </w:rPr>
        <w:t>6</w:t>
      </w:r>
      <w:r w:rsidR="00A1663B">
        <w:rPr>
          <w:rFonts w:asciiTheme="majorBidi" w:hAnsiTheme="majorBidi" w:cstheme="majorBidi"/>
          <w:b/>
          <w:bCs/>
          <w:sz w:val="24"/>
          <w:szCs w:val="24"/>
        </w:rPr>
        <w:t xml:space="preserve"> </w:t>
      </w:r>
      <w:r w:rsidR="002302DA">
        <w:rPr>
          <w:rFonts w:asciiTheme="majorBidi" w:hAnsiTheme="majorBidi" w:cstheme="majorBidi"/>
          <w:b/>
          <w:bCs/>
          <w:sz w:val="24"/>
          <w:szCs w:val="24"/>
        </w:rPr>
        <w:t xml:space="preserve">The Relationship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Pr="001B6D4E">
        <w:rPr>
          <w:rFonts w:asciiTheme="majorBidi" w:hAnsiTheme="majorBidi" w:cstheme="majorBidi"/>
          <w:b/>
          <w:bCs/>
          <w:sz w:val="24"/>
          <w:szCs w:val="24"/>
        </w:rPr>
        <w:t>rofitability</w:t>
      </w:r>
      <w:r>
        <w:rPr>
          <w:rFonts w:asciiTheme="majorBidi" w:hAnsiTheme="majorBidi" w:cstheme="majorBidi"/>
          <w:b/>
          <w:bCs/>
          <w:sz w:val="24"/>
          <w:szCs w:val="24"/>
        </w:rPr>
        <w:t xml:space="preserve"> (ROA</w:t>
      </w:r>
      <w:r w:rsidR="00AD7114">
        <w:rPr>
          <w:rFonts w:asciiTheme="majorBidi" w:hAnsiTheme="majorBidi" w:cstheme="majorBidi"/>
          <w:b/>
          <w:bCs/>
          <w:sz w:val="24"/>
          <w:szCs w:val="24"/>
        </w:rPr>
        <w:t>) and Loan L</w:t>
      </w:r>
      <w:r w:rsidR="002302DA">
        <w:rPr>
          <w:rFonts w:asciiTheme="majorBidi" w:hAnsiTheme="majorBidi" w:cstheme="majorBidi"/>
          <w:b/>
          <w:bCs/>
          <w:sz w:val="24"/>
          <w:szCs w:val="24"/>
        </w:rPr>
        <w:t>oss P</w:t>
      </w:r>
      <w:r>
        <w:rPr>
          <w:rFonts w:asciiTheme="majorBidi" w:hAnsiTheme="majorBidi" w:cstheme="majorBidi"/>
          <w:b/>
          <w:bCs/>
          <w:sz w:val="24"/>
          <w:szCs w:val="24"/>
        </w:rPr>
        <w:t>rovisions (LLPI)</w:t>
      </w:r>
    </w:p>
    <w:p w:rsidR="00A4001C" w:rsidRDefault="00A4001C" w:rsidP="00280124">
      <w:pPr>
        <w:autoSpaceDE w:val="0"/>
        <w:autoSpaceDN w:val="0"/>
        <w:adjustRightInd w:val="0"/>
        <w:spacing w:after="0" w:line="360" w:lineRule="auto"/>
        <w:jc w:val="both"/>
        <w:rPr>
          <w:rFonts w:ascii="TimesNewRoman" w:hAnsi="TimesNewRoman" w:cs="TimesNewRoman"/>
          <w:sz w:val="24"/>
          <w:szCs w:val="24"/>
        </w:rPr>
      </w:pPr>
      <w:r w:rsidRPr="009441B1">
        <w:rPr>
          <w:rFonts w:asciiTheme="majorBidi" w:hAnsiTheme="majorBidi" w:cstheme="majorBidi"/>
          <w:sz w:val="24"/>
          <w:szCs w:val="24"/>
        </w:rPr>
        <w:t>The results present</w:t>
      </w:r>
      <w:r w:rsidR="00816AB9">
        <w:rPr>
          <w:rFonts w:asciiTheme="majorBidi" w:hAnsiTheme="majorBidi" w:cstheme="majorBidi"/>
          <w:sz w:val="24"/>
          <w:szCs w:val="24"/>
        </w:rPr>
        <w:t>ed in table 4.22</w:t>
      </w:r>
      <w:r>
        <w:rPr>
          <w:rFonts w:asciiTheme="majorBidi" w:hAnsiTheme="majorBidi" w:cstheme="majorBidi"/>
          <w:sz w:val="24"/>
          <w:szCs w:val="24"/>
        </w:rPr>
        <w:t xml:space="preserve"> indicate</w:t>
      </w:r>
      <w:r w:rsidR="00AD7114">
        <w:rPr>
          <w:rFonts w:asciiTheme="majorBidi" w:hAnsiTheme="majorBidi" w:cstheme="majorBidi"/>
          <w:sz w:val="24"/>
          <w:szCs w:val="24"/>
        </w:rPr>
        <w:t>d that Loan Loss Provisions to Net Interest Income R</w:t>
      </w:r>
      <w:r>
        <w:rPr>
          <w:rFonts w:asciiTheme="majorBidi" w:hAnsiTheme="majorBidi" w:cstheme="majorBidi"/>
          <w:sz w:val="24"/>
          <w:szCs w:val="24"/>
        </w:rPr>
        <w:t xml:space="preserve">atio (LLPI) which is a proxy of credit monitoring </w:t>
      </w:r>
      <w:r w:rsidR="002C2BAD">
        <w:rPr>
          <w:rFonts w:asciiTheme="majorBidi" w:hAnsiTheme="majorBidi" w:cstheme="majorBidi"/>
          <w:sz w:val="24"/>
          <w:szCs w:val="24"/>
        </w:rPr>
        <w:t>process</w:t>
      </w:r>
      <w:r w:rsidRPr="009441B1">
        <w:rPr>
          <w:rFonts w:asciiTheme="majorBidi" w:hAnsiTheme="majorBidi" w:cstheme="majorBidi"/>
          <w:sz w:val="24"/>
          <w:szCs w:val="24"/>
        </w:rPr>
        <w:t xml:space="preserve"> is </w:t>
      </w:r>
      <w:r w:rsidR="002C2BAD" w:rsidRPr="009441B1">
        <w:rPr>
          <w:rFonts w:asciiTheme="majorBidi" w:hAnsiTheme="majorBidi" w:cstheme="majorBidi"/>
          <w:sz w:val="24"/>
          <w:szCs w:val="24"/>
        </w:rPr>
        <w:t>negativ</w:t>
      </w:r>
      <w:r w:rsidR="002C2BAD">
        <w:rPr>
          <w:rFonts w:asciiTheme="majorBidi" w:hAnsiTheme="majorBidi" w:cstheme="majorBidi"/>
          <w:sz w:val="24"/>
          <w:szCs w:val="24"/>
        </w:rPr>
        <w:t>ely related</w:t>
      </w:r>
      <w:r w:rsidR="002B369A">
        <w:rPr>
          <w:rFonts w:asciiTheme="majorBidi" w:hAnsiTheme="majorBidi" w:cstheme="majorBidi"/>
          <w:sz w:val="24"/>
          <w:szCs w:val="24"/>
        </w:rPr>
        <w:t xml:space="preserve"> to </w:t>
      </w:r>
      <w:r>
        <w:rPr>
          <w:rFonts w:asciiTheme="majorBidi" w:hAnsiTheme="majorBidi" w:cstheme="majorBidi"/>
          <w:sz w:val="24"/>
          <w:szCs w:val="24"/>
        </w:rPr>
        <w:t>(ROA</w:t>
      </w:r>
      <w:r w:rsidRPr="009441B1">
        <w:rPr>
          <w:rFonts w:asciiTheme="majorBidi" w:hAnsiTheme="majorBidi" w:cstheme="majorBidi"/>
          <w:sz w:val="24"/>
          <w:szCs w:val="24"/>
        </w:rPr>
        <w:t>), the profitability meas</w:t>
      </w:r>
      <w:r w:rsidR="00AD7114">
        <w:rPr>
          <w:rFonts w:asciiTheme="majorBidi" w:hAnsiTheme="majorBidi" w:cstheme="majorBidi"/>
          <w:sz w:val="24"/>
          <w:szCs w:val="24"/>
        </w:rPr>
        <w:t>ure. The β coefficient was</w:t>
      </w:r>
      <w:r>
        <w:rPr>
          <w:rFonts w:asciiTheme="majorBidi" w:hAnsiTheme="majorBidi" w:cstheme="majorBidi"/>
          <w:sz w:val="24"/>
          <w:szCs w:val="24"/>
        </w:rPr>
        <w:t xml:space="preserve"> -0.015 </w:t>
      </w:r>
      <w:r>
        <w:rPr>
          <w:rFonts w:ascii="TimesNewRoman" w:hAnsi="TimesNewRoman" w:cs="TimesNewRoman"/>
          <w:sz w:val="24"/>
          <w:szCs w:val="24"/>
        </w:rPr>
        <w:t>which means that one unit increase in LLPI decreases ROA by 1.5% units while the other variables are held constant. The statistical significance of LLPI on ROA is 0.023 which is less than 0.05 which is a significant relationship. This means that LLPI predicts effect on ROA</w:t>
      </w:r>
      <w:r w:rsidR="00151BFF">
        <w:rPr>
          <w:rFonts w:ascii="TimesNewRoman" w:hAnsi="TimesNewRoman" w:cs="TimesNewRoman"/>
          <w:sz w:val="24"/>
          <w:szCs w:val="24"/>
        </w:rPr>
        <w:t xml:space="preserve"> with 97.97</w:t>
      </w:r>
      <w:r>
        <w:rPr>
          <w:rFonts w:ascii="TimesNewRoman" w:hAnsi="TimesNewRoman" w:cs="TimesNewRoman"/>
          <w:sz w:val="24"/>
          <w:szCs w:val="24"/>
        </w:rPr>
        <w:t xml:space="preserve"> % probability.</w:t>
      </w:r>
      <w:r w:rsidR="00601E54">
        <w:rPr>
          <w:rFonts w:asciiTheme="majorBidi" w:hAnsiTheme="majorBidi" w:cstheme="majorBidi"/>
          <w:sz w:val="24"/>
          <w:szCs w:val="24"/>
        </w:rPr>
        <w:t xml:space="preserve"> </w:t>
      </w:r>
      <w:r w:rsidR="00547875" w:rsidRPr="0093260F">
        <w:rPr>
          <w:rFonts w:asciiTheme="majorBidi" w:hAnsiTheme="majorBidi" w:cstheme="majorBidi"/>
          <w:sz w:val="24"/>
          <w:szCs w:val="24"/>
        </w:rPr>
        <w:t>The result is consistent to previous findings of</w:t>
      </w:r>
      <w:r w:rsidR="00547875" w:rsidRPr="00547875">
        <w:rPr>
          <w:rFonts w:asciiTheme="majorBidi" w:hAnsiTheme="majorBidi" w:cstheme="majorBidi"/>
          <w:sz w:val="24"/>
          <w:szCs w:val="24"/>
        </w:rPr>
        <w:t>(Demirgiic-Kunt, 1999).</w:t>
      </w:r>
    </w:p>
    <w:p w:rsidR="00151BFF" w:rsidRPr="00B32B51" w:rsidRDefault="00151BFF" w:rsidP="001E1F07">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 xml:space="preserve">Therefore, the </w:t>
      </w:r>
      <w:r>
        <w:rPr>
          <w:rFonts w:asciiTheme="majorBidi" w:hAnsiTheme="majorBidi" w:cstheme="majorBidi"/>
          <w:sz w:val="24"/>
          <w:szCs w:val="24"/>
        </w:rPr>
        <w:t>null hypothesis will be rejected and the alternative one will be accepted:</w:t>
      </w:r>
    </w:p>
    <w:p w:rsidR="006D204B" w:rsidRPr="00853896" w:rsidRDefault="00151BFF" w:rsidP="00853896">
      <w:pPr>
        <w:pStyle w:val="Subtitle"/>
        <w:rPr>
          <w:rFonts w:ascii="Times New Roman" w:hAnsi="Times New Roman" w:cs="Times New Roman"/>
          <w:b/>
          <w:bCs/>
          <w:color w:val="auto"/>
        </w:rPr>
      </w:pPr>
      <w:r>
        <w:rPr>
          <w:rFonts w:ascii="Times New Roman" w:hAnsi="Times New Roman" w:cs="Times New Roman"/>
          <w:b/>
          <w:bCs/>
          <w:color w:val="auto"/>
        </w:rPr>
        <w:t>H</w:t>
      </w:r>
      <w:r w:rsidRPr="00D27963">
        <w:rPr>
          <w:rFonts w:ascii="Times New Roman" w:hAnsi="Times New Roman" w:cs="Times New Roman"/>
          <w:b/>
          <w:bCs/>
          <w:color w:val="auto"/>
        </w:rPr>
        <w:t xml:space="preserve"> 3: There is significant relationship between credit monitoring and bank’s profitability.</w:t>
      </w:r>
    </w:p>
    <w:p w:rsidR="00B14580" w:rsidRDefault="002302DA" w:rsidP="00B14580">
      <w:pPr>
        <w:pStyle w:val="NoSpacing"/>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4.3.1.7 The Relationship </w:t>
      </w:r>
      <w:r w:rsidR="002C2BAD">
        <w:rPr>
          <w:rFonts w:asciiTheme="majorBidi" w:hAnsiTheme="majorBidi" w:cstheme="majorBidi"/>
          <w:b/>
          <w:bCs/>
          <w:sz w:val="24"/>
          <w:szCs w:val="24"/>
        </w:rPr>
        <w:t>between</w:t>
      </w:r>
      <w:r>
        <w:rPr>
          <w:rFonts w:asciiTheme="majorBidi" w:hAnsiTheme="majorBidi" w:cstheme="majorBidi"/>
          <w:b/>
          <w:bCs/>
          <w:sz w:val="24"/>
          <w:szCs w:val="24"/>
        </w:rPr>
        <w:t xml:space="preserve"> Profitability (ROA) and Income D</w:t>
      </w:r>
      <w:r w:rsidR="007C3D69" w:rsidRPr="00B14580">
        <w:rPr>
          <w:rFonts w:asciiTheme="majorBidi" w:hAnsiTheme="majorBidi" w:cstheme="majorBidi"/>
          <w:b/>
          <w:bCs/>
          <w:sz w:val="24"/>
          <w:szCs w:val="24"/>
        </w:rPr>
        <w:t>iversification (NIDR)</w:t>
      </w:r>
    </w:p>
    <w:p w:rsidR="002A74E4" w:rsidRDefault="00B14580" w:rsidP="00B14580">
      <w:pPr>
        <w:autoSpaceDE w:val="0"/>
        <w:autoSpaceDN w:val="0"/>
        <w:adjustRightInd w:val="0"/>
        <w:spacing w:after="0" w:line="360" w:lineRule="auto"/>
        <w:jc w:val="both"/>
        <w:rPr>
          <w:rFonts w:asciiTheme="majorBidi" w:hAnsiTheme="majorBidi" w:cstheme="majorBidi"/>
          <w:sz w:val="24"/>
          <w:szCs w:val="24"/>
        </w:rPr>
      </w:pPr>
      <w:r w:rsidRPr="00414CAD">
        <w:rPr>
          <w:rFonts w:asciiTheme="majorBidi" w:hAnsiTheme="majorBidi" w:cstheme="majorBidi"/>
          <w:sz w:val="24"/>
          <w:szCs w:val="24"/>
        </w:rPr>
        <w:t>The</w:t>
      </w:r>
      <w:r w:rsidR="00816AB9">
        <w:rPr>
          <w:rFonts w:asciiTheme="majorBidi" w:hAnsiTheme="majorBidi" w:cstheme="majorBidi"/>
          <w:sz w:val="24"/>
          <w:szCs w:val="24"/>
        </w:rPr>
        <w:t xml:space="preserve"> results presented in table 4.22</w:t>
      </w:r>
      <w:r w:rsidRPr="00414CAD">
        <w:rPr>
          <w:rFonts w:asciiTheme="majorBidi" w:hAnsiTheme="majorBidi" w:cstheme="majorBidi"/>
          <w:sz w:val="24"/>
          <w:szCs w:val="24"/>
        </w:rPr>
        <w:t xml:space="preserve"> in</w:t>
      </w:r>
      <w:r>
        <w:rPr>
          <w:rFonts w:asciiTheme="majorBidi" w:hAnsiTheme="majorBidi" w:cstheme="majorBidi"/>
          <w:sz w:val="24"/>
          <w:szCs w:val="24"/>
        </w:rPr>
        <w:t>dicate</w:t>
      </w:r>
      <w:r w:rsidR="00AD7114">
        <w:rPr>
          <w:rFonts w:asciiTheme="majorBidi" w:hAnsiTheme="majorBidi" w:cstheme="majorBidi"/>
          <w:sz w:val="24"/>
          <w:szCs w:val="24"/>
        </w:rPr>
        <w:t>d that the Income Diversification R</w:t>
      </w:r>
      <w:r>
        <w:rPr>
          <w:rFonts w:asciiTheme="majorBidi" w:hAnsiTheme="majorBidi" w:cstheme="majorBidi"/>
          <w:sz w:val="24"/>
          <w:szCs w:val="24"/>
        </w:rPr>
        <w:t>atio (NID</w:t>
      </w:r>
      <w:r w:rsidR="00AD7114">
        <w:rPr>
          <w:rFonts w:asciiTheme="majorBidi" w:hAnsiTheme="majorBidi" w:cstheme="majorBidi"/>
          <w:sz w:val="24"/>
          <w:szCs w:val="24"/>
        </w:rPr>
        <w:t>R) was</w:t>
      </w:r>
      <w:r>
        <w:rPr>
          <w:rFonts w:asciiTheme="majorBidi" w:hAnsiTheme="majorBidi" w:cstheme="majorBidi"/>
          <w:sz w:val="24"/>
          <w:szCs w:val="24"/>
        </w:rPr>
        <w:t xml:space="preserve"> positively</w:t>
      </w:r>
      <w:r w:rsidRPr="00414CAD">
        <w:rPr>
          <w:rFonts w:asciiTheme="majorBidi" w:hAnsiTheme="majorBidi" w:cstheme="majorBidi"/>
          <w:sz w:val="24"/>
          <w:szCs w:val="24"/>
        </w:rPr>
        <w:t xml:space="preserve"> related</w:t>
      </w:r>
      <w:r w:rsidR="002B369A">
        <w:rPr>
          <w:rFonts w:asciiTheme="majorBidi" w:hAnsiTheme="majorBidi" w:cstheme="majorBidi"/>
          <w:sz w:val="24"/>
          <w:szCs w:val="24"/>
        </w:rPr>
        <w:t xml:space="preserve"> to</w:t>
      </w:r>
      <w:r>
        <w:rPr>
          <w:rFonts w:asciiTheme="majorBidi" w:hAnsiTheme="majorBidi" w:cstheme="majorBidi"/>
          <w:sz w:val="24"/>
          <w:szCs w:val="24"/>
        </w:rPr>
        <w:t xml:space="preserve"> (ROA</w:t>
      </w:r>
      <w:r w:rsidRPr="00414CAD">
        <w:rPr>
          <w:rFonts w:asciiTheme="majorBidi" w:hAnsiTheme="majorBidi" w:cstheme="majorBidi"/>
          <w:sz w:val="24"/>
          <w:szCs w:val="24"/>
        </w:rPr>
        <w:t>), the profitability meas</w:t>
      </w:r>
      <w:r w:rsidR="00AD7114">
        <w:rPr>
          <w:rFonts w:asciiTheme="majorBidi" w:hAnsiTheme="majorBidi" w:cstheme="majorBidi"/>
          <w:sz w:val="24"/>
          <w:szCs w:val="24"/>
        </w:rPr>
        <w:t>ure. The β coefficient was</w:t>
      </w:r>
      <w:r>
        <w:rPr>
          <w:rFonts w:asciiTheme="majorBidi" w:hAnsiTheme="majorBidi" w:cstheme="majorBidi"/>
          <w:sz w:val="24"/>
          <w:szCs w:val="24"/>
        </w:rPr>
        <w:t xml:space="preserve"> .010</w:t>
      </w:r>
      <w:r w:rsidRPr="00414CAD">
        <w:rPr>
          <w:rFonts w:asciiTheme="majorBidi" w:hAnsiTheme="majorBidi" w:cstheme="majorBidi"/>
          <w:sz w:val="24"/>
          <w:szCs w:val="24"/>
        </w:rPr>
        <w:t xml:space="preserve"> which </w:t>
      </w:r>
      <w:r w:rsidR="002A74E4">
        <w:rPr>
          <w:rFonts w:asciiTheme="majorBidi" w:hAnsiTheme="majorBidi" w:cstheme="majorBidi"/>
          <w:sz w:val="24"/>
          <w:szCs w:val="24"/>
        </w:rPr>
        <w:t>means that one unit increase in noninterest income increases profitability by 1% units</w:t>
      </w:r>
      <w:r w:rsidR="000B7094">
        <w:rPr>
          <w:rFonts w:asciiTheme="majorBidi" w:hAnsiTheme="majorBidi" w:cstheme="majorBidi"/>
          <w:sz w:val="24"/>
          <w:szCs w:val="24"/>
        </w:rPr>
        <w:t xml:space="preserve"> </w:t>
      </w:r>
      <w:r w:rsidR="002A74E4">
        <w:rPr>
          <w:rFonts w:ascii="TimesNewRoman" w:hAnsi="TimesNewRoman" w:cs="TimesNewRoman"/>
          <w:sz w:val="24"/>
          <w:szCs w:val="24"/>
        </w:rPr>
        <w:t>while the other variables are held constant,</w:t>
      </w:r>
      <w:r w:rsidR="002A74E4">
        <w:rPr>
          <w:rFonts w:asciiTheme="majorBidi" w:hAnsiTheme="majorBidi" w:cstheme="majorBidi"/>
          <w:sz w:val="24"/>
          <w:szCs w:val="24"/>
        </w:rPr>
        <w:t xml:space="preserve"> which indicates a weak effect of NIDR on ROA. </w:t>
      </w:r>
    </w:p>
    <w:p w:rsidR="00FF03E6" w:rsidRPr="00682CD9" w:rsidRDefault="002A74E4" w:rsidP="00682CD9">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The statistical significance of NIDR on ROA is 0.28</w:t>
      </w:r>
      <w:r w:rsidR="00A31214">
        <w:rPr>
          <w:rFonts w:ascii="TimesNewRoman" w:hAnsi="TimesNewRoman" w:cs="TimesNewRoman"/>
          <w:sz w:val="24"/>
          <w:szCs w:val="24"/>
        </w:rPr>
        <w:t>1</w:t>
      </w:r>
      <w:r>
        <w:rPr>
          <w:rFonts w:ascii="TimesNewRoman" w:hAnsi="TimesNewRoman" w:cs="TimesNewRoman"/>
          <w:sz w:val="24"/>
          <w:szCs w:val="24"/>
        </w:rPr>
        <w:t xml:space="preserve"> which is more than 0.05 which is insignificant relationship. This means that NIDR predicts effect on ROA with 71.</w:t>
      </w:r>
      <w:r w:rsidR="00A31214">
        <w:rPr>
          <w:rFonts w:ascii="TimesNewRoman" w:hAnsi="TimesNewRoman" w:cs="TimesNewRoman"/>
          <w:sz w:val="24"/>
          <w:szCs w:val="24"/>
        </w:rPr>
        <w:t>9</w:t>
      </w:r>
      <w:r>
        <w:rPr>
          <w:rFonts w:ascii="TimesNewRoman" w:hAnsi="TimesNewRoman" w:cs="TimesNewRoman"/>
          <w:sz w:val="24"/>
          <w:szCs w:val="24"/>
        </w:rPr>
        <w:t xml:space="preserve"> % probability.</w:t>
      </w:r>
      <w:r w:rsidR="00280124">
        <w:rPr>
          <w:rFonts w:asciiTheme="majorBidi" w:hAnsiTheme="majorBidi" w:cstheme="majorBidi"/>
          <w:sz w:val="24"/>
          <w:szCs w:val="24"/>
        </w:rPr>
        <w:t xml:space="preserve"> </w:t>
      </w:r>
      <w:r w:rsidRPr="002A74E4">
        <w:rPr>
          <w:rFonts w:asciiTheme="majorBidi" w:hAnsiTheme="majorBidi" w:cstheme="majorBidi"/>
          <w:sz w:val="24"/>
          <w:szCs w:val="24"/>
        </w:rPr>
        <w:t xml:space="preserve">The positive insignificant relationship, indicating that the more banks </w:t>
      </w:r>
      <w:r>
        <w:rPr>
          <w:rFonts w:asciiTheme="majorBidi" w:hAnsiTheme="majorBidi" w:cstheme="majorBidi"/>
          <w:sz w:val="24"/>
          <w:szCs w:val="24"/>
        </w:rPr>
        <w:t xml:space="preserve">generate their income </w:t>
      </w:r>
      <w:r w:rsidRPr="002A74E4">
        <w:rPr>
          <w:rFonts w:asciiTheme="majorBidi" w:hAnsiTheme="majorBidi" w:cstheme="majorBidi"/>
          <w:sz w:val="24"/>
          <w:szCs w:val="24"/>
        </w:rPr>
        <w:t xml:space="preserve">from different activities, </w:t>
      </w:r>
      <w:r w:rsidR="0066728E">
        <w:rPr>
          <w:rFonts w:asciiTheme="majorBidi" w:hAnsiTheme="majorBidi" w:cstheme="majorBidi"/>
          <w:sz w:val="24"/>
          <w:szCs w:val="24"/>
        </w:rPr>
        <w:t>the more profitable they become. This positive relationship is supported by the results s</w:t>
      </w:r>
      <w:r w:rsidR="008C7455">
        <w:rPr>
          <w:rFonts w:asciiTheme="majorBidi" w:hAnsiTheme="majorBidi" w:cstheme="majorBidi"/>
          <w:sz w:val="24"/>
          <w:szCs w:val="24"/>
        </w:rPr>
        <w:t>hown in the previous part, when</w:t>
      </w:r>
      <w:r w:rsidR="0066728E">
        <w:rPr>
          <w:rFonts w:asciiTheme="majorBidi" w:hAnsiTheme="majorBidi" w:cstheme="majorBidi"/>
          <w:sz w:val="24"/>
          <w:szCs w:val="24"/>
        </w:rPr>
        <w:t xml:space="preserve"> ROA and ROE re</w:t>
      </w:r>
      <w:r w:rsidR="008C7455">
        <w:rPr>
          <w:rFonts w:asciiTheme="majorBidi" w:hAnsiTheme="majorBidi" w:cstheme="majorBidi"/>
          <w:sz w:val="24"/>
          <w:szCs w:val="24"/>
        </w:rPr>
        <w:t>ached the peak in year 2009;</w:t>
      </w:r>
      <w:r w:rsidR="0066728E">
        <w:rPr>
          <w:rFonts w:asciiTheme="majorBidi" w:hAnsiTheme="majorBidi" w:cstheme="majorBidi"/>
          <w:sz w:val="24"/>
          <w:szCs w:val="24"/>
        </w:rPr>
        <w:t xml:space="preserve"> NIDR reached the peak (40%) in the same year.</w:t>
      </w:r>
      <w:r w:rsidR="00FF03E6">
        <w:rPr>
          <w:rFonts w:asciiTheme="majorBidi" w:hAnsiTheme="majorBidi" w:cstheme="majorBidi"/>
          <w:sz w:val="24"/>
          <w:szCs w:val="24"/>
        </w:rPr>
        <w:t xml:space="preserve"> While fee based services represent about the third (32%) of the total income generated</w:t>
      </w:r>
      <w:r w:rsidR="008C7455">
        <w:rPr>
          <w:rFonts w:asciiTheme="majorBidi" w:hAnsiTheme="majorBidi" w:cstheme="majorBidi"/>
          <w:sz w:val="24"/>
          <w:szCs w:val="24"/>
        </w:rPr>
        <w:t xml:space="preserve"> by banks of study sample,</w:t>
      </w:r>
      <w:r w:rsidR="00FF03E6">
        <w:rPr>
          <w:rFonts w:asciiTheme="majorBidi" w:hAnsiTheme="majorBidi" w:cstheme="majorBidi"/>
          <w:sz w:val="24"/>
          <w:szCs w:val="24"/>
        </w:rPr>
        <w:t xml:space="preserve"> still Palestinian banks depend largely on interest income in generating their income, since the major revenue generated by commercial banks comes from lending activities. </w:t>
      </w:r>
      <w:r w:rsidR="00FF03E6" w:rsidRPr="0093260F">
        <w:rPr>
          <w:rFonts w:asciiTheme="majorBidi" w:hAnsiTheme="majorBidi" w:cstheme="majorBidi"/>
          <w:sz w:val="24"/>
          <w:szCs w:val="24"/>
        </w:rPr>
        <w:t>The result is consistent to previous findings of</w:t>
      </w:r>
      <w:r w:rsidR="008C7455">
        <w:rPr>
          <w:rFonts w:asciiTheme="majorBidi" w:hAnsiTheme="majorBidi" w:cstheme="majorBidi"/>
          <w:sz w:val="24"/>
          <w:szCs w:val="24"/>
        </w:rPr>
        <w:t xml:space="preserve"> Yang and Wu</w:t>
      </w:r>
      <w:r w:rsidR="009B57A4">
        <w:rPr>
          <w:rFonts w:asciiTheme="majorBidi" w:hAnsiTheme="majorBidi" w:cstheme="majorBidi"/>
          <w:sz w:val="24"/>
          <w:szCs w:val="24"/>
        </w:rPr>
        <w:t xml:space="preserve">, 2011and </w:t>
      </w:r>
      <w:r w:rsidR="009B57A4" w:rsidRPr="009B57A4">
        <w:rPr>
          <w:rFonts w:asciiTheme="majorBidi" w:hAnsiTheme="majorBidi" w:cstheme="majorBidi"/>
          <w:sz w:val="24"/>
          <w:szCs w:val="24"/>
        </w:rPr>
        <w:t>Hackethal and Holzhauser (2010</w:t>
      </w:r>
      <w:r w:rsidR="009B57A4" w:rsidRPr="004D7951">
        <w:rPr>
          <w:rFonts w:asciiTheme="majorBidi" w:hAnsiTheme="majorBidi" w:cstheme="majorBidi"/>
          <w:sz w:val="24"/>
          <w:szCs w:val="24"/>
        </w:rPr>
        <w:t xml:space="preserve">). </w:t>
      </w:r>
      <w:r w:rsidR="004D7951" w:rsidRPr="004D7951">
        <w:rPr>
          <w:rFonts w:asciiTheme="majorBidi" w:hAnsiTheme="majorBidi" w:cstheme="majorBidi"/>
          <w:sz w:val="24"/>
          <w:szCs w:val="24"/>
        </w:rPr>
        <w:t>This means banks that diversify their source of re</w:t>
      </w:r>
      <w:r w:rsidR="00682CD9">
        <w:rPr>
          <w:rFonts w:asciiTheme="majorBidi" w:hAnsiTheme="majorBidi" w:cstheme="majorBidi"/>
          <w:sz w:val="24"/>
          <w:szCs w:val="24"/>
        </w:rPr>
        <w:t>venue between, interest income, non-interest income and others,</w:t>
      </w:r>
      <w:r w:rsidR="004D7951" w:rsidRPr="004D7951">
        <w:rPr>
          <w:rFonts w:asciiTheme="majorBidi" w:hAnsiTheme="majorBidi" w:cstheme="majorBidi"/>
          <w:sz w:val="24"/>
          <w:szCs w:val="24"/>
        </w:rPr>
        <w:t xml:space="preserve"> are profitable than those that largely depend on a single source of income.</w:t>
      </w:r>
    </w:p>
    <w:p w:rsidR="00FF03E6" w:rsidRDefault="00FF03E6" w:rsidP="00B14580">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 xml:space="preserve">Therefore, the </w:t>
      </w:r>
      <w:r>
        <w:rPr>
          <w:rFonts w:asciiTheme="majorBidi" w:hAnsiTheme="majorBidi" w:cstheme="majorBidi"/>
          <w:sz w:val="24"/>
          <w:szCs w:val="24"/>
        </w:rPr>
        <w:t>null hypothesis will be accepted:</w:t>
      </w:r>
    </w:p>
    <w:p w:rsidR="00004192" w:rsidRPr="00853896" w:rsidRDefault="00A31214" w:rsidP="00853896">
      <w:pPr>
        <w:pStyle w:val="Subtitle"/>
        <w:spacing w:after="0" w:line="360" w:lineRule="auto"/>
        <w:rPr>
          <w:rFonts w:asciiTheme="majorBidi" w:hAnsiTheme="majorBidi"/>
          <w:b/>
          <w:bCs/>
          <w:color w:val="auto"/>
        </w:rPr>
      </w:pPr>
      <w:r w:rsidRPr="00B53A16">
        <w:rPr>
          <w:rFonts w:asciiTheme="majorBidi" w:hAnsiTheme="majorBidi"/>
          <w:b/>
          <w:bCs/>
          <w:color w:val="auto"/>
        </w:rPr>
        <w:t>H0 4: There is no significant relationship between product diversification and bank’s profitability.</w:t>
      </w:r>
    </w:p>
    <w:p w:rsidR="002A74E4" w:rsidRPr="002A74E4" w:rsidRDefault="00A31214" w:rsidP="00280124">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sz w:val="24"/>
          <w:szCs w:val="24"/>
        </w:rPr>
        <w:t>4.3.1.8</w:t>
      </w:r>
      <w:r w:rsidR="00340377">
        <w:rPr>
          <w:rFonts w:asciiTheme="majorBidi" w:hAnsiTheme="majorBidi" w:cstheme="majorBidi"/>
          <w:b/>
          <w:bCs/>
          <w:sz w:val="24"/>
          <w:szCs w:val="24"/>
        </w:rPr>
        <w:t xml:space="preserve"> The </w:t>
      </w:r>
      <w:r w:rsidR="002302DA">
        <w:rPr>
          <w:rFonts w:asciiTheme="majorBidi" w:hAnsiTheme="majorBidi" w:cstheme="majorBidi"/>
          <w:b/>
          <w:bCs/>
          <w:sz w:val="24"/>
          <w:szCs w:val="24"/>
        </w:rPr>
        <w:t xml:space="preserve">Relationship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Pr="00B14580">
        <w:rPr>
          <w:rFonts w:asciiTheme="majorBidi" w:hAnsiTheme="majorBidi" w:cstheme="majorBidi"/>
          <w:b/>
          <w:bCs/>
          <w:sz w:val="24"/>
          <w:szCs w:val="24"/>
        </w:rPr>
        <w:t>rofitability (ROA) and</w:t>
      </w:r>
      <w:r w:rsidR="00F6034A">
        <w:rPr>
          <w:rFonts w:asciiTheme="majorBidi" w:hAnsiTheme="majorBidi" w:cstheme="majorBidi"/>
          <w:b/>
          <w:bCs/>
          <w:sz w:val="24"/>
          <w:szCs w:val="24"/>
        </w:rPr>
        <w:t xml:space="preserve"> Operational Cost</w:t>
      </w:r>
      <w:r w:rsidR="00364300">
        <w:rPr>
          <w:rFonts w:asciiTheme="majorBidi" w:hAnsiTheme="majorBidi" w:cstheme="majorBidi"/>
          <w:b/>
          <w:bCs/>
          <w:sz w:val="24"/>
          <w:szCs w:val="24"/>
        </w:rPr>
        <w:t xml:space="preserve"> Efficiency</w:t>
      </w:r>
      <w:r>
        <w:rPr>
          <w:rFonts w:asciiTheme="majorBidi" w:hAnsiTheme="majorBidi" w:cstheme="majorBidi"/>
          <w:b/>
          <w:bCs/>
          <w:sz w:val="24"/>
          <w:szCs w:val="24"/>
        </w:rPr>
        <w:t xml:space="preserve"> (OPNI)</w:t>
      </w:r>
    </w:p>
    <w:p w:rsidR="00226507" w:rsidRPr="00E94A87" w:rsidRDefault="00A31214" w:rsidP="00226507">
      <w:pPr>
        <w:autoSpaceDE w:val="0"/>
        <w:autoSpaceDN w:val="0"/>
        <w:adjustRightInd w:val="0"/>
        <w:spacing w:after="0" w:line="360" w:lineRule="auto"/>
        <w:jc w:val="both"/>
        <w:rPr>
          <w:rFonts w:asciiTheme="majorBidi" w:hAnsiTheme="majorBidi" w:cstheme="majorBidi"/>
          <w:sz w:val="24"/>
          <w:szCs w:val="24"/>
        </w:rPr>
      </w:pPr>
      <w:r w:rsidRPr="00414CAD">
        <w:rPr>
          <w:rFonts w:asciiTheme="majorBidi" w:hAnsiTheme="majorBidi" w:cstheme="majorBidi"/>
          <w:sz w:val="24"/>
          <w:szCs w:val="24"/>
        </w:rPr>
        <w:t>The</w:t>
      </w:r>
      <w:r w:rsidR="00F6034A">
        <w:rPr>
          <w:rFonts w:asciiTheme="majorBidi" w:hAnsiTheme="majorBidi" w:cstheme="majorBidi"/>
          <w:sz w:val="24"/>
          <w:szCs w:val="24"/>
        </w:rPr>
        <w:t xml:space="preserve"> results presented in T</w:t>
      </w:r>
      <w:r w:rsidR="00816AB9">
        <w:rPr>
          <w:rFonts w:asciiTheme="majorBidi" w:hAnsiTheme="majorBidi" w:cstheme="majorBidi"/>
          <w:sz w:val="24"/>
          <w:szCs w:val="24"/>
        </w:rPr>
        <w:t>able 4.22</w:t>
      </w:r>
      <w:r w:rsidRPr="00414CAD">
        <w:rPr>
          <w:rFonts w:asciiTheme="majorBidi" w:hAnsiTheme="majorBidi" w:cstheme="majorBidi"/>
          <w:sz w:val="24"/>
          <w:szCs w:val="24"/>
        </w:rPr>
        <w:t xml:space="preserve"> in</w:t>
      </w:r>
      <w:r>
        <w:rPr>
          <w:rFonts w:asciiTheme="majorBidi" w:hAnsiTheme="majorBidi" w:cstheme="majorBidi"/>
          <w:sz w:val="24"/>
          <w:szCs w:val="24"/>
        </w:rPr>
        <w:t>dicate that the operational expenses ratio (OPNI</w:t>
      </w:r>
      <w:r w:rsidR="00AD7114">
        <w:rPr>
          <w:rFonts w:asciiTheme="majorBidi" w:hAnsiTheme="majorBidi" w:cstheme="majorBidi"/>
          <w:sz w:val="24"/>
          <w:szCs w:val="24"/>
        </w:rPr>
        <w:t>) was</w:t>
      </w:r>
      <w:r w:rsidRPr="00414CAD">
        <w:rPr>
          <w:rFonts w:asciiTheme="majorBidi" w:hAnsiTheme="majorBidi" w:cstheme="majorBidi"/>
          <w:sz w:val="24"/>
          <w:szCs w:val="24"/>
        </w:rPr>
        <w:t xml:space="preserve"> negatively related</w:t>
      </w:r>
      <w:r w:rsidR="002B369A">
        <w:rPr>
          <w:rFonts w:asciiTheme="majorBidi" w:hAnsiTheme="majorBidi" w:cstheme="majorBidi"/>
          <w:sz w:val="24"/>
          <w:szCs w:val="24"/>
        </w:rPr>
        <w:t xml:space="preserve"> to </w:t>
      </w:r>
      <w:r>
        <w:rPr>
          <w:rFonts w:asciiTheme="majorBidi" w:hAnsiTheme="majorBidi" w:cstheme="majorBidi"/>
          <w:sz w:val="24"/>
          <w:szCs w:val="24"/>
        </w:rPr>
        <w:t>(ROA</w:t>
      </w:r>
      <w:r w:rsidRPr="00414CAD">
        <w:rPr>
          <w:rFonts w:asciiTheme="majorBidi" w:hAnsiTheme="majorBidi" w:cstheme="majorBidi"/>
          <w:sz w:val="24"/>
          <w:szCs w:val="24"/>
        </w:rPr>
        <w:t>), the profitability meas</w:t>
      </w:r>
      <w:r w:rsidR="00AD7114">
        <w:rPr>
          <w:rFonts w:asciiTheme="majorBidi" w:hAnsiTheme="majorBidi" w:cstheme="majorBidi"/>
          <w:sz w:val="24"/>
          <w:szCs w:val="24"/>
        </w:rPr>
        <w:t>ure. The β coefficient was</w:t>
      </w:r>
      <w:r>
        <w:rPr>
          <w:rFonts w:asciiTheme="majorBidi" w:hAnsiTheme="majorBidi" w:cstheme="majorBidi"/>
          <w:sz w:val="24"/>
          <w:szCs w:val="24"/>
        </w:rPr>
        <w:t xml:space="preserve"> -0.007 which indicates that the effect of operational expenses on ROA is very weak.</w:t>
      </w:r>
      <w:r w:rsidRPr="00414CAD">
        <w:rPr>
          <w:rFonts w:asciiTheme="majorBidi" w:hAnsiTheme="majorBidi" w:cstheme="majorBidi"/>
          <w:sz w:val="24"/>
          <w:szCs w:val="24"/>
        </w:rPr>
        <w:t xml:space="preserve"> This </w:t>
      </w:r>
      <w:r>
        <w:rPr>
          <w:rFonts w:asciiTheme="majorBidi" w:hAnsiTheme="majorBidi" w:cstheme="majorBidi"/>
          <w:sz w:val="24"/>
          <w:szCs w:val="24"/>
        </w:rPr>
        <w:t xml:space="preserve">result </w:t>
      </w:r>
      <w:r w:rsidRPr="00414CAD">
        <w:rPr>
          <w:rFonts w:asciiTheme="majorBidi" w:hAnsiTheme="majorBidi" w:cstheme="majorBidi"/>
          <w:sz w:val="24"/>
          <w:szCs w:val="24"/>
        </w:rPr>
        <w:t>indicates that one unit increases in</w:t>
      </w:r>
      <w:r>
        <w:rPr>
          <w:rFonts w:asciiTheme="majorBidi" w:hAnsiTheme="majorBidi" w:cstheme="majorBidi"/>
          <w:sz w:val="24"/>
          <w:szCs w:val="24"/>
        </w:rPr>
        <w:t xml:space="preserve"> (operational expenses (OPNI)</w:t>
      </w:r>
      <w:r w:rsidRPr="00414CAD">
        <w:rPr>
          <w:rFonts w:asciiTheme="majorBidi" w:hAnsiTheme="majorBidi" w:cstheme="majorBidi"/>
          <w:sz w:val="24"/>
          <w:szCs w:val="24"/>
        </w:rPr>
        <w:t xml:space="preserve"> will decrease</w:t>
      </w:r>
      <w:r>
        <w:rPr>
          <w:rFonts w:asciiTheme="majorBidi" w:hAnsiTheme="majorBidi" w:cstheme="majorBidi"/>
          <w:sz w:val="24"/>
          <w:szCs w:val="24"/>
        </w:rPr>
        <w:t xml:space="preserve"> ROA by .07</w:t>
      </w:r>
      <w:r w:rsidRPr="00414CAD">
        <w:rPr>
          <w:rFonts w:asciiTheme="majorBidi" w:hAnsiTheme="majorBidi" w:cstheme="majorBidi"/>
          <w:sz w:val="24"/>
          <w:szCs w:val="24"/>
        </w:rPr>
        <w:t>% units, holding the rest of variables constant. The statistical si</w:t>
      </w:r>
      <w:r>
        <w:rPr>
          <w:rFonts w:asciiTheme="majorBidi" w:hAnsiTheme="majorBidi" w:cstheme="majorBidi"/>
          <w:sz w:val="24"/>
          <w:szCs w:val="24"/>
        </w:rPr>
        <w:t xml:space="preserve">gnificance of </w:t>
      </w:r>
      <w:r w:rsidR="00226507">
        <w:rPr>
          <w:rFonts w:asciiTheme="majorBidi" w:hAnsiTheme="majorBidi" w:cstheme="majorBidi"/>
          <w:sz w:val="24"/>
          <w:szCs w:val="24"/>
        </w:rPr>
        <w:t>OPNI is 0.026</w:t>
      </w:r>
      <w:r w:rsidR="00AD7114">
        <w:rPr>
          <w:rFonts w:asciiTheme="majorBidi" w:hAnsiTheme="majorBidi" w:cstheme="majorBidi"/>
          <w:sz w:val="24"/>
          <w:szCs w:val="24"/>
        </w:rPr>
        <w:t xml:space="preserve"> </w:t>
      </w:r>
      <w:r>
        <w:rPr>
          <w:rFonts w:asciiTheme="majorBidi" w:hAnsiTheme="majorBidi" w:cstheme="majorBidi"/>
          <w:sz w:val="24"/>
          <w:szCs w:val="24"/>
        </w:rPr>
        <w:t xml:space="preserve">which is </w:t>
      </w:r>
      <w:r w:rsidR="00A23E61">
        <w:rPr>
          <w:rFonts w:asciiTheme="majorBidi" w:hAnsiTheme="majorBidi" w:cstheme="majorBidi"/>
          <w:sz w:val="24"/>
          <w:szCs w:val="24"/>
        </w:rPr>
        <w:t>less than 0.05 implies</w:t>
      </w:r>
      <w:r>
        <w:rPr>
          <w:rFonts w:asciiTheme="majorBidi" w:hAnsiTheme="majorBidi" w:cstheme="majorBidi"/>
          <w:sz w:val="24"/>
          <w:szCs w:val="24"/>
        </w:rPr>
        <w:t xml:space="preserve"> sign of significance relationship</w:t>
      </w:r>
      <w:r w:rsidRPr="00414CAD">
        <w:rPr>
          <w:rFonts w:asciiTheme="majorBidi" w:hAnsiTheme="majorBidi" w:cstheme="majorBidi"/>
          <w:sz w:val="24"/>
          <w:szCs w:val="24"/>
        </w:rPr>
        <w:t xml:space="preserve">. It implies </w:t>
      </w:r>
      <w:r w:rsidR="00226507">
        <w:rPr>
          <w:rFonts w:asciiTheme="majorBidi" w:hAnsiTheme="majorBidi" w:cstheme="majorBidi"/>
          <w:sz w:val="24"/>
          <w:szCs w:val="24"/>
        </w:rPr>
        <w:t>that OPNI predicts ROE with 97.4</w:t>
      </w:r>
      <w:r w:rsidRPr="00414CAD">
        <w:rPr>
          <w:rFonts w:asciiTheme="majorBidi" w:hAnsiTheme="majorBidi" w:cstheme="majorBidi"/>
          <w:sz w:val="24"/>
          <w:szCs w:val="24"/>
        </w:rPr>
        <w:t xml:space="preserve">% </w:t>
      </w:r>
      <w:r w:rsidR="00A23E61" w:rsidRPr="00414CAD">
        <w:rPr>
          <w:rFonts w:asciiTheme="majorBidi" w:hAnsiTheme="majorBidi" w:cstheme="majorBidi"/>
          <w:sz w:val="24"/>
          <w:szCs w:val="24"/>
        </w:rPr>
        <w:t>probability.</w:t>
      </w:r>
      <w:r w:rsidR="00A23E61" w:rsidRPr="00A23E61">
        <w:rPr>
          <w:rFonts w:asciiTheme="majorBidi" w:hAnsiTheme="majorBidi" w:cstheme="majorBidi"/>
          <w:sz w:val="24"/>
          <w:szCs w:val="24"/>
        </w:rPr>
        <w:t xml:space="preserve"> This</w:t>
      </w:r>
      <w:r w:rsidR="00226507" w:rsidRPr="00A23E61">
        <w:rPr>
          <w:rFonts w:asciiTheme="majorBidi" w:hAnsiTheme="majorBidi" w:cstheme="majorBidi"/>
          <w:sz w:val="24"/>
          <w:szCs w:val="24"/>
        </w:rPr>
        <w:t xml:space="preserve"> result is not surprising, as the issue of high operative expenses was covered extensively in the literature review</w:t>
      </w:r>
      <w:r w:rsidR="00A23E61" w:rsidRPr="00A23E61">
        <w:rPr>
          <w:rFonts w:asciiTheme="majorBidi" w:hAnsiTheme="majorBidi" w:cstheme="majorBidi"/>
          <w:sz w:val="24"/>
          <w:szCs w:val="24"/>
        </w:rPr>
        <w:t xml:space="preserve"> and the descriptive analysis showed that operating</w:t>
      </w:r>
      <w:r w:rsidR="00A23E61">
        <w:rPr>
          <w:rFonts w:asciiTheme="majorBidi" w:hAnsiTheme="majorBidi" w:cstheme="majorBidi"/>
          <w:sz w:val="24"/>
          <w:szCs w:val="24"/>
        </w:rPr>
        <w:t xml:space="preserve"> costs are higher in the sector. For example </w:t>
      </w:r>
      <w:r w:rsidR="00A23E61" w:rsidRPr="00A23E61">
        <w:rPr>
          <w:rFonts w:asciiTheme="majorBidi" w:hAnsiTheme="majorBidi" w:cstheme="majorBidi"/>
          <w:sz w:val="24"/>
          <w:szCs w:val="24"/>
        </w:rPr>
        <w:t xml:space="preserve">Alquds bank in the year 2008 had a high ratio of </w:t>
      </w:r>
      <w:r w:rsidR="00A23E61" w:rsidRPr="007D4791">
        <w:rPr>
          <w:rFonts w:asciiTheme="majorBidi" w:hAnsiTheme="majorBidi" w:cstheme="majorBidi"/>
          <w:sz w:val="24"/>
          <w:szCs w:val="24"/>
        </w:rPr>
        <w:t xml:space="preserve">operating </w:t>
      </w:r>
      <w:r w:rsidR="00A23E61" w:rsidRPr="007D4791">
        <w:rPr>
          <w:rFonts w:asciiTheme="majorBidi" w:hAnsiTheme="majorBidi" w:cstheme="majorBidi"/>
          <w:sz w:val="24"/>
          <w:szCs w:val="24"/>
        </w:rPr>
        <w:lastRenderedPageBreak/>
        <w:t>cost</w:t>
      </w:r>
      <w:r w:rsidR="002F6F71">
        <w:rPr>
          <w:rFonts w:asciiTheme="majorBidi" w:hAnsiTheme="majorBidi" w:cstheme="majorBidi"/>
          <w:sz w:val="24"/>
          <w:szCs w:val="24"/>
        </w:rPr>
        <w:t>s</w:t>
      </w:r>
      <w:r w:rsidR="00A23E61" w:rsidRPr="007D4791">
        <w:rPr>
          <w:rFonts w:asciiTheme="majorBidi" w:hAnsiTheme="majorBidi" w:cstheme="majorBidi"/>
          <w:sz w:val="24"/>
          <w:szCs w:val="24"/>
        </w:rPr>
        <w:t xml:space="preserve"> to income</w:t>
      </w:r>
      <w:r w:rsidR="002F6F71">
        <w:rPr>
          <w:rFonts w:asciiTheme="majorBidi" w:hAnsiTheme="majorBidi" w:cstheme="majorBidi"/>
          <w:sz w:val="24"/>
          <w:szCs w:val="24"/>
        </w:rPr>
        <w:t xml:space="preserve"> (</w:t>
      </w:r>
      <w:r w:rsidR="00E94A87">
        <w:rPr>
          <w:rFonts w:asciiTheme="majorBidi" w:hAnsiTheme="majorBidi" w:cstheme="majorBidi"/>
          <w:sz w:val="24"/>
          <w:szCs w:val="24"/>
        </w:rPr>
        <w:t>169%)</w:t>
      </w:r>
      <w:r w:rsidR="00A23E61" w:rsidRPr="007D4791">
        <w:rPr>
          <w:rFonts w:asciiTheme="majorBidi" w:hAnsiTheme="majorBidi" w:cstheme="majorBidi"/>
          <w:sz w:val="24"/>
          <w:szCs w:val="24"/>
        </w:rPr>
        <w:t xml:space="preserve"> and </w:t>
      </w:r>
      <w:r w:rsidR="006952A8" w:rsidRPr="007D4791">
        <w:rPr>
          <w:rFonts w:asciiTheme="majorBidi" w:hAnsiTheme="majorBidi" w:cstheme="majorBidi"/>
          <w:sz w:val="24"/>
          <w:szCs w:val="24"/>
        </w:rPr>
        <w:t>as a result</w:t>
      </w:r>
      <w:r w:rsidR="007D4791" w:rsidRPr="007D4791">
        <w:rPr>
          <w:rFonts w:asciiTheme="majorBidi" w:hAnsiTheme="majorBidi" w:cstheme="majorBidi"/>
          <w:sz w:val="24"/>
          <w:szCs w:val="24"/>
        </w:rPr>
        <w:t xml:space="preserve"> made an aggregate loss (ROA was -2.3), whilst bank of</w:t>
      </w:r>
      <w:r w:rsidR="00FA6F08">
        <w:rPr>
          <w:rFonts w:asciiTheme="majorBidi" w:hAnsiTheme="majorBidi" w:cstheme="majorBidi"/>
          <w:sz w:val="24"/>
          <w:szCs w:val="24"/>
        </w:rPr>
        <w:t xml:space="preserve"> Palestine that year was </w:t>
      </w:r>
      <w:r w:rsidR="007D4791" w:rsidRPr="007D4791">
        <w:rPr>
          <w:rFonts w:asciiTheme="majorBidi" w:hAnsiTheme="majorBidi" w:cstheme="majorBidi"/>
          <w:sz w:val="24"/>
          <w:szCs w:val="24"/>
        </w:rPr>
        <w:t>the lowest</w:t>
      </w:r>
      <w:r w:rsidR="00E94A87">
        <w:rPr>
          <w:rFonts w:asciiTheme="majorBidi" w:hAnsiTheme="majorBidi" w:cstheme="majorBidi"/>
          <w:sz w:val="24"/>
          <w:szCs w:val="24"/>
        </w:rPr>
        <w:t xml:space="preserve"> (64.2%)</w:t>
      </w:r>
      <w:r w:rsidR="007D4791" w:rsidRPr="007D4791">
        <w:rPr>
          <w:rFonts w:asciiTheme="majorBidi" w:hAnsiTheme="majorBidi" w:cstheme="majorBidi"/>
          <w:sz w:val="24"/>
          <w:szCs w:val="24"/>
        </w:rPr>
        <w:t xml:space="preserve"> and made a profit (ROA was 2.3)</w:t>
      </w:r>
      <w:r w:rsidR="00FA6F08">
        <w:rPr>
          <w:rFonts w:asciiTheme="majorBidi" w:hAnsiTheme="majorBidi" w:cstheme="majorBidi"/>
          <w:sz w:val="24"/>
          <w:szCs w:val="24"/>
        </w:rPr>
        <w:t xml:space="preserve">. </w:t>
      </w:r>
      <w:r w:rsidR="00226507" w:rsidRPr="007D4791">
        <w:rPr>
          <w:rFonts w:asciiTheme="majorBidi" w:hAnsiTheme="majorBidi" w:cstheme="majorBidi"/>
          <w:sz w:val="24"/>
          <w:szCs w:val="24"/>
        </w:rPr>
        <w:t>This</w:t>
      </w:r>
      <w:r w:rsidR="00FA6F08">
        <w:rPr>
          <w:rFonts w:asciiTheme="majorBidi" w:hAnsiTheme="majorBidi" w:cstheme="majorBidi"/>
          <w:sz w:val="24"/>
          <w:szCs w:val="24"/>
        </w:rPr>
        <w:t xml:space="preserve"> </w:t>
      </w:r>
      <w:r w:rsidR="00C7681F">
        <w:rPr>
          <w:rFonts w:asciiTheme="majorBidi" w:hAnsiTheme="majorBidi" w:cstheme="majorBidi"/>
          <w:sz w:val="24"/>
          <w:szCs w:val="24"/>
        </w:rPr>
        <w:t>finding</w:t>
      </w:r>
      <w:r w:rsidR="00226507" w:rsidRPr="007D4791">
        <w:rPr>
          <w:rFonts w:asciiTheme="majorBidi" w:hAnsiTheme="majorBidi" w:cstheme="majorBidi"/>
          <w:sz w:val="24"/>
          <w:szCs w:val="24"/>
        </w:rPr>
        <w:t xml:space="preserve"> is consistent with the findings of Olweny and Shipho, 2011</w:t>
      </w:r>
      <w:r w:rsidR="00226507" w:rsidRPr="00E94A87">
        <w:rPr>
          <w:rFonts w:asciiTheme="majorBidi" w:hAnsiTheme="majorBidi" w:cstheme="majorBidi"/>
          <w:sz w:val="24"/>
          <w:szCs w:val="24"/>
        </w:rPr>
        <w:t>.</w:t>
      </w:r>
      <w:r w:rsidR="00FA6F08">
        <w:rPr>
          <w:rFonts w:asciiTheme="majorBidi" w:hAnsiTheme="majorBidi" w:cstheme="majorBidi"/>
          <w:sz w:val="24"/>
          <w:szCs w:val="24"/>
        </w:rPr>
        <w:t xml:space="preserve"> </w:t>
      </w:r>
      <w:r w:rsidR="00E94A87" w:rsidRPr="00E94A87">
        <w:rPr>
          <w:rFonts w:asciiTheme="majorBidi" w:hAnsiTheme="majorBidi" w:cstheme="majorBidi"/>
          <w:sz w:val="24"/>
          <w:szCs w:val="24"/>
        </w:rPr>
        <w:t>It is therefore obvious that a lot needs to be done to reduce</w:t>
      </w:r>
      <w:r w:rsidR="00FA6F08">
        <w:rPr>
          <w:rFonts w:asciiTheme="majorBidi" w:hAnsiTheme="majorBidi" w:cstheme="majorBidi"/>
          <w:sz w:val="24"/>
          <w:szCs w:val="24"/>
        </w:rPr>
        <w:t xml:space="preserve"> Operational Expenses</w:t>
      </w:r>
      <w:r w:rsidR="00E94A87">
        <w:rPr>
          <w:rFonts w:asciiTheme="majorBidi" w:hAnsiTheme="majorBidi" w:cstheme="majorBidi"/>
          <w:sz w:val="24"/>
          <w:szCs w:val="24"/>
        </w:rPr>
        <w:t xml:space="preserve"> such</w:t>
      </w:r>
      <w:r w:rsidR="00FA6F08">
        <w:rPr>
          <w:rFonts w:asciiTheme="majorBidi" w:hAnsiTheme="majorBidi" w:cstheme="majorBidi"/>
          <w:sz w:val="24"/>
          <w:szCs w:val="24"/>
        </w:rPr>
        <w:t xml:space="preserve"> staff wages</w:t>
      </w:r>
      <w:r w:rsidR="00E94A87" w:rsidRPr="00E94A87">
        <w:rPr>
          <w:rFonts w:asciiTheme="majorBidi" w:hAnsiTheme="majorBidi" w:cstheme="majorBidi"/>
          <w:sz w:val="24"/>
          <w:szCs w:val="24"/>
        </w:rPr>
        <w:t xml:space="preserve"> and administrative costs in the sector to improve profitability.</w:t>
      </w:r>
    </w:p>
    <w:p w:rsidR="00D665C9" w:rsidRDefault="00D665C9" w:rsidP="00226507">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 xml:space="preserve">Therefore, the </w:t>
      </w:r>
      <w:r>
        <w:rPr>
          <w:rFonts w:asciiTheme="majorBidi" w:hAnsiTheme="majorBidi" w:cstheme="majorBidi"/>
          <w:sz w:val="24"/>
          <w:szCs w:val="24"/>
        </w:rPr>
        <w:t>null hypothesis will be rejected and accept the alternative one:</w:t>
      </w:r>
    </w:p>
    <w:p w:rsidR="00853896" w:rsidRPr="00853896" w:rsidRDefault="00D665C9" w:rsidP="00853896">
      <w:pPr>
        <w:pStyle w:val="Subtitle"/>
        <w:spacing w:after="0" w:line="360" w:lineRule="auto"/>
        <w:rPr>
          <w:rFonts w:asciiTheme="majorBidi" w:hAnsiTheme="majorBidi"/>
          <w:b/>
          <w:bCs/>
          <w:color w:val="auto"/>
        </w:rPr>
      </w:pPr>
      <w:r>
        <w:rPr>
          <w:rFonts w:asciiTheme="majorBidi" w:hAnsiTheme="majorBidi"/>
          <w:b/>
          <w:bCs/>
          <w:color w:val="auto"/>
        </w:rPr>
        <w:t>H5: There is</w:t>
      </w:r>
      <w:r w:rsidRPr="00B53A16">
        <w:rPr>
          <w:rFonts w:asciiTheme="majorBidi" w:hAnsiTheme="majorBidi"/>
          <w:b/>
          <w:bCs/>
          <w:color w:val="auto"/>
        </w:rPr>
        <w:t xml:space="preserve"> significant relationship between</w:t>
      </w:r>
      <w:r>
        <w:rPr>
          <w:rFonts w:asciiTheme="majorBidi" w:hAnsiTheme="majorBidi"/>
          <w:b/>
          <w:bCs/>
          <w:color w:val="auto"/>
        </w:rPr>
        <w:t xml:space="preserve"> bank’s operational</w:t>
      </w:r>
      <w:r w:rsidR="00F6034A">
        <w:rPr>
          <w:rFonts w:asciiTheme="majorBidi" w:hAnsiTheme="majorBidi"/>
          <w:b/>
          <w:bCs/>
          <w:color w:val="auto"/>
        </w:rPr>
        <w:t xml:space="preserve"> cost</w:t>
      </w:r>
      <w:r>
        <w:rPr>
          <w:rFonts w:asciiTheme="majorBidi" w:hAnsiTheme="majorBidi"/>
          <w:b/>
          <w:bCs/>
          <w:color w:val="auto"/>
        </w:rPr>
        <w:t xml:space="preserve"> efficiency</w:t>
      </w:r>
      <w:r w:rsidRPr="00B53A16">
        <w:rPr>
          <w:rFonts w:asciiTheme="majorBidi" w:hAnsiTheme="majorBidi"/>
          <w:b/>
          <w:bCs/>
          <w:color w:val="auto"/>
        </w:rPr>
        <w:t xml:space="preserve"> and bank’s profitability.</w:t>
      </w:r>
    </w:p>
    <w:p w:rsidR="00AC6FAE" w:rsidRDefault="00AC6FAE" w:rsidP="00004192">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D665C9" w:rsidRDefault="00D665C9" w:rsidP="00004192">
      <w:pPr>
        <w:autoSpaceDE w:val="0"/>
        <w:autoSpaceDN w:val="0"/>
        <w:adjustRightInd w:val="0"/>
        <w:spacing w:after="0" w:line="240" w:lineRule="auto"/>
        <w:jc w:val="both"/>
        <w:rPr>
          <w:rFonts w:asciiTheme="majorBidi" w:hAnsiTheme="majorBidi" w:cstheme="majorBidi"/>
          <w:b/>
          <w:bCs/>
          <w:color w:val="000000" w:themeColor="text1"/>
          <w:sz w:val="24"/>
          <w:szCs w:val="24"/>
        </w:rPr>
      </w:pPr>
      <w:r w:rsidRPr="005920F2">
        <w:rPr>
          <w:rFonts w:asciiTheme="majorBidi" w:hAnsiTheme="majorBidi" w:cstheme="majorBidi"/>
          <w:b/>
          <w:bCs/>
          <w:color w:val="000000" w:themeColor="text1"/>
          <w:sz w:val="24"/>
          <w:szCs w:val="24"/>
        </w:rPr>
        <w:t>4.3.</w:t>
      </w:r>
      <w:r>
        <w:rPr>
          <w:rFonts w:asciiTheme="majorBidi" w:hAnsiTheme="majorBidi" w:cstheme="majorBidi"/>
          <w:b/>
          <w:bCs/>
          <w:color w:val="000000" w:themeColor="text1"/>
          <w:sz w:val="24"/>
          <w:szCs w:val="24"/>
        </w:rPr>
        <w:t xml:space="preserve">2 </w:t>
      </w:r>
      <w:r w:rsidRPr="005920F2">
        <w:rPr>
          <w:rFonts w:asciiTheme="majorBidi" w:hAnsiTheme="majorBidi" w:cstheme="majorBidi"/>
          <w:b/>
          <w:bCs/>
          <w:sz w:val="24"/>
          <w:szCs w:val="24"/>
        </w:rPr>
        <w:t>Correlation an</w:t>
      </w:r>
      <w:r w:rsidR="002302DA">
        <w:rPr>
          <w:rFonts w:asciiTheme="majorBidi" w:hAnsiTheme="majorBidi" w:cstheme="majorBidi"/>
          <w:b/>
          <w:bCs/>
          <w:sz w:val="24"/>
          <w:szCs w:val="24"/>
        </w:rPr>
        <w:t>d Regression Results for M</w:t>
      </w:r>
      <w:r>
        <w:rPr>
          <w:rFonts w:asciiTheme="majorBidi" w:hAnsiTheme="majorBidi" w:cstheme="majorBidi"/>
          <w:b/>
          <w:bCs/>
          <w:sz w:val="24"/>
          <w:szCs w:val="24"/>
        </w:rPr>
        <w:t xml:space="preserve">odel </w:t>
      </w:r>
      <w:r w:rsidRPr="00D665C9">
        <w:rPr>
          <w:rFonts w:asciiTheme="majorBidi" w:hAnsiTheme="majorBidi" w:cstheme="majorBidi"/>
          <w:b/>
          <w:bCs/>
          <w:sz w:val="24"/>
          <w:szCs w:val="24"/>
        </w:rPr>
        <w:t>II</w:t>
      </w:r>
    </w:p>
    <w:p w:rsidR="00280124" w:rsidRPr="005920F2" w:rsidRDefault="00280124" w:rsidP="00004192">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D665C9" w:rsidRDefault="00D665C9" w:rsidP="00004192">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4.3.2</w:t>
      </w:r>
      <w:r w:rsidRPr="006A4765">
        <w:rPr>
          <w:rFonts w:asciiTheme="majorBidi" w:hAnsiTheme="majorBidi" w:cstheme="majorBidi"/>
          <w:b/>
          <w:bCs/>
          <w:sz w:val="24"/>
          <w:szCs w:val="24"/>
        </w:rPr>
        <w:t>.</w:t>
      </w:r>
      <w:r>
        <w:rPr>
          <w:rFonts w:asciiTheme="majorBidi" w:hAnsiTheme="majorBidi" w:cstheme="majorBidi"/>
          <w:b/>
          <w:bCs/>
          <w:sz w:val="24"/>
          <w:szCs w:val="24"/>
        </w:rPr>
        <w:t>1</w:t>
      </w:r>
      <w:r w:rsidRPr="006A4765">
        <w:rPr>
          <w:rFonts w:asciiTheme="majorBidi" w:hAnsiTheme="majorBidi" w:cstheme="majorBidi"/>
          <w:b/>
          <w:bCs/>
          <w:sz w:val="24"/>
          <w:szCs w:val="24"/>
        </w:rPr>
        <w:t xml:space="preserve"> Correlation Matrix</w:t>
      </w:r>
    </w:p>
    <w:p w:rsidR="00004192" w:rsidRPr="006A4765" w:rsidRDefault="00004192" w:rsidP="00004192">
      <w:pPr>
        <w:autoSpaceDE w:val="0"/>
        <w:autoSpaceDN w:val="0"/>
        <w:adjustRightInd w:val="0"/>
        <w:spacing w:after="0" w:line="240" w:lineRule="auto"/>
        <w:rPr>
          <w:rFonts w:asciiTheme="majorBidi" w:hAnsiTheme="majorBidi" w:cstheme="majorBidi"/>
          <w:b/>
          <w:bCs/>
          <w:sz w:val="24"/>
          <w:szCs w:val="24"/>
        </w:rPr>
      </w:pPr>
    </w:p>
    <w:p w:rsidR="00D665C9" w:rsidRDefault="00D665C9" w:rsidP="00004192">
      <w:pPr>
        <w:autoSpaceDE w:val="0"/>
        <w:autoSpaceDN w:val="0"/>
        <w:adjustRightInd w:val="0"/>
        <w:spacing w:after="0" w:line="360" w:lineRule="auto"/>
        <w:jc w:val="both"/>
        <w:rPr>
          <w:rFonts w:asciiTheme="majorBidi" w:hAnsiTheme="majorBidi" w:cstheme="majorBidi"/>
          <w:sz w:val="24"/>
          <w:szCs w:val="24"/>
        </w:rPr>
      </w:pPr>
      <w:r w:rsidRPr="009964F8">
        <w:rPr>
          <w:rFonts w:asciiTheme="majorBidi" w:hAnsiTheme="majorBidi" w:cstheme="majorBidi"/>
          <w:sz w:val="24"/>
          <w:szCs w:val="24"/>
        </w:rPr>
        <w:t>The relationships among the</w:t>
      </w:r>
      <w:r>
        <w:rPr>
          <w:rFonts w:asciiTheme="majorBidi" w:hAnsiTheme="majorBidi" w:cstheme="majorBidi"/>
          <w:sz w:val="24"/>
          <w:szCs w:val="24"/>
        </w:rPr>
        <w:t xml:space="preserve"> study variables depicted in</w:t>
      </w:r>
      <w:r w:rsidRPr="009964F8">
        <w:rPr>
          <w:rFonts w:asciiTheme="majorBidi" w:hAnsiTheme="majorBidi" w:cstheme="majorBidi"/>
          <w:sz w:val="24"/>
          <w:szCs w:val="24"/>
        </w:rPr>
        <w:t xml:space="preserve"> mode</w:t>
      </w:r>
      <w:r>
        <w:rPr>
          <w:rFonts w:asciiTheme="majorBidi" w:hAnsiTheme="majorBidi" w:cstheme="majorBidi"/>
          <w:sz w:val="24"/>
          <w:szCs w:val="24"/>
        </w:rPr>
        <w:t>l</w:t>
      </w:r>
      <w:r w:rsidRPr="00D665C9">
        <w:rPr>
          <w:rFonts w:asciiTheme="majorBidi" w:hAnsiTheme="majorBidi" w:cstheme="majorBidi"/>
          <w:sz w:val="24"/>
          <w:szCs w:val="24"/>
        </w:rPr>
        <w:t xml:space="preserve"> II</w:t>
      </w:r>
      <w:r w:rsidRPr="009964F8">
        <w:rPr>
          <w:rFonts w:asciiTheme="majorBidi" w:hAnsiTheme="majorBidi" w:cstheme="majorBidi"/>
          <w:sz w:val="24"/>
          <w:szCs w:val="24"/>
        </w:rPr>
        <w:t xml:space="preserve"> were teste</w:t>
      </w:r>
      <w:r>
        <w:rPr>
          <w:rFonts w:asciiTheme="majorBidi" w:hAnsiTheme="majorBidi" w:cstheme="majorBidi"/>
          <w:sz w:val="24"/>
          <w:szCs w:val="24"/>
        </w:rPr>
        <w:t>d using Person correlation with ROE and</w:t>
      </w:r>
      <w:r w:rsidRPr="009964F8">
        <w:rPr>
          <w:rFonts w:asciiTheme="majorBidi" w:hAnsiTheme="majorBidi" w:cstheme="majorBidi"/>
          <w:sz w:val="24"/>
          <w:szCs w:val="24"/>
        </w:rPr>
        <w:t xml:space="preserve"> determinants of the bank’s profitability ratio</w:t>
      </w:r>
      <w:r>
        <w:rPr>
          <w:rFonts w:asciiTheme="majorBidi" w:hAnsiTheme="majorBidi" w:cstheme="majorBidi"/>
          <w:sz w:val="24"/>
          <w:szCs w:val="24"/>
        </w:rPr>
        <w:t>s</w:t>
      </w:r>
      <w:r w:rsidRPr="009964F8">
        <w:rPr>
          <w:rFonts w:asciiTheme="majorBidi" w:hAnsiTheme="majorBidi" w:cstheme="majorBidi"/>
          <w:sz w:val="24"/>
          <w:szCs w:val="24"/>
        </w:rPr>
        <w:t>, which is presented in</w:t>
      </w:r>
      <w:r w:rsidR="000B7094">
        <w:rPr>
          <w:rFonts w:asciiTheme="majorBidi" w:hAnsiTheme="majorBidi" w:cstheme="majorBidi"/>
          <w:sz w:val="24"/>
          <w:szCs w:val="24"/>
        </w:rPr>
        <w:t xml:space="preserve"> </w:t>
      </w:r>
      <w:r w:rsidRPr="00B30CFE">
        <w:rPr>
          <w:rFonts w:asciiTheme="majorBidi" w:hAnsiTheme="majorBidi" w:cstheme="majorBidi"/>
          <w:color w:val="000000" w:themeColor="text1"/>
          <w:sz w:val="24"/>
          <w:szCs w:val="24"/>
        </w:rPr>
        <w:t>Appendix 5.</w:t>
      </w:r>
      <w:r w:rsidRPr="00F87077">
        <w:rPr>
          <w:rFonts w:asciiTheme="majorBidi" w:hAnsiTheme="majorBidi" w:cstheme="majorBidi"/>
          <w:sz w:val="24"/>
          <w:szCs w:val="24"/>
        </w:rPr>
        <w:t xml:space="preserve"> Results show that:</w:t>
      </w:r>
    </w:p>
    <w:p w:rsidR="00EA7B5B" w:rsidRDefault="00991799" w:rsidP="00F873C9">
      <w:pPr>
        <w:pStyle w:val="Default"/>
        <w:numPr>
          <w:ilvl w:val="0"/>
          <w:numId w:val="27"/>
        </w:numPr>
        <w:spacing w:line="360" w:lineRule="auto"/>
        <w:jc w:val="both"/>
      </w:pPr>
      <w:r>
        <w:rPr>
          <w:rFonts w:asciiTheme="majorBidi" w:hAnsiTheme="majorBidi" w:cstheme="majorBidi"/>
        </w:rPr>
        <w:t>Weak</w:t>
      </w:r>
      <w:r w:rsidR="00EA7B5B" w:rsidRPr="00D70D6D">
        <w:rPr>
          <w:rFonts w:asciiTheme="majorBidi" w:hAnsiTheme="majorBidi" w:cstheme="majorBidi"/>
        </w:rPr>
        <w:t xml:space="preserve"> negative correlation between </w:t>
      </w:r>
      <w:r>
        <w:t>the dependent variable ROE</w:t>
      </w:r>
      <w:r w:rsidR="00EA7B5B" w:rsidRPr="00D70D6D">
        <w:t xml:space="preserve"> and the independent variable </w:t>
      </w:r>
      <w:r w:rsidR="00EA7B5B">
        <w:t>good lending principals, measured by nonperforming loan</w:t>
      </w:r>
      <w:r>
        <w:t>s to total loans (NPLR) ratio (-.229</w:t>
      </w:r>
      <w:r w:rsidR="00EA7B5B">
        <w:t>). This mea</w:t>
      </w:r>
      <w:r>
        <w:t>ns that, when NPLR decreased ROE</w:t>
      </w:r>
      <w:r w:rsidR="00EA7B5B">
        <w:t xml:space="preserve"> increased.</w:t>
      </w:r>
    </w:p>
    <w:p w:rsidR="00EA7B5B" w:rsidRDefault="00EA7B5B" w:rsidP="00F873C9">
      <w:pPr>
        <w:pStyle w:val="Default"/>
        <w:numPr>
          <w:ilvl w:val="0"/>
          <w:numId w:val="27"/>
        </w:numPr>
        <w:spacing w:line="360" w:lineRule="auto"/>
        <w:jc w:val="both"/>
      </w:pPr>
      <w:r>
        <w:t>A negative c</w:t>
      </w:r>
      <w:r w:rsidR="00991799">
        <w:t>orrelation was found between ROE and capital adequacy,</w:t>
      </w:r>
      <w:r>
        <w:t xml:space="preserve"> measured by total equity to total assets (EQTA) ratio. This means when equity decreas</w:t>
      </w:r>
      <w:r w:rsidR="00991799">
        <w:t>es profitability increase (-.261</w:t>
      </w:r>
      <w:r>
        <w:t>).</w:t>
      </w:r>
    </w:p>
    <w:p w:rsidR="00EA7B5B" w:rsidRDefault="00EA7B5B" w:rsidP="00F873C9">
      <w:pPr>
        <w:pStyle w:val="Default"/>
        <w:numPr>
          <w:ilvl w:val="0"/>
          <w:numId w:val="27"/>
        </w:numPr>
        <w:spacing w:line="360" w:lineRule="auto"/>
        <w:jc w:val="both"/>
      </w:pPr>
      <w:r>
        <w:t>Medium negative correlation betw</w:t>
      </w:r>
      <w:r w:rsidR="00991799">
        <w:t>een the independent variable ROE</w:t>
      </w:r>
      <w:r>
        <w:t xml:space="preserve">, profitability measure and loan loss provisions (LLPI) ratio. This means when </w:t>
      </w:r>
      <w:r w:rsidR="00991799">
        <w:t>LLPI decrease profitability (ROE) increase (-.400</w:t>
      </w:r>
      <w:r>
        <w:t>).</w:t>
      </w:r>
    </w:p>
    <w:p w:rsidR="00EA7B5B" w:rsidRDefault="00EA7B5B" w:rsidP="00F873C9">
      <w:pPr>
        <w:pStyle w:val="Default"/>
        <w:numPr>
          <w:ilvl w:val="0"/>
          <w:numId w:val="27"/>
        </w:numPr>
        <w:spacing w:line="360" w:lineRule="auto"/>
        <w:jc w:val="both"/>
      </w:pPr>
      <w:r>
        <w:t>Weak positive correlation bet</w:t>
      </w:r>
      <w:r w:rsidR="00991799">
        <w:t>ween the dependent variable (ROE</w:t>
      </w:r>
      <w:r>
        <w:t>), profitability measure and income diversification (NIDR) ratio. This mean when NIDR increa</w:t>
      </w:r>
      <w:r w:rsidR="00991799">
        <w:t>se profitability increase (+.328</w:t>
      </w:r>
      <w:r>
        <w:t>).</w:t>
      </w:r>
    </w:p>
    <w:p w:rsidR="00A8717D" w:rsidRDefault="00EA7B5B" w:rsidP="00F873C9">
      <w:pPr>
        <w:pStyle w:val="Default"/>
        <w:numPr>
          <w:ilvl w:val="0"/>
          <w:numId w:val="27"/>
        </w:numPr>
        <w:spacing w:line="360" w:lineRule="auto"/>
        <w:jc w:val="both"/>
      </w:pPr>
      <w:r>
        <w:t>A strong negative correlation bet</w:t>
      </w:r>
      <w:r w:rsidR="00991799">
        <w:t>ween the dependent variable (ROE</w:t>
      </w:r>
      <w:r>
        <w:t>), profitability measure and operation efficiency (OPNI) ratio. This mean when operational expenses increa</w:t>
      </w:r>
      <w:r w:rsidR="00991799">
        <w:t>se profitability decrease (-.508</w:t>
      </w:r>
      <w:r>
        <w:t xml:space="preserve">). </w:t>
      </w:r>
    </w:p>
    <w:p w:rsidR="00280124" w:rsidRPr="00853896" w:rsidRDefault="00280124" w:rsidP="00280124">
      <w:pPr>
        <w:pStyle w:val="Default"/>
        <w:spacing w:line="360" w:lineRule="auto"/>
        <w:ind w:left="720"/>
        <w:rPr>
          <w:sz w:val="16"/>
          <w:szCs w:val="16"/>
        </w:rPr>
      </w:pPr>
    </w:p>
    <w:p w:rsidR="006C5F91" w:rsidRDefault="006C5F91" w:rsidP="00991799">
      <w:pPr>
        <w:autoSpaceDE w:val="0"/>
        <w:autoSpaceDN w:val="0"/>
        <w:adjustRightInd w:val="0"/>
        <w:spacing w:after="0" w:line="360" w:lineRule="auto"/>
        <w:rPr>
          <w:rFonts w:asciiTheme="majorBidi" w:hAnsiTheme="majorBidi" w:cstheme="majorBidi"/>
          <w:b/>
          <w:bCs/>
          <w:sz w:val="24"/>
          <w:szCs w:val="24"/>
        </w:rPr>
      </w:pPr>
    </w:p>
    <w:p w:rsidR="00991799" w:rsidRDefault="00991799" w:rsidP="00991799">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4.3.2</w:t>
      </w:r>
      <w:r w:rsidRPr="006A4765">
        <w:rPr>
          <w:rFonts w:asciiTheme="majorBidi" w:hAnsiTheme="majorBidi" w:cstheme="majorBidi"/>
          <w:b/>
          <w:bCs/>
          <w:sz w:val="24"/>
          <w:szCs w:val="24"/>
        </w:rPr>
        <w:t>.2</w:t>
      </w:r>
      <w:r w:rsidR="001E1F07">
        <w:rPr>
          <w:rFonts w:asciiTheme="majorBidi" w:hAnsiTheme="majorBidi" w:cstheme="majorBidi"/>
          <w:b/>
          <w:bCs/>
          <w:sz w:val="24"/>
          <w:szCs w:val="24"/>
        </w:rPr>
        <w:t>. Multiple R</w:t>
      </w:r>
      <w:r w:rsidR="002302DA">
        <w:rPr>
          <w:rFonts w:asciiTheme="majorBidi" w:hAnsiTheme="majorBidi" w:cstheme="majorBidi"/>
          <w:b/>
          <w:bCs/>
          <w:sz w:val="24"/>
          <w:szCs w:val="24"/>
        </w:rPr>
        <w:t>egression R</w:t>
      </w:r>
      <w:r>
        <w:rPr>
          <w:rFonts w:asciiTheme="majorBidi" w:hAnsiTheme="majorBidi" w:cstheme="majorBidi"/>
          <w:b/>
          <w:bCs/>
          <w:sz w:val="24"/>
          <w:szCs w:val="24"/>
        </w:rPr>
        <w:t xml:space="preserve">esults </w:t>
      </w:r>
      <w:r w:rsidR="000654BE">
        <w:rPr>
          <w:rFonts w:asciiTheme="majorBidi" w:hAnsiTheme="majorBidi" w:cstheme="majorBidi"/>
          <w:b/>
          <w:bCs/>
          <w:sz w:val="24"/>
          <w:szCs w:val="24"/>
        </w:rPr>
        <w:t xml:space="preserve">for Model </w:t>
      </w:r>
      <w:r w:rsidR="000654BE" w:rsidRPr="00D665C9">
        <w:rPr>
          <w:rFonts w:asciiTheme="majorBidi" w:hAnsiTheme="majorBidi" w:cstheme="majorBidi"/>
          <w:b/>
          <w:bCs/>
          <w:sz w:val="24"/>
          <w:szCs w:val="24"/>
        </w:rPr>
        <w:t>II</w:t>
      </w:r>
    </w:p>
    <w:p w:rsidR="00853896" w:rsidRDefault="00991799" w:rsidP="0099179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This part</w:t>
      </w:r>
      <w:r w:rsidRPr="00894435">
        <w:rPr>
          <w:rFonts w:asciiTheme="majorBidi" w:hAnsiTheme="majorBidi" w:cstheme="majorBidi"/>
          <w:sz w:val="24"/>
          <w:szCs w:val="24"/>
        </w:rPr>
        <w:t xml:space="preserve"> aimed at establishing the relationship between the profitability of commercial banks</w:t>
      </w:r>
      <w:r w:rsidR="00BC519E">
        <w:rPr>
          <w:rFonts w:asciiTheme="majorBidi" w:hAnsiTheme="majorBidi" w:cstheme="majorBidi"/>
          <w:sz w:val="24"/>
          <w:szCs w:val="24"/>
        </w:rPr>
        <w:t xml:space="preserve"> measured by Return On E</w:t>
      </w:r>
      <w:r>
        <w:rPr>
          <w:rFonts w:asciiTheme="majorBidi" w:hAnsiTheme="majorBidi" w:cstheme="majorBidi"/>
          <w:sz w:val="24"/>
          <w:szCs w:val="24"/>
        </w:rPr>
        <w:t>quity (ROE) and the five</w:t>
      </w:r>
      <w:r w:rsidRPr="00894435">
        <w:rPr>
          <w:rFonts w:asciiTheme="majorBidi" w:hAnsiTheme="majorBidi" w:cstheme="majorBidi"/>
          <w:sz w:val="24"/>
          <w:szCs w:val="24"/>
        </w:rPr>
        <w:t xml:space="preserve"> explanatory variables</w:t>
      </w:r>
      <w:r>
        <w:rPr>
          <w:rFonts w:asciiTheme="majorBidi" w:hAnsiTheme="majorBidi" w:cstheme="majorBidi"/>
          <w:sz w:val="24"/>
          <w:szCs w:val="24"/>
        </w:rPr>
        <w:t xml:space="preserve"> of credit risk management (independent variables) for all banks to</w:t>
      </w:r>
      <w:r w:rsidR="004D6F26">
        <w:rPr>
          <w:rFonts w:asciiTheme="majorBidi" w:hAnsiTheme="majorBidi" w:cstheme="majorBidi"/>
          <w:sz w:val="24"/>
          <w:szCs w:val="24"/>
        </w:rPr>
        <w:t>gether,</w:t>
      </w:r>
      <w:r>
        <w:rPr>
          <w:rFonts w:asciiTheme="majorBidi" w:hAnsiTheme="majorBidi" w:cstheme="majorBidi"/>
          <w:sz w:val="24"/>
          <w:szCs w:val="24"/>
        </w:rPr>
        <w:t xml:space="preserve"> </w:t>
      </w:r>
      <w:r>
        <w:rPr>
          <w:rFonts w:asciiTheme="majorBidi" w:hAnsiTheme="majorBidi" w:cstheme="majorBidi"/>
          <w:color w:val="000000" w:themeColor="text1"/>
          <w:sz w:val="24"/>
          <w:szCs w:val="24"/>
        </w:rPr>
        <w:t>t</w:t>
      </w:r>
      <w:r w:rsidRPr="00263682">
        <w:rPr>
          <w:rFonts w:asciiTheme="majorBidi" w:hAnsiTheme="majorBidi" w:cstheme="majorBidi"/>
          <w:color w:val="000000" w:themeColor="text1"/>
          <w:sz w:val="24"/>
          <w:szCs w:val="24"/>
        </w:rPr>
        <w:t>he F-Test to examine the appropriateness of the model as a whole</w:t>
      </w:r>
      <w:r w:rsidR="004D6F26">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the</w:t>
      </w:r>
      <w:r w:rsidR="00BC519E">
        <w:rPr>
          <w:rFonts w:asciiTheme="majorBidi" w:hAnsiTheme="majorBidi" w:cstheme="majorBidi"/>
          <w:sz w:val="24"/>
          <w:szCs w:val="24"/>
        </w:rPr>
        <w:t xml:space="preserve"> </w:t>
      </w:r>
      <w:r w:rsidRPr="00EB0D50">
        <w:rPr>
          <w:rFonts w:asciiTheme="majorBidi" w:hAnsiTheme="majorBidi" w:cstheme="majorBidi"/>
          <w:sz w:val="24"/>
          <w:szCs w:val="24"/>
        </w:rPr>
        <w:t>R Square analysis</w:t>
      </w:r>
      <w:r w:rsidR="004D6F26">
        <w:rPr>
          <w:rFonts w:asciiTheme="majorBidi" w:hAnsiTheme="majorBidi" w:cstheme="majorBidi"/>
          <w:sz w:val="24"/>
          <w:szCs w:val="24"/>
        </w:rPr>
        <w:t xml:space="preserve">, the </w:t>
      </w:r>
      <w:r w:rsidR="004D6F26" w:rsidRPr="00162349">
        <w:rPr>
          <w:rFonts w:asciiTheme="majorBidi" w:hAnsiTheme="majorBidi" w:cstheme="majorBidi"/>
          <w:sz w:val="24"/>
          <w:szCs w:val="24"/>
        </w:rPr>
        <w:t>Multicolinearity test</w:t>
      </w:r>
      <w:r w:rsidR="004D6F26">
        <w:rPr>
          <w:rFonts w:asciiTheme="majorBidi" w:hAnsiTheme="majorBidi" w:cstheme="majorBidi"/>
          <w:sz w:val="24"/>
          <w:szCs w:val="24"/>
        </w:rPr>
        <w:t xml:space="preserve"> and the relationship between each independent and dependant variable</w:t>
      </w:r>
      <w:r w:rsidR="00BC519E">
        <w:rPr>
          <w:rFonts w:asciiTheme="majorBidi" w:hAnsiTheme="majorBidi" w:cstheme="majorBidi"/>
          <w:sz w:val="24"/>
          <w:szCs w:val="24"/>
        </w:rPr>
        <w:t xml:space="preserve"> (see Appendix 5 in full details).</w:t>
      </w:r>
      <w:r w:rsidR="004D6F26">
        <w:rPr>
          <w:rFonts w:asciiTheme="majorBidi" w:hAnsiTheme="majorBidi" w:cstheme="majorBidi"/>
          <w:sz w:val="24"/>
          <w:szCs w:val="24"/>
        </w:rPr>
        <w:t xml:space="preserve"> </w:t>
      </w:r>
    </w:p>
    <w:p w:rsidR="00AC6FAE" w:rsidRPr="00CB4F20" w:rsidRDefault="00AC6FAE" w:rsidP="00991799">
      <w:pPr>
        <w:autoSpaceDE w:val="0"/>
        <w:autoSpaceDN w:val="0"/>
        <w:adjustRightInd w:val="0"/>
        <w:spacing w:after="0" w:line="360" w:lineRule="auto"/>
        <w:jc w:val="both"/>
        <w:rPr>
          <w:rFonts w:asciiTheme="majorBidi" w:hAnsiTheme="majorBidi" w:cstheme="majorBidi"/>
          <w:sz w:val="24"/>
          <w:szCs w:val="24"/>
        </w:rPr>
      </w:pPr>
    </w:p>
    <w:p w:rsidR="00991799" w:rsidRDefault="00991799" w:rsidP="0099179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4.3.2.2.1</w:t>
      </w:r>
      <w:r w:rsidR="00A1663B">
        <w:rPr>
          <w:rFonts w:asciiTheme="majorBidi" w:hAnsiTheme="majorBidi" w:cstheme="majorBidi"/>
          <w:b/>
          <w:bCs/>
          <w:sz w:val="24"/>
          <w:szCs w:val="24"/>
        </w:rPr>
        <w:t>The R</w:t>
      </w:r>
      <w:r w:rsidRPr="002239E9">
        <w:rPr>
          <w:rFonts w:asciiTheme="majorBidi" w:hAnsiTheme="majorBidi" w:cstheme="majorBidi"/>
          <w:b/>
          <w:bCs/>
          <w:sz w:val="24"/>
          <w:szCs w:val="24"/>
        </w:rPr>
        <w:t>elationship</w:t>
      </w:r>
      <w:r w:rsidR="00A1663B">
        <w:rPr>
          <w:rFonts w:asciiTheme="majorBidi" w:hAnsiTheme="majorBidi" w:cstheme="majorBidi"/>
          <w:b/>
          <w:bCs/>
          <w:sz w:val="24"/>
          <w:szCs w:val="24"/>
        </w:rPr>
        <w:t xml:space="preserve"> </w:t>
      </w:r>
      <w:r w:rsidR="006952A8">
        <w:rPr>
          <w:rFonts w:asciiTheme="majorBidi" w:hAnsiTheme="majorBidi" w:cstheme="majorBidi"/>
          <w:b/>
          <w:bCs/>
          <w:sz w:val="24"/>
          <w:szCs w:val="24"/>
        </w:rPr>
        <w:t>between</w:t>
      </w:r>
      <w:r w:rsidR="001E1F07">
        <w:rPr>
          <w:rFonts w:asciiTheme="majorBidi" w:hAnsiTheme="majorBidi" w:cstheme="majorBidi"/>
          <w:b/>
          <w:bCs/>
          <w:sz w:val="24"/>
          <w:szCs w:val="24"/>
        </w:rPr>
        <w:t xml:space="preserve"> Credit </w:t>
      </w:r>
      <w:r w:rsidR="002302DA">
        <w:rPr>
          <w:rFonts w:asciiTheme="majorBidi" w:hAnsiTheme="majorBidi" w:cstheme="majorBidi"/>
          <w:b/>
          <w:bCs/>
          <w:sz w:val="24"/>
          <w:szCs w:val="24"/>
        </w:rPr>
        <w:t>R</w:t>
      </w:r>
      <w:r w:rsidR="001E1F07">
        <w:rPr>
          <w:rFonts w:asciiTheme="majorBidi" w:hAnsiTheme="majorBidi" w:cstheme="majorBidi"/>
          <w:b/>
          <w:bCs/>
          <w:sz w:val="24"/>
          <w:szCs w:val="24"/>
        </w:rPr>
        <w:t>i</w:t>
      </w:r>
      <w:r w:rsidR="002302DA">
        <w:rPr>
          <w:rFonts w:asciiTheme="majorBidi" w:hAnsiTheme="majorBidi" w:cstheme="majorBidi"/>
          <w:b/>
          <w:bCs/>
          <w:sz w:val="24"/>
          <w:szCs w:val="24"/>
        </w:rPr>
        <w:t>sk M</w:t>
      </w:r>
      <w:r w:rsidRPr="001B6D4E">
        <w:rPr>
          <w:rFonts w:asciiTheme="majorBidi" w:hAnsiTheme="majorBidi" w:cstheme="majorBidi"/>
          <w:b/>
          <w:bCs/>
          <w:sz w:val="24"/>
          <w:szCs w:val="24"/>
        </w:rPr>
        <w:t>anagement and</w:t>
      </w:r>
      <w:r w:rsidR="00F6034A">
        <w:rPr>
          <w:rFonts w:asciiTheme="majorBidi" w:hAnsiTheme="majorBidi" w:cstheme="majorBidi"/>
          <w:b/>
          <w:bCs/>
          <w:sz w:val="24"/>
          <w:szCs w:val="24"/>
        </w:rPr>
        <w:t xml:space="preserve"> Profitability (ROE) in A</w:t>
      </w:r>
      <w:r w:rsidR="002302DA">
        <w:rPr>
          <w:rFonts w:asciiTheme="majorBidi" w:hAnsiTheme="majorBidi" w:cstheme="majorBidi"/>
          <w:b/>
          <w:bCs/>
          <w:sz w:val="24"/>
          <w:szCs w:val="24"/>
        </w:rPr>
        <w:t>ll B</w:t>
      </w:r>
      <w:r>
        <w:rPr>
          <w:rFonts w:asciiTheme="majorBidi" w:hAnsiTheme="majorBidi" w:cstheme="majorBidi"/>
          <w:b/>
          <w:bCs/>
          <w:sz w:val="24"/>
          <w:szCs w:val="24"/>
        </w:rPr>
        <w:t xml:space="preserve">anks  </w:t>
      </w:r>
    </w:p>
    <w:p w:rsidR="00694DE5" w:rsidRPr="00473DA0" w:rsidRDefault="00991799" w:rsidP="00473DA0">
      <w:pPr>
        <w:autoSpaceDE w:val="0"/>
        <w:autoSpaceDN w:val="0"/>
        <w:adjustRightInd w:val="0"/>
        <w:spacing w:after="0" w:line="360" w:lineRule="auto"/>
        <w:jc w:val="both"/>
        <w:rPr>
          <w:rFonts w:asciiTheme="majorBidi" w:hAnsiTheme="majorBidi" w:cstheme="majorBidi"/>
          <w:color w:val="000000" w:themeColor="text1"/>
          <w:sz w:val="24"/>
          <w:szCs w:val="24"/>
        </w:rPr>
      </w:pPr>
      <w:r w:rsidRPr="006C4A60">
        <w:rPr>
          <w:rFonts w:asciiTheme="majorBidi" w:hAnsiTheme="majorBidi" w:cstheme="majorBidi"/>
          <w:color w:val="000000" w:themeColor="text1"/>
          <w:sz w:val="24"/>
          <w:szCs w:val="24"/>
        </w:rPr>
        <w:t>The equation</w:t>
      </w:r>
      <w:r>
        <w:rPr>
          <w:rFonts w:asciiTheme="majorBidi" w:hAnsiTheme="majorBidi" w:cstheme="majorBidi"/>
          <w:color w:val="000000" w:themeColor="text1"/>
          <w:sz w:val="24"/>
          <w:szCs w:val="24"/>
        </w:rPr>
        <w:t xml:space="preserve"> below,</w:t>
      </w:r>
      <w:r w:rsidRPr="006C4A60">
        <w:rPr>
          <w:rFonts w:asciiTheme="majorBidi" w:hAnsiTheme="majorBidi" w:cstheme="majorBidi"/>
          <w:color w:val="000000" w:themeColor="text1"/>
          <w:sz w:val="24"/>
          <w:szCs w:val="24"/>
        </w:rPr>
        <w:t xml:space="preserve"> referred to the linear</w:t>
      </w:r>
      <w:r>
        <w:rPr>
          <w:rFonts w:asciiTheme="majorBidi" w:hAnsiTheme="majorBidi" w:cstheme="majorBidi"/>
          <w:color w:val="000000" w:themeColor="text1"/>
          <w:sz w:val="24"/>
          <w:szCs w:val="24"/>
        </w:rPr>
        <w:t xml:space="preserve"> regression equation of dependent</w:t>
      </w:r>
      <w:r w:rsidR="000654BE">
        <w:rPr>
          <w:rFonts w:asciiTheme="majorBidi" w:hAnsiTheme="majorBidi" w:cstheme="majorBidi"/>
          <w:color w:val="000000" w:themeColor="text1"/>
          <w:sz w:val="24"/>
          <w:szCs w:val="24"/>
        </w:rPr>
        <w:t xml:space="preserve"> (ROE)</w:t>
      </w:r>
      <w:r w:rsidRPr="006C4A60">
        <w:rPr>
          <w:rFonts w:asciiTheme="majorBidi" w:hAnsiTheme="majorBidi" w:cstheme="majorBidi"/>
          <w:color w:val="000000" w:themeColor="text1"/>
          <w:sz w:val="24"/>
          <w:szCs w:val="24"/>
        </w:rPr>
        <w:t xml:space="preserve"> and independent variables</w:t>
      </w:r>
      <w:r>
        <w:rPr>
          <w:rFonts w:asciiTheme="majorBidi" w:hAnsiTheme="majorBidi" w:cstheme="majorBidi"/>
          <w:color w:val="000000" w:themeColor="text1"/>
          <w:sz w:val="24"/>
          <w:szCs w:val="24"/>
        </w:rPr>
        <w:t xml:space="preserve"> b</w:t>
      </w:r>
      <w:r w:rsidR="00BC519E">
        <w:rPr>
          <w:rFonts w:asciiTheme="majorBidi" w:hAnsiTheme="majorBidi" w:cstheme="majorBidi"/>
          <w:color w:val="000000" w:themeColor="text1"/>
          <w:sz w:val="24"/>
          <w:szCs w:val="24"/>
        </w:rPr>
        <w:t>ased on the regression analysis</w:t>
      </w:r>
      <w:r>
        <w:rPr>
          <w:rFonts w:asciiTheme="majorBidi" w:hAnsiTheme="majorBidi" w:cstheme="majorBidi"/>
          <w:color w:val="000000" w:themeColor="text1"/>
          <w:sz w:val="24"/>
          <w:szCs w:val="24"/>
        </w:rPr>
        <w:t>;</w:t>
      </w:r>
    </w:p>
    <w:p w:rsidR="00B14580" w:rsidRDefault="00991799" w:rsidP="0093260F">
      <w:pPr>
        <w:autoSpaceDE w:val="0"/>
        <w:autoSpaceDN w:val="0"/>
        <w:adjustRightInd w:val="0"/>
        <w:spacing w:after="0" w:line="360" w:lineRule="auto"/>
        <w:jc w:val="both"/>
        <w:rPr>
          <w:rFonts w:asciiTheme="majorBidi" w:hAnsiTheme="majorBidi" w:cstheme="majorBidi"/>
          <w:b/>
          <w:bCs/>
          <w:i/>
          <w:iCs/>
          <w:sz w:val="24"/>
          <w:szCs w:val="24"/>
        </w:rPr>
      </w:pPr>
      <w:r w:rsidRPr="00991799">
        <w:rPr>
          <w:rFonts w:asciiTheme="majorBidi" w:hAnsiTheme="majorBidi" w:cstheme="majorBidi"/>
          <w:b/>
          <w:bCs/>
          <w:sz w:val="24"/>
          <w:szCs w:val="24"/>
        </w:rPr>
        <w:t>ROE=</w:t>
      </w:r>
      <w:r>
        <w:rPr>
          <w:rFonts w:asciiTheme="majorBidi" w:hAnsiTheme="majorBidi" w:cstheme="majorBidi"/>
          <w:b/>
          <w:bCs/>
          <w:sz w:val="24"/>
          <w:szCs w:val="24"/>
        </w:rPr>
        <w:t xml:space="preserve"> 11.03 - .090 NPLR - .080 EQTA - .213 LLPI + .322 NIDR - .094 OPNI + </w:t>
      </w:r>
      <w:r w:rsidRPr="001B6D4E">
        <w:rPr>
          <w:rFonts w:asciiTheme="majorBidi" w:hAnsiTheme="majorBidi" w:cstheme="majorBidi"/>
          <w:b/>
          <w:bCs/>
          <w:i/>
          <w:iCs/>
          <w:sz w:val="24"/>
          <w:szCs w:val="24"/>
        </w:rPr>
        <w:t>ε</w:t>
      </w:r>
    </w:p>
    <w:p w:rsidR="00B14580" w:rsidRDefault="00377841" w:rsidP="0037784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T (1.094) T (-.527)    T (-.418)      T (-1.639)   T </w:t>
      </w:r>
      <w:r w:rsidR="004007A2">
        <w:rPr>
          <w:rFonts w:asciiTheme="majorBidi" w:hAnsiTheme="majorBidi" w:cstheme="majorBidi"/>
          <w:b/>
          <w:bCs/>
          <w:sz w:val="24"/>
          <w:szCs w:val="24"/>
        </w:rPr>
        <w:t>(+</w:t>
      </w:r>
      <w:r>
        <w:rPr>
          <w:rFonts w:asciiTheme="majorBidi" w:hAnsiTheme="majorBidi" w:cstheme="majorBidi"/>
          <w:b/>
          <w:bCs/>
          <w:sz w:val="24"/>
          <w:szCs w:val="24"/>
        </w:rPr>
        <w:t xml:space="preserve">1.651)    T </w:t>
      </w:r>
      <w:r w:rsidR="004007A2">
        <w:rPr>
          <w:rFonts w:asciiTheme="majorBidi" w:hAnsiTheme="majorBidi" w:cstheme="majorBidi"/>
          <w:b/>
          <w:bCs/>
          <w:sz w:val="24"/>
          <w:szCs w:val="24"/>
        </w:rPr>
        <w:t>(-</w:t>
      </w:r>
      <w:r>
        <w:rPr>
          <w:rFonts w:asciiTheme="majorBidi" w:hAnsiTheme="majorBidi" w:cstheme="majorBidi"/>
          <w:b/>
          <w:bCs/>
          <w:sz w:val="24"/>
          <w:szCs w:val="24"/>
        </w:rPr>
        <w:t>1.450)</w:t>
      </w:r>
    </w:p>
    <w:p w:rsidR="00377841" w:rsidRPr="00377841" w:rsidRDefault="00377841" w:rsidP="0037784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Sig (.283)   (.602)         (.679)          (.112)              (.110)        (.158)</w:t>
      </w:r>
    </w:p>
    <w:p w:rsidR="00C94370" w:rsidRDefault="00C94370" w:rsidP="00C94370">
      <w:pPr>
        <w:autoSpaceDE w:val="0"/>
        <w:autoSpaceDN w:val="0"/>
        <w:adjustRightInd w:val="0"/>
        <w:spacing w:after="0" w:line="360" w:lineRule="auto"/>
        <w:jc w:val="both"/>
        <w:rPr>
          <w:rFonts w:ascii="TimesNewRoman" w:hAnsi="TimesNewRoman" w:cs="TimesNewRoman"/>
          <w:sz w:val="24"/>
          <w:szCs w:val="24"/>
        </w:rPr>
      </w:pPr>
      <w:r w:rsidRPr="001F3821">
        <w:rPr>
          <w:rFonts w:asciiTheme="majorBidi" w:hAnsiTheme="majorBidi" w:cstheme="majorBidi"/>
          <w:sz w:val="24"/>
          <w:szCs w:val="24"/>
        </w:rPr>
        <w:t>The re</w:t>
      </w:r>
      <w:r w:rsidR="004007A2">
        <w:rPr>
          <w:rFonts w:asciiTheme="majorBidi" w:hAnsiTheme="majorBidi" w:cstheme="majorBidi"/>
          <w:sz w:val="24"/>
          <w:szCs w:val="24"/>
        </w:rPr>
        <w:t>sults show</w:t>
      </w:r>
      <w:r w:rsidR="00A1663B">
        <w:rPr>
          <w:rFonts w:asciiTheme="majorBidi" w:hAnsiTheme="majorBidi" w:cstheme="majorBidi"/>
          <w:sz w:val="24"/>
          <w:szCs w:val="24"/>
        </w:rPr>
        <w:t>ed that NPLR affected</w:t>
      </w:r>
      <w:r w:rsidR="004007A2">
        <w:rPr>
          <w:rFonts w:asciiTheme="majorBidi" w:hAnsiTheme="majorBidi" w:cstheme="majorBidi"/>
          <w:sz w:val="24"/>
          <w:szCs w:val="24"/>
        </w:rPr>
        <w:t xml:space="preserve"> ROE</w:t>
      </w:r>
      <w:r w:rsidRPr="001F3821">
        <w:rPr>
          <w:rFonts w:asciiTheme="majorBidi" w:hAnsiTheme="majorBidi" w:cstheme="majorBidi"/>
          <w:sz w:val="24"/>
          <w:szCs w:val="24"/>
        </w:rPr>
        <w:t xml:space="preserve"> n</w:t>
      </w:r>
      <w:r w:rsidR="00A1663B">
        <w:rPr>
          <w:rFonts w:asciiTheme="majorBidi" w:hAnsiTheme="majorBidi" w:cstheme="majorBidi"/>
          <w:sz w:val="24"/>
          <w:szCs w:val="24"/>
        </w:rPr>
        <w:t>egatively. NPLR β coefficient was</w:t>
      </w:r>
      <w:r w:rsidRPr="001F3821">
        <w:rPr>
          <w:rFonts w:asciiTheme="majorBidi" w:hAnsiTheme="majorBidi" w:cstheme="majorBidi"/>
          <w:sz w:val="24"/>
          <w:szCs w:val="24"/>
        </w:rPr>
        <w:t xml:space="preserve"> </w:t>
      </w:r>
      <w:r w:rsidR="004007A2">
        <w:rPr>
          <w:rFonts w:asciiTheme="majorBidi" w:hAnsiTheme="majorBidi" w:cstheme="majorBidi"/>
          <w:sz w:val="24"/>
          <w:szCs w:val="24"/>
        </w:rPr>
        <w:t>-.090</w:t>
      </w:r>
      <w:r w:rsidR="00A1663B">
        <w:rPr>
          <w:rFonts w:asciiTheme="majorBidi" w:hAnsiTheme="majorBidi" w:cstheme="majorBidi"/>
          <w:sz w:val="24"/>
          <w:szCs w:val="24"/>
        </w:rPr>
        <w:t xml:space="preserve"> </w:t>
      </w:r>
      <w:r>
        <w:rPr>
          <w:rFonts w:ascii="TimesNewRoman" w:hAnsi="TimesNewRoman" w:cs="TimesNewRoman"/>
          <w:sz w:val="24"/>
          <w:szCs w:val="24"/>
        </w:rPr>
        <w:t>which means that one uni</w:t>
      </w:r>
      <w:r w:rsidR="004007A2">
        <w:rPr>
          <w:rFonts w:ascii="TimesNewRoman" w:hAnsi="TimesNewRoman" w:cs="TimesNewRoman"/>
          <w:sz w:val="24"/>
          <w:szCs w:val="24"/>
        </w:rPr>
        <w:t>t increase in NPLR decreases ROE by 9</w:t>
      </w:r>
      <w:r>
        <w:rPr>
          <w:rFonts w:ascii="TimesNewRoman" w:hAnsi="TimesNewRoman" w:cs="TimesNewRoman"/>
          <w:sz w:val="24"/>
          <w:szCs w:val="24"/>
        </w:rPr>
        <w:t>% unit while the rest of variables are held constant. The statist</w:t>
      </w:r>
      <w:r w:rsidR="004007A2">
        <w:rPr>
          <w:rFonts w:ascii="TimesNewRoman" w:hAnsi="TimesNewRoman" w:cs="TimesNewRoman"/>
          <w:sz w:val="24"/>
          <w:szCs w:val="24"/>
        </w:rPr>
        <w:t>ica</w:t>
      </w:r>
      <w:r w:rsidR="00BC519E">
        <w:rPr>
          <w:rFonts w:ascii="TimesNewRoman" w:hAnsi="TimesNewRoman" w:cs="TimesNewRoman"/>
          <w:sz w:val="24"/>
          <w:szCs w:val="24"/>
        </w:rPr>
        <w:t xml:space="preserve">l significance of NPLR on ROE was </w:t>
      </w:r>
      <w:r w:rsidR="004007A2">
        <w:rPr>
          <w:rFonts w:ascii="TimesNewRoman" w:hAnsi="TimesNewRoman" w:cs="TimesNewRoman"/>
          <w:sz w:val="24"/>
          <w:szCs w:val="24"/>
        </w:rPr>
        <w:t>.602 which is more</w:t>
      </w:r>
      <w:r w:rsidR="00BC519E">
        <w:rPr>
          <w:rFonts w:ascii="TimesNewRoman" w:hAnsi="TimesNewRoman" w:cs="TimesNewRoman"/>
          <w:sz w:val="24"/>
          <w:szCs w:val="24"/>
        </w:rPr>
        <w:t xml:space="preserve"> than 0.05. </w:t>
      </w:r>
      <w:r>
        <w:rPr>
          <w:rFonts w:ascii="TimesNewRoman" w:hAnsi="TimesNewRoman" w:cs="TimesNewRoman"/>
          <w:sz w:val="24"/>
          <w:szCs w:val="24"/>
        </w:rPr>
        <w:t xml:space="preserve">This means </w:t>
      </w:r>
      <w:r w:rsidR="004007A2">
        <w:rPr>
          <w:rFonts w:ascii="TimesNewRoman" w:hAnsi="TimesNewRoman" w:cs="TimesNewRoman"/>
          <w:sz w:val="24"/>
          <w:szCs w:val="24"/>
        </w:rPr>
        <w:t>that NPLR predicts effect on ROE with 39.8</w:t>
      </w:r>
      <w:r>
        <w:rPr>
          <w:rFonts w:ascii="TimesNewRoman" w:hAnsi="TimesNewRoman" w:cs="TimesNewRoman"/>
          <w:sz w:val="24"/>
          <w:szCs w:val="24"/>
        </w:rPr>
        <w:t>% probability. According to EQTA</w:t>
      </w:r>
      <w:r w:rsidR="00BC519E">
        <w:rPr>
          <w:rFonts w:ascii="TimesNewRoman" w:hAnsi="TimesNewRoman" w:cs="TimesNewRoman"/>
          <w:sz w:val="24"/>
          <w:szCs w:val="24"/>
        </w:rPr>
        <w:t xml:space="preserve"> ratio</w:t>
      </w:r>
      <w:r>
        <w:rPr>
          <w:rFonts w:ascii="TimesNewRoman" w:hAnsi="TimesNewRoman" w:cs="TimesNewRoman"/>
          <w:sz w:val="24"/>
          <w:szCs w:val="24"/>
        </w:rPr>
        <w:t>, it a</w:t>
      </w:r>
      <w:r w:rsidR="00A1663B">
        <w:rPr>
          <w:rFonts w:ascii="TimesNewRoman" w:hAnsi="TimesNewRoman" w:cs="TimesNewRoman"/>
          <w:sz w:val="24"/>
          <w:szCs w:val="24"/>
        </w:rPr>
        <w:t>lso had</w:t>
      </w:r>
      <w:r w:rsidR="004007A2">
        <w:rPr>
          <w:rFonts w:ascii="TimesNewRoman" w:hAnsi="TimesNewRoman" w:cs="TimesNewRoman"/>
          <w:sz w:val="24"/>
          <w:szCs w:val="24"/>
        </w:rPr>
        <w:t xml:space="preserve"> a negative effect on ROE</w:t>
      </w:r>
      <w:r>
        <w:rPr>
          <w:rFonts w:ascii="TimesNewRoman" w:hAnsi="TimesNewRoman" w:cs="TimesNewRoman"/>
          <w:sz w:val="24"/>
          <w:szCs w:val="24"/>
        </w:rPr>
        <w:t xml:space="preserve"> with </w:t>
      </w:r>
      <w:r w:rsidRPr="001F3821">
        <w:rPr>
          <w:rFonts w:asciiTheme="majorBidi" w:hAnsiTheme="majorBidi" w:cstheme="majorBidi"/>
          <w:sz w:val="24"/>
          <w:szCs w:val="24"/>
        </w:rPr>
        <w:t>β coefficient</w:t>
      </w:r>
      <w:r w:rsidR="004007A2">
        <w:rPr>
          <w:rFonts w:asciiTheme="majorBidi" w:hAnsiTheme="majorBidi" w:cstheme="majorBidi"/>
          <w:sz w:val="24"/>
          <w:szCs w:val="24"/>
        </w:rPr>
        <w:t xml:space="preserve"> of -.080</w:t>
      </w:r>
      <w:r>
        <w:rPr>
          <w:rFonts w:asciiTheme="majorBidi" w:hAnsiTheme="majorBidi" w:cstheme="majorBidi"/>
          <w:sz w:val="24"/>
          <w:szCs w:val="24"/>
        </w:rPr>
        <w:t xml:space="preserve">. </w:t>
      </w:r>
      <w:r>
        <w:rPr>
          <w:rFonts w:ascii="TimesNewRoman" w:hAnsi="TimesNewRoman" w:cs="TimesNewRoman"/>
          <w:sz w:val="24"/>
          <w:szCs w:val="24"/>
        </w:rPr>
        <w:t xml:space="preserve">This indicates that one unit increases in </w:t>
      </w:r>
      <w:r w:rsidR="004007A2">
        <w:rPr>
          <w:rFonts w:ascii="TimesNewRoman" w:hAnsi="TimesNewRoman" w:cs="TimesNewRoman"/>
          <w:sz w:val="24"/>
          <w:szCs w:val="24"/>
        </w:rPr>
        <w:t>EQTA will decrease ROE by 8</w:t>
      </w:r>
      <w:r>
        <w:rPr>
          <w:rFonts w:ascii="TimesNewRoman" w:hAnsi="TimesNewRoman" w:cs="TimesNewRoman"/>
          <w:sz w:val="24"/>
          <w:szCs w:val="24"/>
        </w:rPr>
        <w:t>% units, holding the other variables constant. The sta</w:t>
      </w:r>
      <w:r w:rsidR="00BC519E">
        <w:rPr>
          <w:rFonts w:ascii="TimesNewRoman" w:hAnsi="TimesNewRoman" w:cs="TimesNewRoman"/>
          <w:sz w:val="24"/>
          <w:szCs w:val="24"/>
        </w:rPr>
        <w:t>tistical significance of EQTA was</w:t>
      </w:r>
      <w:r>
        <w:rPr>
          <w:rFonts w:ascii="TimesNewRoman" w:hAnsi="TimesNewRoman" w:cs="TimesNewRoman"/>
          <w:sz w:val="24"/>
          <w:szCs w:val="24"/>
        </w:rPr>
        <w:t xml:space="preserve"> </w:t>
      </w:r>
      <w:r w:rsidR="004007A2">
        <w:rPr>
          <w:rFonts w:ascii="TimesNewRoman" w:hAnsi="TimesNewRoman" w:cs="TimesNewRoman"/>
          <w:sz w:val="24"/>
          <w:szCs w:val="24"/>
        </w:rPr>
        <w:t>.679 which is more</w:t>
      </w:r>
      <w:r>
        <w:rPr>
          <w:rFonts w:ascii="TimesNewRoman" w:hAnsi="TimesNewRoman" w:cs="TimesNewRoman"/>
          <w:sz w:val="24"/>
          <w:szCs w:val="24"/>
        </w:rPr>
        <w:t xml:space="preserve"> than 0.05. I</w:t>
      </w:r>
      <w:r w:rsidR="004007A2">
        <w:rPr>
          <w:rFonts w:ascii="TimesNewRoman" w:hAnsi="TimesNewRoman" w:cs="TimesNewRoman"/>
          <w:sz w:val="24"/>
          <w:szCs w:val="24"/>
        </w:rPr>
        <w:t>t implies that EQTA predicts ROE with 32.1</w:t>
      </w:r>
      <w:r>
        <w:rPr>
          <w:rFonts w:ascii="TimesNewRoman" w:hAnsi="TimesNewRoman" w:cs="TimesNewRoman"/>
          <w:sz w:val="24"/>
          <w:szCs w:val="24"/>
        </w:rPr>
        <w:t>% probability.</w:t>
      </w:r>
    </w:p>
    <w:p w:rsidR="00C94370" w:rsidRDefault="00C94370" w:rsidP="00F55D64">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Accordi</w:t>
      </w:r>
      <w:r w:rsidR="004007A2">
        <w:rPr>
          <w:rFonts w:ascii="TimesNewRoman" w:hAnsi="TimesNewRoman" w:cs="TimesNewRoman"/>
          <w:sz w:val="24"/>
          <w:szCs w:val="24"/>
        </w:rPr>
        <w:t>ng to LLPI</w:t>
      </w:r>
      <w:r w:rsidR="00BC519E">
        <w:rPr>
          <w:rFonts w:ascii="TimesNewRoman" w:hAnsi="TimesNewRoman" w:cs="TimesNewRoman"/>
          <w:sz w:val="24"/>
          <w:szCs w:val="24"/>
        </w:rPr>
        <w:t xml:space="preserve"> ratio</w:t>
      </w:r>
      <w:r w:rsidR="004007A2">
        <w:rPr>
          <w:rFonts w:ascii="TimesNewRoman" w:hAnsi="TimesNewRoman" w:cs="TimesNewRoman"/>
          <w:sz w:val="24"/>
          <w:szCs w:val="24"/>
        </w:rPr>
        <w:t xml:space="preserve"> and its effect on ROE</w:t>
      </w:r>
      <w:r>
        <w:rPr>
          <w:rFonts w:ascii="TimesNewRoman" w:hAnsi="TimesNewRoman" w:cs="TimesNewRoman"/>
          <w:sz w:val="24"/>
          <w:szCs w:val="24"/>
        </w:rPr>
        <w:t>, the re</w:t>
      </w:r>
      <w:r w:rsidR="004007A2">
        <w:rPr>
          <w:rFonts w:ascii="TimesNewRoman" w:hAnsi="TimesNewRoman" w:cs="TimesNewRoman"/>
          <w:sz w:val="24"/>
          <w:szCs w:val="24"/>
        </w:rPr>
        <w:t>sults show</w:t>
      </w:r>
      <w:r w:rsidR="00A1663B">
        <w:rPr>
          <w:rFonts w:ascii="TimesNewRoman" w:hAnsi="TimesNewRoman" w:cs="TimesNewRoman"/>
          <w:sz w:val="24"/>
          <w:szCs w:val="24"/>
        </w:rPr>
        <w:t>ed that LLPI affected</w:t>
      </w:r>
      <w:r w:rsidR="004007A2">
        <w:rPr>
          <w:rFonts w:ascii="TimesNewRoman" w:hAnsi="TimesNewRoman" w:cs="TimesNewRoman"/>
          <w:sz w:val="24"/>
          <w:szCs w:val="24"/>
        </w:rPr>
        <w:t xml:space="preserve"> ROE</w:t>
      </w:r>
      <w:r>
        <w:rPr>
          <w:rFonts w:ascii="TimesNewRoman" w:hAnsi="TimesNewRoman" w:cs="TimesNewRoman"/>
          <w:sz w:val="24"/>
          <w:szCs w:val="24"/>
        </w:rPr>
        <w:t xml:space="preserve"> negatively. LLPI </w:t>
      </w:r>
      <w:r w:rsidRPr="001F3821">
        <w:rPr>
          <w:rFonts w:asciiTheme="majorBidi" w:hAnsiTheme="majorBidi" w:cstheme="majorBidi"/>
          <w:sz w:val="24"/>
          <w:szCs w:val="24"/>
        </w:rPr>
        <w:t>β coeffici</w:t>
      </w:r>
      <w:r w:rsidR="00A1663B">
        <w:rPr>
          <w:rFonts w:asciiTheme="majorBidi" w:hAnsiTheme="majorBidi" w:cstheme="majorBidi"/>
          <w:sz w:val="24"/>
          <w:szCs w:val="24"/>
        </w:rPr>
        <w:t>ent was</w:t>
      </w:r>
      <w:r w:rsidR="004007A2">
        <w:rPr>
          <w:rFonts w:asciiTheme="majorBidi" w:hAnsiTheme="majorBidi" w:cstheme="majorBidi"/>
          <w:sz w:val="24"/>
          <w:szCs w:val="24"/>
        </w:rPr>
        <w:t xml:space="preserve"> -.213</w:t>
      </w:r>
      <w:r>
        <w:rPr>
          <w:rFonts w:asciiTheme="majorBidi" w:hAnsiTheme="majorBidi" w:cstheme="majorBidi"/>
          <w:sz w:val="24"/>
          <w:szCs w:val="24"/>
        </w:rPr>
        <w:t xml:space="preserve"> which means that one unit increase in LLPI decre</w:t>
      </w:r>
      <w:r w:rsidR="004007A2">
        <w:rPr>
          <w:rFonts w:asciiTheme="majorBidi" w:hAnsiTheme="majorBidi" w:cstheme="majorBidi"/>
          <w:sz w:val="24"/>
          <w:szCs w:val="24"/>
        </w:rPr>
        <w:t>ases ROE by 21.3</w:t>
      </w:r>
      <w:r>
        <w:rPr>
          <w:rFonts w:asciiTheme="majorBidi" w:hAnsiTheme="majorBidi" w:cstheme="majorBidi"/>
          <w:sz w:val="24"/>
          <w:szCs w:val="24"/>
        </w:rPr>
        <w:t xml:space="preserve">% unit </w:t>
      </w:r>
      <w:r>
        <w:rPr>
          <w:rFonts w:ascii="TimesNewRoman" w:hAnsi="TimesNewRoman" w:cs="TimesNewRoman"/>
          <w:sz w:val="24"/>
          <w:szCs w:val="24"/>
        </w:rPr>
        <w:t>while the rest of variables are held constant. The statist</w:t>
      </w:r>
      <w:r w:rsidR="004007A2">
        <w:rPr>
          <w:rFonts w:ascii="TimesNewRoman" w:hAnsi="TimesNewRoman" w:cs="TimesNewRoman"/>
          <w:sz w:val="24"/>
          <w:szCs w:val="24"/>
        </w:rPr>
        <w:t>ical significance of LLPI on ROE is</w:t>
      </w:r>
      <w:r w:rsidR="006952A8">
        <w:rPr>
          <w:rFonts w:ascii="TimesNewRoman" w:hAnsi="TimesNewRoman" w:cs="TimesNewRoman"/>
          <w:sz w:val="24"/>
          <w:szCs w:val="24"/>
        </w:rPr>
        <w:t xml:space="preserve"> </w:t>
      </w:r>
      <w:r w:rsidR="004007A2">
        <w:rPr>
          <w:rFonts w:ascii="TimesNewRoman" w:hAnsi="TimesNewRoman" w:cs="TimesNewRoman"/>
          <w:sz w:val="24"/>
          <w:szCs w:val="24"/>
        </w:rPr>
        <w:t>-.112 which is higher</w:t>
      </w:r>
      <w:r>
        <w:rPr>
          <w:rFonts w:ascii="TimesNewRoman" w:hAnsi="TimesNewRoman" w:cs="TimesNewRoman"/>
          <w:sz w:val="24"/>
          <w:szCs w:val="24"/>
        </w:rPr>
        <w:t xml:space="preserve"> than 0.05. I</w:t>
      </w:r>
      <w:r w:rsidR="004007A2">
        <w:rPr>
          <w:rFonts w:ascii="TimesNewRoman" w:hAnsi="TimesNewRoman" w:cs="TimesNewRoman"/>
          <w:sz w:val="24"/>
          <w:szCs w:val="24"/>
        </w:rPr>
        <w:t>t implies that LLPI predicts ROE</w:t>
      </w:r>
      <w:r w:rsidR="00E11349">
        <w:rPr>
          <w:rFonts w:ascii="TimesNewRoman" w:hAnsi="TimesNewRoman" w:cs="TimesNewRoman"/>
          <w:sz w:val="24"/>
          <w:szCs w:val="24"/>
        </w:rPr>
        <w:t xml:space="preserve"> with 88.8</w:t>
      </w:r>
      <w:r>
        <w:rPr>
          <w:rFonts w:ascii="TimesNewRoman" w:hAnsi="TimesNewRoman" w:cs="TimesNewRoman"/>
          <w:sz w:val="24"/>
          <w:szCs w:val="24"/>
        </w:rPr>
        <w:t>% probability.</w:t>
      </w:r>
      <w:r w:rsidR="00F55D64">
        <w:rPr>
          <w:rFonts w:ascii="TimesNewRoman" w:hAnsi="TimesNewRoman" w:cs="TimesNewRoman"/>
          <w:sz w:val="24"/>
          <w:szCs w:val="24"/>
        </w:rPr>
        <w:t xml:space="preserve"> </w:t>
      </w:r>
      <w:r>
        <w:rPr>
          <w:rFonts w:ascii="TimesNewRoman" w:hAnsi="TimesNewRoman" w:cs="TimesNewRoman"/>
          <w:sz w:val="24"/>
          <w:szCs w:val="24"/>
        </w:rPr>
        <w:t>NIDR as a proxy o</w:t>
      </w:r>
      <w:r w:rsidR="00A1663B">
        <w:rPr>
          <w:rFonts w:ascii="TimesNewRoman" w:hAnsi="TimesNewRoman" w:cs="TimesNewRoman"/>
          <w:sz w:val="24"/>
          <w:szCs w:val="24"/>
        </w:rPr>
        <w:t>f income diversification affected</w:t>
      </w:r>
      <w:r>
        <w:rPr>
          <w:rFonts w:ascii="TimesNewRoman" w:hAnsi="TimesNewRoman" w:cs="TimesNewRoman"/>
          <w:sz w:val="24"/>
          <w:szCs w:val="24"/>
        </w:rPr>
        <w:t xml:space="preserve"> RO</w:t>
      </w:r>
      <w:r w:rsidR="00E11349">
        <w:rPr>
          <w:rFonts w:ascii="TimesNewRoman" w:hAnsi="TimesNewRoman" w:cs="TimesNewRoman"/>
          <w:sz w:val="24"/>
          <w:szCs w:val="24"/>
        </w:rPr>
        <w:t>E</w:t>
      </w:r>
      <w:r>
        <w:rPr>
          <w:rFonts w:ascii="TimesNewRoman" w:hAnsi="TimesNewRoman" w:cs="TimesNewRoman"/>
          <w:sz w:val="24"/>
          <w:szCs w:val="24"/>
        </w:rPr>
        <w:t xml:space="preserve"> positively. NIDR </w:t>
      </w:r>
      <w:r w:rsidRPr="001F3821">
        <w:rPr>
          <w:rFonts w:asciiTheme="majorBidi" w:hAnsiTheme="majorBidi" w:cstheme="majorBidi"/>
          <w:sz w:val="24"/>
          <w:szCs w:val="24"/>
        </w:rPr>
        <w:t xml:space="preserve">β coefficient </w:t>
      </w:r>
      <w:r w:rsidR="00A1663B">
        <w:rPr>
          <w:rFonts w:asciiTheme="majorBidi" w:hAnsiTheme="majorBidi" w:cstheme="majorBidi"/>
          <w:sz w:val="24"/>
          <w:szCs w:val="24"/>
        </w:rPr>
        <w:t>was</w:t>
      </w:r>
      <w:r w:rsidR="00E11349">
        <w:rPr>
          <w:rFonts w:ascii="TimesNewRoman" w:hAnsi="TimesNewRoman" w:cs="TimesNewRoman"/>
          <w:sz w:val="24"/>
          <w:szCs w:val="24"/>
        </w:rPr>
        <w:t xml:space="preserve"> .322</w:t>
      </w:r>
      <w:r w:rsidR="00A1663B">
        <w:rPr>
          <w:rFonts w:ascii="TimesNewRoman" w:hAnsi="TimesNewRoman" w:cs="TimesNewRoman"/>
          <w:sz w:val="24"/>
          <w:szCs w:val="24"/>
        </w:rPr>
        <w:t xml:space="preserve"> </w:t>
      </w:r>
      <w:r>
        <w:rPr>
          <w:rFonts w:asciiTheme="majorBidi" w:hAnsiTheme="majorBidi" w:cstheme="majorBidi"/>
          <w:sz w:val="24"/>
          <w:szCs w:val="24"/>
        </w:rPr>
        <w:t>which means that one uni</w:t>
      </w:r>
      <w:r w:rsidR="00E11349">
        <w:rPr>
          <w:rFonts w:asciiTheme="majorBidi" w:hAnsiTheme="majorBidi" w:cstheme="majorBidi"/>
          <w:sz w:val="24"/>
          <w:szCs w:val="24"/>
        </w:rPr>
        <w:t>t increase in NIDR increases ROE by 32.2</w:t>
      </w:r>
      <w:r>
        <w:rPr>
          <w:rFonts w:asciiTheme="majorBidi" w:hAnsiTheme="majorBidi" w:cstheme="majorBidi"/>
          <w:sz w:val="24"/>
          <w:szCs w:val="24"/>
        </w:rPr>
        <w:t xml:space="preserve">% units </w:t>
      </w:r>
      <w:r>
        <w:rPr>
          <w:rFonts w:ascii="TimesNewRoman" w:hAnsi="TimesNewRoman" w:cs="TimesNewRoman"/>
          <w:sz w:val="24"/>
          <w:szCs w:val="24"/>
        </w:rPr>
        <w:t>while the rest of variables are held constant. The statist</w:t>
      </w:r>
      <w:r w:rsidR="00E11349">
        <w:rPr>
          <w:rFonts w:ascii="TimesNewRoman" w:hAnsi="TimesNewRoman" w:cs="TimesNewRoman"/>
          <w:sz w:val="24"/>
          <w:szCs w:val="24"/>
        </w:rPr>
        <w:t>ical significance of NIDR on ROE is .110</w:t>
      </w:r>
      <w:r>
        <w:rPr>
          <w:rFonts w:ascii="TimesNewRoman" w:hAnsi="TimesNewRoman" w:cs="TimesNewRoman"/>
          <w:sz w:val="24"/>
          <w:szCs w:val="24"/>
        </w:rPr>
        <w:t xml:space="preserve"> which is a sign of relatively low significance. It implies that NI</w:t>
      </w:r>
      <w:r w:rsidR="00E11349">
        <w:rPr>
          <w:rFonts w:ascii="TimesNewRoman" w:hAnsi="TimesNewRoman" w:cs="TimesNewRoman"/>
          <w:sz w:val="24"/>
          <w:szCs w:val="24"/>
        </w:rPr>
        <w:t>DR predicts ROE with 89</w:t>
      </w:r>
      <w:r>
        <w:rPr>
          <w:rFonts w:ascii="TimesNewRoman" w:hAnsi="TimesNewRoman" w:cs="TimesNewRoman"/>
          <w:sz w:val="24"/>
          <w:szCs w:val="24"/>
        </w:rPr>
        <w:t>% probability.</w:t>
      </w:r>
      <w:r w:rsidR="00F55D64">
        <w:rPr>
          <w:rFonts w:ascii="TimesNewRoman" w:hAnsi="TimesNewRoman" w:cs="TimesNewRoman"/>
          <w:sz w:val="24"/>
          <w:szCs w:val="24"/>
        </w:rPr>
        <w:t xml:space="preserve"> </w:t>
      </w:r>
      <w:r>
        <w:rPr>
          <w:rFonts w:ascii="TimesNewRoman" w:hAnsi="TimesNewRoman" w:cs="TimesNewRoman"/>
          <w:sz w:val="24"/>
          <w:szCs w:val="24"/>
        </w:rPr>
        <w:t>Finally OPNI as a proxy of op</w:t>
      </w:r>
      <w:r w:rsidR="00A1663B">
        <w:rPr>
          <w:rFonts w:ascii="TimesNewRoman" w:hAnsi="TimesNewRoman" w:cs="TimesNewRoman"/>
          <w:sz w:val="24"/>
          <w:szCs w:val="24"/>
        </w:rPr>
        <w:t>erational efficiency affected</w:t>
      </w:r>
      <w:r w:rsidR="00E11349">
        <w:rPr>
          <w:rFonts w:ascii="TimesNewRoman" w:hAnsi="TimesNewRoman" w:cs="TimesNewRoman"/>
          <w:sz w:val="24"/>
          <w:szCs w:val="24"/>
        </w:rPr>
        <w:t xml:space="preserve"> ROE</w:t>
      </w:r>
      <w:r>
        <w:rPr>
          <w:rFonts w:ascii="TimesNewRoman" w:hAnsi="TimesNewRoman" w:cs="TimesNewRoman"/>
          <w:sz w:val="24"/>
          <w:szCs w:val="24"/>
        </w:rPr>
        <w:t xml:space="preserve"> negatively. OPNI β</w:t>
      </w:r>
      <w:r w:rsidR="00A1663B">
        <w:rPr>
          <w:rFonts w:asciiTheme="majorBidi" w:hAnsiTheme="majorBidi" w:cstheme="majorBidi"/>
          <w:sz w:val="24"/>
          <w:szCs w:val="24"/>
        </w:rPr>
        <w:t xml:space="preserve"> </w:t>
      </w:r>
      <w:r w:rsidR="00A1663B">
        <w:rPr>
          <w:rFonts w:asciiTheme="majorBidi" w:hAnsiTheme="majorBidi" w:cstheme="majorBidi"/>
          <w:sz w:val="24"/>
          <w:szCs w:val="24"/>
        </w:rPr>
        <w:lastRenderedPageBreak/>
        <w:t>coefficient was</w:t>
      </w:r>
      <w:r w:rsidR="00E11349">
        <w:rPr>
          <w:rFonts w:asciiTheme="majorBidi" w:hAnsiTheme="majorBidi" w:cstheme="majorBidi"/>
          <w:sz w:val="24"/>
          <w:szCs w:val="24"/>
        </w:rPr>
        <w:t xml:space="preserve"> -.094</w:t>
      </w:r>
      <w:r>
        <w:rPr>
          <w:rFonts w:asciiTheme="majorBidi" w:hAnsiTheme="majorBidi" w:cstheme="majorBidi"/>
          <w:sz w:val="24"/>
          <w:szCs w:val="24"/>
        </w:rPr>
        <w:t xml:space="preserve"> which means that one unit incr</w:t>
      </w:r>
      <w:r w:rsidR="00A1663B">
        <w:rPr>
          <w:rFonts w:asciiTheme="majorBidi" w:hAnsiTheme="majorBidi" w:cstheme="majorBidi"/>
          <w:sz w:val="24"/>
          <w:szCs w:val="24"/>
        </w:rPr>
        <w:t>ease in OPNI decreases ROE</w:t>
      </w:r>
      <w:r w:rsidR="00E11349">
        <w:rPr>
          <w:rFonts w:asciiTheme="majorBidi" w:hAnsiTheme="majorBidi" w:cstheme="majorBidi"/>
          <w:sz w:val="24"/>
          <w:szCs w:val="24"/>
        </w:rPr>
        <w:t xml:space="preserve"> by 9.4</w:t>
      </w:r>
      <w:r>
        <w:rPr>
          <w:rFonts w:asciiTheme="majorBidi" w:hAnsiTheme="majorBidi" w:cstheme="majorBidi"/>
          <w:sz w:val="24"/>
          <w:szCs w:val="24"/>
        </w:rPr>
        <w:t xml:space="preserve">% units.  </w:t>
      </w:r>
      <w:r>
        <w:rPr>
          <w:rFonts w:ascii="TimesNewRoman" w:hAnsi="TimesNewRoman" w:cs="TimesNewRoman"/>
          <w:sz w:val="24"/>
          <w:szCs w:val="24"/>
        </w:rPr>
        <w:t>The statistical significance of OPNI on RO</w:t>
      </w:r>
      <w:r w:rsidR="00A1663B">
        <w:rPr>
          <w:rFonts w:ascii="TimesNewRoman" w:hAnsi="TimesNewRoman" w:cs="TimesNewRoman"/>
          <w:sz w:val="24"/>
          <w:szCs w:val="24"/>
        </w:rPr>
        <w:t>E was</w:t>
      </w:r>
      <w:r w:rsidR="00E11349">
        <w:rPr>
          <w:rFonts w:ascii="TimesNewRoman" w:hAnsi="TimesNewRoman" w:cs="TimesNewRoman"/>
          <w:sz w:val="24"/>
          <w:szCs w:val="24"/>
        </w:rPr>
        <w:t xml:space="preserve"> .158 which is higher</w:t>
      </w:r>
      <w:r>
        <w:rPr>
          <w:rFonts w:ascii="TimesNewRoman" w:hAnsi="TimesNewRoman" w:cs="TimesNewRoman"/>
          <w:sz w:val="24"/>
          <w:szCs w:val="24"/>
        </w:rPr>
        <w:t xml:space="preserve"> than 0.05. It implies </w:t>
      </w:r>
      <w:r w:rsidR="00A1663B">
        <w:rPr>
          <w:rFonts w:ascii="TimesNewRoman" w:hAnsi="TimesNewRoman" w:cs="TimesNewRoman"/>
          <w:sz w:val="24"/>
          <w:szCs w:val="24"/>
        </w:rPr>
        <w:t>that OPNI predicts ROE</w:t>
      </w:r>
      <w:r w:rsidR="00E11349">
        <w:rPr>
          <w:rFonts w:ascii="TimesNewRoman" w:hAnsi="TimesNewRoman" w:cs="TimesNewRoman"/>
          <w:sz w:val="24"/>
          <w:szCs w:val="24"/>
        </w:rPr>
        <w:t xml:space="preserve"> with 84.2</w:t>
      </w:r>
      <w:r>
        <w:rPr>
          <w:rFonts w:ascii="TimesNewRoman" w:hAnsi="TimesNewRoman" w:cs="TimesNewRoman"/>
          <w:sz w:val="24"/>
          <w:szCs w:val="24"/>
        </w:rPr>
        <w:t>% probability.</w:t>
      </w:r>
    </w:p>
    <w:p w:rsidR="008606AB" w:rsidRDefault="00C94370" w:rsidP="001E1F07">
      <w:pPr>
        <w:autoSpaceDE w:val="0"/>
        <w:autoSpaceDN w:val="0"/>
        <w:adjustRightInd w:val="0"/>
        <w:spacing w:after="0" w:line="360" w:lineRule="auto"/>
        <w:jc w:val="both"/>
        <w:rPr>
          <w:rFonts w:asciiTheme="majorBidi" w:hAnsiTheme="majorBidi" w:cstheme="majorBidi"/>
          <w:sz w:val="24"/>
          <w:szCs w:val="24"/>
        </w:rPr>
      </w:pPr>
      <w:r w:rsidRPr="000E575B">
        <w:rPr>
          <w:rFonts w:asciiTheme="majorBidi" w:hAnsiTheme="majorBidi" w:cstheme="majorBidi"/>
          <w:sz w:val="24"/>
          <w:szCs w:val="24"/>
        </w:rPr>
        <w:t>To conclude the analysis of the relationship between profitability</w:t>
      </w:r>
      <w:r w:rsidR="00E11349">
        <w:rPr>
          <w:rFonts w:asciiTheme="majorBidi" w:hAnsiTheme="majorBidi" w:cstheme="majorBidi"/>
          <w:sz w:val="24"/>
          <w:szCs w:val="24"/>
        </w:rPr>
        <w:t xml:space="preserve"> (ROE</w:t>
      </w:r>
      <w:r>
        <w:rPr>
          <w:rFonts w:asciiTheme="majorBidi" w:hAnsiTheme="majorBidi" w:cstheme="majorBidi"/>
          <w:sz w:val="24"/>
          <w:szCs w:val="24"/>
        </w:rPr>
        <w:t>)</w:t>
      </w:r>
      <w:r w:rsidRPr="000E575B">
        <w:rPr>
          <w:rFonts w:asciiTheme="majorBidi" w:hAnsiTheme="majorBidi" w:cstheme="majorBidi"/>
          <w:sz w:val="24"/>
          <w:szCs w:val="24"/>
        </w:rPr>
        <w:t xml:space="preserve"> and credit risk management in</w:t>
      </w:r>
      <w:r>
        <w:rPr>
          <w:rFonts w:asciiTheme="majorBidi" w:hAnsiTheme="majorBidi" w:cstheme="majorBidi"/>
          <w:sz w:val="24"/>
          <w:szCs w:val="24"/>
        </w:rPr>
        <w:t xml:space="preserve"> the five commercial</w:t>
      </w:r>
      <w:r w:rsidR="00A1663B">
        <w:rPr>
          <w:rFonts w:asciiTheme="majorBidi" w:hAnsiTheme="majorBidi" w:cstheme="majorBidi"/>
          <w:sz w:val="24"/>
          <w:szCs w:val="24"/>
        </w:rPr>
        <w:t xml:space="preserve"> sample banks</w:t>
      </w:r>
      <w:r w:rsidRPr="000E575B">
        <w:rPr>
          <w:rFonts w:asciiTheme="majorBidi" w:hAnsiTheme="majorBidi" w:cstheme="majorBidi"/>
          <w:sz w:val="24"/>
          <w:szCs w:val="24"/>
        </w:rPr>
        <w:t>,</w:t>
      </w:r>
      <w:r>
        <w:rPr>
          <w:rFonts w:asciiTheme="majorBidi" w:hAnsiTheme="majorBidi" w:cstheme="majorBidi"/>
          <w:sz w:val="24"/>
          <w:szCs w:val="24"/>
        </w:rPr>
        <w:t xml:space="preserve"> NIDR as a proxy of income diversification </w:t>
      </w:r>
      <w:r>
        <w:rPr>
          <w:rFonts w:ascii="TimesNewRoman" w:hAnsi="TimesNewRoman" w:cs="TimesNewRoman"/>
          <w:sz w:val="24"/>
          <w:szCs w:val="24"/>
        </w:rPr>
        <w:t>contributed positively and insignificant with b</w:t>
      </w:r>
      <w:r w:rsidR="00A1663B">
        <w:rPr>
          <w:rFonts w:ascii="TimesNewRoman" w:hAnsi="TimesNewRoman" w:cs="TimesNewRoman"/>
          <w:sz w:val="24"/>
          <w:szCs w:val="24"/>
        </w:rPr>
        <w:t>anks profitability (ROE</w:t>
      </w:r>
      <w:r w:rsidR="00E11349">
        <w:rPr>
          <w:rFonts w:ascii="TimesNewRoman" w:hAnsi="TimesNewRoman" w:cs="TimesNewRoman"/>
          <w:sz w:val="24"/>
          <w:szCs w:val="24"/>
        </w:rPr>
        <w:t xml:space="preserve">). While </w:t>
      </w:r>
      <w:r>
        <w:rPr>
          <w:rFonts w:ascii="TimesNewRoman" w:hAnsi="TimesNewRoman" w:cs="TimesNewRoman"/>
          <w:sz w:val="24"/>
          <w:szCs w:val="24"/>
        </w:rPr>
        <w:t>NPLR (nonperforming loans), EQTA (capital adequacy), LLPI (loan loss provisions</w:t>
      </w:r>
      <w:r w:rsidR="00F6034A">
        <w:rPr>
          <w:rFonts w:ascii="TimesNewRoman" w:hAnsi="TimesNewRoman" w:cs="TimesNewRoman"/>
          <w:sz w:val="24"/>
          <w:szCs w:val="24"/>
        </w:rPr>
        <w:t>) and OPNI (operational costs</w:t>
      </w:r>
      <w:r>
        <w:rPr>
          <w:rFonts w:ascii="TimesNewRoman" w:hAnsi="TimesNewRoman" w:cs="TimesNewRoman"/>
          <w:sz w:val="24"/>
          <w:szCs w:val="24"/>
        </w:rPr>
        <w:t xml:space="preserve">) were </w:t>
      </w:r>
      <w:r w:rsidRPr="0024783C">
        <w:rPr>
          <w:rFonts w:asciiTheme="majorBidi" w:hAnsiTheme="majorBidi" w:cstheme="majorBidi"/>
          <w:sz w:val="24"/>
          <w:szCs w:val="24"/>
        </w:rPr>
        <w:t xml:space="preserve">negatively </w:t>
      </w:r>
      <w:r w:rsidR="00E11349">
        <w:rPr>
          <w:rFonts w:asciiTheme="majorBidi" w:hAnsiTheme="majorBidi" w:cstheme="majorBidi"/>
          <w:sz w:val="24"/>
          <w:szCs w:val="24"/>
        </w:rPr>
        <w:t>in</w:t>
      </w:r>
      <w:r w:rsidRPr="0024783C">
        <w:rPr>
          <w:rFonts w:asciiTheme="majorBidi" w:hAnsiTheme="majorBidi" w:cstheme="majorBidi"/>
          <w:sz w:val="24"/>
          <w:szCs w:val="24"/>
        </w:rPr>
        <w:t>significant</w:t>
      </w:r>
      <w:r w:rsidR="00E11349">
        <w:rPr>
          <w:rFonts w:asciiTheme="majorBidi" w:hAnsiTheme="majorBidi" w:cstheme="majorBidi"/>
          <w:sz w:val="24"/>
          <w:szCs w:val="24"/>
        </w:rPr>
        <w:t xml:space="preserve"> with ROE</w:t>
      </w:r>
      <w:r w:rsidR="001E1F07">
        <w:rPr>
          <w:rFonts w:asciiTheme="majorBidi" w:hAnsiTheme="majorBidi" w:cstheme="majorBidi"/>
          <w:sz w:val="24"/>
          <w:szCs w:val="24"/>
        </w:rPr>
        <w:t xml:space="preserve"> at 5% level, </w:t>
      </w:r>
      <w:r w:rsidR="00625006" w:rsidRPr="00AB595F">
        <w:rPr>
          <w:rFonts w:asciiTheme="majorBidi" w:hAnsiTheme="majorBidi" w:cstheme="majorBidi"/>
          <w:sz w:val="24"/>
          <w:szCs w:val="24"/>
        </w:rPr>
        <w:t>the</w:t>
      </w:r>
      <w:r w:rsidR="001E1F07" w:rsidRPr="00AB595F">
        <w:rPr>
          <w:rFonts w:asciiTheme="majorBidi" w:hAnsiTheme="majorBidi" w:cstheme="majorBidi"/>
          <w:sz w:val="24"/>
          <w:szCs w:val="24"/>
        </w:rPr>
        <w:t xml:space="preserve"> findings and</w:t>
      </w:r>
      <w:r w:rsidR="001E1F07">
        <w:rPr>
          <w:rFonts w:asciiTheme="majorBidi" w:hAnsiTheme="majorBidi" w:cstheme="majorBidi"/>
          <w:sz w:val="24"/>
          <w:szCs w:val="24"/>
        </w:rPr>
        <w:t xml:space="preserve"> the </w:t>
      </w:r>
    </w:p>
    <w:p w:rsidR="00853896" w:rsidRDefault="001E1F07" w:rsidP="001E1F0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previous</w:t>
      </w:r>
      <w:r w:rsidRPr="00AB595F">
        <w:rPr>
          <w:rFonts w:asciiTheme="majorBidi" w:hAnsiTheme="majorBidi" w:cstheme="majorBidi"/>
          <w:sz w:val="24"/>
          <w:szCs w:val="24"/>
        </w:rPr>
        <w:t xml:space="preserve"> analysis reveal</w:t>
      </w:r>
      <w:r w:rsidR="00BC519E">
        <w:rPr>
          <w:rFonts w:asciiTheme="majorBidi" w:hAnsiTheme="majorBidi" w:cstheme="majorBidi"/>
          <w:sz w:val="24"/>
          <w:szCs w:val="24"/>
        </w:rPr>
        <w:t>ed</w:t>
      </w:r>
      <w:r w:rsidRPr="00AB595F">
        <w:rPr>
          <w:rFonts w:asciiTheme="majorBidi" w:hAnsiTheme="majorBidi" w:cstheme="majorBidi"/>
          <w:sz w:val="24"/>
          <w:szCs w:val="24"/>
        </w:rPr>
        <w:t xml:space="preserve"> </w:t>
      </w:r>
      <w:r w:rsidR="00A1663B">
        <w:rPr>
          <w:rFonts w:asciiTheme="majorBidi" w:hAnsiTheme="majorBidi" w:cstheme="majorBidi"/>
          <w:sz w:val="24"/>
          <w:szCs w:val="24"/>
        </w:rPr>
        <w:t xml:space="preserve">that credit risk management had significant effect on profitability in the five sample </w:t>
      </w:r>
      <w:r w:rsidRPr="00AB595F">
        <w:rPr>
          <w:rFonts w:asciiTheme="majorBidi" w:hAnsiTheme="majorBidi" w:cstheme="majorBidi"/>
          <w:sz w:val="24"/>
          <w:szCs w:val="24"/>
        </w:rPr>
        <w:t>banks.</w:t>
      </w:r>
    </w:p>
    <w:p w:rsidR="00AC6FAE" w:rsidRPr="00853896" w:rsidRDefault="00AC6FAE" w:rsidP="001E1F07">
      <w:pPr>
        <w:autoSpaceDE w:val="0"/>
        <w:autoSpaceDN w:val="0"/>
        <w:adjustRightInd w:val="0"/>
        <w:spacing w:after="0" w:line="360" w:lineRule="auto"/>
        <w:jc w:val="both"/>
        <w:rPr>
          <w:rFonts w:asciiTheme="majorBidi" w:hAnsiTheme="majorBidi" w:cstheme="majorBidi"/>
          <w:sz w:val="24"/>
          <w:szCs w:val="24"/>
        </w:rPr>
      </w:pPr>
    </w:p>
    <w:p w:rsidR="00661F63" w:rsidRDefault="00661F63" w:rsidP="00661F6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4.3.2</w:t>
      </w:r>
      <w:r w:rsidRPr="00F60D43">
        <w:rPr>
          <w:rFonts w:asciiTheme="majorBidi" w:hAnsiTheme="majorBidi" w:cstheme="majorBidi"/>
          <w:b/>
          <w:bCs/>
          <w:sz w:val="24"/>
          <w:szCs w:val="24"/>
        </w:rPr>
        <w:t>.2.2</w:t>
      </w:r>
      <w:r w:rsidR="00A1663B">
        <w:rPr>
          <w:rFonts w:asciiTheme="majorBidi" w:hAnsiTheme="majorBidi" w:cstheme="majorBidi"/>
          <w:b/>
          <w:bCs/>
          <w:sz w:val="24"/>
          <w:szCs w:val="24"/>
        </w:rPr>
        <w:t xml:space="preserve"> </w:t>
      </w:r>
      <w:r w:rsidRPr="00D27963">
        <w:rPr>
          <w:rFonts w:asciiTheme="majorBidi" w:hAnsiTheme="majorBidi" w:cstheme="majorBidi"/>
          <w:b/>
          <w:bCs/>
          <w:sz w:val="24"/>
          <w:szCs w:val="24"/>
        </w:rPr>
        <w:t>Goodness- of –Fit Tests</w:t>
      </w:r>
    </w:p>
    <w:p w:rsidR="00661F63" w:rsidRDefault="00661F63" w:rsidP="00661F63">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According to the table of F-distribution, the critical value of F distribution at the 5% significant</w:t>
      </w:r>
    </w:p>
    <w:p w:rsidR="00507D05" w:rsidRDefault="00661F63" w:rsidP="00853896">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level is 2.545. In Table </w:t>
      </w:r>
      <w:r w:rsidR="00816AB9">
        <w:rPr>
          <w:rFonts w:ascii="TimesNewRoman" w:hAnsi="TimesNewRoman" w:cs="TimesNewRoman"/>
          <w:sz w:val="24"/>
          <w:szCs w:val="24"/>
        </w:rPr>
        <w:t>4.23</w:t>
      </w:r>
      <w:r w:rsidR="00A1663B">
        <w:rPr>
          <w:rFonts w:ascii="TimesNewRoman" w:hAnsi="TimesNewRoman" w:cs="TimesNewRoman"/>
          <w:sz w:val="24"/>
          <w:szCs w:val="24"/>
        </w:rPr>
        <w:t xml:space="preserve"> the statistic value of F was</w:t>
      </w:r>
      <w:r>
        <w:rPr>
          <w:rFonts w:ascii="TimesNewRoman" w:hAnsi="TimesNewRoman" w:cs="TimesNewRoman"/>
          <w:sz w:val="24"/>
          <w:szCs w:val="24"/>
        </w:rPr>
        <w:t xml:space="preserve"> 3.963 which </w:t>
      </w:r>
      <w:r w:rsidR="009713CA">
        <w:rPr>
          <w:rFonts w:ascii="TimesNewRoman" w:hAnsi="TimesNewRoman" w:cs="TimesNewRoman"/>
          <w:sz w:val="24"/>
          <w:szCs w:val="24"/>
        </w:rPr>
        <w:t>exceed</w:t>
      </w:r>
      <w:r>
        <w:rPr>
          <w:rFonts w:ascii="TimesNewRoman" w:hAnsi="TimesNewRoman" w:cs="TimesNewRoman"/>
          <w:sz w:val="24"/>
          <w:szCs w:val="24"/>
        </w:rPr>
        <w:t xml:space="preserve"> the critical value of F</w:t>
      </w:r>
      <w:r w:rsidR="00A1663B">
        <w:rPr>
          <w:rFonts w:ascii="TimesNewRoman" w:hAnsi="TimesNewRoman" w:cs="TimesNewRoman"/>
          <w:sz w:val="24"/>
          <w:szCs w:val="24"/>
        </w:rPr>
        <w:t xml:space="preserve"> </w:t>
      </w:r>
      <w:r>
        <w:rPr>
          <w:rFonts w:ascii="TimesNewRoman" w:hAnsi="TimesNewRoman" w:cs="TimesNewRoman"/>
          <w:sz w:val="24"/>
          <w:szCs w:val="24"/>
        </w:rPr>
        <w:t>(2.545). H</w:t>
      </w:r>
      <w:r w:rsidR="00A1663B">
        <w:rPr>
          <w:rFonts w:ascii="TimesNewRoman" w:hAnsi="TimesNewRoman" w:cs="TimesNewRoman"/>
          <w:sz w:val="24"/>
          <w:szCs w:val="24"/>
        </w:rPr>
        <w:t>ence, the regression as whole was</w:t>
      </w:r>
      <w:r>
        <w:rPr>
          <w:rFonts w:ascii="TimesNewRoman" w:hAnsi="TimesNewRoman" w:cs="TimesNewRoman"/>
          <w:sz w:val="24"/>
          <w:szCs w:val="24"/>
        </w:rPr>
        <w:t xml:space="preserve"> significant; this means that NPLR, EQTA, LLPI, NIDR and OPNI predict ROE. </w:t>
      </w:r>
      <w:r w:rsidR="00A1663B">
        <w:rPr>
          <w:rFonts w:ascii="TimesNewRoman" w:hAnsi="TimesNewRoman" w:cs="TimesNewRoman"/>
          <w:sz w:val="24"/>
          <w:szCs w:val="24"/>
        </w:rPr>
        <w:t>Furthermore, the significance was</w:t>
      </w:r>
      <w:r>
        <w:rPr>
          <w:rFonts w:ascii="TimesNewRoman" w:hAnsi="TimesNewRoman" w:cs="TimesNewRoman"/>
          <w:sz w:val="24"/>
          <w:szCs w:val="24"/>
        </w:rPr>
        <w:t xml:space="preserve"> 0.007 w</w:t>
      </w:r>
      <w:r w:rsidR="00A1663B">
        <w:rPr>
          <w:rFonts w:ascii="TimesNewRoman" w:hAnsi="TimesNewRoman" w:cs="TimesNewRoman"/>
          <w:sz w:val="24"/>
          <w:szCs w:val="24"/>
        </w:rPr>
        <w:t xml:space="preserve">hich also indicates that ROE was </w:t>
      </w:r>
      <w:r>
        <w:rPr>
          <w:rFonts w:ascii="TimesNewRoman" w:hAnsi="TimesNewRoman" w:cs="TimesNewRoman"/>
          <w:sz w:val="24"/>
          <w:szCs w:val="24"/>
        </w:rPr>
        <w:t xml:space="preserve">predicted with 99.3% probability by NPLR, EQTA, LLPI, NIDR and OPNI together and shows a statistically significant relationship among them. Therefore, </w:t>
      </w:r>
      <w:r w:rsidR="00A1663B">
        <w:rPr>
          <w:rFonts w:ascii="TimesNewRoman" w:hAnsi="TimesNewRoman" w:cs="TimesNewRoman"/>
          <w:sz w:val="24"/>
          <w:szCs w:val="24"/>
        </w:rPr>
        <w:t>the F value proves that there was</w:t>
      </w:r>
      <w:r>
        <w:rPr>
          <w:rFonts w:ascii="TimesNewRoman" w:hAnsi="TimesNewRoman" w:cs="TimesNewRoman"/>
          <w:sz w:val="24"/>
          <w:szCs w:val="24"/>
        </w:rPr>
        <w:t xml:space="preserve"> a significant relationship between the profitability, measured as ROE and credit risk management, measured by NPLR, EQTA, LLPI, NIDR and OPNI ratios.</w:t>
      </w:r>
    </w:p>
    <w:p w:rsidR="00853896" w:rsidRPr="00853896" w:rsidRDefault="00853896" w:rsidP="00853896">
      <w:pPr>
        <w:autoSpaceDE w:val="0"/>
        <w:autoSpaceDN w:val="0"/>
        <w:adjustRightInd w:val="0"/>
        <w:spacing w:after="0" w:line="360" w:lineRule="auto"/>
        <w:jc w:val="both"/>
        <w:rPr>
          <w:rFonts w:ascii="TimesNewRoman" w:hAnsi="TimesNewRoman" w:cs="TimesNewRoman"/>
          <w:sz w:val="24"/>
          <w:szCs w:val="24"/>
        </w:rPr>
      </w:pPr>
    </w:p>
    <w:p w:rsidR="00661F63" w:rsidRPr="002302DA" w:rsidRDefault="00816AB9" w:rsidP="002302DA">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rPr>
        <w:t>Table 4.23</w:t>
      </w:r>
      <w:r w:rsidR="00661F63" w:rsidRPr="002302DA">
        <w:rPr>
          <w:rFonts w:asciiTheme="majorBidi" w:hAnsiTheme="majorBidi" w:cstheme="majorBidi"/>
          <w:b/>
          <w:bCs/>
        </w:rPr>
        <w:t>: Goodness- of –Fit Tests</w:t>
      </w:r>
    </w:p>
    <w:tbl>
      <w:tblPr>
        <w:tblW w:w="7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83"/>
        <w:gridCol w:w="1469"/>
        <w:gridCol w:w="1019"/>
        <w:gridCol w:w="1410"/>
        <w:gridCol w:w="1020"/>
        <w:gridCol w:w="1020"/>
      </w:tblGrid>
      <w:tr w:rsidR="00661F63" w:rsidRPr="00521402" w:rsidTr="00661F63">
        <w:trPr>
          <w:cantSplit/>
          <w:tblHeader/>
          <w:jc w:val="center"/>
        </w:trPr>
        <w:tc>
          <w:tcPr>
            <w:tcW w:w="7954" w:type="dxa"/>
            <w:gridSpan w:val="7"/>
            <w:tcBorders>
              <w:top w:val="nil"/>
              <w:left w:val="nil"/>
              <w:bottom w:val="nil"/>
              <w:right w:val="nil"/>
            </w:tcBorders>
            <w:shd w:val="clear" w:color="auto" w:fill="FFFFFF"/>
            <w:vAlign w:val="center"/>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b/>
                <w:bCs/>
                <w:color w:val="000000"/>
                <w:sz w:val="18"/>
                <w:szCs w:val="18"/>
              </w:rPr>
              <w:t>ANOVA</w:t>
            </w:r>
            <w:r w:rsidRPr="00521402">
              <w:rPr>
                <w:rFonts w:ascii="Arial" w:hAnsi="Arial" w:cs="Arial"/>
                <w:b/>
                <w:bCs/>
                <w:color w:val="000000"/>
                <w:sz w:val="18"/>
                <w:szCs w:val="18"/>
                <w:vertAlign w:val="superscript"/>
              </w:rPr>
              <w:t>b</w:t>
            </w:r>
          </w:p>
        </w:tc>
      </w:tr>
      <w:tr w:rsidR="00661F63" w:rsidRPr="00521402" w:rsidTr="0042214F">
        <w:trPr>
          <w:cantSplit/>
          <w:tblHeader/>
          <w:jc w:val="cent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df</w:t>
            </w:r>
          </w:p>
        </w:tc>
        <w:tc>
          <w:tcPr>
            <w:tcW w:w="1410" w:type="dxa"/>
            <w:tcBorders>
              <w:top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Sig.</w:t>
            </w:r>
          </w:p>
        </w:tc>
      </w:tr>
      <w:tr w:rsidR="00661F63" w:rsidRPr="00521402" w:rsidTr="0042214F">
        <w:trPr>
          <w:cantSplit/>
          <w:tblHeader/>
          <w:jc w:val="center"/>
        </w:trPr>
        <w:tc>
          <w:tcPr>
            <w:tcW w:w="733" w:type="dxa"/>
            <w:vMerge w:val="restart"/>
            <w:tcBorders>
              <w:top w:val="single" w:sz="16" w:space="0" w:color="000000"/>
              <w:left w:val="single" w:sz="16" w:space="0" w:color="000000"/>
              <w:bottom w:val="single" w:sz="16" w:space="0" w:color="000000"/>
              <w:right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2069.308</w:t>
            </w:r>
          </w:p>
        </w:tc>
        <w:tc>
          <w:tcPr>
            <w:tcW w:w="1019" w:type="dxa"/>
            <w:tcBorders>
              <w:top w:val="single" w:sz="16" w:space="0" w:color="000000"/>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5</w:t>
            </w:r>
          </w:p>
        </w:tc>
        <w:tc>
          <w:tcPr>
            <w:tcW w:w="1410" w:type="dxa"/>
            <w:tcBorders>
              <w:top w:val="single" w:sz="16" w:space="0" w:color="000000"/>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413.862</w:t>
            </w:r>
          </w:p>
        </w:tc>
        <w:tc>
          <w:tcPr>
            <w:tcW w:w="1020" w:type="dxa"/>
            <w:tcBorders>
              <w:top w:val="single" w:sz="16" w:space="0" w:color="000000"/>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3.963</w:t>
            </w:r>
          </w:p>
        </w:tc>
        <w:tc>
          <w:tcPr>
            <w:tcW w:w="1020" w:type="dxa"/>
            <w:tcBorders>
              <w:top w:val="single" w:sz="16" w:space="0" w:color="000000"/>
              <w:bottom w:val="nil"/>
              <w:right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.007</w:t>
            </w:r>
            <w:r w:rsidRPr="00521402">
              <w:rPr>
                <w:rFonts w:ascii="Arial" w:hAnsi="Arial" w:cs="Arial"/>
                <w:color w:val="000000"/>
                <w:sz w:val="18"/>
                <w:szCs w:val="18"/>
                <w:vertAlign w:val="superscript"/>
              </w:rPr>
              <w:t>a</w:t>
            </w:r>
          </w:p>
        </w:tc>
      </w:tr>
      <w:tr w:rsidR="00661F63" w:rsidRPr="00521402" w:rsidTr="0042214F">
        <w:trPr>
          <w:cantSplit/>
          <w:tblHeader/>
          <w:jc w:val="center"/>
        </w:trPr>
        <w:tc>
          <w:tcPr>
            <w:tcW w:w="733" w:type="dxa"/>
            <w:vMerge/>
            <w:tcBorders>
              <w:top w:val="single" w:sz="16" w:space="0" w:color="000000"/>
              <w:left w:val="single" w:sz="16" w:space="0" w:color="000000"/>
              <w:bottom w:val="single" w:sz="16" w:space="0" w:color="000000"/>
              <w:right w:val="nil"/>
            </w:tcBorders>
            <w:shd w:val="clear" w:color="auto" w:fill="DDD9C3" w:themeFill="background2" w:themeFillShade="E6"/>
          </w:tcPr>
          <w:p w:rsidR="00661F63" w:rsidRPr="00521402" w:rsidRDefault="00661F63" w:rsidP="00114557">
            <w:pPr>
              <w:autoSpaceDE w:val="0"/>
              <w:autoSpaceDN w:val="0"/>
              <w:adjustRightInd w:val="0"/>
              <w:spacing w:after="0" w:line="240" w:lineRule="auto"/>
              <w:rPr>
                <w:rFonts w:ascii="Arial" w:hAnsi="Arial" w:cs="Arial"/>
                <w:color w:val="000000"/>
                <w:sz w:val="18"/>
                <w:szCs w:val="18"/>
              </w:rPr>
            </w:pPr>
          </w:p>
        </w:tc>
        <w:tc>
          <w:tcPr>
            <w:tcW w:w="1283" w:type="dxa"/>
            <w:tcBorders>
              <w:top w:val="nil"/>
              <w:left w:val="nil"/>
              <w:bottom w:val="nil"/>
              <w:right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Residual</w:t>
            </w:r>
          </w:p>
        </w:tc>
        <w:tc>
          <w:tcPr>
            <w:tcW w:w="1469" w:type="dxa"/>
            <w:tcBorders>
              <w:top w:val="nil"/>
              <w:left w:val="single" w:sz="16" w:space="0" w:color="000000"/>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3028.382</w:t>
            </w:r>
          </w:p>
        </w:tc>
        <w:tc>
          <w:tcPr>
            <w:tcW w:w="1019" w:type="dxa"/>
            <w:tcBorders>
              <w:top w:val="nil"/>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29</w:t>
            </w:r>
          </w:p>
        </w:tc>
        <w:tc>
          <w:tcPr>
            <w:tcW w:w="1410" w:type="dxa"/>
            <w:tcBorders>
              <w:top w:val="nil"/>
              <w:bottom w:val="nil"/>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104.427</w:t>
            </w:r>
          </w:p>
        </w:tc>
        <w:tc>
          <w:tcPr>
            <w:tcW w:w="1020" w:type="dxa"/>
            <w:tcBorders>
              <w:top w:val="nil"/>
              <w:bottom w:val="nil"/>
            </w:tcBorders>
            <w:shd w:val="clear" w:color="auto" w:fill="DDD9C3" w:themeFill="background2" w:themeFillShade="E6"/>
            <w:vAlign w:val="center"/>
          </w:tcPr>
          <w:p w:rsidR="00661F63" w:rsidRPr="00521402" w:rsidRDefault="00661F63" w:rsidP="00114557">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DDD9C3" w:themeFill="background2" w:themeFillShade="E6"/>
            <w:vAlign w:val="center"/>
          </w:tcPr>
          <w:p w:rsidR="00661F63" w:rsidRPr="00521402" w:rsidRDefault="00661F63" w:rsidP="00114557">
            <w:pPr>
              <w:autoSpaceDE w:val="0"/>
              <w:autoSpaceDN w:val="0"/>
              <w:adjustRightInd w:val="0"/>
              <w:spacing w:after="0" w:line="240" w:lineRule="auto"/>
              <w:jc w:val="center"/>
              <w:rPr>
                <w:rFonts w:ascii="Times New Roman" w:hAnsi="Times New Roman" w:cs="Times New Roman"/>
                <w:sz w:val="24"/>
                <w:szCs w:val="24"/>
              </w:rPr>
            </w:pPr>
          </w:p>
        </w:tc>
      </w:tr>
      <w:tr w:rsidR="00661F63" w:rsidRPr="00521402" w:rsidTr="0042214F">
        <w:trPr>
          <w:cantSplit/>
          <w:tblHeader/>
          <w:jc w:val="center"/>
        </w:trPr>
        <w:tc>
          <w:tcPr>
            <w:tcW w:w="733" w:type="dxa"/>
            <w:vMerge/>
            <w:tcBorders>
              <w:top w:val="single" w:sz="16" w:space="0" w:color="000000"/>
              <w:left w:val="single" w:sz="16" w:space="0" w:color="000000"/>
              <w:bottom w:val="single" w:sz="16" w:space="0" w:color="000000"/>
              <w:right w:val="nil"/>
            </w:tcBorders>
            <w:shd w:val="clear" w:color="auto" w:fill="DDD9C3" w:themeFill="background2" w:themeFillShade="E6"/>
          </w:tcPr>
          <w:p w:rsidR="00661F63" w:rsidRPr="00521402" w:rsidRDefault="00661F63" w:rsidP="00114557">
            <w:pPr>
              <w:autoSpaceDE w:val="0"/>
              <w:autoSpaceDN w:val="0"/>
              <w:adjustRightInd w:val="0"/>
              <w:spacing w:after="0" w:line="240" w:lineRule="auto"/>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5097.690</w:t>
            </w:r>
          </w:p>
        </w:tc>
        <w:tc>
          <w:tcPr>
            <w:tcW w:w="1019" w:type="dxa"/>
            <w:tcBorders>
              <w:top w:val="nil"/>
              <w:bottom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34</w:t>
            </w:r>
          </w:p>
        </w:tc>
        <w:tc>
          <w:tcPr>
            <w:tcW w:w="1410" w:type="dxa"/>
            <w:tcBorders>
              <w:top w:val="nil"/>
              <w:bottom w:val="single" w:sz="16" w:space="0" w:color="000000"/>
            </w:tcBorders>
            <w:shd w:val="clear" w:color="auto" w:fill="DDD9C3" w:themeFill="background2" w:themeFillShade="E6"/>
            <w:vAlign w:val="center"/>
          </w:tcPr>
          <w:p w:rsidR="00661F63" w:rsidRPr="00521402" w:rsidRDefault="00661F63" w:rsidP="00114557">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tcBorders>
            <w:shd w:val="clear" w:color="auto" w:fill="DDD9C3" w:themeFill="background2" w:themeFillShade="E6"/>
            <w:vAlign w:val="center"/>
          </w:tcPr>
          <w:p w:rsidR="00661F63" w:rsidRPr="00521402" w:rsidRDefault="00661F63" w:rsidP="00114557">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DDD9C3" w:themeFill="background2" w:themeFillShade="E6"/>
            <w:vAlign w:val="center"/>
          </w:tcPr>
          <w:p w:rsidR="00661F63" w:rsidRPr="00521402" w:rsidRDefault="00661F63" w:rsidP="00114557">
            <w:pPr>
              <w:autoSpaceDE w:val="0"/>
              <w:autoSpaceDN w:val="0"/>
              <w:adjustRightInd w:val="0"/>
              <w:spacing w:after="0" w:line="240" w:lineRule="auto"/>
              <w:jc w:val="center"/>
              <w:rPr>
                <w:rFonts w:ascii="Times New Roman" w:hAnsi="Times New Roman" w:cs="Times New Roman"/>
                <w:sz w:val="24"/>
                <w:szCs w:val="24"/>
              </w:rPr>
            </w:pPr>
          </w:p>
        </w:tc>
      </w:tr>
      <w:tr w:rsidR="00661F63" w:rsidRPr="00521402" w:rsidTr="00661F63">
        <w:trPr>
          <w:cantSplit/>
          <w:jc w:val="center"/>
        </w:trPr>
        <w:tc>
          <w:tcPr>
            <w:tcW w:w="7954" w:type="dxa"/>
            <w:gridSpan w:val="7"/>
            <w:tcBorders>
              <w:top w:val="nil"/>
              <w:left w:val="nil"/>
              <w:bottom w:val="nil"/>
              <w:right w:val="nil"/>
            </w:tcBorders>
            <w:shd w:val="clear" w:color="auto" w:fill="FFFFFF"/>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a. Predictors: (Constant), OPNI, NPLR, EQTA, NIDR, LLPI</w:t>
            </w:r>
          </w:p>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b. Dependent Variable: ROE</w:t>
            </w:r>
          </w:p>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p>
        </w:tc>
      </w:tr>
    </w:tbl>
    <w:p w:rsidR="006C5F91" w:rsidRDefault="006C5F91" w:rsidP="00661F63">
      <w:pPr>
        <w:autoSpaceDE w:val="0"/>
        <w:autoSpaceDN w:val="0"/>
        <w:adjustRightInd w:val="0"/>
        <w:spacing w:after="0" w:line="360" w:lineRule="auto"/>
        <w:rPr>
          <w:rFonts w:asciiTheme="majorBidi" w:hAnsiTheme="majorBidi" w:cstheme="majorBidi"/>
          <w:b/>
          <w:bCs/>
          <w:sz w:val="24"/>
          <w:szCs w:val="24"/>
        </w:rPr>
      </w:pPr>
    </w:p>
    <w:p w:rsidR="006C5F91" w:rsidRDefault="006C5F91" w:rsidP="00661F63">
      <w:pPr>
        <w:autoSpaceDE w:val="0"/>
        <w:autoSpaceDN w:val="0"/>
        <w:adjustRightInd w:val="0"/>
        <w:spacing w:after="0" w:line="360" w:lineRule="auto"/>
        <w:rPr>
          <w:rFonts w:asciiTheme="majorBidi" w:hAnsiTheme="majorBidi" w:cstheme="majorBidi"/>
          <w:b/>
          <w:bCs/>
          <w:sz w:val="24"/>
          <w:szCs w:val="24"/>
        </w:rPr>
      </w:pPr>
    </w:p>
    <w:p w:rsidR="00661F63" w:rsidRPr="008E570C" w:rsidRDefault="00661F63" w:rsidP="00661F63">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sz w:val="24"/>
          <w:szCs w:val="24"/>
        </w:rPr>
        <w:lastRenderedPageBreak/>
        <w:t>4.3.2</w:t>
      </w:r>
      <w:r w:rsidRPr="00C136B1">
        <w:rPr>
          <w:rFonts w:asciiTheme="majorBidi" w:hAnsiTheme="majorBidi" w:cstheme="majorBidi"/>
          <w:b/>
          <w:bCs/>
          <w:sz w:val="24"/>
          <w:szCs w:val="24"/>
        </w:rPr>
        <w:t>.2.3 R Square</w:t>
      </w:r>
      <w:r w:rsidR="002302DA">
        <w:rPr>
          <w:rFonts w:asciiTheme="majorBidi" w:hAnsiTheme="majorBidi" w:cstheme="majorBidi"/>
          <w:b/>
          <w:bCs/>
          <w:sz w:val="24"/>
          <w:szCs w:val="24"/>
        </w:rPr>
        <w:t xml:space="preserve"> A</w:t>
      </w:r>
      <w:r w:rsidRPr="00D27963">
        <w:rPr>
          <w:rFonts w:asciiTheme="majorBidi" w:hAnsiTheme="majorBidi" w:cstheme="majorBidi"/>
          <w:b/>
          <w:bCs/>
          <w:sz w:val="24"/>
          <w:szCs w:val="24"/>
        </w:rPr>
        <w:t>nalysis</w:t>
      </w:r>
    </w:p>
    <w:p w:rsidR="00853896" w:rsidRPr="00CB4F20" w:rsidRDefault="00661F63" w:rsidP="00CB4F20">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R</w:t>
      </w:r>
      <w:r>
        <w:rPr>
          <w:rFonts w:ascii="TimesNewRoman" w:hAnsi="TimesNewRoman" w:cs="TimesNewRoman"/>
          <w:sz w:val="16"/>
          <w:szCs w:val="16"/>
        </w:rPr>
        <w:t xml:space="preserve">2 </w:t>
      </w:r>
      <w:r>
        <w:rPr>
          <w:rFonts w:ascii="TimesNewRoman" w:hAnsi="TimesNewRoman" w:cs="TimesNewRoman"/>
          <w:sz w:val="24"/>
          <w:szCs w:val="24"/>
        </w:rPr>
        <w:t>represents the prediction level of v</w:t>
      </w:r>
      <w:r w:rsidR="00A1663B">
        <w:rPr>
          <w:rFonts w:ascii="TimesNewRoman" w:hAnsi="TimesNewRoman" w:cs="TimesNewRoman"/>
          <w:sz w:val="24"/>
          <w:szCs w:val="24"/>
        </w:rPr>
        <w:t>ariance in Return On E</w:t>
      </w:r>
      <w:r w:rsidR="00251785">
        <w:rPr>
          <w:rFonts w:ascii="TimesNewRoman" w:hAnsi="TimesNewRoman" w:cs="TimesNewRoman"/>
          <w:sz w:val="24"/>
          <w:szCs w:val="24"/>
        </w:rPr>
        <w:t>quity (ROE</w:t>
      </w:r>
      <w:r w:rsidR="00A1663B">
        <w:rPr>
          <w:rFonts w:ascii="TimesNewRoman" w:hAnsi="TimesNewRoman" w:cs="TimesNewRoman"/>
          <w:sz w:val="24"/>
          <w:szCs w:val="24"/>
        </w:rPr>
        <w:t>) by Nonperforming L</w:t>
      </w:r>
      <w:r>
        <w:rPr>
          <w:rFonts w:ascii="TimesNewRoman" w:hAnsi="TimesNewRoman" w:cs="TimesNewRoman"/>
          <w:sz w:val="24"/>
          <w:szCs w:val="24"/>
        </w:rPr>
        <w:t>oans</w:t>
      </w:r>
      <w:r w:rsidR="00A1663B">
        <w:rPr>
          <w:rFonts w:ascii="TimesNewRoman" w:hAnsi="TimesNewRoman" w:cs="TimesNewRoman"/>
          <w:sz w:val="24"/>
          <w:szCs w:val="24"/>
        </w:rPr>
        <w:t xml:space="preserve"> Ratio</w:t>
      </w:r>
      <w:r>
        <w:rPr>
          <w:rFonts w:ascii="TimesNewRoman" w:hAnsi="TimesNewRoman" w:cs="TimesNewRoman"/>
          <w:sz w:val="24"/>
          <w:szCs w:val="24"/>
        </w:rPr>
        <w:t xml:space="preserve"> (NPLR), capital adequacy (EQTA), loan loss provisions (LLPI), income diversification (NIDR</w:t>
      </w:r>
      <w:r w:rsidR="00251785">
        <w:rPr>
          <w:rFonts w:ascii="TimesNewRoman" w:hAnsi="TimesNewRoman" w:cs="TimesNewRoman"/>
          <w:sz w:val="24"/>
          <w:szCs w:val="24"/>
        </w:rPr>
        <w:t>) and</w:t>
      </w:r>
      <w:r w:rsidR="00F6034A">
        <w:rPr>
          <w:rFonts w:ascii="TimesNewRoman" w:hAnsi="TimesNewRoman" w:cs="TimesNewRoman"/>
          <w:sz w:val="24"/>
          <w:szCs w:val="24"/>
        </w:rPr>
        <w:t xml:space="preserve"> operational costs</w:t>
      </w:r>
      <w:r>
        <w:rPr>
          <w:rFonts w:ascii="TimesNewRoman" w:hAnsi="TimesNewRoman" w:cs="TimesNewRoman"/>
          <w:sz w:val="24"/>
          <w:szCs w:val="24"/>
        </w:rPr>
        <w:t xml:space="preserve"> (OPNI) </w:t>
      </w:r>
      <w:r w:rsidR="00A1663B">
        <w:rPr>
          <w:rFonts w:ascii="TimesNewRoman" w:hAnsi="TimesNewRoman" w:cs="TimesNewRoman"/>
          <w:sz w:val="24"/>
          <w:szCs w:val="24"/>
        </w:rPr>
        <w:t>which was</w:t>
      </w:r>
      <w:r w:rsidR="00251785">
        <w:rPr>
          <w:rFonts w:ascii="TimesNewRoman" w:hAnsi="TimesNewRoman" w:cs="TimesNewRoman"/>
          <w:sz w:val="24"/>
          <w:szCs w:val="24"/>
        </w:rPr>
        <w:t xml:space="preserve"> 0,406 as shown in table 4.22</w:t>
      </w:r>
      <w:r>
        <w:rPr>
          <w:rFonts w:ascii="TimesNewRoman" w:hAnsi="TimesNewRoman" w:cs="TimesNewRoman"/>
          <w:sz w:val="24"/>
          <w:szCs w:val="24"/>
        </w:rPr>
        <w:t xml:space="preserve"> below.</w:t>
      </w:r>
      <w:r w:rsidR="00251785">
        <w:rPr>
          <w:rFonts w:ascii="TimesNewRoman" w:hAnsi="TimesNewRoman" w:cs="TimesNewRoman"/>
          <w:sz w:val="24"/>
          <w:szCs w:val="24"/>
        </w:rPr>
        <w:t xml:space="preserve"> This means that 40.6% of ROE</w:t>
      </w:r>
      <w:r>
        <w:rPr>
          <w:rFonts w:ascii="TimesNewRoman" w:hAnsi="TimesNewRoman" w:cs="TimesNewRoman"/>
          <w:sz w:val="24"/>
          <w:szCs w:val="24"/>
        </w:rPr>
        <w:t xml:space="preserve"> can be predicted from the independent variables mentioned above.</w:t>
      </w:r>
    </w:p>
    <w:p w:rsidR="00853896" w:rsidRDefault="00853896" w:rsidP="00853896">
      <w:pPr>
        <w:autoSpaceDE w:val="0"/>
        <w:autoSpaceDN w:val="0"/>
        <w:adjustRightInd w:val="0"/>
        <w:spacing w:after="0" w:line="240" w:lineRule="auto"/>
        <w:rPr>
          <w:rFonts w:ascii="Times New Roman" w:hAnsi="Times New Roman" w:cs="Times New Roman"/>
          <w:b/>
          <w:bCs/>
        </w:rPr>
      </w:pPr>
    </w:p>
    <w:p w:rsidR="00661F63" w:rsidRPr="002302DA" w:rsidRDefault="00816AB9" w:rsidP="00853896">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Table 4.24</w:t>
      </w:r>
      <w:r w:rsidR="00661F63" w:rsidRPr="002302DA">
        <w:rPr>
          <w:rFonts w:ascii="Times New Roman" w:hAnsi="Times New Roman" w:cs="Times New Roman"/>
          <w:b/>
          <w:bCs/>
        </w:rPr>
        <w:t>: Results of R square analysis</w:t>
      </w:r>
    </w:p>
    <w:tbl>
      <w:tblPr>
        <w:tblW w:w="7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7"/>
        <w:gridCol w:w="1019"/>
        <w:gridCol w:w="1087"/>
        <w:gridCol w:w="1469"/>
        <w:gridCol w:w="1469"/>
        <w:gridCol w:w="1469"/>
      </w:tblGrid>
      <w:tr w:rsidR="00661F63" w:rsidRPr="00521402" w:rsidTr="00251785">
        <w:trPr>
          <w:cantSplit/>
          <w:tblHeader/>
          <w:jc w:val="center"/>
        </w:trPr>
        <w:tc>
          <w:tcPr>
            <w:tcW w:w="7310" w:type="dxa"/>
            <w:gridSpan w:val="6"/>
            <w:tcBorders>
              <w:top w:val="nil"/>
              <w:left w:val="nil"/>
              <w:bottom w:val="nil"/>
              <w:right w:val="nil"/>
            </w:tcBorders>
            <w:shd w:val="clear" w:color="auto" w:fill="FFFFFF"/>
            <w:vAlign w:val="center"/>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b/>
                <w:bCs/>
                <w:color w:val="000000"/>
                <w:sz w:val="18"/>
                <w:szCs w:val="18"/>
              </w:rPr>
              <w:t>Model Summary</w:t>
            </w:r>
            <w:r w:rsidRPr="00521402">
              <w:rPr>
                <w:rFonts w:ascii="Arial" w:hAnsi="Arial" w:cs="Arial"/>
                <w:b/>
                <w:bCs/>
                <w:color w:val="000000"/>
                <w:sz w:val="18"/>
                <w:szCs w:val="18"/>
                <w:vertAlign w:val="superscript"/>
              </w:rPr>
              <w:t>b</w:t>
            </w:r>
          </w:p>
        </w:tc>
      </w:tr>
      <w:tr w:rsidR="00661F63" w:rsidRPr="00521402" w:rsidTr="0042214F">
        <w:trPr>
          <w:cantSplit/>
          <w:tblHeader/>
          <w:jc w:val="center"/>
        </w:trPr>
        <w:tc>
          <w:tcPr>
            <w:tcW w:w="797" w:type="dxa"/>
            <w:tcBorders>
              <w:top w:val="single" w:sz="16" w:space="0" w:color="000000"/>
              <w:left w:val="single" w:sz="16" w:space="0" w:color="000000"/>
              <w:bottom w:val="single" w:sz="16" w:space="0" w:color="000000"/>
              <w:right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Adjusted R Square</w:t>
            </w:r>
          </w:p>
        </w:tc>
        <w:tc>
          <w:tcPr>
            <w:tcW w:w="1469" w:type="dxa"/>
            <w:tcBorders>
              <w:top w:val="single" w:sz="16" w:space="0" w:color="000000"/>
              <w:bottom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Std. Error of the Estimate</w:t>
            </w:r>
          </w:p>
        </w:tc>
        <w:tc>
          <w:tcPr>
            <w:tcW w:w="1469" w:type="dxa"/>
            <w:tcBorders>
              <w:top w:val="single" w:sz="16" w:space="0" w:color="000000"/>
              <w:bottom w:val="single" w:sz="16" w:space="0" w:color="000000"/>
              <w:right w:val="single" w:sz="16" w:space="0" w:color="000000"/>
            </w:tcBorders>
            <w:shd w:val="clear" w:color="auto" w:fill="DDD9C3" w:themeFill="background2" w:themeFillShade="E6"/>
            <w:vAlign w:val="bottom"/>
          </w:tcPr>
          <w:p w:rsidR="00661F63" w:rsidRPr="00521402" w:rsidRDefault="00661F63" w:rsidP="00114557">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Durbin-Watson</w:t>
            </w:r>
          </w:p>
        </w:tc>
      </w:tr>
      <w:tr w:rsidR="00661F63" w:rsidRPr="00521402" w:rsidTr="0042214F">
        <w:trPr>
          <w:cantSplit/>
          <w:tblHeader/>
          <w:jc w:val="center"/>
        </w:trPr>
        <w:tc>
          <w:tcPr>
            <w:tcW w:w="797" w:type="dxa"/>
            <w:tcBorders>
              <w:top w:val="single" w:sz="16" w:space="0" w:color="000000"/>
              <w:left w:val="single" w:sz="16" w:space="0" w:color="000000"/>
              <w:bottom w:val="single" w:sz="16" w:space="0" w:color="000000"/>
              <w:right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.637</w:t>
            </w:r>
            <w:r w:rsidRPr="00521402">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.406</w:t>
            </w:r>
          </w:p>
        </w:tc>
        <w:tc>
          <w:tcPr>
            <w:tcW w:w="1469" w:type="dxa"/>
            <w:tcBorders>
              <w:top w:val="single" w:sz="16" w:space="0" w:color="000000"/>
              <w:bottom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.304</w:t>
            </w:r>
          </w:p>
        </w:tc>
        <w:tc>
          <w:tcPr>
            <w:tcW w:w="1469" w:type="dxa"/>
            <w:tcBorders>
              <w:top w:val="single" w:sz="16" w:space="0" w:color="000000"/>
              <w:bottom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10.21895</w:t>
            </w:r>
          </w:p>
        </w:tc>
        <w:tc>
          <w:tcPr>
            <w:tcW w:w="1469" w:type="dxa"/>
            <w:tcBorders>
              <w:top w:val="single" w:sz="16" w:space="0" w:color="000000"/>
              <w:bottom w:val="single" w:sz="16" w:space="0" w:color="000000"/>
              <w:right w:val="single" w:sz="16" w:space="0" w:color="000000"/>
            </w:tcBorders>
            <w:shd w:val="clear" w:color="auto" w:fill="DDD9C3" w:themeFill="background2" w:themeFillShade="E6"/>
          </w:tcPr>
          <w:p w:rsidR="00661F63" w:rsidRPr="00521402" w:rsidRDefault="00661F63" w:rsidP="00114557">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1.884</w:t>
            </w:r>
          </w:p>
        </w:tc>
      </w:tr>
      <w:tr w:rsidR="00661F63" w:rsidRPr="00521402" w:rsidTr="00251785">
        <w:trPr>
          <w:cantSplit/>
          <w:jc w:val="center"/>
        </w:trPr>
        <w:tc>
          <w:tcPr>
            <w:tcW w:w="7310" w:type="dxa"/>
            <w:gridSpan w:val="6"/>
            <w:tcBorders>
              <w:top w:val="nil"/>
              <w:left w:val="nil"/>
              <w:bottom w:val="nil"/>
              <w:right w:val="nil"/>
            </w:tcBorders>
            <w:shd w:val="clear" w:color="auto" w:fill="FFFFFF"/>
          </w:tcPr>
          <w:p w:rsidR="00661F63" w:rsidRPr="00521402" w:rsidRDefault="00661F63" w:rsidP="00114557">
            <w:pPr>
              <w:autoSpaceDE w:val="0"/>
              <w:autoSpaceDN w:val="0"/>
              <w:adjustRightInd w:val="0"/>
              <w:spacing w:after="0" w:line="320" w:lineRule="atLeast"/>
              <w:ind w:left="60" w:right="60"/>
              <w:contextualSpacing/>
              <w:rPr>
                <w:rFonts w:ascii="Arial" w:hAnsi="Arial" w:cs="Arial"/>
                <w:color w:val="000000"/>
                <w:sz w:val="18"/>
                <w:szCs w:val="18"/>
              </w:rPr>
            </w:pPr>
            <w:r w:rsidRPr="00521402">
              <w:rPr>
                <w:rFonts w:ascii="Arial" w:hAnsi="Arial" w:cs="Arial"/>
                <w:color w:val="000000"/>
                <w:sz w:val="18"/>
                <w:szCs w:val="18"/>
              </w:rPr>
              <w:t>a. Predictors: (Constant), OPNI, NPLR, EQTA, NIDR, LLPI</w:t>
            </w:r>
          </w:p>
          <w:p w:rsidR="00661F63" w:rsidRPr="00521402" w:rsidRDefault="00661F63" w:rsidP="00114557">
            <w:pPr>
              <w:autoSpaceDE w:val="0"/>
              <w:autoSpaceDN w:val="0"/>
              <w:adjustRightInd w:val="0"/>
              <w:spacing w:after="0" w:line="320" w:lineRule="atLeast"/>
              <w:ind w:left="60" w:right="60"/>
              <w:contextualSpacing/>
              <w:rPr>
                <w:rFonts w:ascii="Arial" w:hAnsi="Arial" w:cs="Arial"/>
                <w:color w:val="000000"/>
                <w:sz w:val="18"/>
                <w:szCs w:val="18"/>
              </w:rPr>
            </w:pPr>
            <w:r w:rsidRPr="00521402">
              <w:rPr>
                <w:rFonts w:ascii="Arial" w:hAnsi="Arial" w:cs="Arial"/>
                <w:color w:val="000000"/>
                <w:sz w:val="18"/>
                <w:szCs w:val="18"/>
              </w:rPr>
              <w:t>b. Dependent Variable: ROE</w:t>
            </w:r>
          </w:p>
          <w:p w:rsidR="00661F63" w:rsidRPr="00521402" w:rsidRDefault="00661F63" w:rsidP="00114557">
            <w:pPr>
              <w:autoSpaceDE w:val="0"/>
              <w:autoSpaceDN w:val="0"/>
              <w:adjustRightInd w:val="0"/>
              <w:spacing w:after="0" w:line="320" w:lineRule="atLeast"/>
              <w:ind w:left="60" w:right="60"/>
              <w:contextualSpacing/>
              <w:rPr>
                <w:rFonts w:ascii="Arial" w:hAnsi="Arial" w:cs="Arial"/>
                <w:color w:val="000000"/>
                <w:sz w:val="18"/>
                <w:szCs w:val="18"/>
              </w:rPr>
            </w:pPr>
          </w:p>
        </w:tc>
      </w:tr>
    </w:tbl>
    <w:p w:rsidR="0054691D" w:rsidRDefault="00251785" w:rsidP="00CB4F20">
      <w:pPr>
        <w:autoSpaceDE w:val="0"/>
        <w:autoSpaceDN w:val="0"/>
        <w:adjustRightInd w:val="0"/>
        <w:spacing w:after="0" w:line="360" w:lineRule="auto"/>
        <w:contextualSpacing/>
        <w:jc w:val="both"/>
        <w:rPr>
          <w:rFonts w:asciiTheme="majorBidi" w:hAnsiTheme="majorBidi" w:cstheme="majorBidi"/>
          <w:sz w:val="24"/>
          <w:szCs w:val="24"/>
        </w:rPr>
      </w:pPr>
      <w:r w:rsidRPr="005035E6">
        <w:rPr>
          <w:rFonts w:asciiTheme="majorBidi" w:hAnsiTheme="majorBidi" w:cstheme="majorBidi"/>
          <w:sz w:val="24"/>
          <w:szCs w:val="24"/>
        </w:rPr>
        <w:t>Durbin-Watson (DW) statistics is the ratio of sum of squares of successive differences of residuals to the sum of squares of errors. As a rule of thumb, if the DW statistic is less than 2, there is evidence of positive serial correlation (Büyüksalvarcı and Abdioğlu, 2011</w:t>
      </w:r>
      <w:r>
        <w:rPr>
          <w:rFonts w:asciiTheme="majorBidi" w:hAnsiTheme="majorBidi" w:cstheme="majorBidi"/>
          <w:sz w:val="24"/>
          <w:szCs w:val="24"/>
        </w:rPr>
        <w:t>).</w:t>
      </w:r>
      <w:r w:rsidRPr="005035E6">
        <w:rPr>
          <w:rFonts w:asciiTheme="majorBidi" w:hAnsiTheme="majorBidi" w:cstheme="majorBidi"/>
          <w:sz w:val="24"/>
          <w:szCs w:val="24"/>
        </w:rPr>
        <w:t>The D</w:t>
      </w:r>
      <w:r>
        <w:rPr>
          <w:rFonts w:asciiTheme="majorBidi" w:hAnsiTheme="majorBidi" w:cstheme="majorBidi"/>
          <w:sz w:val="24"/>
          <w:szCs w:val="24"/>
        </w:rPr>
        <w:t>urbin-Watson statistic was 1.884</w:t>
      </w:r>
      <w:r w:rsidRPr="005035E6">
        <w:rPr>
          <w:rFonts w:asciiTheme="majorBidi" w:hAnsiTheme="majorBidi" w:cstheme="majorBidi"/>
          <w:sz w:val="24"/>
          <w:szCs w:val="24"/>
        </w:rPr>
        <w:t>; it means that there was no serial correlation between independent variables and ROA.</w:t>
      </w:r>
    </w:p>
    <w:p w:rsidR="00AC6FAE" w:rsidRPr="00CB4F20" w:rsidRDefault="00AC6FAE" w:rsidP="00CB4F20">
      <w:pPr>
        <w:autoSpaceDE w:val="0"/>
        <w:autoSpaceDN w:val="0"/>
        <w:adjustRightInd w:val="0"/>
        <w:spacing w:after="0" w:line="360" w:lineRule="auto"/>
        <w:contextualSpacing/>
        <w:jc w:val="both"/>
        <w:rPr>
          <w:rFonts w:asciiTheme="majorBidi" w:hAnsiTheme="majorBidi" w:cstheme="majorBidi"/>
          <w:sz w:val="24"/>
          <w:szCs w:val="24"/>
        </w:rPr>
      </w:pPr>
    </w:p>
    <w:p w:rsidR="00251785" w:rsidRPr="00F35219" w:rsidRDefault="00251785" w:rsidP="00251785">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4.3.</w:t>
      </w:r>
      <w:r w:rsidR="007F67A5">
        <w:rPr>
          <w:rFonts w:asciiTheme="majorBidi" w:hAnsiTheme="majorBidi" w:cstheme="majorBidi"/>
          <w:b/>
          <w:bCs/>
          <w:sz w:val="24"/>
          <w:szCs w:val="24"/>
        </w:rPr>
        <w:t>2</w:t>
      </w:r>
      <w:r>
        <w:rPr>
          <w:rFonts w:asciiTheme="majorBidi" w:hAnsiTheme="majorBidi" w:cstheme="majorBidi"/>
          <w:b/>
          <w:bCs/>
          <w:sz w:val="24"/>
          <w:szCs w:val="24"/>
        </w:rPr>
        <w:t>.2.</w:t>
      </w:r>
      <w:r w:rsidR="002302DA">
        <w:rPr>
          <w:rFonts w:asciiTheme="majorBidi" w:hAnsiTheme="majorBidi" w:cstheme="majorBidi"/>
          <w:b/>
          <w:bCs/>
          <w:sz w:val="24"/>
          <w:szCs w:val="24"/>
        </w:rPr>
        <w:t>4 Multicolinearity T</w:t>
      </w:r>
      <w:r w:rsidRPr="00F35219">
        <w:rPr>
          <w:rFonts w:asciiTheme="majorBidi" w:hAnsiTheme="majorBidi" w:cstheme="majorBidi"/>
          <w:b/>
          <w:bCs/>
          <w:sz w:val="24"/>
          <w:szCs w:val="24"/>
        </w:rPr>
        <w:t>est</w:t>
      </w:r>
    </w:p>
    <w:p w:rsidR="00251785" w:rsidRDefault="00251785" w:rsidP="00251785">
      <w:pPr>
        <w:autoSpaceDE w:val="0"/>
        <w:autoSpaceDN w:val="0"/>
        <w:adjustRightInd w:val="0"/>
        <w:spacing w:after="0" w:line="360" w:lineRule="auto"/>
        <w:rPr>
          <w:rFonts w:asciiTheme="majorBidi" w:hAnsiTheme="majorBidi" w:cstheme="majorBidi"/>
          <w:sz w:val="24"/>
          <w:szCs w:val="24"/>
        </w:rPr>
      </w:pPr>
      <w:r w:rsidRPr="00F35219">
        <w:rPr>
          <w:rFonts w:asciiTheme="majorBidi" w:hAnsiTheme="majorBidi" w:cstheme="majorBidi"/>
          <w:sz w:val="24"/>
          <w:szCs w:val="24"/>
        </w:rPr>
        <w:t>By analyzing variance inflation factor in ROE model, it can be said that all independent variables had tolerance value bigger than 0.1. The results can prove that all variables have VIF value less than 10. This finding suggests that multicolinearity was not a problem when sel</w:t>
      </w:r>
      <w:r w:rsidR="002B369A">
        <w:rPr>
          <w:rFonts w:asciiTheme="majorBidi" w:hAnsiTheme="majorBidi" w:cstheme="majorBidi"/>
          <w:sz w:val="24"/>
          <w:szCs w:val="24"/>
        </w:rPr>
        <w:t>ected explanatory variables which</w:t>
      </w:r>
      <w:r w:rsidRPr="00F35219">
        <w:rPr>
          <w:rFonts w:asciiTheme="majorBidi" w:hAnsiTheme="majorBidi" w:cstheme="majorBidi"/>
          <w:sz w:val="24"/>
          <w:szCs w:val="24"/>
        </w:rPr>
        <w:t xml:space="preserve"> used to develop the predicted model in the logistic regression analysis and to validate the evidence </w:t>
      </w:r>
      <w:r>
        <w:rPr>
          <w:rFonts w:asciiTheme="majorBidi" w:hAnsiTheme="majorBidi" w:cstheme="majorBidi"/>
          <w:sz w:val="24"/>
          <w:szCs w:val="24"/>
        </w:rPr>
        <w:t>presented in correlation matrix (see table 4.20 below).</w:t>
      </w:r>
    </w:p>
    <w:p w:rsidR="00F55D64" w:rsidRDefault="00C94370" w:rsidP="006952A8">
      <w:pPr>
        <w:autoSpaceDE w:val="0"/>
        <w:autoSpaceDN w:val="0"/>
        <w:adjustRightInd w:val="0"/>
        <w:spacing w:after="0" w:line="360" w:lineRule="auto"/>
        <w:jc w:val="both"/>
        <w:rPr>
          <w:rFonts w:asciiTheme="majorBidi" w:hAnsiTheme="majorBidi" w:cstheme="majorBidi"/>
          <w:sz w:val="24"/>
          <w:szCs w:val="24"/>
        </w:rPr>
      </w:pPr>
      <w:r w:rsidRPr="007E2CB6">
        <w:rPr>
          <w:rFonts w:asciiTheme="majorBidi" w:hAnsiTheme="majorBidi" w:cstheme="majorBidi"/>
          <w:sz w:val="24"/>
          <w:szCs w:val="24"/>
        </w:rPr>
        <w:t>To assess the significance of each independent variable on the dependent variable ROA,</w:t>
      </w:r>
      <w:r>
        <w:rPr>
          <w:rFonts w:asciiTheme="majorBidi" w:hAnsiTheme="majorBidi" w:cstheme="majorBidi"/>
          <w:sz w:val="24"/>
          <w:szCs w:val="24"/>
        </w:rPr>
        <w:t xml:space="preserve"> we   developed next part, </w:t>
      </w:r>
      <w:r w:rsidRPr="00894435">
        <w:rPr>
          <w:rFonts w:asciiTheme="majorBidi" w:hAnsiTheme="majorBidi" w:cstheme="majorBidi"/>
          <w:sz w:val="24"/>
          <w:szCs w:val="24"/>
        </w:rPr>
        <w:t>aimed at establishing the relationship between the profitability of commercial banks</w:t>
      </w:r>
      <w:r w:rsidR="00E11349">
        <w:rPr>
          <w:rFonts w:asciiTheme="majorBidi" w:hAnsiTheme="majorBidi" w:cstheme="majorBidi"/>
          <w:sz w:val="24"/>
          <w:szCs w:val="24"/>
        </w:rPr>
        <w:t xml:space="preserve"> (ROE</w:t>
      </w:r>
      <w:r>
        <w:rPr>
          <w:rFonts w:asciiTheme="majorBidi" w:hAnsiTheme="majorBidi" w:cstheme="majorBidi"/>
          <w:sz w:val="24"/>
          <w:szCs w:val="24"/>
        </w:rPr>
        <w:t>) and the five</w:t>
      </w:r>
      <w:r w:rsidRPr="00894435">
        <w:rPr>
          <w:rFonts w:asciiTheme="majorBidi" w:hAnsiTheme="majorBidi" w:cstheme="majorBidi"/>
          <w:sz w:val="24"/>
          <w:szCs w:val="24"/>
        </w:rPr>
        <w:t xml:space="preserve"> explanatory variables</w:t>
      </w:r>
      <w:r>
        <w:rPr>
          <w:rFonts w:asciiTheme="majorBidi" w:hAnsiTheme="majorBidi" w:cstheme="majorBidi"/>
          <w:sz w:val="24"/>
          <w:szCs w:val="24"/>
        </w:rPr>
        <w:t xml:space="preserve"> of credit risk management (independent variables) as shown in </w:t>
      </w:r>
      <w:r w:rsidRPr="00B30CFE">
        <w:rPr>
          <w:rFonts w:asciiTheme="majorBidi" w:hAnsiTheme="majorBidi" w:cstheme="majorBidi"/>
          <w:color w:val="000000" w:themeColor="text1"/>
          <w:sz w:val="24"/>
          <w:szCs w:val="24"/>
        </w:rPr>
        <w:t>table</w:t>
      </w:r>
      <w:r w:rsidR="00155BAF" w:rsidRPr="00B30CFE">
        <w:rPr>
          <w:rFonts w:asciiTheme="majorBidi" w:hAnsiTheme="majorBidi" w:cstheme="majorBidi"/>
          <w:color w:val="000000" w:themeColor="text1"/>
          <w:sz w:val="24"/>
          <w:szCs w:val="24"/>
        </w:rPr>
        <w:t xml:space="preserve"> 4,2</w:t>
      </w:r>
      <w:r w:rsidR="00816AB9">
        <w:rPr>
          <w:rFonts w:asciiTheme="majorBidi" w:hAnsiTheme="majorBidi" w:cstheme="majorBidi"/>
          <w:color w:val="000000" w:themeColor="text1"/>
          <w:sz w:val="24"/>
          <w:szCs w:val="24"/>
        </w:rPr>
        <w:t>5</w:t>
      </w:r>
      <w:r w:rsidR="00155BAF">
        <w:rPr>
          <w:rFonts w:asciiTheme="majorBidi" w:hAnsiTheme="majorBidi" w:cstheme="majorBidi"/>
          <w:sz w:val="24"/>
          <w:szCs w:val="24"/>
        </w:rPr>
        <w:t xml:space="preserve"> (see Appendix 5)</w:t>
      </w:r>
      <w:r w:rsidR="00F55D64">
        <w:rPr>
          <w:rFonts w:asciiTheme="majorBidi" w:hAnsiTheme="majorBidi" w:cstheme="majorBidi"/>
          <w:sz w:val="24"/>
          <w:szCs w:val="24"/>
        </w:rPr>
        <w:t>.</w:t>
      </w:r>
      <w:r w:rsidR="00155BAF">
        <w:rPr>
          <w:rFonts w:asciiTheme="majorBidi" w:hAnsiTheme="majorBidi" w:cstheme="majorBidi"/>
          <w:sz w:val="24"/>
          <w:szCs w:val="24"/>
        </w:rPr>
        <w:t xml:space="preserve"> </w:t>
      </w:r>
    </w:p>
    <w:p w:rsidR="0054691D" w:rsidRPr="006952A8" w:rsidRDefault="0054691D" w:rsidP="006952A8">
      <w:pPr>
        <w:autoSpaceDE w:val="0"/>
        <w:autoSpaceDN w:val="0"/>
        <w:adjustRightInd w:val="0"/>
        <w:spacing w:after="0" w:line="360" w:lineRule="auto"/>
        <w:jc w:val="both"/>
        <w:rPr>
          <w:rFonts w:asciiTheme="majorBidi" w:hAnsiTheme="majorBidi" w:cstheme="majorBidi"/>
          <w:sz w:val="24"/>
          <w:szCs w:val="24"/>
        </w:rPr>
      </w:pPr>
    </w:p>
    <w:p w:rsidR="006C5F91" w:rsidRDefault="006C5F91" w:rsidP="002302DA">
      <w:pPr>
        <w:autoSpaceDE w:val="0"/>
        <w:autoSpaceDN w:val="0"/>
        <w:adjustRightInd w:val="0"/>
        <w:spacing w:after="0" w:line="360" w:lineRule="auto"/>
        <w:jc w:val="center"/>
        <w:rPr>
          <w:rFonts w:asciiTheme="majorBidi" w:hAnsiTheme="majorBidi" w:cstheme="majorBidi"/>
          <w:b/>
          <w:bCs/>
          <w:color w:val="000000" w:themeColor="text1"/>
        </w:rPr>
      </w:pPr>
    </w:p>
    <w:p w:rsidR="00CE380E" w:rsidRPr="002302DA" w:rsidRDefault="00816AB9" w:rsidP="002302DA">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color w:val="000000" w:themeColor="text1"/>
        </w:rPr>
        <w:lastRenderedPageBreak/>
        <w:t>Table 4.25</w:t>
      </w:r>
      <w:r w:rsidR="00CE380E" w:rsidRPr="002302DA">
        <w:rPr>
          <w:rFonts w:asciiTheme="majorBidi" w:hAnsiTheme="majorBidi" w:cstheme="majorBidi"/>
          <w:b/>
          <w:bCs/>
          <w:color w:val="000000" w:themeColor="text1"/>
        </w:rPr>
        <w:t xml:space="preserve">: </w:t>
      </w:r>
      <w:r w:rsidR="00CE380E" w:rsidRPr="002302DA">
        <w:rPr>
          <w:rFonts w:asciiTheme="majorBidi" w:hAnsiTheme="majorBidi" w:cstheme="majorBidi"/>
          <w:b/>
          <w:bCs/>
        </w:rPr>
        <w:t>Multiple Linear Regression Matrixes for model 2</w:t>
      </w:r>
    </w:p>
    <w:tbl>
      <w:tblPr>
        <w:tblW w:w="8506" w:type="dxa"/>
        <w:jc w:val="center"/>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
        <w:gridCol w:w="1112"/>
        <w:gridCol w:w="990"/>
        <w:gridCol w:w="1131"/>
        <w:gridCol w:w="1415"/>
        <w:gridCol w:w="848"/>
        <w:gridCol w:w="707"/>
        <w:gridCol w:w="1131"/>
        <w:gridCol w:w="1131"/>
      </w:tblGrid>
      <w:tr w:rsidR="00CE380E" w:rsidRPr="00521402" w:rsidTr="00455BBB">
        <w:trPr>
          <w:cantSplit/>
          <w:tblHeader/>
          <w:jc w:val="center"/>
        </w:trPr>
        <w:tc>
          <w:tcPr>
            <w:tcW w:w="8506" w:type="dxa"/>
            <w:gridSpan w:val="9"/>
            <w:tcBorders>
              <w:top w:val="nil"/>
              <w:left w:val="nil"/>
              <w:bottom w:val="nil"/>
              <w:right w:val="nil"/>
            </w:tcBorders>
            <w:shd w:val="clear" w:color="auto" w:fill="FFFFFF"/>
            <w:vAlign w:val="center"/>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b/>
                <w:bCs/>
                <w:color w:val="000000"/>
                <w:sz w:val="18"/>
                <w:szCs w:val="18"/>
              </w:rPr>
              <w:t>Coefficients</w:t>
            </w:r>
            <w:r w:rsidRPr="00521402">
              <w:rPr>
                <w:rFonts w:ascii="Arial" w:hAnsi="Arial" w:cs="Arial"/>
                <w:b/>
                <w:bCs/>
                <w:color w:val="000000"/>
                <w:sz w:val="18"/>
                <w:szCs w:val="18"/>
                <w:vertAlign w:val="superscript"/>
              </w:rPr>
              <w:t>a</w:t>
            </w:r>
          </w:p>
        </w:tc>
      </w:tr>
      <w:tr w:rsidR="00CE380E" w:rsidRPr="00521402" w:rsidTr="0042214F">
        <w:trPr>
          <w:cantSplit/>
          <w:tblHeader/>
          <w:jc w:val="center"/>
        </w:trPr>
        <w:tc>
          <w:tcPr>
            <w:tcW w:w="1135" w:type="dxa"/>
            <w:gridSpan w:val="2"/>
            <w:vMerge w:val="restart"/>
            <w:tcBorders>
              <w:top w:val="single" w:sz="16" w:space="0" w:color="000000"/>
              <w:left w:val="single" w:sz="16" w:space="0" w:color="000000"/>
              <w:bottom w:val="single" w:sz="16" w:space="0" w:color="000000"/>
              <w:right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Model</w:t>
            </w:r>
          </w:p>
        </w:tc>
        <w:tc>
          <w:tcPr>
            <w:tcW w:w="2126" w:type="dxa"/>
            <w:gridSpan w:val="2"/>
            <w:tcBorders>
              <w:top w:val="single" w:sz="16" w:space="0" w:color="000000"/>
              <w:left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Unstandardized Coefficients</w:t>
            </w:r>
          </w:p>
        </w:tc>
        <w:tc>
          <w:tcPr>
            <w:tcW w:w="1418" w:type="dxa"/>
            <w:tcBorders>
              <w:top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Standardized Coefficients</w:t>
            </w:r>
          </w:p>
        </w:tc>
        <w:tc>
          <w:tcPr>
            <w:tcW w:w="850" w:type="dxa"/>
            <w:vMerge w:val="restart"/>
            <w:tcBorders>
              <w:top w:val="single" w:sz="16" w:space="0" w:color="000000"/>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t</w:t>
            </w:r>
          </w:p>
        </w:tc>
        <w:tc>
          <w:tcPr>
            <w:tcW w:w="709" w:type="dxa"/>
            <w:vMerge w:val="restart"/>
            <w:tcBorders>
              <w:top w:val="single" w:sz="16" w:space="0" w:color="000000"/>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Sig.</w:t>
            </w:r>
          </w:p>
        </w:tc>
        <w:tc>
          <w:tcPr>
            <w:tcW w:w="2268" w:type="dxa"/>
            <w:gridSpan w:val="2"/>
            <w:tcBorders>
              <w:top w:val="single" w:sz="16" w:space="0" w:color="000000"/>
              <w:right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Collinearity Statistics</w:t>
            </w:r>
          </w:p>
        </w:tc>
      </w:tr>
      <w:tr w:rsidR="00CE380E" w:rsidRPr="00521402" w:rsidTr="0042214F">
        <w:trPr>
          <w:cantSplit/>
          <w:tblHeader/>
          <w:jc w:val="center"/>
        </w:trPr>
        <w:tc>
          <w:tcPr>
            <w:tcW w:w="1135" w:type="dxa"/>
            <w:gridSpan w:val="2"/>
            <w:vMerge/>
            <w:tcBorders>
              <w:top w:val="single" w:sz="16" w:space="0" w:color="000000"/>
              <w:left w:val="single" w:sz="16" w:space="0" w:color="000000"/>
              <w:bottom w:val="single" w:sz="16" w:space="0" w:color="000000"/>
              <w:right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B</w:t>
            </w:r>
          </w:p>
        </w:tc>
        <w:tc>
          <w:tcPr>
            <w:tcW w:w="1134" w:type="dxa"/>
            <w:tcBorders>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Std. Error</w:t>
            </w:r>
          </w:p>
        </w:tc>
        <w:tc>
          <w:tcPr>
            <w:tcW w:w="1418" w:type="dxa"/>
            <w:tcBorders>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Beta</w:t>
            </w:r>
          </w:p>
        </w:tc>
        <w:tc>
          <w:tcPr>
            <w:tcW w:w="850" w:type="dxa"/>
            <w:vMerge/>
            <w:tcBorders>
              <w:top w:val="single" w:sz="16" w:space="0" w:color="000000"/>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1134" w:type="dxa"/>
            <w:tcBorders>
              <w:bottom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Tolerance</w:t>
            </w:r>
          </w:p>
        </w:tc>
        <w:tc>
          <w:tcPr>
            <w:tcW w:w="1134" w:type="dxa"/>
            <w:tcBorders>
              <w:bottom w:val="single" w:sz="16" w:space="0" w:color="000000"/>
              <w:right w:val="single" w:sz="16" w:space="0" w:color="000000"/>
            </w:tcBorders>
            <w:shd w:val="clear" w:color="auto" w:fill="DDD9C3" w:themeFill="background2" w:themeFillShade="E6"/>
            <w:vAlign w:val="bottom"/>
          </w:tcPr>
          <w:p w:rsidR="00CE380E" w:rsidRPr="00521402" w:rsidRDefault="00CE380E" w:rsidP="00F32559">
            <w:pPr>
              <w:autoSpaceDE w:val="0"/>
              <w:autoSpaceDN w:val="0"/>
              <w:adjustRightInd w:val="0"/>
              <w:spacing w:after="0" w:line="320" w:lineRule="atLeast"/>
              <w:ind w:left="60" w:right="60"/>
              <w:jc w:val="center"/>
              <w:rPr>
                <w:rFonts w:ascii="Arial" w:hAnsi="Arial" w:cs="Arial"/>
                <w:color w:val="000000"/>
                <w:sz w:val="18"/>
                <w:szCs w:val="18"/>
              </w:rPr>
            </w:pPr>
            <w:r w:rsidRPr="00521402">
              <w:rPr>
                <w:rFonts w:ascii="Arial" w:hAnsi="Arial" w:cs="Arial"/>
                <w:color w:val="000000"/>
                <w:sz w:val="18"/>
                <w:szCs w:val="18"/>
              </w:rPr>
              <w:t>VIF</w:t>
            </w:r>
          </w:p>
        </w:tc>
      </w:tr>
      <w:tr w:rsidR="00CE380E" w:rsidRPr="00521402" w:rsidTr="0042214F">
        <w:trPr>
          <w:cantSplit/>
          <w:tblHeader/>
          <w:jc w:val="center"/>
        </w:trPr>
        <w:tc>
          <w:tcPr>
            <w:tcW w:w="20" w:type="dxa"/>
            <w:vMerge w:val="restart"/>
            <w:tcBorders>
              <w:top w:val="single" w:sz="16" w:space="0" w:color="000000"/>
              <w:left w:val="single" w:sz="16" w:space="0" w:color="000000"/>
              <w:bottom w:val="single" w:sz="16" w:space="0" w:color="000000"/>
              <w:right w:val="nil"/>
            </w:tcBorders>
            <w:shd w:val="clear" w:color="auto" w:fill="FFFFFF"/>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1</w:t>
            </w:r>
          </w:p>
        </w:tc>
        <w:tc>
          <w:tcPr>
            <w:tcW w:w="1115" w:type="dxa"/>
            <w:tcBorders>
              <w:top w:val="single" w:sz="16" w:space="0" w:color="000000"/>
              <w:left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(Constant)</w:t>
            </w:r>
          </w:p>
        </w:tc>
        <w:tc>
          <w:tcPr>
            <w:tcW w:w="992" w:type="dxa"/>
            <w:tcBorders>
              <w:top w:val="single" w:sz="16" w:space="0" w:color="000000"/>
              <w:left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11.303</w:t>
            </w:r>
          </w:p>
        </w:tc>
        <w:tc>
          <w:tcPr>
            <w:tcW w:w="1134" w:type="dxa"/>
            <w:tcBorders>
              <w:top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10.334</w:t>
            </w:r>
          </w:p>
        </w:tc>
        <w:tc>
          <w:tcPr>
            <w:tcW w:w="1418" w:type="dxa"/>
            <w:tcBorders>
              <w:top w:val="single" w:sz="16" w:space="0" w:color="000000"/>
              <w:bottom w:val="nil"/>
            </w:tcBorders>
            <w:shd w:val="clear" w:color="auto" w:fill="DDD9C3" w:themeFill="background2" w:themeFillShade="E6"/>
            <w:vAlign w:val="center"/>
          </w:tcPr>
          <w:p w:rsidR="00CE380E" w:rsidRPr="00521402" w:rsidRDefault="00CE380E" w:rsidP="00F32559">
            <w:pPr>
              <w:autoSpaceDE w:val="0"/>
              <w:autoSpaceDN w:val="0"/>
              <w:adjustRightInd w:val="0"/>
              <w:spacing w:after="0" w:line="240"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1.094</w:t>
            </w:r>
          </w:p>
        </w:tc>
        <w:tc>
          <w:tcPr>
            <w:tcW w:w="709" w:type="dxa"/>
            <w:tcBorders>
              <w:top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.283</w:t>
            </w:r>
          </w:p>
        </w:tc>
        <w:tc>
          <w:tcPr>
            <w:tcW w:w="1134" w:type="dxa"/>
            <w:tcBorders>
              <w:top w:val="single" w:sz="16" w:space="0" w:color="000000"/>
              <w:bottom w:val="nil"/>
            </w:tcBorders>
            <w:shd w:val="clear" w:color="auto" w:fill="DDD9C3" w:themeFill="background2" w:themeFillShade="E6"/>
            <w:vAlign w:val="center"/>
          </w:tcPr>
          <w:p w:rsidR="00CE380E" w:rsidRPr="00521402" w:rsidRDefault="00CE380E" w:rsidP="00F32559">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DDD9C3" w:themeFill="background2" w:themeFillShade="E6"/>
            <w:vAlign w:val="center"/>
          </w:tcPr>
          <w:p w:rsidR="00CE380E" w:rsidRPr="00521402" w:rsidRDefault="00CE380E" w:rsidP="00F32559">
            <w:pPr>
              <w:autoSpaceDE w:val="0"/>
              <w:autoSpaceDN w:val="0"/>
              <w:adjustRightInd w:val="0"/>
              <w:spacing w:after="0" w:line="240" w:lineRule="auto"/>
              <w:jc w:val="center"/>
              <w:rPr>
                <w:rFonts w:ascii="Times New Roman" w:hAnsi="Times New Roman" w:cs="Times New Roman"/>
                <w:sz w:val="24"/>
                <w:szCs w:val="24"/>
              </w:rPr>
            </w:pPr>
          </w:p>
        </w:tc>
      </w:tr>
      <w:tr w:rsidR="00CE380E" w:rsidRPr="00521402" w:rsidTr="0042214F">
        <w:trPr>
          <w:cantSplit/>
          <w:tblHeader/>
          <w:jc w:val="center"/>
        </w:trPr>
        <w:tc>
          <w:tcPr>
            <w:tcW w:w="20" w:type="dxa"/>
            <w:vMerge/>
            <w:tcBorders>
              <w:top w:val="single" w:sz="16" w:space="0" w:color="000000"/>
              <w:left w:val="single" w:sz="16" w:space="0" w:color="000000"/>
              <w:bottom w:val="single" w:sz="16" w:space="0" w:color="000000"/>
              <w:right w:val="nil"/>
            </w:tcBorders>
            <w:shd w:val="clear" w:color="auto" w:fill="FFFFFF"/>
          </w:tcPr>
          <w:p w:rsidR="00CE380E" w:rsidRPr="00521402" w:rsidRDefault="00CE380E" w:rsidP="00F32559">
            <w:pPr>
              <w:autoSpaceDE w:val="0"/>
              <w:autoSpaceDN w:val="0"/>
              <w:adjustRightInd w:val="0"/>
              <w:spacing w:after="0" w:line="240" w:lineRule="auto"/>
              <w:rPr>
                <w:rFonts w:ascii="Times New Roman" w:hAnsi="Times New Roman" w:cs="Times New Roman"/>
                <w:sz w:val="24"/>
                <w:szCs w:val="24"/>
              </w:rPr>
            </w:pPr>
          </w:p>
        </w:tc>
        <w:tc>
          <w:tcPr>
            <w:tcW w:w="1115" w:type="dxa"/>
            <w:tcBorders>
              <w:top w:val="nil"/>
              <w:left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NPLR</w:t>
            </w:r>
          </w:p>
        </w:tc>
        <w:tc>
          <w:tcPr>
            <w:tcW w:w="992" w:type="dxa"/>
            <w:tcBorders>
              <w:top w:val="nil"/>
              <w:left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-.090-</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.171</w:t>
            </w:r>
          </w:p>
        </w:tc>
        <w:tc>
          <w:tcPr>
            <w:tcW w:w="1418"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-.089-</w:t>
            </w:r>
          </w:p>
        </w:tc>
        <w:tc>
          <w:tcPr>
            <w:tcW w:w="850"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-.527-</w:t>
            </w:r>
          </w:p>
        </w:tc>
        <w:tc>
          <w:tcPr>
            <w:tcW w:w="709"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.602</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.725</w:t>
            </w:r>
          </w:p>
        </w:tc>
        <w:tc>
          <w:tcPr>
            <w:tcW w:w="1134" w:type="dxa"/>
            <w:tcBorders>
              <w:top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1.378</w:t>
            </w:r>
          </w:p>
        </w:tc>
      </w:tr>
      <w:tr w:rsidR="00CE380E" w:rsidRPr="00521402" w:rsidTr="0042214F">
        <w:trPr>
          <w:cantSplit/>
          <w:tblHeader/>
          <w:jc w:val="center"/>
        </w:trPr>
        <w:tc>
          <w:tcPr>
            <w:tcW w:w="20" w:type="dxa"/>
            <w:vMerge/>
            <w:tcBorders>
              <w:top w:val="single" w:sz="16" w:space="0" w:color="000000"/>
              <w:left w:val="single" w:sz="16" w:space="0" w:color="000000"/>
              <w:bottom w:val="single" w:sz="16" w:space="0" w:color="000000"/>
              <w:right w:val="nil"/>
            </w:tcBorders>
            <w:shd w:val="clear" w:color="auto" w:fill="FFFFFF"/>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1115" w:type="dxa"/>
            <w:tcBorders>
              <w:top w:val="nil"/>
              <w:left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EQTA</w:t>
            </w:r>
          </w:p>
        </w:tc>
        <w:tc>
          <w:tcPr>
            <w:tcW w:w="992" w:type="dxa"/>
            <w:tcBorders>
              <w:top w:val="nil"/>
              <w:left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-.080-</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.192</w:t>
            </w:r>
          </w:p>
        </w:tc>
        <w:tc>
          <w:tcPr>
            <w:tcW w:w="1418"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-.068-</w:t>
            </w:r>
          </w:p>
        </w:tc>
        <w:tc>
          <w:tcPr>
            <w:tcW w:w="850"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-.418-</w:t>
            </w:r>
          </w:p>
        </w:tc>
        <w:tc>
          <w:tcPr>
            <w:tcW w:w="709"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.679</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.780</w:t>
            </w:r>
          </w:p>
        </w:tc>
        <w:tc>
          <w:tcPr>
            <w:tcW w:w="1134" w:type="dxa"/>
            <w:tcBorders>
              <w:top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1.283</w:t>
            </w:r>
          </w:p>
        </w:tc>
      </w:tr>
      <w:tr w:rsidR="00CE380E" w:rsidRPr="00521402" w:rsidTr="0042214F">
        <w:trPr>
          <w:cantSplit/>
          <w:tblHeader/>
          <w:jc w:val="center"/>
        </w:trPr>
        <w:tc>
          <w:tcPr>
            <w:tcW w:w="20" w:type="dxa"/>
            <w:vMerge/>
            <w:tcBorders>
              <w:top w:val="single" w:sz="16" w:space="0" w:color="000000"/>
              <w:left w:val="single" w:sz="16" w:space="0" w:color="000000"/>
              <w:bottom w:val="single" w:sz="16" w:space="0" w:color="000000"/>
              <w:right w:val="nil"/>
            </w:tcBorders>
            <w:shd w:val="clear" w:color="auto" w:fill="FFFFFF"/>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1115" w:type="dxa"/>
            <w:tcBorders>
              <w:top w:val="nil"/>
              <w:left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LLPI</w:t>
            </w:r>
          </w:p>
        </w:tc>
        <w:tc>
          <w:tcPr>
            <w:tcW w:w="992" w:type="dxa"/>
            <w:tcBorders>
              <w:top w:val="nil"/>
              <w:left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-.213-</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.130</w:t>
            </w:r>
          </w:p>
        </w:tc>
        <w:tc>
          <w:tcPr>
            <w:tcW w:w="1418"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-.302-</w:t>
            </w:r>
          </w:p>
        </w:tc>
        <w:tc>
          <w:tcPr>
            <w:tcW w:w="850"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-1.639-</w:t>
            </w:r>
          </w:p>
        </w:tc>
        <w:tc>
          <w:tcPr>
            <w:tcW w:w="709"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.112</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.604</w:t>
            </w:r>
          </w:p>
        </w:tc>
        <w:tc>
          <w:tcPr>
            <w:tcW w:w="1134" w:type="dxa"/>
            <w:tcBorders>
              <w:top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1.655</w:t>
            </w:r>
          </w:p>
        </w:tc>
      </w:tr>
      <w:tr w:rsidR="00CE380E" w:rsidRPr="00521402" w:rsidTr="0042214F">
        <w:trPr>
          <w:cantSplit/>
          <w:tblHeader/>
          <w:jc w:val="center"/>
        </w:trPr>
        <w:tc>
          <w:tcPr>
            <w:tcW w:w="20" w:type="dxa"/>
            <w:vMerge/>
            <w:tcBorders>
              <w:top w:val="single" w:sz="16" w:space="0" w:color="000000"/>
              <w:left w:val="single" w:sz="16" w:space="0" w:color="000000"/>
              <w:bottom w:val="single" w:sz="16" w:space="0" w:color="000000"/>
              <w:right w:val="nil"/>
            </w:tcBorders>
            <w:shd w:val="clear" w:color="auto" w:fill="FFFFFF"/>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1115" w:type="dxa"/>
            <w:tcBorders>
              <w:top w:val="nil"/>
              <w:left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NIDR</w:t>
            </w:r>
          </w:p>
        </w:tc>
        <w:tc>
          <w:tcPr>
            <w:tcW w:w="992" w:type="dxa"/>
            <w:tcBorders>
              <w:top w:val="nil"/>
              <w:left w:val="single" w:sz="16" w:space="0" w:color="000000"/>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.322</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.195</w:t>
            </w:r>
          </w:p>
        </w:tc>
        <w:tc>
          <w:tcPr>
            <w:tcW w:w="1418"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.296</w:t>
            </w:r>
          </w:p>
        </w:tc>
        <w:tc>
          <w:tcPr>
            <w:tcW w:w="850"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1.651</w:t>
            </w:r>
          </w:p>
        </w:tc>
        <w:tc>
          <w:tcPr>
            <w:tcW w:w="709"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.110</w:t>
            </w:r>
          </w:p>
        </w:tc>
        <w:tc>
          <w:tcPr>
            <w:tcW w:w="1134" w:type="dxa"/>
            <w:tcBorders>
              <w:top w:val="nil"/>
              <w:bottom w:val="nil"/>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.636</w:t>
            </w:r>
          </w:p>
        </w:tc>
        <w:tc>
          <w:tcPr>
            <w:tcW w:w="1134" w:type="dxa"/>
            <w:tcBorders>
              <w:top w:val="nil"/>
              <w:bottom w:val="nil"/>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1.573</w:t>
            </w:r>
          </w:p>
        </w:tc>
      </w:tr>
      <w:tr w:rsidR="00CE380E" w:rsidRPr="00521402" w:rsidTr="0042214F">
        <w:trPr>
          <w:cantSplit/>
          <w:tblHeader/>
          <w:jc w:val="center"/>
        </w:trPr>
        <w:tc>
          <w:tcPr>
            <w:tcW w:w="20" w:type="dxa"/>
            <w:vMerge/>
            <w:tcBorders>
              <w:top w:val="single" w:sz="16" w:space="0" w:color="000000"/>
              <w:left w:val="single" w:sz="16" w:space="0" w:color="000000"/>
              <w:bottom w:val="single" w:sz="16" w:space="0" w:color="000000"/>
              <w:right w:val="nil"/>
            </w:tcBorders>
            <w:shd w:val="clear" w:color="auto" w:fill="FFFFFF"/>
          </w:tcPr>
          <w:p w:rsidR="00CE380E" w:rsidRPr="00521402" w:rsidRDefault="00CE380E" w:rsidP="00F32559">
            <w:pPr>
              <w:autoSpaceDE w:val="0"/>
              <w:autoSpaceDN w:val="0"/>
              <w:adjustRightInd w:val="0"/>
              <w:spacing w:after="0" w:line="240" w:lineRule="auto"/>
              <w:rPr>
                <w:rFonts w:ascii="Arial" w:hAnsi="Arial" w:cs="Arial"/>
                <w:color w:val="000000"/>
                <w:sz w:val="18"/>
                <w:szCs w:val="18"/>
              </w:rPr>
            </w:pPr>
          </w:p>
        </w:tc>
        <w:tc>
          <w:tcPr>
            <w:tcW w:w="1115" w:type="dxa"/>
            <w:tcBorders>
              <w:top w:val="nil"/>
              <w:left w:val="nil"/>
              <w:bottom w:val="single" w:sz="16" w:space="0" w:color="000000"/>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OPNI</w:t>
            </w:r>
          </w:p>
        </w:tc>
        <w:tc>
          <w:tcPr>
            <w:tcW w:w="992" w:type="dxa"/>
            <w:tcBorders>
              <w:top w:val="nil"/>
              <w:left w:val="single" w:sz="16" w:space="0" w:color="000000"/>
              <w:bottom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-.094-</w:t>
            </w:r>
          </w:p>
        </w:tc>
        <w:tc>
          <w:tcPr>
            <w:tcW w:w="1134" w:type="dxa"/>
            <w:tcBorders>
              <w:top w:val="nil"/>
              <w:bottom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.065</w:t>
            </w:r>
          </w:p>
        </w:tc>
        <w:tc>
          <w:tcPr>
            <w:tcW w:w="1418" w:type="dxa"/>
            <w:tcBorders>
              <w:top w:val="nil"/>
              <w:bottom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-.274-</w:t>
            </w:r>
          </w:p>
        </w:tc>
        <w:tc>
          <w:tcPr>
            <w:tcW w:w="850" w:type="dxa"/>
            <w:tcBorders>
              <w:top w:val="nil"/>
              <w:bottom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-1.450-</w:t>
            </w:r>
          </w:p>
        </w:tc>
        <w:tc>
          <w:tcPr>
            <w:tcW w:w="709" w:type="dxa"/>
            <w:tcBorders>
              <w:top w:val="nil"/>
              <w:bottom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.158</w:t>
            </w:r>
          </w:p>
        </w:tc>
        <w:tc>
          <w:tcPr>
            <w:tcW w:w="1134" w:type="dxa"/>
            <w:tcBorders>
              <w:top w:val="nil"/>
              <w:bottom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.576</w:t>
            </w:r>
          </w:p>
        </w:tc>
        <w:tc>
          <w:tcPr>
            <w:tcW w:w="1134" w:type="dxa"/>
            <w:tcBorders>
              <w:top w:val="nil"/>
              <w:bottom w:val="single" w:sz="16" w:space="0" w:color="000000"/>
              <w:right w:val="single" w:sz="16" w:space="0" w:color="000000"/>
            </w:tcBorders>
            <w:shd w:val="clear" w:color="auto" w:fill="DDD9C3" w:themeFill="background2" w:themeFillShade="E6"/>
          </w:tcPr>
          <w:p w:rsidR="00CE380E" w:rsidRPr="00521402" w:rsidRDefault="00CE380E" w:rsidP="00F32559">
            <w:pPr>
              <w:autoSpaceDE w:val="0"/>
              <w:autoSpaceDN w:val="0"/>
              <w:adjustRightInd w:val="0"/>
              <w:spacing w:after="0" w:line="320" w:lineRule="atLeast"/>
              <w:ind w:left="60" w:right="60"/>
              <w:jc w:val="right"/>
              <w:rPr>
                <w:rFonts w:ascii="Arial" w:hAnsi="Arial" w:cs="Arial"/>
                <w:color w:val="000000"/>
                <w:sz w:val="18"/>
                <w:szCs w:val="18"/>
              </w:rPr>
            </w:pPr>
            <w:r w:rsidRPr="00521402">
              <w:rPr>
                <w:rFonts w:ascii="Arial" w:hAnsi="Arial" w:cs="Arial"/>
                <w:color w:val="000000"/>
                <w:sz w:val="18"/>
                <w:szCs w:val="18"/>
              </w:rPr>
              <w:t>1.738</w:t>
            </w:r>
          </w:p>
        </w:tc>
      </w:tr>
      <w:tr w:rsidR="00CE380E" w:rsidRPr="00521402" w:rsidTr="00455BBB">
        <w:trPr>
          <w:cantSplit/>
          <w:jc w:val="center"/>
        </w:trPr>
        <w:tc>
          <w:tcPr>
            <w:tcW w:w="8506" w:type="dxa"/>
            <w:gridSpan w:val="9"/>
            <w:tcBorders>
              <w:top w:val="nil"/>
              <w:left w:val="nil"/>
              <w:bottom w:val="nil"/>
              <w:right w:val="nil"/>
            </w:tcBorders>
            <w:shd w:val="clear" w:color="auto" w:fill="FFFFFF"/>
          </w:tcPr>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r w:rsidRPr="00521402">
              <w:rPr>
                <w:rFonts w:ascii="Arial" w:hAnsi="Arial" w:cs="Arial"/>
                <w:color w:val="000000"/>
                <w:sz w:val="18"/>
                <w:szCs w:val="18"/>
              </w:rPr>
              <w:t>a. Dependent Variable: ROE</w:t>
            </w:r>
          </w:p>
          <w:p w:rsidR="00CE380E" w:rsidRPr="00521402" w:rsidRDefault="00CE380E" w:rsidP="00F32559">
            <w:pPr>
              <w:autoSpaceDE w:val="0"/>
              <w:autoSpaceDN w:val="0"/>
              <w:adjustRightInd w:val="0"/>
              <w:spacing w:after="0" w:line="320" w:lineRule="atLeast"/>
              <w:ind w:left="60" w:right="60"/>
              <w:rPr>
                <w:rFonts w:ascii="Arial" w:hAnsi="Arial" w:cs="Arial"/>
                <w:color w:val="000000"/>
                <w:sz w:val="18"/>
                <w:szCs w:val="18"/>
              </w:rPr>
            </w:pPr>
          </w:p>
        </w:tc>
      </w:tr>
    </w:tbl>
    <w:p w:rsidR="00CE380E" w:rsidRPr="001B6D4E" w:rsidRDefault="00CE380E" w:rsidP="00CE380E">
      <w:pPr>
        <w:rPr>
          <w:rFonts w:asciiTheme="majorBidi" w:hAnsiTheme="majorBidi" w:cstheme="majorBidi"/>
          <w:b/>
          <w:bCs/>
          <w:sz w:val="24"/>
          <w:szCs w:val="24"/>
        </w:rPr>
      </w:pPr>
      <w:r>
        <w:rPr>
          <w:rFonts w:asciiTheme="majorBidi" w:hAnsiTheme="majorBidi" w:cstheme="majorBidi"/>
          <w:b/>
          <w:bCs/>
          <w:sz w:val="24"/>
          <w:szCs w:val="24"/>
        </w:rPr>
        <w:t>4.3.2</w:t>
      </w:r>
      <w:r w:rsidRPr="007E2CB6">
        <w:rPr>
          <w:rFonts w:asciiTheme="majorBidi" w:hAnsiTheme="majorBidi" w:cstheme="majorBidi"/>
          <w:b/>
          <w:bCs/>
          <w:sz w:val="24"/>
          <w:szCs w:val="24"/>
        </w:rPr>
        <w:t>.</w:t>
      </w:r>
      <w:r w:rsidR="00E23E22">
        <w:rPr>
          <w:rFonts w:asciiTheme="majorBidi" w:hAnsiTheme="majorBidi" w:cstheme="majorBidi"/>
          <w:b/>
          <w:bCs/>
          <w:sz w:val="24"/>
          <w:szCs w:val="24"/>
        </w:rPr>
        <w:t>2.5</w:t>
      </w:r>
      <w:r w:rsidR="00D027CB">
        <w:rPr>
          <w:rFonts w:asciiTheme="majorBidi" w:hAnsiTheme="majorBidi" w:cstheme="majorBidi"/>
          <w:b/>
          <w:bCs/>
          <w:sz w:val="24"/>
          <w:szCs w:val="24"/>
        </w:rPr>
        <w:t xml:space="preserve"> </w:t>
      </w:r>
      <w:r w:rsidR="002302DA">
        <w:rPr>
          <w:rFonts w:asciiTheme="majorBidi" w:hAnsiTheme="majorBidi" w:cstheme="majorBidi"/>
          <w:b/>
          <w:bCs/>
          <w:sz w:val="24"/>
          <w:szCs w:val="24"/>
        </w:rPr>
        <w:t xml:space="preserve">The Relationship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Pr="001B6D4E">
        <w:rPr>
          <w:rFonts w:asciiTheme="majorBidi" w:hAnsiTheme="majorBidi" w:cstheme="majorBidi"/>
          <w:b/>
          <w:bCs/>
          <w:sz w:val="24"/>
          <w:szCs w:val="24"/>
        </w:rPr>
        <w:t>rofitability</w:t>
      </w:r>
      <w:r w:rsidR="00F32559">
        <w:rPr>
          <w:rFonts w:asciiTheme="majorBidi" w:hAnsiTheme="majorBidi" w:cstheme="majorBidi"/>
          <w:b/>
          <w:bCs/>
          <w:sz w:val="24"/>
          <w:szCs w:val="24"/>
        </w:rPr>
        <w:t xml:space="preserve"> (ROE</w:t>
      </w:r>
      <w:r w:rsidR="002302DA">
        <w:rPr>
          <w:rFonts w:asciiTheme="majorBidi" w:hAnsiTheme="majorBidi" w:cstheme="majorBidi"/>
          <w:b/>
          <w:bCs/>
          <w:sz w:val="24"/>
          <w:szCs w:val="24"/>
        </w:rPr>
        <w:t>) and Nonperforming L</w:t>
      </w:r>
      <w:r>
        <w:rPr>
          <w:rFonts w:asciiTheme="majorBidi" w:hAnsiTheme="majorBidi" w:cstheme="majorBidi"/>
          <w:b/>
          <w:bCs/>
          <w:sz w:val="24"/>
          <w:szCs w:val="24"/>
        </w:rPr>
        <w:t>oans (NPLR)</w:t>
      </w:r>
    </w:p>
    <w:p w:rsidR="008606AB" w:rsidRDefault="00816AB9" w:rsidP="002646B7">
      <w:pPr>
        <w:autoSpaceDE w:val="0"/>
        <w:autoSpaceDN w:val="0"/>
        <w:adjustRightInd w:val="0"/>
        <w:spacing w:after="0" w:line="360" w:lineRule="auto"/>
        <w:jc w:val="both"/>
        <w:rPr>
          <w:rFonts w:ascii="TimesNewRoman" w:hAnsi="TimesNewRoman" w:cs="TimesNewRoman"/>
          <w:sz w:val="24"/>
          <w:szCs w:val="24"/>
        </w:rPr>
      </w:pPr>
      <w:r>
        <w:rPr>
          <w:rFonts w:asciiTheme="majorBidi" w:hAnsiTheme="majorBidi" w:cstheme="majorBidi"/>
          <w:sz w:val="24"/>
          <w:szCs w:val="24"/>
        </w:rPr>
        <w:t>Table 4.25</w:t>
      </w:r>
      <w:r w:rsidR="00B55831" w:rsidRPr="00240968">
        <w:rPr>
          <w:rFonts w:asciiTheme="majorBidi" w:hAnsiTheme="majorBidi" w:cstheme="majorBidi"/>
          <w:sz w:val="24"/>
          <w:szCs w:val="24"/>
        </w:rPr>
        <w:t xml:space="preserve"> present</w:t>
      </w:r>
      <w:r w:rsidR="00BC519E">
        <w:rPr>
          <w:rFonts w:asciiTheme="majorBidi" w:hAnsiTheme="majorBidi" w:cstheme="majorBidi"/>
          <w:sz w:val="24"/>
          <w:szCs w:val="24"/>
        </w:rPr>
        <w:t>s</w:t>
      </w:r>
      <w:r w:rsidR="00B55831" w:rsidRPr="00240968">
        <w:rPr>
          <w:rFonts w:asciiTheme="majorBidi" w:hAnsiTheme="majorBidi" w:cstheme="majorBidi"/>
          <w:sz w:val="24"/>
          <w:szCs w:val="24"/>
        </w:rPr>
        <w:t xml:space="preserve"> regression results</w:t>
      </w:r>
      <w:r w:rsidR="00B55831">
        <w:rPr>
          <w:rFonts w:asciiTheme="majorBidi" w:hAnsiTheme="majorBidi" w:cstheme="majorBidi"/>
          <w:sz w:val="24"/>
          <w:szCs w:val="24"/>
        </w:rPr>
        <w:t xml:space="preserve"> for the profitability equation for model 2,</w:t>
      </w:r>
      <w:r w:rsidR="00B55831" w:rsidRPr="00240968">
        <w:rPr>
          <w:rFonts w:asciiTheme="majorBidi" w:hAnsiTheme="majorBidi" w:cstheme="majorBidi"/>
          <w:sz w:val="24"/>
          <w:szCs w:val="24"/>
        </w:rPr>
        <w:t xml:space="preserve"> discussed in methodology</w:t>
      </w:r>
      <w:r w:rsidR="00601E54">
        <w:rPr>
          <w:rFonts w:asciiTheme="majorBidi" w:hAnsiTheme="majorBidi" w:cstheme="majorBidi"/>
          <w:sz w:val="24"/>
          <w:szCs w:val="24"/>
        </w:rPr>
        <w:t xml:space="preserve"> </w:t>
      </w:r>
      <w:r w:rsidR="00B55831" w:rsidRPr="00240968">
        <w:rPr>
          <w:rFonts w:asciiTheme="majorBidi" w:hAnsiTheme="majorBidi" w:cstheme="majorBidi"/>
          <w:sz w:val="24"/>
          <w:szCs w:val="24"/>
        </w:rPr>
        <w:t>part, where RO</w:t>
      </w:r>
      <w:r w:rsidR="00B55831">
        <w:rPr>
          <w:rFonts w:asciiTheme="majorBidi" w:hAnsiTheme="majorBidi" w:cstheme="majorBidi"/>
          <w:sz w:val="24"/>
          <w:szCs w:val="24"/>
        </w:rPr>
        <w:t>E is dependent variable. It</w:t>
      </w:r>
      <w:r w:rsidR="00BC519E">
        <w:rPr>
          <w:rFonts w:asciiTheme="majorBidi" w:hAnsiTheme="majorBidi" w:cstheme="majorBidi"/>
          <w:sz w:val="24"/>
          <w:szCs w:val="24"/>
        </w:rPr>
        <w:t xml:space="preserve"> showed</w:t>
      </w:r>
      <w:r w:rsidR="00B55831" w:rsidRPr="00240968">
        <w:rPr>
          <w:rFonts w:asciiTheme="majorBidi" w:hAnsiTheme="majorBidi" w:cstheme="majorBidi"/>
          <w:sz w:val="24"/>
          <w:szCs w:val="24"/>
        </w:rPr>
        <w:t xml:space="preserve"> that NPLR</w:t>
      </w:r>
      <w:r w:rsidR="00B55831">
        <w:rPr>
          <w:rFonts w:asciiTheme="majorBidi" w:hAnsiTheme="majorBidi" w:cstheme="majorBidi"/>
          <w:sz w:val="24"/>
          <w:szCs w:val="24"/>
        </w:rPr>
        <w:t xml:space="preserve"> (the ratio that measure the independent variable of good lending principals)</w:t>
      </w:r>
      <w:r w:rsidR="00BC519E">
        <w:rPr>
          <w:rFonts w:asciiTheme="majorBidi" w:hAnsiTheme="majorBidi" w:cstheme="majorBidi"/>
          <w:sz w:val="24"/>
          <w:szCs w:val="24"/>
        </w:rPr>
        <w:t xml:space="preserve"> affected</w:t>
      </w:r>
      <w:r w:rsidR="00B55831" w:rsidRPr="00240968">
        <w:rPr>
          <w:rFonts w:asciiTheme="majorBidi" w:hAnsiTheme="majorBidi" w:cstheme="majorBidi"/>
          <w:sz w:val="24"/>
          <w:szCs w:val="24"/>
        </w:rPr>
        <w:t xml:space="preserve"> ROE negatively. NPLR</w:t>
      </w:r>
      <w:r w:rsidR="00BC519E">
        <w:rPr>
          <w:rFonts w:asciiTheme="majorBidi" w:hAnsiTheme="majorBidi" w:cstheme="majorBidi"/>
          <w:sz w:val="24"/>
          <w:szCs w:val="24"/>
        </w:rPr>
        <w:t xml:space="preserve"> β coefficient was</w:t>
      </w:r>
      <w:r w:rsidR="00B55831">
        <w:rPr>
          <w:rFonts w:asciiTheme="majorBidi" w:hAnsiTheme="majorBidi" w:cstheme="majorBidi"/>
          <w:sz w:val="24"/>
          <w:szCs w:val="24"/>
        </w:rPr>
        <w:t xml:space="preserve"> -.090</w:t>
      </w:r>
      <w:r w:rsidR="00B55831" w:rsidRPr="00240968">
        <w:rPr>
          <w:rFonts w:asciiTheme="majorBidi" w:hAnsiTheme="majorBidi" w:cstheme="majorBidi"/>
          <w:sz w:val="24"/>
          <w:szCs w:val="24"/>
        </w:rPr>
        <w:t xml:space="preserve"> which means that one unit increas</w:t>
      </w:r>
      <w:r w:rsidR="00B55831">
        <w:rPr>
          <w:rFonts w:asciiTheme="majorBidi" w:hAnsiTheme="majorBidi" w:cstheme="majorBidi"/>
          <w:sz w:val="24"/>
          <w:szCs w:val="24"/>
        </w:rPr>
        <w:t>e in NPLR decreases ROE by 9% units while the other variables are</w:t>
      </w:r>
      <w:r w:rsidR="00B55831" w:rsidRPr="00240968">
        <w:rPr>
          <w:rFonts w:asciiTheme="majorBidi" w:hAnsiTheme="majorBidi" w:cstheme="majorBidi"/>
          <w:sz w:val="24"/>
          <w:szCs w:val="24"/>
        </w:rPr>
        <w:t xml:space="preserve"> held constant.</w:t>
      </w:r>
      <w:r w:rsidR="00B55831">
        <w:rPr>
          <w:rFonts w:asciiTheme="majorBidi" w:hAnsiTheme="majorBidi" w:cstheme="majorBidi"/>
          <w:sz w:val="24"/>
          <w:szCs w:val="24"/>
        </w:rPr>
        <w:t xml:space="preserve"> The </w:t>
      </w:r>
      <w:r w:rsidR="00B55831">
        <w:rPr>
          <w:rFonts w:ascii="TimesNewRoman" w:hAnsi="TimesNewRoman" w:cs="TimesNewRoman"/>
          <w:sz w:val="24"/>
          <w:szCs w:val="24"/>
        </w:rPr>
        <w:t>statistical significance of NPLR</w:t>
      </w:r>
      <w:r w:rsidR="00BC519E">
        <w:rPr>
          <w:rFonts w:ascii="TimesNewRoman" w:hAnsi="TimesNewRoman" w:cs="TimesNewRoman"/>
          <w:sz w:val="24"/>
          <w:szCs w:val="24"/>
        </w:rPr>
        <w:t xml:space="preserve"> on ROE was</w:t>
      </w:r>
      <w:r w:rsidR="00DB5470">
        <w:rPr>
          <w:rFonts w:ascii="TimesNewRoman" w:hAnsi="TimesNewRoman" w:cs="TimesNewRoman"/>
          <w:sz w:val="24"/>
          <w:szCs w:val="24"/>
        </w:rPr>
        <w:t xml:space="preserve"> </w:t>
      </w:r>
    </w:p>
    <w:p w:rsidR="007F67A5" w:rsidRPr="00A502D8" w:rsidRDefault="00DB5470" w:rsidP="00A502D8">
      <w:pPr>
        <w:autoSpaceDE w:val="0"/>
        <w:autoSpaceDN w:val="0"/>
        <w:adjustRightInd w:val="0"/>
        <w:spacing w:after="0" w:line="360" w:lineRule="auto"/>
        <w:jc w:val="both"/>
        <w:rPr>
          <w:rFonts w:asciiTheme="majorBidi" w:hAnsiTheme="majorBidi" w:cstheme="majorBidi"/>
          <w:sz w:val="24"/>
          <w:szCs w:val="24"/>
          <w:rtl/>
        </w:rPr>
      </w:pPr>
      <w:r>
        <w:rPr>
          <w:rFonts w:ascii="TimesNewRoman" w:hAnsi="TimesNewRoman" w:cs="TimesNewRoman"/>
          <w:sz w:val="24"/>
          <w:szCs w:val="24"/>
        </w:rPr>
        <w:t xml:space="preserve">0.602 </w:t>
      </w:r>
      <w:r w:rsidR="00B55831">
        <w:rPr>
          <w:rFonts w:ascii="TimesNewRoman" w:hAnsi="TimesNewRoman" w:cs="TimesNewRoman"/>
          <w:sz w:val="24"/>
          <w:szCs w:val="24"/>
        </w:rPr>
        <w:t xml:space="preserve">which is above than 0.05. This means that NPLR predicts effect on ROE with </w:t>
      </w:r>
      <w:r>
        <w:rPr>
          <w:rFonts w:ascii="TimesNewRoman" w:hAnsi="TimesNewRoman" w:cs="TimesNewRoman"/>
          <w:sz w:val="24"/>
          <w:szCs w:val="24"/>
        </w:rPr>
        <w:t>39.8</w:t>
      </w:r>
      <w:r w:rsidR="00B55831">
        <w:rPr>
          <w:rFonts w:ascii="TimesNewRoman" w:hAnsi="TimesNewRoman" w:cs="TimesNewRoman"/>
          <w:sz w:val="24"/>
          <w:szCs w:val="24"/>
        </w:rPr>
        <w:t>% probability.</w:t>
      </w:r>
      <w:r w:rsidR="00A502D8">
        <w:rPr>
          <w:rFonts w:asciiTheme="majorBidi" w:hAnsiTheme="majorBidi" w:cstheme="majorBidi"/>
          <w:sz w:val="24"/>
          <w:szCs w:val="24"/>
        </w:rPr>
        <w:t xml:space="preserve"> </w:t>
      </w:r>
      <w:r w:rsidR="00B55831" w:rsidRPr="00A502D8">
        <w:rPr>
          <w:rFonts w:asciiTheme="majorBidi" w:hAnsiTheme="majorBidi" w:cstheme="majorBidi"/>
          <w:sz w:val="24"/>
          <w:szCs w:val="24"/>
        </w:rPr>
        <w:t>Since, NPLR ratio was negative but insignificant. It is clear that there was a negative relations</w:t>
      </w:r>
      <w:r w:rsidR="00BC519E" w:rsidRPr="00A502D8">
        <w:rPr>
          <w:rFonts w:asciiTheme="majorBidi" w:hAnsiTheme="majorBidi" w:cstheme="majorBidi"/>
          <w:sz w:val="24"/>
          <w:szCs w:val="24"/>
        </w:rPr>
        <w:t>hip between poor asset quality and profitability</w:t>
      </w:r>
      <w:r w:rsidR="00B55831" w:rsidRPr="00A502D8">
        <w:rPr>
          <w:rFonts w:asciiTheme="majorBidi" w:hAnsiTheme="majorBidi" w:cstheme="majorBidi"/>
          <w:sz w:val="24"/>
          <w:szCs w:val="24"/>
        </w:rPr>
        <w:t xml:space="preserve">. NPL was insignificant because of the result of poor credit policy including </w:t>
      </w:r>
      <w:r w:rsidR="00A502D8">
        <w:rPr>
          <w:rFonts w:asciiTheme="majorBidi" w:hAnsiTheme="majorBidi" w:cstheme="majorBidi"/>
          <w:sz w:val="24"/>
          <w:szCs w:val="24"/>
        </w:rPr>
        <w:t xml:space="preserve">weak or lack of </w:t>
      </w:r>
      <w:r w:rsidR="00B55831" w:rsidRPr="00A502D8">
        <w:rPr>
          <w:rFonts w:asciiTheme="majorBidi" w:hAnsiTheme="majorBidi" w:cstheme="majorBidi"/>
          <w:sz w:val="24"/>
          <w:szCs w:val="24"/>
        </w:rPr>
        <w:t>appraisal, inadequate strong credit policy and supervision</w:t>
      </w:r>
      <w:r w:rsidR="00A502D8">
        <w:rPr>
          <w:rFonts w:asciiTheme="majorBidi" w:hAnsiTheme="majorBidi" w:cstheme="majorBidi"/>
          <w:sz w:val="24"/>
          <w:szCs w:val="24"/>
        </w:rPr>
        <w:t xml:space="preserve"> of loan distribution.</w:t>
      </w:r>
      <w:r w:rsidR="00B55831" w:rsidRPr="00A502D8">
        <w:rPr>
          <w:rFonts w:asciiTheme="majorBidi" w:hAnsiTheme="majorBidi" w:cstheme="majorBidi"/>
          <w:sz w:val="24"/>
          <w:szCs w:val="24"/>
        </w:rPr>
        <w:t xml:space="preserve"> </w:t>
      </w:r>
      <w:r w:rsidR="00A502D8" w:rsidRPr="00A502D8">
        <w:rPr>
          <w:rFonts w:asciiTheme="majorBidi" w:hAnsiTheme="majorBidi" w:cstheme="majorBidi"/>
          <w:sz w:val="24"/>
          <w:szCs w:val="24"/>
        </w:rPr>
        <w:t xml:space="preserve">This indicates, that banks which were unsuccessful in credit monitoring process tends to be less profitable than those which given more concern on asset quality. </w:t>
      </w:r>
      <w:r w:rsidR="007F67A5" w:rsidRPr="00A502D8">
        <w:rPr>
          <w:rFonts w:asciiTheme="majorBidi" w:hAnsiTheme="majorBidi" w:cstheme="majorBidi"/>
          <w:sz w:val="24"/>
          <w:szCs w:val="24"/>
        </w:rPr>
        <w:t>The result is consistent to previous findings of Bikker and Hu (2002) and Goddardet al. (2004).</w:t>
      </w:r>
    </w:p>
    <w:p w:rsidR="00B55831" w:rsidRPr="00B32B51" w:rsidRDefault="00B55831" w:rsidP="00A502D8">
      <w:pPr>
        <w:autoSpaceDE w:val="0"/>
        <w:autoSpaceDN w:val="0"/>
        <w:adjustRightInd w:val="0"/>
        <w:spacing w:after="0" w:line="360" w:lineRule="auto"/>
        <w:contextualSpacing/>
        <w:jc w:val="both"/>
        <w:rPr>
          <w:rFonts w:asciiTheme="majorBidi" w:hAnsiTheme="majorBidi" w:cstheme="majorBidi"/>
          <w:sz w:val="24"/>
          <w:szCs w:val="24"/>
        </w:rPr>
      </w:pPr>
      <w:r w:rsidRPr="00B32B51">
        <w:rPr>
          <w:rFonts w:asciiTheme="majorBidi" w:hAnsiTheme="majorBidi" w:cstheme="majorBidi"/>
          <w:sz w:val="24"/>
          <w:szCs w:val="24"/>
        </w:rPr>
        <w:t>Therefore, the null hypothesis will be accepted:</w:t>
      </w:r>
    </w:p>
    <w:p w:rsidR="00CB4F20" w:rsidRPr="00CB4F20" w:rsidRDefault="00B55831" w:rsidP="00CB4F20">
      <w:pPr>
        <w:pStyle w:val="Subtitle"/>
        <w:rPr>
          <w:rFonts w:ascii="Times New Roman" w:hAnsi="Times New Roman" w:cs="Times New Roman"/>
          <w:b/>
          <w:bCs/>
          <w:color w:val="auto"/>
        </w:rPr>
      </w:pPr>
      <w:r w:rsidRPr="001B6D4E">
        <w:rPr>
          <w:rFonts w:ascii="Times New Roman" w:hAnsi="Times New Roman" w:cs="Times New Roman"/>
          <w:b/>
          <w:bCs/>
          <w:color w:val="000000" w:themeColor="text1"/>
        </w:rPr>
        <w:t>H0 1</w:t>
      </w:r>
      <w:r w:rsidR="00C7681F" w:rsidRPr="001B6D4E">
        <w:rPr>
          <w:rFonts w:ascii="Times New Roman" w:hAnsi="Times New Roman" w:cs="Times New Roman"/>
          <w:b/>
          <w:bCs/>
          <w:color w:val="000000" w:themeColor="text1"/>
        </w:rPr>
        <w:t>:</w:t>
      </w:r>
      <w:r w:rsidR="00C7681F" w:rsidRPr="001B6D4E">
        <w:rPr>
          <w:rFonts w:ascii="Times New Roman" w:hAnsi="Times New Roman" w:cs="Times New Roman"/>
          <w:b/>
          <w:bCs/>
          <w:color w:val="auto"/>
        </w:rPr>
        <w:t xml:space="preserve"> There</w:t>
      </w:r>
      <w:r w:rsidRPr="001B6D4E">
        <w:rPr>
          <w:rFonts w:ascii="Times New Roman" w:hAnsi="Times New Roman" w:cs="Times New Roman"/>
          <w:b/>
          <w:bCs/>
          <w:color w:val="auto"/>
        </w:rPr>
        <w:t xml:space="preserve"> is no significant relationship between asset credit quality (good lending principles) and bank’s profitability.</w:t>
      </w:r>
    </w:p>
    <w:p w:rsidR="00EB4341" w:rsidRPr="001B6D4E" w:rsidRDefault="00E23E22" w:rsidP="00EB434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4.3.2.2.6</w:t>
      </w:r>
      <w:r w:rsidR="002302DA">
        <w:rPr>
          <w:rFonts w:asciiTheme="majorBidi" w:hAnsiTheme="majorBidi" w:cstheme="majorBidi"/>
          <w:b/>
          <w:bCs/>
          <w:sz w:val="24"/>
          <w:szCs w:val="24"/>
        </w:rPr>
        <w:t xml:space="preserve"> The Relationship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004C2B48" w:rsidRPr="001B6D4E">
        <w:rPr>
          <w:rFonts w:asciiTheme="majorBidi" w:hAnsiTheme="majorBidi" w:cstheme="majorBidi"/>
          <w:b/>
          <w:bCs/>
          <w:sz w:val="24"/>
          <w:szCs w:val="24"/>
        </w:rPr>
        <w:t>rofitability</w:t>
      </w:r>
      <w:r w:rsidR="00802CDE" w:rsidRPr="001B6D4E">
        <w:rPr>
          <w:rFonts w:asciiTheme="majorBidi" w:hAnsiTheme="majorBidi" w:cstheme="majorBidi"/>
          <w:b/>
          <w:bCs/>
          <w:sz w:val="24"/>
          <w:szCs w:val="24"/>
        </w:rPr>
        <w:t xml:space="preserve"> (ROE)</w:t>
      </w:r>
      <w:r w:rsidR="005E42A2">
        <w:rPr>
          <w:rFonts w:asciiTheme="majorBidi" w:hAnsiTheme="majorBidi" w:cstheme="majorBidi"/>
          <w:b/>
          <w:bCs/>
          <w:sz w:val="24"/>
          <w:szCs w:val="24"/>
        </w:rPr>
        <w:t xml:space="preserve"> and Capital A</w:t>
      </w:r>
      <w:r w:rsidR="004C2B48" w:rsidRPr="001B6D4E">
        <w:rPr>
          <w:rFonts w:asciiTheme="majorBidi" w:hAnsiTheme="majorBidi" w:cstheme="majorBidi"/>
          <w:b/>
          <w:bCs/>
          <w:sz w:val="24"/>
          <w:szCs w:val="24"/>
        </w:rPr>
        <w:t>dequacy</w:t>
      </w:r>
      <w:r w:rsidR="00151BFF">
        <w:rPr>
          <w:rFonts w:asciiTheme="majorBidi" w:hAnsiTheme="majorBidi" w:cstheme="majorBidi"/>
          <w:b/>
          <w:bCs/>
          <w:sz w:val="24"/>
          <w:szCs w:val="24"/>
        </w:rPr>
        <w:t xml:space="preserve"> (EQTA)</w:t>
      </w:r>
    </w:p>
    <w:p w:rsidR="002744F3" w:rsidRDefault="00111975" w:rsidP="00EC6F2F">
      <w:pPr>
        <w:autoSpaceDE w:val="0"/>
        <w:autoSpaceDN w:val="0"/>
        <w:adjustRightInd w:val="0"/>
        <w:spacing w:after="0" w:line="360" w:lineRule="auto"/>
        <w:jc w:val="both"/>
        <w:rPr>
          <w:rFonts w:asciiTheme="majorBidi" w:hAnsiTheme="majorBidi" w:cstheme="majorBidi"/>
          <w:sz w:val="24"/>
          <w:szCs w:val="24"/>
        </w:rPr>
      </w:pPr>
      <w:r w:rsidRPr="000F13C3">
        <w:rPr>
          <w:rFonts w:asciiTheme="majorBidi" w:hAnsiTheme="majorBidi" w:cstheme="majorBidi"/>
          <w:sz w:val="24"/>
          <w:szCs w:val="24"/>
        </w:rPr>
        <w:t>The</w:t>
      </w:r>
      <w:r w:rsidR="00102CC7">
        <w:rPr>
          <w:rFonts w:asciiTheme="majorBidi" w:hAnsiTheme="majorBidi" w:cstheme="majorBidi"/>
          <w:sz w:val="24"/>
          <w:szCs w:val="24"/>
        </w:rPr>
        <w:t xml:space="preserve"> results presented in table 4.25</w:t>
      </w:r>
      <w:r w:rsidRPr="000F13C3">
        <w:rPr>
          <w:rFonts w:asciiTheme="majorBidi" w:hAnsiTheme="majorBidi" w:cstheme="majorBidi"/>
          <w:sz w:val="24"/>
          <w:szCs w:val="24"/>
        </w:rPr>
        <w:t xml:space="preserve"> indicate</w:t>
      </w:r>
      <w:r w:rsidR="005E42A2">
        <w:rPr>
          <w:rFonts w:asciiTheme="majorBidi" w:hAnsiTheme="majorBidi" w:cstheme="majorBidi"/>
          <w:sz w:val="24"/>
          <w:szCs w:val="24"/>
        </w:rPr>
        <w:t>d that the Capital Adequacy Ratio (EQTA) was</w:t>
      </w:r>
      <w:r w:rsidRPr="000F13C3">
        <w:rPr>
          <w:rFonts w:asciiTheme="majorBidi" w:hAnsiTheme="majorBidi" w:cstheme="majorBidi"/>
          <w:sz w:val="24"/>
          <w:szCs w:val="24"/>
        </w:rPr>
        <w:t xml:space="preserve"> </w:t>
      </w:r>
      <w:r w:rsidR="00310D00" w:rsidRPr="000F13C3">
        <w:rPr>
          <w:rFonts w:asciiTheme="majorBidi" w:hAnsiTheme="majorBidi" w:cstheme="majorBidi"/>
          <w:sz w:val="24"/>
          <w:szCs w:val="24"/>
        </w:rPr>
        <w:t>negatively related</w:t>
      </w:r>
      <w:r w:rsidR="002B369A">
        <w:rPr>
          <w:rFonts w:asciiTheme="majorBidi" w:hAnsiTheme="majorBidi" w:cstheme="majorBidi"/>
          <w:sz w:val="24"/>
          <w:szCs w:val="24"/>
        </w:rPr>
        <w:t xml:space="preserve"> to</w:t>
      </w:r>
      <w:r w:rsidRPr="000F13C3">
        <w:rPr>
          <w:rFonts w:asciiTheme="majorBidi" w:hAnsiTheme="majorBidi" w:cstheme="majorBidi"/>
          <w:sz w:val="24"/>
          <w:szCs w:val="24"/>
        </w:rPr>
        <w:t xml:space="preserve"> (ROE), the profitability meas</w:t>
      </w:r>
      <w:r w:rsidR="005E42A2">
        <w:rPr>
          <w:rFonts w:asciiTheme="majorBidi" w:hAnsiTheme="majorBidi" w:cstheme="majorBidi"/>
          <w:sz w:val="24"/>
          <w:szCs w:val="24"/>
        </w:rPr>
        <w:t xml:space="preserve">ure. The β </w:t>
      </w:r>
      <w:r w:rsidR="006952A8">
        <w:rPr>
          <w:rFonts w:asciiTheme="majorBidi" w:hAnsiTheme="majorBidi" w:cstheme="majorBidi"/>
          <w:sz w:val="24"/>
          <w:szCs w:val="24"/>
        </w:rPr>
        <w:t>coefficient was</w:t>
      </w:r>
      <w:r w:rsidR="007F67A5" w:rsidRPr="000F13C3">
        <w:rPr>
          <w:rFonts w:asciiTheme="majorBidi" w:hAnsiTheme="majorBidi" w:cstheme="majorBidi"/>
          <w:sz w:val="24"/>
          <w:szCs w:val="24"/>
        </w:rPr>
        <w:t xml:space="preserve"> -0.080</w:t>
      </w:r>
      <w:r w:rsidRPr="000F13C3">
        <w:rPr>
          <w:rFonts w:asciiTheme="majorBidi" w:hAnsiTheme="majorBidi" w:cstheme="majorBidi"/>
          <w:sz w:val="24"/>
          <w:szCs w:val="24"/>
        </w:rPr>
        <w:t xml:space="preserve"> which </w:t>
      </w:r>
      <w:r w:rsidRPr="000F13C3">
        <w:rPr>
          <w:rFonts w:asciiTheme="majorBidi" w:hAnsiTheme="majorBidi" w:cstheme="majorBidi"/>
          <w:sz w:val="24"/>
          <w:szCs w:val="24"/>
        </w:rPr>
        <w:lastRenderedPageBreak/>
        <w:t>indicates that the relationship may not be very strong. This indicates that one unit increases i</w:t>
      </w:r>
      <w:r w:rsidR="00E1227F" w:rsidRPr="000F13C3">
        <w:rPr>
          <w:rFonts w:asciiTheme="majorBidi" w:hAnsiTheme="majorBidi" w:cstheme="majorBidi"/>
          <w:sz w:val="24"/>
          <w:szCs w:val="24"/>
        </w:rPr>
        <w:t>n EQTA will decrease</w:t>
      </w:r>
      <w:r w:rsidR="007F67A5" w:rsidRPr="000F13C3">
        <w:rPr>
          <w:rFonts w:asciiTheme="majorBidi" w:hAnsiTheme="majorBidi" w:cstheme="majorBidi"/>
          <w:sz w:val="24"/>
          <w:szCs w:val="24"/>
        </w:rPr>
        <w:t xml:space="preserve"> ROE by 8</w:t>
      </w:r>
      <w:r w:rsidRPr="000F13C3">
        <w:rPr>
          <w:rFonts w:asciiTheme="majorBidi" w:hAnsiTheme="majorBidi" w:cstheme="majorBidi"/>
          <w:sz w:val="24"/>
          <w:szCs w:val="24"/>
        </w:rPr>
        <w:t>% units</w:t>
      </w:r>
      <w:r w:rsidR="003A3E8D" w:rsidRPr="000F13C3">
        <w:rPr>
          <w:rFonts w:asciiTheme="majorBidi" w:hAnsiTheme="majorBidi" w:cstheme="majorBidi"/>
          <w:sz w:val="24"/>
          <w:szCs w:val="24"/>
        </w:rPr>
        <w:t>, holding the rest of variables constant. The statistical si</w:t>
      </w:r>
      <w:r w:rsidR="005E42A2">
        <w:rPr>
          <w:rFonts w:asciiTheme="majorBidi" w:hAnsiTheme="majorBidi" w:cstheme="majorBidi"/>
          <w:sz w:val="24"/>
          <w:szCs w:val="24"/>
        </w:rPr>
        <w:t>gnificance of EQTA was</w:t>
      </w:r>
      <w:r w:rsidR="00DB5470" w:rsidRPr="000F13C3">
        <w:rPr>
          <w:rFonts w:asciiTheme="majorBidi" w:hAnsiTheme="majorBidi" w:cstheme="majorBidi"/>
          <w:sz w:val="24"/>
          <w:szCs w:val="24"/>
        </w:rPr>
        <w:t xml:space="preserve"> o.679</w:t>
      </w:r>
      <w:r w:rsidR="003A3E8D" w:rsidRPr="000F13C3">
        <w:rPr>
          <w:rFonts w:asciiTheme="majorBidi" w:hAnsiTheme="majorBidi" w:cstheme="majorBidi"/>
          <w:sz w:val="24"/>
          <w:szCs w:val="24"/>
        </w:rPr>
        <w:t xml:space="preserve"> which is a sign of relatively low significance (insignificant). </w:t>
      </w:r>
      <w:r w:rsidR="000C4E39" w:rsidRPr="000F13C3">
        <w:rPr>
          <w:rFonts w:asciiTheme="majorBidi" w:hAnsiTheme="majorBidi" w:cstheme="majorBidi"/>
          <w:sz w:val="24"/>
          <w:szCs w:val="24"/>
        </w:rPr>
        <w:t xml:space="preserve">It implies </w:t>
      </w:r>
      <w:r w:rsidR="00DB5470" w:rsidRPr="000F13C3">
        <w:rPr>
          <w:rFonts w:asciiTheme="majorBidi" w:hAnsiTheme="majorBidi" w:cstheme="majorBidi"/>
          <w:sz w:val="24"/>
          <w:szCs w:val="24"/>
        </w:rPr>
        <w:t>that EQTA predicts ROE with 32.1</w:t>
      </w:r>
      <w:r w:rsidR="003A3E8D" w:rsidRPr="000F13C3">
        <w:rPr>
          <w:rFonts w:asciiTheme="majorBidi" w:hAnsiTheme="majorBidi" w:cstheme="majorBidi"/>
          <w:sz w:val="24"/>
          <w:szCs w:val="24"/>
        </w:rPr>
        <w:t>%</w:t>
      </w:r>
      <w:r w:rsidR="000C4E39" w:rsidRPr="000F13C3">
        <w:rPr>
          <w:rFonts w:asciiTheme="majorBidi" w:hAnsiTheme="majorBidi" w:cstheme="majorBidi"/>
          <w:sz w:val="24"/>
          <w:szCs w:val="24"/>
        </w:rPr>
        <w:t xml:space="preserve"> probability. However, it is clear that the negative relationship </w:t>
      </w:r>
      <w:r w:rsidR="00686850" w:rsidRPr="000F13C3">
        <w:rPr>
          <w:rFonts w:asciiTheme="majorBidi" w:hAnsiTheme="majorBidi" w:cstheme="majorBidi"/>
          <w:sz w:val="24"/>
          <w:szCs w:val="24"/>
        </w:rPr>
        <w:t>was due to the</w:t>
      </w:r>
      <w:r w:rsidR="000C4E39" w:rsidRPr="000F13C3">
        <w:rPr>
          <w:rFonts w:asciiTheme="majorBidi" w:hAnsiTheme="majorBidi" w:cstheme="majorBidi"/>
          <w:sz w:val="24"/>
          <w:szCs w:val="24"/>
        </w:rPr>
        <w:t xml:space="preserve"> volume of negative reserves </w:t>
      </w:r>
      <w:r w:rsidR="00310D00" w:rsidRPr="000F13C3">
        <w:rPr>
          <w:rFonts w:asciiTheme="majorBidi" w:hAnsiTheme="majorBidi" w:cstheme="majorBidi"/>
          <w:sz w:val="24"/>
          <w:szCs w:val="24"/>
        </w:rPr>
        <w:t>of banks</w:t>
      </w:r>
      <w:r w:rsidR="000C4E39" w:rsidRPr="000F13C3">
        <w:rPr>
          <w:rFonts w:asciiTheme="majorBidi" w:hAnsiTheme="majorBidi" w:cstheme="majorBidi"/>
          <w:sz w:val="24"/>
          <w:szCs w:val="24"/>
        </w:rPr>
        <w:t xml:space="preserve"> which po</w:t>
      </w:r>
      <w:r w:rsidR="00414CAD" w:rsidRPr="000F13C3">
        <w:rPr>
          <w:rFonts w:asciiTheme="majorBidi" w:hAnsiTheme="majorBidi" w:cstheme="majorBidi"/>
          <w:sz w:val="24"/>
          <w:szCs w:val="24"/>
        </w:rPr>
        <w:t xml:space="preserve">sted poor profitability </w:t>
      </w:r>
      <w:r w:rsidR="00802CDE" w:rsidRPr="000F13C3">
        <w:rPr>
          <w:rFonts w:asciiTheme="majorBidi" w:hAnsiTheme="majorBidi" w:cstheme="majorBidi"/>
          <w:sz w:val="24"/>
          <w:szCs w:val="24"/>
        </w:rPr>
        <w:t>results, furthermore</w:t>
      </w:r>
      <w:r w:rsidR="00EC6F2F">
        <w:rPr>
          <w:rFonts w:asciiTheme="majorBidi" w:hAnsiTheme="majorBidi" w:cstheme="majorBidi"/>
          <w:sz w:val="24"/>
          <w:szCs w:val="24"/>
        </w:rPr>
        <w:t>, it suggests</w:t>
      </w:r>
      <w:r w:rsidR="00414CAD" w:rsidRPr="000F13C3">
        <w:rPr>
          <w:rFonts w:asciiTheme="majorBidi" w:hAnsiTheme="majorBidi" w:cstheme="majorBidi"/>
          <w:sz w:val="24"/>
          <w:szCs w:val="24"/>
        </w:rPr>
        <w:t xml:space="preserve"> that the larger banks are better placed than smaller banks in </w:t>
      </w:r>
      <w:r w:rsidR="00EC6F2F">
        <w:rPr>
          <w:rFonts w:asciiTheme="majorBidi" w:hAnsiTheme="majorBidi" w:cstheme="majorBidi"/>
          <w:sz w:val="24"/>
          <w:szCs w:val="24"/>
        </w:rPr>
        <w:t xml:space="preserve">utilizing </w:t>
      </w:r>
      <w:r w:rsidR="00414CAD" w:rsidRPr="000F13C3">
        <w:rPr>
          <w:rFonts w:asciiTheme="majorBidi" w:hAnsiTheme="majorBidi" w:cstheme="majorBidi"/>
          <w:sz w:val="24"/>
          <w:szCs w:val="24"/>
        </w:rPr>
        <w:t>economies of sc</w:t>
      </w:r>
      <w:r w:rsidR="00EC6F2F">
        <w:rPr>
          <w:rFonts w:asciiTheme="majorBidi" w:hAnsiTheme="majorBidi" w:cstheme="majorBidi"/>
          <w:sz w:val="24"/>
          <w:szCs w:val="24"/>
        </w:rPr>
        <w:t>ale in transactions to the normal</w:t>
      </w:r>
      <w:r w:rsidR="00414CAD" w:rsidRPr="000F13C3">
        <w:rPr>
          <w:rFonts w:asciiTheme="majorBidi" w:hAnsiTheme="majorBidi" w:cstheme="majorBidi"/>
          <w:sz w:val="24"/>
          <w:szCs w:val="24"/>
        </w:rPr>
        <w:t xml:space="preserve"> eff</w:t>
      </w:r>
      <w:r w:rsidR="00EC6F2F">
        <w:rPr>
          <w:rFonts w:asciiTheme="majorBidi" w:hAnsiTheme="majorBidi" w:cstheme="majorBidi"/>
          <w:sz w:val="24"/>
          <w:szCs w:val="24"/>
        </w:rPr>
        <w:t>ect that they will tend to have</w:t>
      </w:r>
      <w:r w:rsidR="00414CAD" w:rsidRPr="000F13C3">
        <w:rPr>
          <w:rFonts w:asciiTheme="majorBidi" w:hAnsiTheme="majorBidi" w:cstheme="majorBidi"/>
          <w:sz w:val="24"/>
          <w:szCs w:val="24"/>
        </w:rPr>
        <w:t xml:space="preserve"> a higher level of profits. The</w:t>
      </w:r>
      <w:r w:rsidR="009441B1" w:rsidRPr="000F13C3">
        <w:rPr>
          <w:rFonts w:asciiTheme="majorBidi" w:hAnsiTheme="majorBidi" w:cstheme="majorBidi"/>
          <w:sz w:val="24"/>
          <w:szCs w:val="24"/>
        </w:rPr>
        <w:t xml:space="preserve"> capital base</w:t>
      </w:r>
      <w:r w:rsidR="00802CDE" w:rsidRPr="000F13C3">
        <w:rPr>
          <w:rFonts w:asciiTheme="majorBidi" w:hAnsiTheme="majorBidi" w:cstheme="majorBidi"/>
          <w:sz w:val="24"/>
          <w:szCs w:val="24"/>
        </w:rPr>
        <w:t xml:space="preserve"> of many banks in the study</w:t>
      </w:r>
      <w:r w:rsidR="00414CAD" w:rsidRPr="000F13C3">
        <w:rPr>
          <w:rFonts w:asciiTheme="majorBidi" w:hAnsiTheme="majorBidi" w:cstheme="majorBidi"/>
          <w:sz w:val="24"/>
          <w:szCs w:val="24"/>
        </w:rPr>
        <w:t xml:space="preserve"> (Alquds, Alrafah and Palestinian commercial bank) still</w:t>
      </w:r>
      <w:r w:rsidR="009441B1" w:rsidRPr="000F13C3">
        <w:rPr>
          <w:rFonts w:asciiTheme="majorBidi" w:hAnsiTheme="majorBidi" w:cstheme="majorBidi"/>
          <w:sz w:val="24"/>
          <w:szCs w:val="24"/>
        </w:rPr>
        <w:t xml:space="preserve"> was a long way to achi</w:t>
      </w:r>
      <w:r w:rsidR="00802CDE" w:rsidRPr="000F13C3">
        <w:rPr>
          <w:rFonts w:asciiTheme="majorBidi" w:hAnsiTheme="majorBidi" w:cstheme="majorBidi"/>
          <w:sz w:val="24"/>
          <w:szCs w:val="24"/>
        </w:rPr>
        <w:t>eve min</w:t>
      </w:r>
      <w:r w:rsidR="00414CAD" w:rsidRPr="000F13C3">
        <w:rPr>
          <w:rFonts w:asciiTheme="majorBidi" w:hAnsiTheme="majorBidi" w:cstheme="majorBidi"/>
          <w:sz w:val="24"/>
          <w:szCs w:val="24"/>
        </w:rPr>
        <w:t>imum capital requirements by PMA.</w:t>
      </w:r>
      <w:r w:rsidR="00686850" w:rsidRPr="000F13C3">
        <w:rPr>
          <w:rFonts w:asciiTheme="majorBidi" w:hAnsiTheme="majorBidi" w:cstheme="majorBidi"/>
          <w:sz w:val="24"/>
          <w:szCs w:val="24"/>
        </w:rPr>
        <w:t xml:space="preserve"> These results provide reasonable evidence to the consistent view that, the higher the capital levels, the higher the profitability.</w:t>
      </w:r>
      <w:r w:rsidR="00601E54">
        <w:rPr>
          <w:rFonts w:asciiTheme="majorBidi" w:hAnsiTheme="majorBidi" w:cstheme="majorBidi"/>
          <w:sz w:val="24"/>
          <w:szCs w:val="24"/>
        </w:rPr>
        <w:t xml:space="preserve"> </w:t>
      </w:r>
      <w:r w:rsidR="000F13C3" w:rsidRPr="000F13C3">
        <w:rPr>
          <w:rFonts w:asciiTheme="majorBidi" w:hAnsiTheme="majorBidi" w:cstheme="majorBidi"/>
          <w:sz w:val="24"/>
          <w:szCs w:val="24"/>
        </w:rPr>
        <w:t>The result</w:t>
      </w:r>
      <w:r w:rsidR="00601E54">
        <w:rPr>
          <w:rFonts w:asciiTheme="majorBidi" w:hAnsiTheme="majorBidi" w:cstheme="majorBidi"/>
          <w:sz w:val="24"/>
          <w:szCs w:val="24"/>
        </w:rPr>
        <w:t xml:space="preserve"> </w:t>
      </w:r>
      <w:r w:rsidR="000F13C3" w:rsidRPr="000F13C3">
        <w:rPr>
          <w:rFonts w:asciiTheme="majorBidi" w:hAnsiTheme="majorBidi" w:cstheme="majorBidi"/>
          <w:sz w:val="24"/>
          <w:szCs w:val="24"/>
        </w:rPr>
        <w:t>is consistent to previous findings of Athanasoglou et al. (2006).</w:t>
      </w:r>
    </w:p>
    <w:p w:rsidR="004A0147" w:rsidRPr="00414CAD" w:rsidRDefault="004A0147" w:rsidP="00ED7850">
      <w:pPr>
        <w:autoSpaceDE w:val="0"/>
        <w:autoSpaceDN w:val="0"/>
        <w:adjustRightInd w:val="0"/>
        <w:spacing w:after="0" w:line="360" w:lineRule="auto"/>
        <w:jc w:val="both"/>
        <w:rPr>
          <w:rFonts w:asciiTheme="majorBidi" w:hAnsiTheme="majorBidi" w:cstheme="majorBidi"/>
          <w:sz w:val="24"/>
          <w:szCs w:val="24"/>
        </w:rPr>
      </w:pPr>
      <w:r w:rsidRPr="000F13C3">
        <w:rPr>
          <w:rFonts w:asciiTheme="majorBidi" w:hAnsiTheme="majorBidi" w:cstheme="majorBidi"/>
          <w:sz w:val="24"/>
          <w:szCs w:val="24"/>
        </w:rPr>
        <w:t>Therefore, the null</w:t>
      </w:r>
      <w:r w:rsidRPr="00414CAD">
        <w:rPr>
          <w:rFonts w:asciiTheme="majorBidi" w:hAnsiTheme="majorBidi" w:cstheme="majorBidi"/>
          <w:sz w:val="24"/>
          <w:szCs w:val="24"/>
        </w:rPr>
        <w:t xml:space="preserve"> hypothesis will be accepted:</w:t>
      </w:r>
    </w:p>
    <w:p w:rsidR="0054691D" w:rsidRPr="00CB4F20" w:rsidRDefault="004A0147" w:rsidP="00CB4F20">
      <w:pPr>
        <w:pStyle w:val="Subtitle"/>
        <w:rPr>
          <w:b/>
          <w:bCs/>
          <w:color w:val="auto"/>
        </w:rPr>
      </w:pPr>
      <w:r w:rsidRPr="00D27963">
        <w:rPr>
          <w:b/>
          <w:bCs/>
          <w:color w:val="auto"/>
        </w:rPr>
        <w:t>Ho 2: There is no significant relationship between capital adequacy and bank’s profitability.</w:t>
      </w:r>
    </w:p>
    <w:p w:rsidR="004A0147" w:rsidRPr="00D27963" w:rsidRDefault="00E23E22" w:rsidP="009441B1">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sz w:val="24"/>
          <w:szCs w:val="24"/>
        </w:rPr>
        <w:t>4.3.2.1.7</w:t>
      </w:r>
      <w:r w:rsidR="002302DA">
        <w:rPr>
          <w:rFonts w:asciiTheme="majorBidi" w:hAnsiTheme="majorBidi" w:cstheme="majorBidi"/>
          <w:b/>
          <w:bCs/>
          <w:sz w:val="24"/>
          <w:szCs w:val="24"/>
        </w:rPr>
        <w:t xml:space="preserve"> The Relationship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004A0147" w:rsidRPr="00D27963">
        <w:rPr>
          <w:rFonts w:asciiTheme="majorBidi" w:hAnsiTheme="majorBidi" w:cstheme="majorBidi"/>
          <w:b/>
          <w:bCs/>
          <w:sz w:val="24"/>
          <w:szCs w:val="24"/>
        </w:rPr>
        <w:t>rofitability</w:t>
      </w:r>
      <w:r w:rsidR="006B3171">
        <w:rPr>
          <w:rFonts w:asciiTheme="majorBidi" w:hAnsiTheme="majorBidi" w:cstheme="majorBidi"/>
          <w:b/>
          <w:bCs/>
          <w:sz w:val="24"/>
          <w:szCs w:val="24"/>
        </w:rPr>
        <w:t xml:space="preserve"> </w:t>
      </w:r>
      <w:r w:rsidR="00EC6F2F">
        <w:rPr>
          <w:rFonts w:asciiTheme="majorBidi" w:hAnsiTheme="majorBidi" w:cstheme="majorBidi"/>
          <w:b/>
          <w:bCs/>
          <w:sz w:val="24"/>
          <w:szCs w:val="24"/>
        </w:rPr>
        <w:t>(</w:t>
      </w:r>
      <w:r w:rsidR="006B3171">
        <w:rPr>
          <w:rFonts w:asciiTheme="majorBidi" w:hAnsiTheme="majorBidi" w:cstheme="majorBidi"/>
          <w:b/>
          <w:bCs/>
          <w:sz w:val="24"/>
          <w:szCs w:val="24"/>
        </w:rPr>
        <w:t>R</w:t>
      </w:r>
      <w:r w:rsidR="00802CDE" w:rsidRPr="00D27963">
        <w:rPr>
          <w:rFonts w:asciiTheme="majorBidi" w:hAnsiTheme="majorBidi" w:cstheme="majorBidi"/>
          <w:b/>
          <w:bCs/>
          <w:sz w:val="24"/>
          <w:szCs w:val="24"/>
        </w:rPr>
        <w:t>OE)</w:t>
      </w:r>
      <w:r w:rsidR="004A0147" w:rsidRPr="00D27963">
        <w:rPr>
          <w:rFonts w:asciiTheme="majorBidi" w:hAnsiTheme="majorBidi" w:cstheme="majorBidi"/>
          <w:b/>
          <w:bCs/>
          <w:sz w:val="24"/>
          <w:szCs w:val="24"/>
        </w:rPr>
        <w:t xml:space="preserve"> and </w:t>
      </w:r>
      <w:r w:rsidR="005E42A2">
        <w:rPr>
          <w:rFonts w:asciiTheme="majorBidi" w:hAnsiTheme="majorBidi" w:cstheme="majorBidi"/>
          <w:b/>
          <w:bCs/>
          <w:sz w:val="24"/>
          <w:szCs w:val="24"/>
        </w:rPr>
        <w:t>Loan Loss P</w:t>
      </w:r>
      <w:r w:rsidR="00A4001C">
        <w:rPr>
          <w:rFonts w:asciiTheme="majorBidi" w:hAnsiTheme="majorBidi" w:cstheme="majorBidi"/>
          <w:b/>
          <w:bCs/>
          <w:sz w:val="24"/>
          <w:szCs w:val="24"/>
        </w:rPr>
        <w:t>rovisions (LLPI)</w:t>
      </w:r>
    </w:p>
    <w:p w:rsidR="00686850" w:rsidRDefault="00766601" w:rsidP="00ED7850">
      <w:pPr>
        <w:autoSpaceDE w:val="0"/>
        <w:autoSpaceDN w:val="0"/>
        <w:adjustRightInd w:val="0"/>
        <w:spacing w:after="0" w:line="360" w:lineRule="auto"/>
        <w:jc w:val="both"/>
        <w:rPr>
          <w:rFonts w:ascii="TimesNewRoman" w:hAnsi="TimesNewRoman" w:cs="TimesNewRoman"/>
          <w:sz w:val="24"/>
          <w:szCs w:val="24"/>
        </w:rPr>
      </w:pPr>
      <w:r w:rsidRPr="009441B1">
        <w:rPr>
          <w:rFonts w:asciiTheme="majorBidi" w:hAnsiTheme="majorBidi" w:cstheme="majorBidi"/>
          <w:sz w:val="24"/>
          <w:szCs w:val="24"/>
        </w:rPr>
        <w:t>The results present</w:t>
      </w:r>
      <w:r w:rsidR="00102CC7">
        <w:rPr>
          <w:rFonts w:asciiTheme="majorBidi" w:hAnsiTheme="majorBidi" w:cstheme="majorBidi"/>
          <w:sz w:val="24"/>
          <w:szCs w:val="24"/>
        </w:rPr>
        <w:t>ed in table 4.25</w:t>
      </w:r>
      <w:r>
        <w:rPr>
          <w:rFonts w:asciiTheme="majorBidi" w:hAnsiTheme="majorBidi" w:cstheme="majorBidi"/>
          <w:sz w:val="24"/>
          <w:szCs w:val="24"/>
        </w:rPr>
        <w:t xml:space="preserve"> indicate</w:t>
      </w:r>
      <w:r w:rsidR="005E42A2">
        <w:rPr>
          <w:rFonts w:asciiTheme="majorBidi" w:hAnsiTheme="majorBidi" w:cstheme="majorBidi"/>
          <w:sz w:val="24"/>
          <w:szCs w:val="24"/>
        </w:rPr>
        <w:t>d that Loan Loss Provisions to Net Interest I</w:t>
      </w:r>
      <w:r>
        <w:rPr>
          <w:rFonts w:asciiTheme="majorBidi" w:hAnsiTheme="majorBidi" w:cstheme="majorBidi"/>
          <w:sz w:val="24"/>
          <w:szCs w:val="24"/>
        </w:rPr>
        <w:t>ncome</w:t>
      </w:r>
      <w:r w:rsidR="005E42A2">
        <w:rPr>
          <w:rFonts w:asciiTheme="majorBidi" w:hAnsiTheme="majorBidi" w:cstheme="majorBidi"/>
          <w:sz w:val="24"/>
          <w:szCs w:val="24"/>
        </w:rPr>
        <w:t xml:space="preserve"> R</w:t>
      </w:r>
      <w:r w:rsidR="00366101">
        <w:rPr>
          <w:rFonts w:asciiTheme="majorBidi" w:hAnsiTheme="majorBidi" w:cstheme="majorBidi"/>
          <w:sz w:val="24"/>
          <w:szCs w:val="24"/>
        </w:rPr>
        <w:t>atio</w:t>
      </w:r>
      <w:r>
        <w:rPr>
          <w:rFonts w:asciiTheme="majorBidi" w:hAnsiTheme="majorBidi" w:cstheme="majorBidi"/>
          <w:sz w:val="24"/>
          <w:szCs w:val="24"/>
        </w:rPr>
        <w:t xml:space="preserve"> (LLPI) which </w:t>
      </w:r>
      <w:r w:rsidR="00366101">
        <w:rPr>
          <w:rFonts w:asciiTheme="majorBidi" w:hAnsiTheme="majorBidi" w:cstheme="majorBidi"/>
          <w:sz w:val="24"/>
          <w:szCs w:val="24"/>
        </w:rPr>
        <w:t xml:space="preserve">is a proxy of credit monitoring </w:t>
      </w:r>
      <w:r w:rsidR="006952A8">
        <w:rPr>
          <w:rFonts w:asciiTheme="majorBidi" w:hAnsiTheme="majorBidi" w:cstheme="majorBidi"/>
          <w:sz w:val="24"/>
          <w:szCs w:val="24"/>
        </w:rPr>
        <w:t>process</w:t>
      </w:r>
      <w:r w:rsidR="005E42A2">
        <w:rPr>
          <w:rFonts w:asciiTheme="majorBidi" w:hAnsiTheme="majorBidi" w:cstheme="majorBidi"/>
          <w:sz w:val="24"/>
          <w:szCs w:val="24"/>
        </w:rPr>
        <w:t xml:space="preserve"> w</w:t>
      </w:r>
      <w:r w:rsidR="002B369A">
        <w:rPr>
          <w:rFonts w:asciiTheme="majorBidi" w:hAnsiTheme="majorBidi" w:cstheme="majorBidi"/>
          <w:sz w:val="24"/>
          <w:szCs w:val="24"/>
        </w:rPr>
        <w:t>as negatively related to</w:t>
      </w:r>
      <w:r w:rsidRPr="009441B1">
        <w:rPr>
          <w:rFonts w:asciiTheme="majorBidi" w:hAnsiTheme="majorBidi" w:cstheme="majorBidi"/>
          <w:sz w:val="24"/>
          <w:szCs w:val="24"/>
        </w:rPr>
        <w:t xml:space="preserve"> (ROE), the profitability meas</w:t>
      </w:r>
      <w:r w:rsidR="005E42A2">
        <w:rPr>
          <w:rFonts w:asciiTheme="majorBidi" w:hAnsiTheme="majorBidi" w:cstheme="majorBidi"/>
          <w:sz w:val="24"/>
          <w:szCs w:val="24"/>
        </w:rPr>
        <w:t>ure. The β coefficient was</w:t>
      </w:r>
      <w:r w:rsidR="006B3171">
        <w:rPr>
          <w:rFonts w:asciiTheme="majorBidi" w:hAnsiTheme="majorBidi" w:cstheme="majorBidi"/>
          <w:sz w:val="24"/>
          <w:szCs w:val="24"/>
        </w:rPr>
        <w:t xml:space="preserve"> -0.213</w:t>
      </w:r>
      <w:r w:rsidR="00366101">
        <w:rPr>
          <w:rFonts w:ascii="TimesNewRoman" w:hAnsi="TimesNewRoman" w:cs="TimesNewRoman"/>
          <w:sz w:val="24"/>
          <w:szCs w:val="24"/>
        </w:rPr>
        <w:t xml:space="preserve">which means that one unit increase </w:t>
      </w:r>
      <w:r w:rsidR="006B3171">
        <w:rPr>
          <w:rFonts w:ascii="TimesNewRoman" w:hAnsi="TimesNewRoman" w:cs="TimesNewRoman"/>
          <w:sz w:val="24"/>
          <w:szCs w:val="24"/>
        </w:rPr>
        <w:t>in LLPI decreases ROE by 21.3</w:t>
      </w:r>
      <w:r w:rsidR="00366101">
        <w:rPr>
          <w:rFonts w:ascii="TimesNewRoman" w:hAnsi="TimesNewRoman" w:cs="TimesNewRoman"/>
          <w:sz w:val="24"/>
          <w:szCs w:val="24"/>
        </w:rPr>
        <w:t>% units while the other variables are held constant. The statistical sign</w:t>
      </w:r>
      <w:r w:rsidR="005E42A2">
        <w:rPr>
          <w:rFonts w:ascii="TimesNewRoman" w:hAnsi="TimesNewRoman" w:cs="TimesNewRoman"/>
          <w:sz w:val="24"/>
          <w:szCs w:val="24"/>
        </w:rPr>
        <w:t>ificance of LLPI on ROE was</w:t>
      </w:r>
      <w:r w:rsidR="006B3171">
        <w:rPr>
          <w:rFonts w:ascii="TimesNewRoman" w:hAnsi="TimesNewRoman" w:cs="TimesNewRoman"/>
          <w:sz w:val="24"/>
          <w:szCs w:val="24"/>
        </w:rPr>
        <w:t xml:space="preserve"> 0.112 which is above</w:t>
      </w:r>
      <w:r w:rsidR="00353F8F">
        <w:rPr>
          <w:rFonts w:ascii="TimesNewRoman" w:hAnsi="TimesNewRoman" w:cs="TimesNewRoman"/>
          <w:sz w:val="24"/>
          <w:szCs w:val="24"/>
        </w:rPr>
        <w:t xml:space="preserve"> than 0.05 which is a significant relationship. This</w:t>
      </w:r>
      <w:r w:rsidR="00366101">
        <w:rPr>
          <w:rFonts w:ascii="TimesNewRoman" w:hAnsi="TimesNewRoman" w:cs="TimesNewRoman"/>
          <w:sz w:val="24"/>
          <w:szCs w:val="24"/>
        </w:rPr>
        <w:t xml:space="preserve"> means that LLP</w:t>
      </w:r>
      <w:r w:rsidR="00353F8F">
        <w:rPr>
          <w:rFonts w:ascii="TimesNewRoman" w:hAnsi="TimesNewRoman" w:cs="TimesNewRoman"/>
          <w:sz w:val="24"/>
          <w:szCs w:val="24"/>
        </w:rPr>
        <w:t>I p</w:t>
      </w:r>
      <w:r w:rsidR="006B3171">
        <w:rPr>
          <w:rFonts w:ascii="TimesNewRoman" w:hAnsi="TimesNewRoman" w:cs="TimesNewRoman"/>
          <w:sz w:val="24"/>
          <w:szCs w:val="24"/>
        </w:rPr>
        <w:t>redicts effect on ROE with 88.8</w:t>
      </w:r>
      <w:r w:rsidR="00366101">
        <w:rPr>
          <w:rFonts w:ascii="TimesNewRoman" w:hAnsi="TimesNewRoman" w:cs="TimesNewRoman"/>
          <w:sz w:val="24"/>
          <w:szCs w:val="24"/>
        </w:rPr>
        <w:t>% probability.</w:t>
      </w:r>
    </w:p>
    <w:p w:rsidR="00354029" w:rsidRPr="00B32B51" w:rsidRDefault="00354029" w:rsidP="00ED7850">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 xml:space="preserve">Therefore, the </w:t>
      </w:r>
      <w:r w:rsidR="002744F3">
        <w:rPr>
          <w:rFonts w:asciiTheme="majorBidi" w:hAnsiTheme="majorBidi" w:cstheme="majorBidi"/>
          <w:sz w:val="24"/>
          <w:szCs w:val="24"/>
        </w:rPr>
        <w:t>null hypothesis will</w:t>
      </w:r>
      <w:r w:rsidR="00601E54">
        <w:rPr>
          <w:rFonts w:asciiTheme="majorBidi" w:hAnsiTheme="majorBidi" w:cstheme="majorBidi"/>
          <w:sz w:val="24"/>
          <w:szCs w:val="24"/>
        </w:rPr>
        <w:t xml:space="preserve"> </w:t>
      </w:r>
      <w:r w:rsidR="00353F8F">
        <w:rPr>
          <w:rFonts w:asciiTheme="majorBidi" w:hAnsiTheme="majorBidi" w:cstheme="majorBidi"/>
          <w:sz w:val="24"/>
          <w:szCs w:val="24"/>
        </w:rPr>
        <w:t>accepted:</w:t>
      </w:r>
    </w:p>
    <w:p w:rsidR="00BA2241" w:rsidRPr="00CB4F20" w:rsidRDefault="00353F8F" w:rsidP="00CB4F20">
      <w:pPr>
        <w:pStyle w:val="Subtitle"/>
        <w:spacing w:after="0" w:line="360" w:lineRule="auto"/>
        <w:rPr>
          <w:rFonts w:ascii="Times New Roman" w:hAnsi="Times New Roman" w:cs="Times New Roman"/>
          <w:b/>
          <w:bCs/>
          <w:color w:val="auto"/>
        </w:rPr>
      </w:pPr>
      <w:r w:rsidRPr="00D27963">
        <w:rPr>
          <w:rFonts w:ascii="Times New Roman" w:hAnsi="Times New Roman" w:cs="Times New Roman"/>
          <w:b/>
          <w:bCs/>
          <w:color w:val="auto"/>
        </w:rPr>
        <w:t>Ho 3: There is</w:t>
      </w:r>
      <w:r w:rsidR="002744F3">
        <w:rPr>
          <w:rFonts w:ascii="Times New Roman" w:hAnsi="Times New Roman" w:cs="Times New Roman"/>
          <w:b/>
          <w:bCs/>
          <w:color w:val="auto"/>
        </w:rPr>
        <w:t xml:space="preserve"> no</w:t>
      </w:r>
      <w:r w:rsidR="00354029" w:rsidRPr="00D27963">
        <w:rPr>
          <w:rFonts w:ascii="Times New Roman" w:hAnsi="Times New Roman" w:cs="Times New Roman"/>
          <w:b/>
          <w:bCs/>
          <w:color w:val="auto"/>
        </w:rPr>
        <w:t xml:space="preserve"> significant relationship between credit monitoring and bank’s profitability.</w:t>
      </w:r>
    </w:p>
    <w:p w:rsidR="00894435" w:rsidRPr="00D27963" w:rsidRDefault="00E23E22" w:rsidP="00BA224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4.3.2.1.8</w:t>
      </w:r>
      <w:r w:rsidR="002302DA">
        <w:rPr>
          <w:rFonts w:asciiTheme="majorBidi" w:hAnsiTheme="majorBidi" w:cstheme="majorBidi"/>
          <w:b/>
          <w:bCs/>
          <w:sz w:val="24"/>
          <w:szCs w:val="24"/>
        </w:rPr>
        <w:t xml:space="preserve"> The Relationship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0061776E" w:rsidRPr="00D27963">
        <w:rPr>
          <w:rFonts w:asciiTheme="majorBidi" w:hAnsiTheme="majorBidi" w:cstheme="majorBidi"/>
          <w:b/>
          <w:bCs/>
          <w:sz w:val="24"/>
          <w:szCs w:val="24"/>
        </w:rPr>
        <w:t>rofitability</w:t>
      </w:r>
      <w:r w:rsidR="006B3171">
        <w:rPr>
          <w:rFonts w:asciiTheme="majorBidi" w:hAnsiTheme="majorBidi" w:cstheme="majorBidi"/>
          <w:b/>
          <w:bCs/>
          <w:sz w:val="24"/>
          <w:szCs w:val="24"/>
        </w:rPr>
        <w:t xml:space="preserve"> (ROE)</w:t>
      </w:r>
      <w:r w:rsidR="002302DA">
        <w:rPr>
          <w:rFonts w:asciiTheme="majorBidi" w:hAnsiTheme="majorBidi" w:cstheme="majorBidi"/>
          <w:b/>
          <w:bCs/>
          <w:sz w:val="24"/>
          <w:szCs w:val="24"/>
        </w:rPr>
        <w:t xml:space="preserve"> and Income D</w:t>
      </w:r>
      <w:r w:rsidR="0061776E" w:rsidRPr="00D27963">
        <w:rPr>
          <w:rFonts w:asciiTheme="majorBidi" w:hAnsiTheme="majorBidi" w:cstheme="majorBidi"/>
          <w:b/>
          <w:bCs/>
          <w:sz w:val="24"/>
          <w:szCs w:val="24"/>
        </w:rPr>
        <w:t>iversification</w:t>
      </w:r>
      <w:r w:rsidR="006B3171">
        <w:rPr>
          <w:rFonts w:asciiTheme="majorBidi" w:hAnsiTheme="majorBidi" w:cstheme="majorBidi"/>
          <w:b/>
          <w:bCs/>
          <w:sz w:val="24"/>
          <w:szCs w:val="24"/>
        </w:rPr>
        <w:t xml:space="preserve"> (NIDR)</w:t>
      </w:r>
    </w:p>
    <w:p w:rsidR="00D43BB4" w:rsidRPr="00E124D6" w:rsidRDefault="00113BB6" w:rsidP="00BA2241">
      <w:pPr>
        <w:autoSpaceDE w:val="0"/>
        <w:autoSpaceDN w:val="0"/>
        <w:adjustRightInd w:val="0"/>
        <w:spacing w:after="0" w:line="360" w:lineRule="auto"/>
        <w:jc w:val="both"/>
        <w:rPr>
          <w:rFonts w:asciiTheme="majorBidi" w:hAnsiTheme="majorBidi" w:cstheme="majorBidi"/>
          <w:sz w:val="24"/>
          <w:szCs w:val="24"/>
        </w:rPr>
      </w:pPr>
      <w:r w:rsidRPr="00E124D6">
        <w:rPr>
          <w:rFonts w:asciiTheme="majorBidi" w:hAnsiTheme="majorBidi" w:cstheme="majorBidi"/>
          <w:sz w:val="24"/>
          <w:szCs w:val="24"/>
        </w:rPr>
        <w:t>The de</w:t>
      </w:r>
      <w:r w:rsidR="00102CC7">
        <w:rPr>
          <w:rFonts w:asciiTheme="majorBidi" w:hAnsiTheme="majorBidi" w:cstheme="majorBidi"/>
          <w:sz w:val="24"/>
          <w:szCs w:val="24"/>
        </w:rPr>
        <w:t>scriptive analysis in table 4.25</w:t>
      </w:r>
      <w:r w:rsidRPr="00E124D6">
        <w:rPr>
          <w:rFonts w:asciiTheme="majorBidi" w:hAnsiTheme="majorBidi" w:cstheme="majorBidi"/>
          <w:sz w:val="24"/>
          <w:szCs w:val="24"/>
        </w:rPr>
        <w:t xml:space="preserve"> showed that revenue dive</w:t>
      </w:r>
      <w:r w:rsidR="005E42A2">
        <w:rPr>
          <w:rFonts w:asciiTheme="majorBidi" w:hAnsiTheme="majorBidi" w:cstheme="majorBidi"/>
          <w:sz w:val="24"/>
          <w:szCs w:val="24"/>
        </w:rPr>
        <w:t>rsification in the sector was</w:t>
      </w:r>
      <w:r w:rsidRPr="00E124D6">
        <w:rPr>
          <w:rFonts w:asciiTheme="majorBidi" w:hAnsiTheme="majorBidi" w:cstheme="majorBidi"/>
          <w:sz w:val="24"/>
          <w:szCs w:val="24"/>
        </w:rPr>
        <w:t xml:space="preserve"> ave</w:t>
      </w:r>
      <w:r w:rsidR="005E42A2">
        <w:rPr>
          <w:rFonts w:asciiTheme="majorBidi" w:hAnsiTheme="majorBidi" w:cstheme="majorBidi"/>
          <w:sz w:val="24"/>
          <w:szCs w:val="24"/>
        </w:rPr>
        <w:t>rage a</w:t>
      </w:r>
      <w:r w:rsidR="002B369A">
        <w:rPr>
          <w:rFonts w:asciiTheme="majorBidi" w:hAnsiTheme="majorBidi" w:cstheme="majorBidi"/>
          <w:sz w:val="24"/>
          <w:szCs w:val="24"/>
        </w:rPr>
        <w:t xml:space="preserve">nd positively related to </w:t>
      </w:r>
      <w:r w:rsidRPr="00E124D6">
        <w:rPr>
          <w:rFonts w:asciiTheme="majorBidi" w:hAnsiTheme="majorBidi" w:cstheme="majorBidi"/>
          <w:sz w:val="24"/>
          <w:szCs w:val="24"/>
        </w:rPr>
        <w:t>(ROE), the profitability mea</w:t>
      </w:r>
      <w:r w:rsidR="005E42A2">
        <w:rPr>
          <w:rFonts w:asciiTheme="majorBidi" w:hAnsiTheme="majorBidi" w:cstheme="majorBidi"/>
          <w:sz w:val="24"/>
          <w:szCs w:val="24"/>
        </w:rPr>
        <w:t>sure. The β coefficient was</w:t>
      </w:r>
      <w:r w:rsidR="006B3171">
        <w:rPr>
          <w:rFonts w:asciiTheme="majorBidi" w:hAnsiTheme="majorBidi" w:cstheme="majorBidi"/>
          <w:sz w:val="24"/>
          <w:szCs w:val="24"/>
        </w:rPr>
        <w:t xml:space="preserve"> 0.322</w:t>
      </w:r>
      <w:r w:rsidRPr="00E124D6">
        <w:rPr>
          <w:rFonts w:asciiTheme="majorBidi" w:hAnsiTheme="majorBidi" w:cstheme="majorBidi"/>
          <w:sz w:val="24"/>
          <w:szCs w:val="24"/>
        </w:rPr>
        <w:t xml:space="preserve"> which means one unit increase by N</w:t>
      </w:r>
      <w:r w:rsidR="006B3171">
        <w:rPr>
          <w:rFonts w:asciiTheme="majorBidi" w:hAnsiTheme="majorBidi" w:cstheme="majorBidi"/>
          <w:sz w:val="24"/>
          <w:szCs w:val="24"/>
        </w:rPr>
        <w:t>IDR increase ROE by 32.2</w:t>
      </w:r>
      <w:r w:rsidRPr="00E124D6">
        <w:rPr>
          <w:rFonts w:asciiTheme="majorBidi" w:hAnsiTheme="majorBidi" w:cstheme="majorBidi"/>
          <w:sz w:val="24"/>
          <w:szCs w:val="24"/>
        </w:rPr>
        <w:t>% units.</w:t>
      </w:r>
      <w:r w:rsidR="00D43BB4" w:rsidRPr="00E124D6">
        <w:rPr>
          <w:rFonts w:asciiTheme="majorBidi" w:hAnsiTheme="majorBidi" w:cstheme="majorBidi"/>
          <w:sz w:val="24"/>
          <w:szCs w:val="24"/>
        </w:rPr>
        <w:t xml:space="preserve"> The statistical sign</w:t>
      </w:r>
      <w:r w:rsidR="005E42A2">
        <w:rPr>
          <w:rFonts w:asciiTheme="majorBidi" w:hAnsiTheme="majorBidi" w:cstheme="majorBidi"/>
          <w:sz w:val="24"/>
          <w:szCs w:val="24"/>
        </w:rPr>
        <w:t>ificance of NIDR on ROE was</w:t>
      </w:r>
      <w:r w:rsidR="006B3171">
        <w:rPr>
          <w:rFonts w:asciiTheme="majorBidi" w:hAnsiTheme="majorBidi" w:cstheme="majorBidi"/>
          <w:sz w:val="24"/>
          <w:szCs w:val="24"/>
        </w:rPr>
        <w:t xml:space="preserve"> 0.110; this means that NIDR</w:t>
      </w:r>
      <w:r w:rsidR="005E42A2">
        <w:rPr>
          <w:rFonts w:asciiTheme="majorBidi" w:hAnsiTheme="majorBidi" w:cstheme="majorBidi"/>
          <w:sz w:val="24"/>
          <w:szCs w:val="24"/>
        </w:rPr>
        <w:t xml:space="preserve"> </w:t>
      </w:r>
      <w:r w:rsidR="006B3171">
        <w:rPr>
          <w:rFonts w:asciiTheme="majorBidi" w:hAnsiTheme="majorBidi" w:cstheme="majorBidi"/>
          <w:sz w:val="24"/>
          <w:szCs w:val="24"/>
        </w:rPr>
        <w:t xml:space="preserve">predicts effect on ROE with </w:t>
      </w:r>
      <w:r w:rsidR="006B3171">
        <w:rPr>
          <w:rFonts w:asciiTheme="majorBidi" w:hAnsiTheme="majorBidi" w:cstheme="majorBidi"/>
          <w:sz w:val="24"/>
          <w:szCs w:val="24"/>
        </w:rPr>
        <w:lastRenderedPageBreak/>
        <w:t>89</w:t>
      </w:r>
      <w:r w:rsidR="00496321">
        <w:rPr>
          <w:rFonts w:asciiTheme="majorBidi" w:hAnsiTheme="majorBidi" w:cstheme="majorBidi"/>
          <w:sz w:val="24"/>
          <w:szCs w:val="24"/>
        </w:rPr>
        <w:t>% probability, and</w:t>
      </w:r>
      <w:r w:rsidR="006B3171">
        <w:rPr>
          <w:rFonts w:asciiTheme="majorBidi" w:hAnsiTheme="majorBidi" w:cstheme="majorBidi"/>
          <w:sz w:val="24"/>
          <w:szCs w:val="24"/>
        </w:rPr>
        <w:t xml:space="preserve"> higher</w:t>
      </w:r>
      <w:r w:rsidR="007621B5">
        <w:rPr>
          <w:rFonts w:asciiTheme="majorBidi" w:hAnsiTheme="majorBidi" w:cstheme="majorBidi"/>
          <w:sz w:val="24"/>
          <w:szCs w:val="24"/>
        </w:rPr>
        <w:t xml:space="preserve"> than 0.05 </w:t>
      </w:r>
      <w:r w:rsidR="00D43BB4" w:rsidRPr="00E124D6">
        <w:rPr>
          <w:rFonts w:asciiTheme="majorBidi" w:hAnsiTheme="majorBidi" w:cstheme="majorBidi"/>
          <w:sz w:val="24"/>
          <w:szCs w:val="24"/>
        </w:rPr>
        <w:t xml:space="preserve">which is a sign </w:t>
      </w:r>
      <w:r w:rsidR="006B3171">
        <w:rPr>
          <w:rFonts w:asciiTheme="majorBidi" w:hAnsiTheme="majorBidi" w:cstheme="majorBidi"/>
          <w:sz w:val="24"/>
          <w:szCs w:val="24"/>
        </w:rPr>
        <w:t>of</w:t>
      </w:r>
      <w:r w:rsidR="00601E54">
        <w:rPr>
          <w:rFonts w:asciiTheme="majorBidi" w:hAnsiTheme="majorBidi" w:cstheme="majorBidi"/>
          <w:sz w:val="24"/>
          <w:szCs w:val="24"/>
        </w:rPr>
        <w:t xml:space="preserve"> </w:t>
      </w:r>
      <w:r w:rsidR="006B3171">
        <w:rPr>
          <w:rFonts w:asciiTheme="majorBidi" w:hAnsiTheme="majorBidi" w:cstheme="majorBidi"/>
          <w:sz w:val="24"/>
          <w:szCs w:val="24"/>
        </w:rPr>
        <w:t>insignificant relationship,</w:t>
      </w:r>
      <w:r w:rsidR="007621B5" w:rsidRPr="00E124D6">
        <w:rPr>
          <w:rFonts w:asciiTheme="majorBidi" w:hAnsiTheme="majorBidi" w:cstheme="majorBidi"/>
          <w:sz w:val="24"/>
          <w:szCs w:val="24"/>
        </w:rPr>
        <w:t xml:space="preserve"> indicating</w:t>
      </w:r>
      <w:r w:rsidR="00E124D6" w:rsidRPr="00E124D6">
        <w:rPr>
          <w:rFonts w:asciiTheme="majorBidi" w:hAnsiTheme="majorBidi" w:cstheme="majorBidi"/>
          <w:sz w:val="24"/>
          <w:szCs w:val="24"/>
        </w:rPr>
        <w:t xml:space="preserve"> that the more banks generate their revenue from different activities, the more profitable they become. </w:t>
      </w:r>
    </w:p>
    <w:p w:rsidR="00D43BB4" w:rsidRDefault="00D43BB4" w:rsidP="00D43BB4">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Therefore, the n</w:t>
      </w:r>
      <w:r w:rsidR="002744F3">
        <w:rPr>
          <w:rFonts w:asciiTheme="majorBidi" w:hAnsiTheme="majorBidi" w:cstheme="majorBidi"/>
          <w:sz w:val="24"/>
          <w:szCs w:val="24"/>
        </w:rPr>
        <w:t>ull hypothesis will be accepted:</w:t>
      </w:r>
    </w:p>
    <w:p w:rsidR="00775759" w:rsidRPr="00CB4F20" w:rsidRDefault="002744F3" w:rsidP="00CB4F20">
      <w:pPr>
        <w:pStyle w:val="Subtitle"/>
        <w:spacing w:after="0" w:line="360" w:lineRule="auto"/>
        <w:rPr>
          <w:rFonts w:ascii="Times New Roman" w:hAnsi="Times New Roman" w:cs="Times New Roman"/>
          <w:b/>
          <w:bCs/>
          <w:color w:val="auto"/>
        </w:rPr>
      </w:pPr>
      <w:r>
        <w:rPr>
          <w:rFonts w:ascii="Times New Roman" w:hAnsi="Times New Roman" w:cs="Times New Roman"/>
          <w:b/>
          <w:bCs/>
          <w:color w:val="auto"/>
        </w:rPr>
        <w:t>H04</w:t>
      </w:r>
      <w:r w:rsidR="00D43BB4" w:rsidRPr="00D27963">
        <w:rPr>
          <w:rFonts w:ascii="Times New Roman" w:hAnsi="Times New Roman" w:cs="Times New Roman"/>
          <w:b/>
          <w:bCs/>
          <w:color w:val="auto"/>
        </w:rPr>
        <w:t>: There is</w:t>
      </w:r>
      <w:r>
        <w:rPr>
          <w:rFonts w:ascii="Times New Roman" w:hAnsi="Times New Roman" w:cs="Times New Roman"/>
          <w:b/>
          <w:bCs/>
          <w:color w:val="auto"/>
        </w:rPr>
        <w:t xml:space="preserve"> no</w:t>
      </w:r>
      <w:r w:rsidR="00D43BB4" w:rsidRPr="00D27963">
        <w:rPr>
          <w:rFonts w:ascii="Times New Roman" w:hAnsi="Times New Roman" w:cs="Times New Roman"/>
          <w:b/>
          <w:bCs/>
          <w:color w:val="auto"/>
        </w:rPr>
        <w:t xml:space="preserve"> signific</w:t>
      </w:r>
      <w:r w:rsidR="00F6034A">
        <w:rPr>
          <w:rFonts w:ascii="Times New Roman" w:hAnsi="Times New Roman" w:cs="Times New Roman"/>
          <w:b/>
          <w:bCs/>
          <w:color w:val="auto"/>
        </w:rPr>
        <w:t>ant relationship between income</w:t>
      </w:r>
      <w:r w:rsidR="00D43BB4" w:rsidRPr="00D27963">
        <w:rPr>
          <w:rFonts w:ascii="Times New Roman" w:hAnsi="Times New Roman" w:cs="Times New Roman"/>
          <w:b/>
          <w:bCs/>
          <w:color w:val="auto"/>
        </w:rPr>
        <w:t xml:space="preserve"> diversification and bank’s profitability.</w:t>
      </w:r>
    </w:p>
    <w:p w:rsidR="004B2466" w:rsidRDefault="00E23E22" w:rsidP="00BA2241">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sz w:val="24"/>
          <w:szCs w:val="24"/>
        </w:rPr>
        <w:t>4.3.2.1.9</w:t>
      </w:r>
      <w:r w:rsidR="005E42A2">
        <w:rPr>
          <w:rFonts w:asciiTheme="majorBidi" w:hAnsiTheme="majorBidi" w:cstheme="majorBidi"/>
          <w:b/>
          <w:bCs/>
          <w:sz w:val="24"/>
          <w:szCs w:val="24"/>
        </w:rPr>
        <w:t xml:space="preserve"> </w:t>
      </w:r>
      <w:r w:rsidR="002302DA">
        <w:rPr>
          <w:rFonts w:asciiTheme="majorBidi" w:hAnsiTheme="majorBidi" w:cstheme="majorBidi"/>
          <w:b/>
          <w:bCs/>
          <w:sz w:val="24"/>
          <w:szCs w:val="24"/>
        </w:rPr>
        <w:t>The R</w:t>
      </w:r>
      <w:r w:rsidR="00C0657E" w:rsidRPr="00B14580">
        <w:rPr>
          <w:rFonts w:asciiTheme="majorBidi" w:hAnsiTheme="majorBidi" w:cstheme="majorBidi"/>
          <w:b/>
          <w:bCs/>
          <w:sz w:val="24"/>
          <w:szCs w:val="24"/>
        </w:rPr>
        <w:t>elatio</w:t>
      </w:r>
      <w:r w:rsidR="002302DA">
        <w:rPr>
          <w:rFonts w:asciiTheme="majorBidi" w:hAnsiTheme="majorBidi" w:cstheme="majorBidi"/>
          <w:b/>
          <w:bCs/>
          <w:sz w:val="24"/>
          <w:szCs w:val="24"/>
        </w:rPr>
        <w:t xml:space="preserve">nship </w:t>
      </w:r>
      <w:r w:rsidR="006952A8">
        <w:rPr>
          <w:rFonts w:asciiTheme="majorBidi" w:hAnsiTheme="majorBidi" w:cstheme="majorBidi"/>
          <w:b/>
          <w:bCs/>
          <w:sz w:val="24"/>
          <w:szCs w:val="24"/>
        </w:rPr>
        <w:t>between</w:t>
      </w:r>
      <w:r w:rsidR="002302DA">
        <w:rPr>
          <w:rFonts w:asciiTheme="majorBidi" w:hAnsiTheme="majorBidi" w:cstheme="majorBidi"/>
          <w:b/>
          <w:bCs/>
          <w:sz w:val="24"/>
          <w:szCs w:val="24"/>
        </w:rPr>
        <w:t xml:space="preserve"> P</w:t>
      </w:r>
      <w:r w:rsidR="00C0657E">
        <w:rPr>
          <w:rFonts w:asciiTheme="majorBidi" w:hAnsiTheme="majorBidi" w:cstheme="majorBidi"/>
          <w:b/>
          <w:bCs/>
          <w:sz w:val="24"/>
          <w:szCs w:val="24"/>
        </w:rPr>
        <w:t>rofitability (ROE</w:t>
      </w:r>
      <w:r w:rsidR="00C0657E" w:rsidRPr="00B14580">
        <w:rPr>
          <w:rFonts w:asciiTheme="majorBidi" w:hAnsiTheme="majorBidi" w:cstheme="majorBidi"/>
          <w:b/>
          <w:bCs/>
          <w:sz w:val="24"/>
          <w:szCs w:val="24"/>
        </w:rPr>
        <w:t>) and</w:t>
      </w:r>
      <w:r w:rsidR="00F6034A">
        <w:rPr>
          <w:rFonts w:asciiTheme="majorBidi" w:hAnsiTheme="majorBidi" w:cstheme="majorBidi"/>
          <w:b/>
          <w:bCs/>
          <w:sz w:val="24"/>
          <w:szCs w:val="24"/>
        </w:rPr>
        <w:t xml:space="preserve"> Operational Costs</w:t>
      </w:r>
      <w:r w:rsidR="00C0657E">
        <w:rPr>
          <w:rFonts w:asciiTheme="majorBidi" w:hAnsiTheme="majorBidi" w:cstheme="majorBidi"/>
          <w:b/>
          <w:bCs/>
          <w:sz w:val="24"/>
          <w:szCs w:val="24"/>
        </w:rPr>
        <w:t xml:space="preserve"> (OPNI)</w:t>
      </w:r>
    </w:p>
    <w:p w:rsidR="008606AB" w:rsidRDefault="00C0657E" w:rsidP="00BA2241">
      <w:pPr>
        <w:autoSpaceDE w:val="0"/>
        <w:autoSpaceDN w:val="0"/>
        <w:adjustRightInd w:val="0"/>
        <w:spacing w:after="0" w:line="360" w:lineRule="auto"/>
        <w:jc w:val="both"/>
        <w:rPr>
          <w:rFonts w:asciiTheme="majorBidi" w:hAnsiTheme="majorBidi" w:cstheme="majorBidi"/>
          <w:sz w:val="24"/>
          <w:szCs w:val="24"/>
        </w:rPr>
      </w:pPr>
      <w:r w:rsidRPr="00414CAD">
        <w:rPr>
          <w:rFonts w:asciiTheme="majorBidi" w:hAnsiTheme="majorBidi" w:cstheme="majorBidi"/>
          <w:sz w:val="24"/>
          <w:szCs w:val="24"/>
        </w:rPr>
        <w:t>The</w:t>
      </w:r>
      <w:r w:rsidR="00102CC7">
        <w:rPr>
          <w:rFonts w:asciiTheme="majorBidi" w:hAnsiTheme="majorBidi" w:cstheme="majorBidi"/>
          <w:sz w:val="24"/>
          <w:szCs w:val="24"/>
        </w:rPr>
        <w:t xml:space="preserve"> results presented in table 4.25</w:t>
      </w:r>
      <w:r w:rsidRPr="00414CAD">
        <w:rPr>
          <w:rFonts w:asciiTheme="majorBidi" w:hAnsiTheme="majorBidi" w:cstheme="majorBidi"/>
          <w:sz w:val="24"/>
          <w:szCs w:val="24"/>
        </w:rPr>
        <w:t xml:space="preserve"> in</w:t>
      </w:r>
      <w:r w:rsidR="005E42A2">
        <w:rPr>
          <w:rFonts w:asciiTheme="majorBidi" w:hAnsiTheme="majorBidi" w:cstheme="majorBidi"/>
          <w:sz w:val="24"/>
          <w:szCs w:val="24"/>
        </w:rPr>
        <w:t>dicate that the Operational Expenses R</w:t>
      </w:r>
      <w:r>
        <w:rPr>
          <w:rFonts w:asciiTheme="majorBidi" w:hAnsiTheme="majorBidi" w:cstheme="majorBidi"/>
          <w:sz w:val="24"/>
          <w:szCs w:val="24"/>
        </w:rPr>
        <w:t>atio (OPNI</w:t>
      </w:r>
      <w:r w:rsidRPr="00414CAD">
        <w:rPr>
          <w:rFonts w:asciiTheme="majorBidi" w:hAnsiTheme="majorBidi" w:cstheme="majorBidi"/>
          <w:sz w:val="24"/>
          <w:szCs w:val="24"/>
        </w:rPr>
        <w:t>) is negatively related</w:t>
      </w:r>
      <w:r>
        <w:rPr>
          <w:rFonts w:asciiTheme="majorBidi" w:hAnsiTheme="majorBidi" w:cstheme="majorBidi"/>
          <w:sz w:val="24"/>
          <w:szCs w:val="24"/>
        </w:rPr>
        <w:t xml:space="preserve"> to return on equity (ROE</w:t>
      </w:r>
      <w:r w:rsidRPr="00414CAD">
        <w:rPr>
          <w:rFonts w:asciiTheme="majorBidi" w:hAnsiTheme="majorBidi" w:cstheme="majorBidi"/>
          <w:sz w:val="24"/>
          <w:szCs w:val="24"/>
        </w:rPr>
        <w:t>), the profitability meas</w:t>
      </w:r>
      <w:r>
        <w:rPr>
          <w:rFonts w:asciiTheme="majorBidi" w:hAnsiTheme="majorBidi" w:cstheme="majorBidi"/>
          <w:sz w:val="24"/>
          <w:szCs w:val="24"/>
        </w:rPr>
        <w:t>ure. The β coefficient is -0.094 which indicates that the effect of operational expenses on ROA is weak.</w:t>
      </w:r>
      <w:r w:rsidRPr="00414CAD">
        <w:rPr>
          <w:rFonts w:asciiTheme="majorBidi" w:hAnsiTheme="majorBidi" w:cstheme="majorBidi"/>
          <w:sz w:val="24"/>
          <w:szCs w:val="24"/>
        </w:rPr>
        <w:t xml:space="preserve"> This </w:t>
      </w:r>
      <w:r>
        <w:rPr>
          <w:rFonts w:asciiTheme="majorBidi" w:hAnsiTheme="majorBidi" w:cstheme="majorBidi"/>
          <w:sz w:val="24"/>
          <w:szCs w:val="24"/>
        </w:rPr>
        <w:t xml:space="preserve">result </w:t>
      </w:r>
      <w:r w:rsidRPr="00414CAD">
        <w:rPr>
          <w:rFonts w:asciiTheme="majorBidi" w:hAnsiTheme="majorBidi" w:cstheme="majorBidi"/>
          <w:sz w:val="24"/>
          <w:szCs w:val="24"/>
        </w:rPr>
        <w:t>indicates that one unit increases in</w:t>
      </w:r>
      <w:r>
        <w:rPr>
          <w:rFonts w:asciiTheme="majorBidi" w:hAnsiTheme="majorBidi" w:cstheme="majorBidi"/>
          <w:sz w:val="24"/>
          <w:szCs w:val="24"/>
        </w:rPr>
        <w:t xml:space="preserve"> (operational expenses (OPNI)</w:t>
      </w:r>
      <w:r w:rsidRPr="00414CAD">
        <w:rPr>
          <w:rFonts w:asciiTheme="majorBidi" w:hAnsiTheme="majorBidi" w:cstheme="majorBidi"/>
          <w:sz w:val="24"/>
          <w:szCs w:val="24"/>
        </w:rPr>
        <w:t xml:space="preserve"> will decrease</w:t>
      </w:r>
      <w:r>
        <w:rPr>
          <w:rFonts w:asciiTheme="majorBidi" w:hAnsiTheme="majorBidi" w:cstheme="majorBidi"/>
          <w:sz w:val="24"/>
          <w:szCs w:val="24"/>
        </w:rPr>
        <w:t xml:space="preserve"> ROA by .9.4</w:t>
      </w:r>
      <w:r w:rsidRPr="00414CAD">
        <w:rPr>
          <w:rFonts w:asciiTheme="majorBidi" w:hAnsiTheme="majorBidi" w:cstheme="majorBidi"/>
          <w:sz w:val="24"/>
          <w:szCs w:val="24"/>
        </w:rPr>
        <w:t>% units, holding the rest of variables constant. The statistical si</w:t>
      </w:r>
      <w:r>
        <w:rPr>
          <w:rFonts w:asciiTheme="majorBidi" w:hAnsiTheme="majorBidi" w:cstheme="majorBidi"/>
          <w:sz w:val="24"/>
          <w:szCs w:val="24"/>
        </w:rPr>
        <w:t>gnificance of OPNI is 0.158 which is higher than 0.05, implying an insignificance relationship</w:t>
      </w:r>
      <w:r w:rsidRPr="00414CAD">
        <w:rPr>
          <w:rFonts w:asciiTheme="majorBidi" w:hAnsiTheme="majorBidi" w:cstheme="majorBidi"/>
          <w:sz w:val="24"/>
          <w:szCs w:val="24"/>
        </w:rPr>
        <w:t xml:space="preserve">. It implies </w:t>
      </w:r>
      <w:r>
        <w:rPr>
          <w:rFonts w:asciiTheme="majorBidi" w:hAnsiTheme="majorBidi" w:cstheme="majorBidi"/>
          <w:sz w:val="24"/>
          <w:szCs w:val="24"/>
        </w:rPr>
        <w:t>that OPNI predicts ROE with 84.2</w:t>
      </w:r>
      <w:r w:rsidRPr="00414CAD">
        <w:rPr>
          <w:rFonts w:asciiTheme="majorBidi" w:hAnsiTheme="majorBidi" w:cstheme="majorBidi"/>
          <w:sz w:val="24"/>
          <w:szCs w:val="24"/>
        </w:rPr>
        <w:t>% probability.</w:t>
      </w:r>
      <w:r w:rsidRPr="00A23E61">
        <w:rPr>
          <w:rFonts w:asciiTheme="majorBidi" w:hAnsiTheme="majorBidi" w:cstheme="majorBidi"/>
          <w:sz w:val="24"/>
          <w:szCs w:val="24"/>
        </w:rPr>
        <w:t xml:space="preserve"> This result is not surprising, as the issue of high operative expenses was covered extensively in the literature review and the descriptive analysis showed that operating</w:t>
      </w:r>
      <w:r>
        <w:rPr>
          <w:rFonts w:asciiTheme="majorBidi" w:hAnsiTheme="majorBidi" w:cstheme="majorBidi"/>
          <w:sz w:val="24"/>
          <w:szCs w:val="24"/>
        </w:rPr>
        <w:t xml:space="preserve"> costs are higher in the sector. For example </w:t>
      </w:r>
      <w:r w:rsidRPr="00A23E61">
        <w:rPr>
          <w:rFonts w:asciiTheme="majorBidi" w:hAnsiTheme="majorBidi" w:cstheme="majorBidi"/>
          <w:sz w:val="24"/>
          <w:szCs w:val="24"/>
        </w:rPr>
        <w:t xml:space="preserve">Alquds bank in the year 2008 had a high ratio of </w:t>
      </w:r>
      <w:r w:rsidRPr="007D4791">
        <w:rPr>
          <w:rFonts w:asciiTheme="majorBidi" w:hAnsiTheme="majorBidi" w:cstheme="majorBidi"/>
          <w:sz w:val="24"/>
          <w:szCs w:val="24"/>
        </w:rPr>
        <w:t xml:space="preserve">operating cost to income and as a results made an aggregate loss (ROA was -2.3), whilst bank of </w:t>
      </w:r>
    </w:p>
    <w:p w:rsidR="00C0657E" w:rsidRDefault="00C0657E" w:rsidP="00ED7850">
      <w:pPr>
        <w:autoSpaceDE w:val="0"/>
        <w:autoSpaceDN w:val="0"/>
        <w:adjustRightInd w:val="0"/>
        <w:spacing w:after="0" w:line="360" w:lineRule="auto"/>
        <w:jc w:val="both"/>
        <w:rPr>
          <w:rFonts w:asciiTheme="majorBidi" w:hAnsiTheme="majorBidi" w:cstheme="majorBidi"/>
          <w:sz w:val="24"/>
          <w:szCs w:val="24"/>
        </w:rPr>
      </w:pPr>
      <w:r w:rsidRPr="007D4791">
        <w:rPr>
          <w:rFonts w:asciiTheme="majorBidi" w:hAnsiTheme="majorBidi" w:cstheme="majorBidi"/>
          <w:sz w:val="24"/>
          <w:szCs w:val="24"/>
        </w:rPr>
        <w:t>Palestine that year was amongst the lowest and made a profit (ROA was 2.3)</w:t>
      </w:r>
      <w:r>
        <w:rPr>
          <w:rFonts w:asciiTheme="majorBidi" w:hAnsiTheme="majorBidi" w:cstheme="majorBidi"/>
          <w:sz w:val="24"/>
          <w:szCs w:val="24"/>
        </w:rPr>
        <w:t>.</w:t>
      </w:r>
      <w:r w:rsidRPr="007D4791">
        <w:rPr>
          <w:rFonts w:asciiTheme="majorBidi" w:hAnsiTheme="majorBidi" w:cstheme="majorBidi"/>
          <w:sz w:val="24"/>
          <w:szCs w:val="24"/>
        </w:rPr>
        <w:t xml:space="preserve"> This</w:t>
      </w:r>
      <w:r>
        <w:rPr>
          <w:rFonts w:asciiTheme="majorBidi" w:hAnsiTheme="majorBidi" w:cstheme="majorBidi"/>
          <w:sz w:val="24"/>
          <w:szCs w:val="24"/>
        </w:rPr>
        <w:t xml:space="preserve"> finding is consistent with the finding</w:t>
      </w:r>
      <w:r w:rsidRPr="007D4791">
        <w:rPr>
          <w:rFonts w:asciiTheme="majorBidi" w:hAnsiTheme="majorBidi" w:cstheme="majorBidi"/>
          <w:sz w:val="24"/>
          <w:szCs w:val="24"/>
        </w:rPr>
        <w:t xml:space="preserve"> of Olweny and Shipho, 2011</w:t>
      </w:r>
      <w:r>
        <w:rPr>
          <w:rFonts w:asciiTheme="majorBidi" w:hAnsiTheme="majorBidi" w:cstheme="majorBidi"/>
          <w:sz w:val="24"/>
          <w:szCs w:val="24"/>
        </w:rPr>
        <w:t xml:space="preserve">. </w:t>
      </w:r>
    </w:p>
    <w:p w:rsidR="00261E49" w:rsidRDefault="002744F3" w:rsidP="00ED7850">
      <w:pPr>
        <w:autoSpaceDE w:val="0"/>
        <w:autoSpaceDN w:val="0"/>
        <w:adjustRightInd w:val="0"/>
        <w:spacing w:after="0" w:line="360" w:lineRule="auto"/>
        <w:jc w:val="both"/>
        <w:rPr>
          <w:rFonts w:asciiTheme="majorBidi" w:hAnsiTheme="majorBidi" w:cstheme="majorBidi"/>
          <w:sz w:val="24"/>
          <w:szCs w:val="24"/>
        </w:rPr>
      </w:pPr>
      <w:r w:rsidRPr="00B32B51">
        <w:rPr>
          <w:rFonts w:asciiTheme="majorBidi" w:hAnsiTheme="majorBidi" w:cstheme="majorBidi"/>
          <w:sz w:val="24"/>
          <w:szCs w:val="24"/>
        </w:rPr>
        <w:t>Therefore, the n</w:t>
      </w:r>
      <w:r>
        <w:rPr>
          <w:rFonts w:asciiTheme="majorBidi" w:hAnsiTheme="majorBidi" w:cstheme="majorBidi"/>
          <w:sz w:val="24"/>
          <w:szCs w:val="24"/>
        </w:rPr>
        <w:t>ull hypothesis will be accepted:</w:t>
      </w:r>
    </w:p>
    <w:p w:rsidR="002744F3" w:rsidRPr="00B53A16" w:rsidRDefault="002744F3" w:rsidP="002744F3">
      <w:pPr>
        <w:pStyle w:val="Subtitle"/>
        <w:rPr>
          <w:rFonts w:asciiTheme="majorBidi" w:hAnsiTheme="majorBidi"/>
          <w:b/>
          <w:bCs/>
          <w:color w:val="auto"/>
        </w:rPr>
      </w:pPr>
      <w:r>
        <w:rPr>
          <w:rFonts w:asciiTheme="majorBidi" w:hAnsiTheme="majorBidi"/>
          <w:b/>
          <w:bCs/>
          <w:color w:val="auto"/>
        </w:rPr>
        <w:t>H05: There is no</w:t>
      </w:r>
      <w:r w:rsidRPr="00B53A16">
        <w:rPr>
          <w:rFonts w:asciiTheme="majorBidi" w:hAnsiTheme="majorBidi"/>
          <w:b/>
          <w:bCs/>
          <w:color w:val="auto"/>
        </w:rPr>
        <w:t xml:space="preserve"> significant relationship between</w:t>
      </w:r>
      <w:r>
        <w:rPr>
          <w:rFonts w:asciiTheme="majorBidi" w:hAnsiTheme="majorBidi"/>
          <w:b/>
          <w:bCs/>
          <w:color w:val="auto"/>
        </w:rPr>
        <w:t xml:space="preserve"> bank’s operational</w:t>
      </w:r>
      <w:r w:rsidR="00F6034A">
        <w:rPr>
          <w:rFonts w:asciiTheme="majorBidi" w:hAnsiTheme="majorBidi"/>
          <w:b/>
          <w:bCs/>
          <w:color w:val="auto"/>
        </w:rPr>
        <w:t xml:space="preserve"> costs</w:t>
      </w:r>
      <w:r>
        <w:rPr>
          <w:rFonts w:asciiTheme="majorBidi" w:hAnsiTheme="majorBidi"/>
          <w:b/>
          <w:bCs/>
          <w:color w:val="auto"/>
        </w:rPr>
        <w:t xml:space="preserve"> efficiency</w:t>
      </w:r>
      <w:r w:rsidRPr="00B53A16">
        <w:rPr>
          <w:rFonts w:asciiTheme="majorBidi" w:hAnsiTheme="majorBidi"/>
          <w:b/>
          <w:bCs/>
          <w:color w:val="auto"/>
        </w:rPr>
        <w:t xml:space="preserve"> and bank’s profitability.</w:t>
      </w:r>
    </w:p>
    <w:p w:rsidR="00261E49" w:rsidRDefault="002744F3" w:rsidP="00ED7850">
      <w:pPr>
        <w:autoSpaceDE w:val="0"/>
        <w:autoSpaceDN w:val="0"/>
        <w:adjustRightInd w:val="0"/>
        <w:spacing w:after="0" w:line="360" w:lineRule="auto"/>
        <w:jc w:val="both"/>
        <w:rPr>
          <w:rFonts w:asciiTheme="majorBidi" w:hAnsiTheme="majorBidi" w:cstheme="majorBidi"/>
          <w:sz w:val="24"/>
          <w:szCs w:val="24"/>
        </w:rPr>
      </w:pPr>
      <w:r w:rsidRPr="00A87EC1">
        <w:rPr>
          <w:rFonts w:asciiTheme="majorBidi" w:hAnsiTheme="majorBidi" w:cstheme="majorBidi"/>
          <w:sz w:val="24"/>
          <w:szCs w:val="24"/>
        </w:rPr>
        <w:t>To sum up, through the quantitative</w:t>
      </w:r>
      <w:r w:rsidR="00CA6CC7" w:rsidRPr="00A87EC1">
        <w:rPr>
          <w:rFonts w:asciiTheme="majorBidi" w:hAnsiTheme="majorBidi" w:cstheme="majorBidi"/>
          <w:sz w:val="24"/>
          <w:szCs w:val="24"/>
        </w:rPr>
        <w:t xml:space="preserve"> part of the research on the five major Palestinian commercial</w:t>
      </w:r>
      <w:r w:rsidRPr="00A87EC1">
        <w:rPr>
          <w:rFonts w:asciiTheme="majorBidi" w:hAnsiTheme="majorBidi" w:cstheme="majorBidi"/>
          <w:sz w:val="24"/>
          <w:szCs w:val="24"/>
        </w:rPr>
        <w:t xml:space="preserve"> </w:t>
      </w:r>
      <w:r w:rsidR="005E42A2">
        <w:rPr>
          <w:rFonts w:asciiTheme="majorBidi" w:hAnsiTheme="majorBidi" w:cstheme="majorBidi"/>
          <w:sz w:val="24"/>
          <w:szCs w:val="24"/>
        </w:rPr>
        <w:t xml:space="preserve">sample </w:t>
      </w:r>
      <w:r w:rsidRPr="00A87EC1">
        <w:rPr>
          <w:rFonts w:asciiTheme="majorBidi" w:hAnsiTheme="majorBidi" w:cstheme="majorBidi"/>
          <w:sz w:val="24"/>
          <w:szCs w:val="24"/>
        </w:rPr>
        <w:t>banks,</w:t>
      </w:r>
      <w:r w:rsidR="005E42A2">
        <w:rPr>
          <w:rFonts w:asciiTheme="majorBidi" w:hAnsiTheme="majorBidi" w:cstheme="majorBidi"/>
          <w:sz w:val="24"/>
          <w:szCs w:val="24"/>
        </w:rPr>
        <w:t xml:space="preserve"> it</w:t>
      </w:r>
      <w:r w:rsidR="00CA6CC7" w:rsidRPr="00A87EC1">
        <w:rPr>
          <w:rFonts w:asciiTheme="majorBidi" w:hAnsiTheme="majorBidi" w:cstheme="majorBidi"/>
          <w:sz w:val="24"/>
          <w:szCs w:val="24"/>
        </w:rPr>
        <w:t xml:space="preserve"> found that</w:t>
      </w:r>
      <w:r w:rsidR="005E42A2">
        <w:rPr>
          <w:rFonts w:asciiTheme="majorBidi" w:hAnsiTheme="majorBidi" w:cstheme="majorBidi"/>
          <w:sz w:val="24"/>
          <w:szCs w:val="24"/>
        </w:rPr>
        <w:t xml:space="preserve"> </w:t>
      </w:r>
      <w:r w:rsidR="00974F73">
        <w:rPr>
          <w:rFonts w:asciiTheme="majorBidi" w:hAnsiTheme="majorBidi" w:cstheme="majorBidi"/>
          <w:sz w:val="24"/>
          <w:szCs w:val="24"/>
        </w:rPr>
        <w:t>all sample banks</w:t>
      </w:r>
      <w:r w:rsidR="005E42A2">
        <w:rPr>
          <w:rFonts w:asciiTheme="majorBidi" w:hAnsiTheme="majorBidi" w:cstheme="majorBidi"/>
          <w:sz w:val="24"/>
          <w:szCs w:val="24"/>
        </w:rPr>
        <w:t xml:space="preserve"> had</w:t>
      </w:r>
      <w:r w:rsidR="00CA6CC7" w:rsidRPr="00A87EC1">
        <w:rPr>
          <w:rFonts w:asciiTheme="majorBidi" w:hAnsiTheme="majorBidi" w:cstheme="majorBidi"/>
          <w:sz w:val="24"/>
          <w:szCs w:val="24"/>
        </w:rPr>
        <w:t xml:space="preserve"> followed the simil</w:t>
      </w:r>
      <w:r w:rsidR="005E42A2">
        <w:rPr>
          <w:rFonts w:asciiTheme="majorBidi" w:hAnsiTheme="majorBidi" w:cstheme="majorBidi"/>
          <w:sz w:val="24"/>
          <w:szCs w:val="24"/>
        </w:rPr>
        <w:t xml:space="preserve">ar decreasing trend in </w:t>
      </w:r>
      <w:r w:rsidR="00CA6CC7" w:rsidRPr="00A87EC1">
        <w:rPr>
          <w:rFonts w:asciiTheme="majorBidi" w:hAnsiTheme="majorBidi" w:cstheme="majorBidi"/>
          <w:sz w:val="24"/>
          <w:szCs w:val="24"/>
        </w:rPr>
        <w:t xml:space="preserve"> ROA and ROE</w:t>
      </w:r>
      <w:r w:rsidR="005E42A2">
        <w:rPr>
          <w:rFonts w:asciiTheme="majorBidi" w:hAnsiTheme="majorBidi" w:cstheme="majorBidi"/>
          <w:sz w:val="24"/>
          <w:szCs w:val="24"/>
        </w:rPr>
        <w:t xml:space="preserve">, as profitability measures in the last three years in particular, </w:t>
      </w:r>
      <w:r w:rsidR="00CA6CC7" w:rsidRPr="00A87EC1">
        <w:rPr>
          <w:rFonts w:asciiTheme="majorBidi" w:hAnsiTheme="majorBidi" w:cstheme="majorBidi"/>
          <w:sz w:val="24"/>
          <w:szCs w:val="24"/>
        </w:rPr>
        <w:t>on which it indicates a weak profitability performance and less than industry</w:t>
      </w:r>
      <w:r w:rsidR="00A87EC1" w:rsidRPr="00A87EC1">
        <w:rPr>
          <w:rFonts w:asciiTheme="majorBidi" w:hAnsiTheme="majorBidi" w:cstheme="majorBidi"/>
          <w:sz w:val="24"/>
          <w:szCs w:val="24"/>
        </w:rPr>
        <w:t xml:space="preserve"> standards except for bank of Palestine (BOP) which done well enough in the last three years and meet the i</w:t>
      </w:r>
      <w:r w:rsidR="00B876A4">
        <w:rPr>
          <w:rFonts w:asciiTheme="majorBidi" w:hAnsiTheme="majorBidi" w:cstheme="majorBidi"/>
          <w:sz w:val="24"/>
          <w:szCs w:val="24"/>
        </w:rPr>
        <w:t>nternational industry standards, this could be due to its size (the largest local bank).</w:t>
      </w:r>
      <w:r w:rsidR="00581E71">
        <w:rPr>
          <w:rFonts w:asciiTheme="majorBidi" w:hAnsiTheme="majorBidi" w:cstheme="majorBidi"/>
          <w:sz w:val="24"/>
          <w:szCs w:val="24"/>
        </w:rPr>
        <w:t xml:space="preserve"> </w:t>
      </w:r>
      <w:r w:rsidR="00B876A4">
        <w:rPr>
          <w:rFonts w:asciiTheme="majorBidi" w:hAnsiTheme="majorBidi" w:cstheme="majorBidi"/>
          <w:sz w:val="24"/>
          <w:szCs w:val="24"/>
        </w:rPr>
        <w:t xml:space="preserve">Despite, </w:t>
      </w:r>
      <w:r w:rsidR="00B876A4" w:rsidRPr="00A87EC1">
        <w:rPr>
          <w:rFonts w:asciiTheme="majorBidi" w:hAnsiTheme="majorBidi" w:cstheme="majorBidi"/>
          <w:sz w:val="24"/>
          <w:szCs w:val="24"/>
        </w:rPr>
        <w:t>the</w:t>
      </w:r>
      <w:r w:rsidR="00581E71">
        <w:rPr>
          <w:rFonts w:asciiTheme="majorBidi" w:hAnsiTheme="majorBidi" w:cstheme="majorBidi"/>
          <w:sz w:val="24"/>
          <w:szCs w:val="24"/>
        </w:rPr>
        <w:t xml:space="preserve"> decreasing of Nonperforming L</w:t>
      </w:r>
      <w:r w:rsidR="00C9314E">
        <w:rPr>
          <w:rFonts w:asciiTheme="majorBidi" w:hAnsiTheme="majorBidi" w:cstheme="majorBidi"/>
          <w:sz w:val="24"/>
          <w:szCs w:val="24"/>
        </w:rPr>
        <w:t>oans (NPLR)</w:t>
      </w:r>
      <w:r w:rsidR="00A87EC1" w:rsidRPr="00A87EC1">
        <w:rPr>
          <w:rFonts w:asciiTheme="majorBidi" w:hAnsiTheme="majorBidi" w:cstheme="majorBidi"/>
          <w:sz w:val="24"/>
          <w:szCs w:val="24"/>
        </w:rPr>
        <w:t xml:space="preserve"> and</w:t>
      </w:r>
      <w:r w:rsidR="00581E71">
        <w:rPr>
          <w:rFonts w:asciiTheme="majorBidi" w:hAnsiTheme="majorBidi" w:cstheme="majorBidi"/>
          <w:sz w:val="24"/>
          <w:szCs w:val="24"/>
        </w:rPr>
        <w:t xml:space="preserve"> Loan Loss P</w:t>
      </w:r>
      <w:r w:rsidR="00C9314E">
        <w:rPr>
          <w:rFonts w:asciiTheme="majorBidi" w:hAnsiTheme="majorBidi" w:cstheme="majorBidi"/>
          <w:sz w:val="24"/>
          <w:szCs w:val="24"/>
        </w:rPr>
        <w:t>rovisions(</w:t>
      </w:r>
      <w:r w:rsidR="00A87EC1" w:rsidRPr="00A87EC1">
        <w:rPr>
          <w:rFonts w:asciiTheme="majorBidi" w:hAnsiTheme="majorBidi" w:cstheme="majorBidi"/>
          <w:sz w:val="24"/>
          <w:szCs w:val="24"/>
        </w:rPr>
        <w:t>LLPI</w:t>
      </w:r>
      <w:r w:rsidR="00C9314E">
        <w:rPr>
          <w:rFonts w:asciiTheme="majorBidi" w:hAnsiTheme="majorBidi" w:cstheme="majorBidi"/>
          <w:sz w:val="24"/>
          <w:szCs w:val="24"/>
        </w:rPr>
        <w:t>)</w:t>
      </w:r>
      <w:r w:rsidR="00581E71">
        <w:rPr>
          <w:rFonts w:asciiTheme="majorBidi" w:hAnsiTheme="majorBidi" w:cstheme="majorBidi"/>
          <w:sz w:val="24"/>
          <w:szCs w:val="24"/>
        </w:rPr>
        <w:t xml:space="preserve"> Ratios for</w:t>
      </w:r>
      <w:r w:rsidR="00A87EC1" w:rsidRPr="00A87EC1">
        <w:rPr>
          <w:rFonts w:asciiTheme="majorBidi" w:hAnsiTheme="majorBidi" w:cstheme="majorBidi"/>
          <w:sz w:val="24"/>
          <w:szCs w:val="24"/>
        </w:rPr>
        <w:t xml:space="preserve"> all banks</w:t>
      </w:r>
      <w:r w:rsidR="00581E71">
        <w:rPr>
          <w:rFonts w:asciiTheme="majorBidi" w:hAnsiTheme="majorBidi" w:cstheme="majorBidi"/>
          <w:sz w:val="24"/>
          <w:szCs w:val="24"/>
        </w:rPr>
        <w:t>,</w:t>
      </w:r>
      <w:r w:rsidR="00A87EC1" w:rsidRPr="00A87EC1">
        <w:rPr>
          <w:rFonts w:asciiTheme="majorBidi" w:hAnsiTheme="majorBidi" w:cstheme="majorBidi"/>
          <w:sz w:val="24"/>
          <w:szCs w:val="24"/>
        </w:rPr>
        <w:t xml:space="preserve"> </w:t>
      </w:r>
      <w:r w:rsidR="00B876A4">
        <w:rPr>
          <w:rFonts w:asciiTheme="majorBidi" w:hAnsiTheme="majorBidi" w:cstheme="majorBidi"/>
          <w:sz w:val="24"/>
          <w:szCs w:val="24"/>
        </w:rPr>
        <w:t xml:space="preserve">which </w:t>
      </w:r>
      <w:r w:rsidR="00581E71" w:rsidRPr="00A87EC1">
        <w:rPr>
          <w:rFonts w:asciiTheme="majorBidi" w:hAnsiTheme="majorBidi" w:cstheme="majorBidi"/>
          <w:sz w:val="24"/>
          <w:szCs w:val="24"/>
        </w:rPr>
        <w:t>impli</w:t>
      </w:r>
      <w:r w:rsidR="00581E71">
        <w:rPr>
          <w:rFonts w:asciiTheme="majorBidi" w:hAnsiTheme="majorBidi" w:cstheme="majorBidi"/>
          <w:sz w:val="24"/>
          <w:szCs w:val="24"/>
        </w:rPr>
        <w:t>ed</w:t>
      </w:r>
      <w:r w:rsidR="00A87EC1" w:rsidRPr="00A87EC1">
        <w:rPr>
          <w:rFonts w:asciiTheme="majorBidi" w:hAnsiTheme="majorBidi" w:cstheme="majorBidi"/>
          <w:sz w:val="24"/>
          <w:szCs w:val="24"/>
        </w:rPr>
        <w:t xml:space="preserve"> improved</w:t>
      </w:r>
      <w:r w:rsidR="00581E71">
        <w:rPr>
          <w:rFonts w:asciiTheme="majorBidi" w:hAnsiTheme="majorBidi" w:cstheme="majorBidi"/>
          <w:sz w:val="24"/>
          <w:szCs w:val="24"/>
        </w:rPr>
        <w:t xml:space="preserve"> control of N</w:t>
      </w:r>
      <w:r w:rsidR="00A87EC1">
        <w:rPr>
          <w:rFonts w:asciiTheme="majorBidi" w:hAnsiTheme="majorBidi" w:cstheme="majorBidi"/>
          <w:sz w:val="24"/>
          <w:szCs w:val="24"/>
        </w:rPr>
        <w:t>onpe</w:t>
      </w:r>
      <w:r w:rsidR="00581E71">
        <w:rPr>
          <w:rFonts w:asciiTheme="majorBidi" w:hAnsiTheme="majorBidi" w:cstheme="majorBidi"/>
          <w:sz w:val="24"/>
          <w:szCs w:val="24"/>
        </w:rPr>
        <w:t>rforming Loans (C</w:t>
      </w:r>
      <w:r w:rsidR="00B876A4">
        <w:rPr>
          <w:rFonts w:asciiTheme="majorBidi" w:hAnsiTheme="majorBidi" w:cstheme="majorBidi"/>
          <w:sz w:val="24"/>
          <w:szCs w:val="24"/>
        </w:rPr>
        <w:t>red</w:t>
      </w:r>
      <w:r w:rsidR="00581E71">
        <w:rPr>
          <w:rFonts w:asciiTheme="majorBidi" w:hAnsiTheme="majorBidi" w:cstheme="majorBidi"/>
          <w:sz w:val="24"/>
          <w:szCs w:val="24"/>
        </w:rPr>
        <w:t>it Q</w:t>
      </w:r>
      <w:r w:rsidR="00B876A4">
        <w:rPr>
          <w:rFonts w:asciiTheme="majorBidi" w:hAnsiTheme="majorBidi" w:cstheme="majorBidi"/>
          <w:sz w:val="24"/>
          <w:szCs w:val="24"/>
        </w:rPr>
        <w:t>uality), still</w:t>
      </w:r>
      <w:r w:rsidR="00C9314E">
        <w:rPr>
          <w:rFonts w:asciiTheme="majorBidi" w:hAnsiTheme="majorBidi" w:cstheme="majorBidi"/>
          <w:sz w:val="24"/>
          <w:szCs w:val="24"/>
        </w:rPr>
        <w:t xml:space="preserve"> the mean score of</w:t>
      </w:r>
      <w:r w:rsidR="00187297">
        <w:rPr>
          <w:rFonts w:asciiTheme="majorBidi" w:hAnsiTheme="majorBidi" w:cstheme="majorBidi"/>
          <w:sz w:val="24"/>
          <w:szCs w:val="24"/>
        </w:rPr>
        <w:t xml:space="preserve"> NPLR ratio (10.5%)</w:t>
      </w:r>
      <w:r w:rsidR="00C9314E">
        <w:rPr>
          <w:rFonts w:asciiTheme="majorBidi" w:hAnsiTheme="majorBidi" w:cstheme="majorBidi"/>
          <w:sz w:val="24"/>
          <w:szCs w:val="24"/>
        </w:rPr>
        <w:t xml:space="preserve"> for sample banks</w:t>
      </w:r>
      <w:r w:rsidR="00187297">
        <w:rPr>
          <w:rFonts w:asciiTheme="majorBidi" w:hAnsiTheme="majorBidi" w:cstheme="majorBidi"/>
          <w:sz w:val="24"/>
          <w:szCs w:val="24"/>
        </w:rPr>
        <w:t xml:space="preserve"> higher than the industry standards (3%). </w:t>
      </w:r>
      <w:r w:rsidR="00A87EC1">
        <w:rPr>
          <w:rFonts w:asciiTheme="majorBidi" w:hAnsiTheme="majorBidi" w:cstheme="majorBidi"/>
          <w:sz w:val="24"/>
          <w:szCs w:val="24"/>
        </w:rPr>
        <w:t xml:space="preserve"> According to </w:t>
      </w:r>
      <w:r w:rsidR="00581E71">
        <w:rPr>
          <w:rFonts w:asciiTheme="majorBidi" w:hAnsiTheme="majorBidi" w:cstheme="majorBidi"/>
          <w:sz w:val="24"/>
          <w:szCs w:val="24"/>
        </w:rPr>
        <w:t>Operational E</w:t>
      </w:r>
      <w:r w:rsidR="00870E57">
        <w:rPr>
          <w:rFonts w:asciiTheme="majorBidi" w:hAnsiTheme="majorBidi" w:cstheme="majorBidi"/>
          <w:sz w:val="24"/>
          <w:szCs w:val="24"/>
        </w:rPr>
        <w:t>fficiency</w:t>
      </w:r>
      <w:r w:rsidR="00581E71">
        <w:rPr>
          <w:rFonts w:asciiTheme="majorBidi" w:hAnsiTheme="majorBidi" w:cstheme="majorBidi"/>
          <w:sz w:val="24"/>
          <w:szCs w:val="24"/>
        </w:rPr>
        <w:t xml:space="preserve"> which</w:t>
      </w:r>
      <w:r w:rsidR="00870E57">
        <w:rPr>
          <w:rFonts w:asciiTheme="majorBidi" w:hAnsiTheme="majorBidi" w:cstheme="majorBidi"/>
          <w:sz w:val="24"/>
          <w:szCs w:val="24"/>
        </w:rPr>
        <w:t xml:space="preserve"> measured by OPNI ratio, </w:t>
      </w:r>
      <w:r w:rsidR="00870E57" w:rsidRPr="00870E57">
        <w:rPr>
          <w:rFonts w:asciiTheme="majorBidi" w:hAnsiTheme="majorBidi" w:cstheme="majorBidi"/>
          <w:sz w:val="24"/>
          <w:szCs w:val="24"/>
        </w:rPr>
        <w:t>i</w:t>
      </w:r>
      <w:r w:rsidR="00870E57">
        <w:rPr>
          <w:rFonts w:asciiTheme="majorBidi" w:hAnsiTheme="majorBidi" w:cstheme="majorBidi"/>
          <w:sz w:val="24"/>
          <w:szCs w:val="24"/>
        </w:rPr>
        <w:t>t is confirmed that the five sample banks</w:t>
      </w:r>
      <w:r w:rsidR="00B876A4">
        <w:rPr>
          <w:rFonts w:asciiTheme="majorBidi" w:hAnsiTheme="majorBidi" w:cstheme="majorBidi"/>
          <w:sz w:val="24"/>
          <w:szCs w:val="24"/>
        </w:rPr>
        <w:t xml:space="preserve"> </w:t>
      </w:r>
      <w:r w:rsidR="00B876A4">
        <w:rPr>
          <w:rFonts w:asciiTheme="majorBidi" w:hAnsiTheme="majorBidi" w:cstheme="majorBidi"/>
          <w:sz w:val="24"/>
          <w:szCs w:val="24"/>
        </w:rPr>
        <w:lastRenderedPageBreak/>
        <w:t>ratios</w:t>
      </w:r>
      <w:r w:rsidR="00870E57">
        <w:rPr>
          <w:rFonts w:asciiTheme="majorBidi" w:hAnsiTheme="majorBidi" w:cstheme="majorBidi"/>
          <w:sz w:val="24"/>
          <w:szCs w:val="24"/>
        </w:rPr>
        <w:t xml:space="preserve"> are higher than the international standards and had increasing trend related to this aspect. Banks</w:t>
      </w:r>
      <w:r w:rsidR="004C551B">
        <w:rPr>
          <w:rFonts w:asciiTheme="majorBidi" w:hAnsiTheme="majorBidi" w:cstheme="majorBidi"/>
          <w:sz w:val="24"/>
          <w:szCs w:val="24"/>
        </w:rPr>
        <w:t xml:space="preserve"> should </w:t>
      </w:r>
      <w:r w:rsidR="00870E57">
        <w:rPr>
          <w:rFonts w:asciiTheme="majorBidi" w:hAnsiTheme="majorBidi" w:cstheme="majorBidi"/>
          <w:sz w:val="24"/>
          <w:szCs w:val="24"/>
        </w:rPr>
        <w:t>have more control on their operational expenses</w:t>
      </w:r>
      <w:r w:rsidR="00B876A4">
        <w:rPr>
          <w:rFonts w:asciiTheme="majorBidi" w:hAnsiTheme="majorBidi" w:cstheme="majorBidi"/>
          <w:sz w:val="24"/>
          <w:szCs w:val="24"/>
        </w:rPr>
        <w:t xml:space="preserve"> to improve their profitability.</w:t>
      </w:r>
      <w:r w:rsidR="00C9314E">
        <w:rPr>
          <w:rFonts w:asciiTheme="majorBidi" w:hAnsiTheme="majorBidi" w:cstheme="majorBidi"/>
          <w:sz w:val="24"/>
          <w:szCs w:val="24"/>
        </w:rPr>
        <w:t xml:space="preserve"> Finally, despite the</w:t>
      </w:r>
      <w:r w:rsidR="00581E71">
        <w:rPr>
          <w:rFonts w:asciiTheme="majorBidi" w:hAnsiTheme="majorBidi" w:cstheme="majorBidi"/>
          <w:sz w:val="24"/>
          <w:szCs w:val="24"/>
        </w:rPr>
        <w:t xml:space="preserve"> positive relationship between Noninterest I</w:t>
      </w:r>
      <w:r w:rsidR="00C9314E">
        <w:rPr>
          <w:rFonts w:asciiTheme="majorBidi" w:hAnsiTheme="majorBidi" w:cstheme="majorBidi"/>
          <w:sz w:val="24"/>
          <w:szCs w:val="24"/>
        </w:rPr>
        <w:t>ncome and banks profitability, the NID</w:t>
      </w:r>
      <w:r w:rsidR="00581E71">
        <w:rPr>
          <w:rFonts w:asciiTheme="majorBidi" w:hAnsiTheme="majorBidi" w:cstheme="majorBidi"/>
          <w:sz w:val="24"/>
          <w:szCs w:val="24"/>
        </w:rPr>
        <w:t>R ratio had declining trend in t</w:t>
      </w:r>
      <w:r w:rsidR="00C9314E">
        <w:rPr>
          <w:rFonts w:asciiTheme="majorBidi" w:hAnsiTheme="majorBidi" w:cstheme="majorBidi"/>
          <w:sz w:val="24"/>
          <w:szCs w:val="24"/>
        </w:rPr>
        <w:t>he past three years.</w:t>
      </w:r>
    </w:p>
    <w:p w:rsidR="00FA18F3" w:rsidRDefault="00FA18F3" w:rsidP="00FA18F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In ROA model, the results showed</w:t>
      </w:r>
      <w:r w:rsidRPr="0084436E">
        <w:rPr>
          <w:rFonts w:asciiTheme="majorBidi" w:hAnsiTheme="majorBidi" w:cstheme="majorBidi"/>
          <w:sz w:val="24"/>
          <w:szCs w:val="24"/>
        </w:rPr>
        <w:t xml:space="preserve"> that</w:t>
      </w:r>
      <w:r>
        <w:rPr>
          <w:rFonts w:asciiTheme="majorBidi" w:hAnsiTheme="majorBidi" w:cstheme="majorBidi"/>
          <w:sz w:val="24"/>
          <w:szCs w:val="24"/>
        </w:rPr>
        <w:t xml:space="preserve"> Nonperforming loans Ratio (NPLR), Capital A</w:t>
      </w:r>
      <w:r w:rsidRPr="0084436E">
        <w:rPr>
          <w:rFonts w:asciiTheme="majorBidi" w:hAnsiTheme="majorBidi" w:cstheme="majorBidi"/>
          <w:sz w:val="24"/>
          <w:szCs w:val="24"/>
        </w:rPr>
        <w:t>dequa</w:t>
      </w:r>
      <w:r>
        <w:rPr>
          <w:rFonts w:asciiTheme="majorBidi" w:hAnsiTheme="majorBidi" w:cstheme="majorBidi"/>
          <w:sz w:val="24"/>
          <w:szCs w:val="24"/>
        </w:rPr>
        <w:t>cy R</w:t>
      </w:r>
      <w:r w:rsidRPr="0084436E">
        <w:rPr>
          <w:rFonts w:asciiTheme="majorBidi" w:hAnsiTheme="majorBidi" w:cstheme="majorBidi"/>
          <w:sz w:val="24"/>
          <w:szCs w:val="24"/>
        </w:rPr>
        <w:t>atio</w:t>
      </w:r>
      <w:r>
        <w:rPr>
          <w:rFonts w:asciiTheme="majorBidi" w:hAnsiTheme="majorBidi" w:cstheme="majorBidi"/>
          <w:sz w:val="24"/>
          <w:szCs w:val="24"/>
        </w:rPr>
        <w:t xml:space="preserve"> (EQTA)</w:t>
      </w:r>
      <w:r w:rsidRPr="0084436E">
        <w:rPr>
          <w:rFonts w:asciiTheme="majorBidi" w:hAnsiTheme="majorBidi" w:cstheme="majorBidi"/>
          <w:sz w:val="24"/>
          <w:szCs w:val="24"/>
        </w:rPr>
        <w:t>,</w:t>
      </w:r>
      <w:r>
        <w:rPr>
          <w:rFonts w:asciiTheme="majorBidi" w:hAnsiTheme="majorBidi" w:cstheme="majorBidi"/>
          <w:sz w:val="24"/>
          <w:szCs w:val="24"/>
        </w:rPr>
        <w:t xml:space="preserve"> Loan Loss Provision Ratio (LLPI) and Operational Efficiency Ratio (OPNI) had negative significant effect on ROA, profitability </w:t>
      </w:r>
      <w:r w:rsidR="006952A8">
        <w:rPr>
          <w:rFonts w:asciiTheme="majorBidi" w:hAnsiTheme="majorBidi" w:cstheme="majorBidi"/>
          <w:sz w:val="24"/>
          <w:szCs w:val="24"/>
        </w:rPr>
        <w:t>measurement while</w:t>
      </w:r>
      <w:r>
        <w:rPr>
          <w:rFonts w:asciiTheme="majorBidi" w:hAnsiTheme="majorBidi" w:cstheme="majorBidi"/>
          <w:sz w:val="24"/>
          <w:szCs w:val="24"/>
        </w:rPr>
        <w:t xml:space="preserve"> Income Diversification Ratio (NIDR) was not significant with positive effect.</w:t>
      </w:r>
      <w:r w:rsidRPr="0084436E">
        <w:rPr>
          <w:rFonts w:asciiTheme="majorBidi" w:hAnsiTheme="majorBidi" w:cstheme="majorBidi"/>
          <w:sz w:val="24"/>
          <w:szCs w:val="24"/>
        </w:rPr>
        <w:t xml:space="preserve"> For that reason, </w:t>
      </w:r>
      <w:r>
        <w:rPr>
          <w:rFonts w:asciiTheme="majorBidi" w:hAnsiTheme="majorBidi" w:cstheme="majorBidi"/>
          <w:sz w:val="24"/>
          <w:szCs w:val="24"/>
        </w:rPr>
        <w:t>hypothesis 1, 2, 3 and 5 have been rejected</w:t>
      </w:r>
      <w:r w:rsidRPr="0084436E">
        <w:rPr>
          <w:rFonts w:asciiTheme="majorBidi" w:hAnsiTheme="majorBidi" w:cstheme="majorBidi"/>
          <w:sz w:val="24"/>
          <w:szCs w:val="24"/>
        </w:rPr>
        <w:t xml:space="preserve"> and</w:t>
      </w:r>
      <w:r>
        <w:rPr>
          <w:rFonts w:asciiTheme="majorBidi" w:hAnsiTheme="majorBidi" w:cstheme="majorBidi"/>
          <w:sz w:val="24"/>
          <w:szCs w:val="24"/>
        </w:rPr>
        <w:t xml:space="preserve"> accept the alternative one which </w:t>
      </w:r>
      <w:r w:rsidRPr="0084436E">
        <w:rPr>
          <w:rFonts w:asciiTheme="majorBidi" w:hAnsiTheme="majorBidi" w:cstheme="majorBidi"/>
          <w:sz w:val="24"/>
          <w:szCs w:val="24"/>
        </w:rPr>
        <w:t>have a s</w:t>
      </w:r>
      <w:r>
        <w:rPr>
          <w:rFonts w:asciiTheme="majorBidi" w:hAnsiTheme="majorBidi" w:cstheme="majorBidi"/>
          <w:sz w:val="24"/>
          <w:szCs w:val="24"/>
        </w:rPr>
        <w:t>ignificant impact on profitability</w:t>
      </w:r>
      <w:r w:rsidRPr="0084436E">
        <w:rPr>
          <w:rFonts w:asciiTheme="majorBidi" w:hAnsiTheme="majorBidi" w:cstheme="majorBidi"/>
          <w:sz w:val="24"/>
          <w:szCs w:val="24"/>
        </w:rPr>
        <w:t xml:space="preserve"> of the commercial </w:t>
      </w:r>
      <w:r>
        <w:rPr>
          <w:rFonts w:asciiTheme="majorBidi" w:hAnsiTheme="majorBidi" w:cstheme="majorBidi"/>
          <w:sz w:val="24"/>
          <w:szCs w:val="24"/>
        </w:rPr>
        <w:t>banks in Palestine. While hypothesis 4 has been accepted, since it was not significant with bank's profitability (ROA).</w:t>
      </w:r>
    </w:p>
    <w:p w:rsidR="00502966" w:rsidRDefault="00FA18F3" w:rsidP="00BD5CF9">
      <w:pPr>
        <w:autoSpaceDE w:val="0"/>
        <w:autoSpaceDN w:val="0"/>
        <w:adjustRightInd w:val="0"/>
        <w:spacing w:after="0" w:line="360" w:lineRule="auto"/>
        <w:jc w:val="both"/>
        <w:rPr>
          <w:rFonts w:asciiTheme="majorBidi" w:hAnsiTheme="majorBidi" w:cstheme="majorBidi"/>
          <w:sz w:val="24"/>
          <w:szCs w:val="24"/>
        </w:rPr>
      </w:pPr>
      <w:r w:rsidRPr="00A34684">
        <w:rPr>
          <w:rFonts w:asciiTheme="majorBidi" w:hAnsiTheme="majorBidi" w:cstheme="majorBidi"/>
          <w:sz w:val="24"/>
          <w:szCs w:val="24"/>
        </w:rPr>
        <w:t>In ROE model</w:t>
      </w:r>
      <w:r>
        <w:rPr>
          <w:rFonts w:asciiTheme="majorBidi" w:hAnsiTheme="majorBidi" w:cstheme="majorBidi"/>
          <w:sz w:val="24"/>
          <w:szCs w:val="24"/>
        </w:rPr>
        <w:t>, i</w:t>
      </w:r>
      <w:r w:rsidRPr="00A34684">
        <w:rPr>
          <w:rFonts w:asciiTheme="majorBidi" w:hAnsiTheme="majorBidi" w:cstheme="majorBidi"/>
          <w:sz w:val="24"/>
          <w:szCs w:val="24"/>
        </w:rPr>
        <w:t>nteresting but quite s</w:t>
      </w:r>
      <w:r>
        <w:rPr>
          <w:rFonts w:asciiTheme="majorBidi" w:hAnsiTheme="majorBidi" w:cstheme="majorBidi"/>
          <w:sz w:val="24"/>
          <w:szCs w:val="24"/>
        </w:rPr>
        <w:t xml:space="preserve">urprising </w:t>
      </w:r>
      <w:r w:rsidR="006952A8">
        <w:rPr>
          <w:rFonts w:asciiTheme="majorBidi" w:hAnsiTheme="majorBidi" w:cstheme="majorBidi"/>
          <w:sz w:val="24"/>
          <w:szCs w:val="24"/>
        </w:rPr>
        <w:t xml:space="preserve">results </w:t>
      </w:r>
      <w:r w:rsidR="006952A8" w:rsidRPr="00A34684">
        <w:rPr>
          <w:rFonts w:asciiTheme="majorBidi" w:hAnsiTheme="majorBidi" w:cstheme="majorBidi"/>
          <w:sz w:val="24"/>
          <w:szCs w:val="24"/>
        </w:rPr>
        <w:t>showed</w:t>
      </w:r>
      <w:r w:rsidRPr="00A34684">
        <w:rPr>
          <w:rFonts w:asciiTheme="majorBidi" w:hAnsiTheme="majorBidi" w:cstheme="majorBidi"/>
          <w:sz w:val="24"/>
          <w:szCs w:val="24"/>
        </w:rPr>
        <w:t xml:space="preserve"> that all variables</w:t>
      </w:r>
      <w:r>
        <w:rPr>
          <w:rFonts w:asciiTheme="majorBidi" w:hAnsiTheme="majorBidi" w:cstheme="majorBidi"/>
          <w:sz w:val="24"/>
          <w:szCs w:val="24"/>
        </w:rPr>
        <w:t>, Non-performing Loan R</w:t>
      </w:r>
      <w:r w:rsidRPr="00A34684">
        <w:rPr>
          <w:rFonts w:asciiTheme="majorBidi" w:hAnsiTheme="majorBidi" w:cstheme="majorBidi"/>
          <w:sz w:val="24"/>
          <w:szCs w:val="24"/>
        </w:rPr>
        <w:t>atio (NPLR),</w:t>
      </w:r>
      <w:r>
        <w:rPr>
          <w:rFonts w:asciiTheme="majorBidi" w:hAnsiTheme="majorBidi" w:cstheme="majorBidi"/>
          <w:sz w:val="24"/>
          <w:szCs w:val="24"/>
        </w:rPr>
        <w:t xml:space="preserve"> Capital Adequacy Ratio (EQTA), Loan Loss Provision Ratio (LLPI), Non-interest Ratio (NIDR) and Operational Efficiency R</w:t>
      </w:r>
      <w:r w:rsidRPr="00A34684">
        <w:rPr>
          <w:rFonts w:asciiTheme="majorBidi" w:hAnsiTheme="majorBidi" w:cstheme="majorBidi"/>
          <w:sz w:val="24"/>
          <w:szCs w:val="24"/>
        </w:rPr>
        <w:t>atio (OPNI</w:t>
      </w:r>
      <w:r w:rsidR="006952A8" w:rsidRPr="00A34684">
        <w:rPr>
          <w:rFonts w:asciiTheme="majorBidi" w:hAnsiTheme="majorBidi" w:cstheme="majorBidi"/>
          <w:sz w:val="24"/>
          <w:szCs w:val="24"/>
        </w:rPr>
        <w:t>) were</w:t>
      </w:r>
      <w:r w:rsidRPr="00A34684">
        <w:rPr>
          <w:rFonts w:asciiTheme="majorBidi" w:hAnsiTheme="majorBidi" w:cstheme="majorBidi"/>
          <w:sz w:val="24"/>
          <w:szCs w:val="24"/>
        </w:rPr>
        <w:t xml:space="preserve"> not significant. Therefore, the null hypothesis 1, 2, 3, 4 and 5 has been accepted.</w:t>
      </w: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BD5CF9" w:rsidRPr="00BD5CF9" w:rsidRDefault="00BD5CF9" w:rsidP="00BD5CF9">
      <w:pPr>
        <w:autoSpaceDE w:val="0"/>
        <w:autoSpaceDN w:val="0"/>
        <w:adjustRightInd w:val="0"/>
        <w:spacing w:after="0" w:line="360" w:lineRule="auto"/>
        <w:jc w:val="both"/>
        <w:rPr>
          <w:rFonts w:asciiTheme="majorBidi" w:hAnsiTheme="majorBidi" w:cstheme="majorBidi"/>
          <w:sz w:val="24"/>
          <w:szCs w:val="24"/>
        </w:rPr>
      </w:pPr>
    </w:p>
    <w:p w:rsidR="00502966" w:rsidRDefault="00502966" w:rsidP="00623134">
      <w:pPr>
        <w:autoSpaceDE w:val="0"/>
        <w:autoSpaceDN w:val="0"/>
        <w:adjustRightInd w:val="0"/>
        <w:spacing w:after="0" w:line="360" w:lineRule="auto"/>
        <w:jc w:val="both"/>
        <w:rPr>
          <w:rFonts w:asciiTheme="majorBidi" w:hAnsiTheme="majorBidi" w:cstheme="majorBidi"/>
          <w:b/>
          <w:bCs/>
          <w:sz w:val="24"/>
          <w:szCs w:val="24"/>
        </w:rPr>
      </w:pPr>
    </w:p>
    <w:p w:rsidR="004B2466" w:rsidRPr="00623134" w:rsidRDefault="00177679" w:rsidP="0062313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4.4</w:t>
      </w:r>
      <w:r w:rsidR="00E10023">
        <w:rPr>
          <w:rFonts w:asciiTheme="majorBidi" w:hAnsiTheme="majorBidi" w:cstheme="majorBidi"/>
          <w:b/>
          <w:bCs/>
          <w:sz w:val="24"/>
          <w:szCs w:val="24"/>
        </w:rPr>
        <w:t xml:space="preserve"> </w:t>
      </w:r>
      <w:r w:rsidR="004B2466" w:rsidRPr="004805E0">
        <w:rPr>
          <w:rFonts w:asciiTheme="majorBidi" w:hAnsiTheme="majorBidi" w:cstheme="majorBidi"/>
          <w:b/>
          <w:bCs/>
          <w:sz w:val="24"/>
          <w:szCs w:val="24"/>
        </w:rPr>
        <w:t xml:space="preserve">Credit Risk Management Techniques and Practices at </w:t>
      </w:r>
      <w:r w:rsidR="002302DA">
        <w:rPr>
          <w:rFonts w:asciiTheme="majorBidi" w:hAnsiTheme="majorBidi" w:cstheme="majorBidi"/>
          <w:b/>
          <w:bCs/>
          <w:sz w:val="24"/>
          <w:szCs w:val="24"/>
        </w:rPr>
        <w:t>Palestinian Commercial B</w:t>
      </w:r>
      <w:r w:rsidR="004B2466">
        <w:rPr>
          <w:rFonts w:asciiTheme="majorBidi" w:hAnsiTheme="majorBidi" w:cstheme="majorBidi"/>
          <w:b/>
          <w:bCs/>
          <w:sz w:val="24"/>
          <w:szCs w:val="24"/>
        </w:rPr>
        <w:t>anks</w:t>
      </w:r>
    </w:p>
    <w:p w:rsidR="004B2466" w:rsidRDefault="004B2466" w:rsidP="00ED785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After getting a full</w:t>
      </w:r>
      <w:r w:rsidRPr="004805E0">
        <w:rPr>
          <w:rFonts w:asciiTheme="majorBidi" w:hAnsiTheme="majorBidi" w:cstheme="majorBidi"/>
          <w:sz w:val="24"/>
          <w:szCs w:val="24"/>
        </w:rPr>
        <w:t xml:space="preserve"> general picture of the credit risk management performance in t</w:t>
      </w:r>
      <w:r>
        <w:rPr>
          <w:rFonts w:asciiTheme="majorBidi" w:hAnsiTheme="majorBidi" w:cstheme="majorBidi"/>
          <w:sz w:val="24"/>
          <w:szCs w:val="24"/>
        </w:rPr>
        <w:t>he majo</w:t>
      </w:r>
      <w:r w:rsidR="00CB256E">
        <w:rPr>
          <w:rFonts w:asciiTheme="majorBidi" w:hAnsiTheme="majorBidi" w:cstheme="majorBidi"/>
          <w:sz w:val="24"/>
          <w:szCs w:val="24"/>
        </w:rPr>
        <w:t>r Palestinian commercial banks from 2005 –</w:t>
      </w:r>
      <w:r>
        <w:rPr>
          <w:rFonts w:asciiTheme="majorBidi" w:hAnsiTheme="majorBidi" w:cstheme="majorBidi"/>
          <w:sz w:val="24"/>
          <w:szCs w:val="24"/>
        </w:rPr>
        <w:t xml:space="preserve"> 2011</w:t>
      </w:r>
      <w:r w:rsidR="00CB256E">
        <w:rPr>
          <w:rFonts w:asciiTheme="majorBidi" w:hAnsiTheme="majorBidi" w:cstheme="majorBidi"/>
          <w:sz w:val="24"/>
          <w:szCs w:val="24"/>
        </w:rPr>
        <w:t>,</w:t>
      </w:r>
      <w:r w:rsidR="00E45312">
        <w:rPr>
          <w:rFonts w:asciiTheme="majorBidi" w:hAnsiTheme="majorBidi" w:cstheme="majorBidi"/>
          <w:sz w:val="24"/>
          <w:szCs w:val="24"/>
        </w:rPr>
        <w:t xml:space="preserve"> by analyzing how different aspects of</w:t>
      </w:r>
      <w:r w:rsidR="004C7197">
        <w:rPr>
          <w:rFonts w:asciiTheme="majorBidi" w:hAnsiTheme="majorBidi" w:cstheme="majorBidi"/>
          <w:sz w:val="24"/>
          <w:szCs w:val="24"/>
        </w:rPr>
        <w:t xml:space="preserve"> credi</w:t>
      </w:r>
      <w:r w:rsidR="00CB256E">
        <w:rPr>
          <w:rFonts w:asciiTheme="majorBidi" w:hAnsiTheme="majorBidi" w:cstheme="majorBidi"/>
          <w:sz w:val="24"/>
          <w:szCs w:val="24"/>
        </w:rPr>
        <w:t>t risk policies</w:t>
      </w:r>
      <w:r w:rsidR="0067466B">
        <w:rPr>
          <w:rFonts w:asciiTheme="majorBidi" w:hAnsiTheme="majorBidi" w:cstheme="majorBidi"/>
          <w:sz w:val="24"/>
          <w:szCs w:val="24"/>
        </w:rPr>
        <w:t xml:space="preserve"> adopted by</w:t>
      </w:r>
      <w:r w:rsidR="004C7197">
        <w:rPr>
          <w:rFonts w:asciiTheme="majorBidi" w:hAnsiTheme="majorBidi" w:cstheme="majorBidi"/>
          <w:sz w:val="24"/>
          <w:szCs w:val="24"/>
        </w:rPr>
        <w:t xml:space="preserve"> banks</w:t>
      </w:r>
      <w:r w:rsidR="00CB256E">
        <w:rPr>
          <w:rFonts w:asciiTheme="majorBidi" w:hAnsiTheme="majorBidi" w:cstheme="majorBidi"/>
          <w:sz w:val="24"/>
          <w:szCs w:val="24"/>
        </w:rPr>
        <w:t xml:space="preserve"> </w:t>
      </w:r>
      <w:r w:rsidR="00C9314E">
        <w:rPr>
          <w:rFonts w:asciiTheme="majorBidi" w:hAnsiTheme="majorBidi" w:cstheme="majorBidi"/>
          <w:sz w:val="24"/>
          <w:szCs w:val="24"/>
        </w:rPr>
        <w:t>which</w:t>
      </w:r>
      <w:r w:rsidR="004C7197">
        <w:rPr>
          <w:rFonts w:asciiTheme="majorBidi" w:hAnsiTheme="majorBidi" w:cstheme="majorBidi"/>
          <w:sz w:val="24"/>
          <w:szCs w:val="24"/>
        </w:rPr>
        <w:t xml:space="preserve"> affect</w:t>
      </w:r>
      <w:r w:rsidR="00CB256E">
        <w:rPr>
          <w:rFonts w:asciiTheme="majorBidi" w:hAnsiTheme="majorBidi" w:cstheme="majorBidi"/>
          <w:sz w:val="24"/>
          <w:szCs w:val="24"/>
        </w:rPr>
        <w:t>ed</w:t>
      </w:r>
      <w:r w:rsidR="004C7197">
        <w:rPr>
          <w:rFonts w:asciiTheme="majorBidi" w:hAnsiTheme="majorBidi" w:cstheme="majorBidi"/>
          <w:sz w:val="24"/>
          <w:szCs w:val="24"/>
        </w:rPr>
        <w:t xml:space="preserve"> their profitability,</w:t>
      </w:r>
      <w:r w:rsidRPr="004805E0">
        <w:rPr>
          <w:rFonts w:asciiTheme="majorBidi" w:hAnsiTheme="majorBidi" w:cstheme="majorBidi"/>
          <w:sz w:val="24"/>
          <w:szCs w:val="24"/>
        </w:rPr>
        <w:t xml:space="preserve"> it moves to the stage for analyzing </w:t>
      </w:r>
      <w:r>
        <w:rPr>
          <w:rFonts w:asciiTheme="majorBidi" w:hAnsiTheme="majorBidi" w:cstheme="majorBidi"/>
          <w:sz w:val="24"/>
          <w:szCs w:val="24"/>
        </w:rPr>
        <w:t>the current policies and practices of the</w:t>
      </w:r>
      <w:r w:rsidRPr="004805E0">
        <w:rPr>
          <w:rFonts w:asciiTheme="majorBidi" w:hAnsiTheme="majorBidi" w:cstheme="majorBidi"/>
          <w:sz w:val="24"/>
          <w:szCs w:val="24"/>
        </w:rPr>
        <w:t xml:space="preserve"> sample banks, which is p</w:t>
      </w:r>
      <w:r>
        <w:rPr>
          <w:rFonts w:asciiTheme="majorBidi" w:hAnsiTheme="majorBidi" w:cstheme="majorBidi"/>
          <w:sz w:val="24"/>
          <w:szCs w:val="24"/>
        </w:rPr>
        <w:t>articularly important to get an</w:t>
      </w:r>
      <w:r w:rsidR="00D564A3">
        <w:rPr>
          <w:rFonts w:asciiTheme="majorBidi" w:hAnsiTheme="majorBidi" w:cstheme="majorBidi"/>
          <w:sz w:val="24"/>
          <w:szCs w:val="24"/>
        </w:rPr>
        <w:t xml:space="preserve"> </w:t>
      </w:r>
      <w:r w:rsidRPr="004805E0">
        <w:rPr>
          <w:rFonts w:asciiTheme="majorBidi" w:hAnsiTheme="majorBidi" w:cstheme="majorBidi"/>
          <w:sz w:val="24"/>
          <w:szCs w:val="24"/>
        </w:rPr>
        <w:t>understanding</w:t>
      </w:r>
      <w:r>
        <w:rPr>
          <w:rFonts w:asciiTheme="majorBidi" w:hAnsiTheme="majorBidi" w:cstheme="majorBidi"/>
          <w:sz w:val="24"/>
          <w:szCs w:val="24"/>
        </w:rPr>
        <w:t xml:space="preserve"> on how Palestinian commercial</w:t>
      </w:r>
      <w:r w:rsidRPr="004805E0">
        <w:rPr>
          <w:rFonts w:asciiTheme="majorBidi" w:hAnsiTheme="majorBidi" w:cstheme="majorBidi"/>
          <w:sz w:val="24"/>
          <w:szCs w:val="24"/>
        </w:rPr>
        <w:t xml:space="preserve"> banks ma</w:t>
      </w:r>
      <w:r w:rsidR="000775B0">
        <w:rPr>
          <w:rFonts w:asciiTheme="majorBidi" w:hAnsiTheme="majorBidi" w:cstheme="majorBidi"/>
          <w:sz w:val="24"/>
          <w:szCs w:val="24"/>
        </w:rPr>
        <w:t>nage their credit risk.</w:t>
      </w:r>
      <w:r>
        <w:rPr>
          <w:rFonts w:asciiTheme="majorBidi" w:hAnsiTheme="majorBidi" w:cstheme="majorBidi"/>
          <w:sz w:val="24"/>
          <w:szCs w:val="24"/>
        </w:rPr>
        <w:t xml:space="preserve"> Before we go further in detailing the policies adopted by Palestinian commercial banks in managing their credit risk, we should have </w:t>
      </w:r>
      <w:r w:rsidRPr="00455125">
        <w:rPr>
          <w:rFonts w:asciiTheme="majorBidi" w:hAnsiTheme="majorBidi" w:cstheme="majorBidi"/>
          <w:sz w:val="24"/>
          <w:szCs w:val="24"/>
        </w:rPr>
        <w:t>a brief explanation</w:t>
      </w:r>
      <w:r>
        <w:rPr>
          <w:rFonts w:asciiTheme="majorBidi" w:hAnsiTheme="majorBidi" w:cstheme="majorBidi"/>
          <w:sz w:val="24"/>
          <w:szCs w:val="24"/>
        </w:rPr>
        <w:t xml:space="preserve"> of </w:t>
      </w:r>
      <w:r w:rsidRPr="00455125">
        <w:rPr>
          <w:rFonts w:asciiTheme="majorBidi" w:hAnsiTheme="majorBidi" w:cstheme="majorBidi"/>
          <w:sz w:val="24"/>
          <w:szCs w:val="24"/>
        </w:rPr>
        <w:t>the consultative pap</w:t>
      </w:r>
      <w:r>
        <w:rPr>
          <w:rFonts w:asciiTheme="majorBidi" w:hAnsiTheme="majorBidi" w:cstheme="majorBidi"/>
          <w:sz w:val="24"/>
          <w:szCs w:val="24"/>
        </w:rPr>
        <w:t>ers issued by Basel (2000</w:t>
      </w:r>
      <w:r w:rsidR="006952A8" w:rsidRPr="00455125">
        <w:rPr>
          <w:rFonts w:asciiTheme="majorBidi" w:hAnsiTheme="majorBidi" w:cstheme="majorBidi"/>
          <w:sz w:val="24"/>
          <w:szCs w:val="24"/>
        </w:rPr>
        <w:t>)</w:t>
      </w:r>
      <w:r w:rsidR="006952A8">
        <w:rPr>
          <w:rFonts w:asciiTheme="majorBidi" w:hAnsiTheme="majorBidi" w:cstheme="majorBidi"/>
          <w:sz w:val="24"/>
          <w:szCs w:val="24"/>
        </w:rPr>
        <w:t xml:space="preserve"> that</w:t>
      </w:r>
      <w:r>
        <w:rPr>
          <w:rFonts w:asciiTheme="majorBidi" w:hAnsiTheme="majorBidi" w:cstheme="majorBidi"/>
          <w:sz w:val="24"/>
          <w:szCs w:val="24"/>
        </w:rPr>
        <w:t xml:space="preserve"> shows </w:t>
      </w:r>
      <w:r w:rsidRPr="00455125">
        <w:rPr>
          <w:rFonts w:asciiTheme="majorBidi" w:hAnsiTheme="majorBidi" w:cstheme="majorBidi"/>
          <w:sz w:val="24"/>
          <w:szCs w:val="24"/>
        </w:rPr>
        <w:t>the princ</w:t>
      </w:r>
      <w:r>
        <w:rPr>
          <w:rFonts w:asciiTheme="majorBidi" w:hAnsiTheme="majorBidi" w:cstheme="majorBidi"/>
          <w:sz w:val="24"/>
          <w:szCs w:val="24"/>
        </w:rPr>
        <w:t xml:space="preserve">iples on credit risk management. </w:t>
      </w:r>
      <w:r w:rsidRPr="00455125">
        <w:rPr>
          <w:rFonts w:asciiTheme="majorBidi" w:hAnsiTheme="majorBidi" w:cstheme="majorBidi"/>
          <w:sz w:val="24"/>
          <w:szCs w:val="24"/>
        </w:rPr>
        <w:t>A brief explanation will be given below.</w:t>
      </w:r>
      <w:r w:rsidR="0067466B">
        <w:rPr>
          <w:rFonts w:asciiTheme="majorBidi" w:hAnsiTheme="majorBidi" w:cstheme="majorBidi"/>
          <w:sz w:val="24"/>
          <w:szCs w:val="24"/>
        </w:rPr>
        <w:t xml:space="preserve"> Because of unavailable data for AL-rafah bank, it will be excluded from the analysis in next part of this study. </w:t>
      </w:r>
    </w:p>
    <w:p w:rsidR="004B2466" w:rsidRPr="00D04533" w:rsidRDefault="000775B0" w:rsidP="000775B0">
      <w:pPr>
        <w:spacing w:line="360" w:lineRule="auto"/>
        <w:contextualSpacing/>
        <w:rPr>
          <w:rFonts w:asciiTheme="majorBidi" w:hAnsiTheme="majorBidi" w:cstheme="majorBidi"/>
          <w:i/>
          <w:iCs/>
          <w:color w:val="000000" w:themeColor="text1"/>
          <w:sz w:val="24"/>
          <w:szCs w:val="24"/>
        </w:rPr>
      </w:pPr>
      <w:r w:rsidRPr="00D04533">
        <w:rPr>
          <w:rFonts w:asciiTheme="majorBidi" w:hAnsiTheme="majorBidi" w:cstheme="majorBidi"/>
          <w:i/>
          <w:iCs/>
          <w:color w:val="000000" w:themeColor="text1"/>
          <w:sz w:val="24"/>
          <w:szCs w:val="24"/>
        </w:rPr>
        <w:t>-</w:t>
      </w:r>
      <w:r w:rsidR="004B2466" w:rsidRPr="00D04533">
        <w:rPr>
          <w:rFonts w:asciiTheme="majorBidi" w:hAnsiTheme="majorBidi" w:cstheme="majorBidi"/>
          <w:i/>
          <w:iCs/>
          <w:color w:val="000000" w:themeColor="text1"/>
          <w:sz w:val="24"/>
          <w:szCs w:val="24"/>
        </w:rPr>
        <w:t>Best Practices for Credit Risk Disclosure</w:t>
      </w:r>
    </w:p>
    <w:p w:rsidR="004B2466" w:rsidRPr="00D04533" w:rsidRDefault="004B2466" w:rsidP="00AC6435">
      <w:pPr>
        <w:spacing w:line="360" w:lineRule="auto"/>
        <w:contextualSpacing/>
        <w:jc w:val="both"/>
        <w:rPr>
          <w:rFonts w:asciiTheme="majorBidi" w:hAnsiTheme="majorBidi" w:cstheme="majorBidi"/>
          <w:color w:val="000000" w:themeColor="text1"/>
          <w:sz w:val="24"/>
          <w:szCs w:val="24"/>
        </w:rPr>
      </w:pPr>
      <w:r w:rsidRPr="00D04533">
        <w:rPr>
          <w:rFonts w:asciiTheme="majorBidi" w:hAnsiTheme="majorBidi" w:cstheme="majorBidi"/>
          <w:color w:val="000000" w:themeColor="text1"/>
          <w:sz w:val="24"/>
          <w:szCs w:val="24"/>
        </w:rPr>
        <w:t>The Ba</w:t>
      </w:r>
      <w:r w:rsidR="00D04533">
        <w:rPr>
          <w:rFonts w:asciiTheme="majorBidi" w:hAnsiTheme="majorBidi" w:cstheme="majorBidi"/>
          <w:color w:val="000000" w:themeColor="text1"/>
          <w:sz w:val="24"/>
          <w:szCs w:val="24"/>
        </w:rPr>
        <w:t xml:space="preserve">sel paper issued in </w:t>
      </w:r>
      <w:r w:rsidR="006952A8">
        <w:rPr>
          <w:rFonts w:asciiTheme="majorBidi" w:hAnsiTheme="majorBidi" w:cstheme="majorBidi"/>
          <w:color w:val="000000" w:themeColor="text1"/>
          <w:sz w:val="24"/>
          <w:szCs w:val="24"/>
        </w:rPr>
        <w:t>2000 provided</w:t>
      </w:r>
      <w:r w:rsidRPr="00D04533">
        <w:rPr>
          <w:rFonts w:asciiTheme="majorBidi" w:hAnsiTheme="majorBidi" w:cstheme="majorBidi"/>
          <w:color w:val="000000" w:themeColor="text1"/>
          <w:sz w:val="24"/>
          <w:szCs w:val="24"/>
        </w:rPr>
        <w:t xml:space="preserve"> sufficient guidance for banks to reveal informatio</w:t>
      </w:r>
      <w:r w:rsidR="00AC6435" w:rsidRPr="00D04533">
        <w:rPr>
          <w:rFonts w:asciiTheme="majorBidi" w:hAnsiTheme="majorBidi" w:cstheme="majorBidi"/>
          <w:color w:val="000000" w:themeColor="text1"/>
          <w:sz w:val="24"/>
          <w:szCs w:val="24"/>
        </w:rPr>
        <w:t>n that can facilitate reliable</w:t>
      </w:r>
      <w:r w:rsidRPr="00D04533">
        <w:rPr>
          <w:rFonts w:asciiTheme="majorBidi" w:hAnsiTheme="majorBidi" w:cstheme="majorBidi"/>
          <w:color w:val="000000" w:themeColor="text1"/>
          <w:sz w:val="24"/>
          <w:szCs w:val="24"/>
        </w:rPr>
        <w:t xml:space="preserve"> assessments of their credit risk profiles. And that is the reason why the contents in this pa</w:t>
      </w:r>
      <w:r w:rsidR="00D04533">
        <w:rPr>
          <w:rFonts w:asciiTheme="majorBidi" w:hAnsiTheme="majorBidi" w:cstheme="majorBidi"/>
          <w:color w:val="000000" w:themeColor="text1"/>
          <w:sz w:val="24"/>
          <w:szCs w:val="24"/>
        </w:rPr>
        <w:t>per are important and significant</w:t>
      </w:r>
      <w:r w:rsidRPr="00D04533">
        <w:rPr>
          <w:rFonts w:asciiTheme="majorBidi" w:hAnsiTheme="majorBidi" w:cstheme="majorBidi"/>
          <w:color w:val="000000" w:themeColor="text1"/>
          <w:sz w:val="24"/>
          <w:szCs w:val="24"/>
        </w:rPr>
        <w:t xml:space="preserve"> to this research</w:t>
      </w:r>
      <w:r w:rsidR="00AC6435" w:rsidRPr="00D04533">
        <w:rPr>
          <w:rFonts w:asciiTheme="majorBidi" w:hAnsiTheme="majorBidi" w:cstheme="majorBidi"/>
          <w:color w:val="000000" w:themeColor="text1"/>
          <w:sz w:val="24"/>
          <w:szCs w:val="24"/>
        </w:rPr>
        <w:t>.</w:t>
      </w:r>
    </w:p>
    <w:p w:rsidR="00827880" w:rsidRDefault="000775B0" w:rsidP="00827880">
      <w:pPr>
        <w:contextualSpacing/>
        <w:rPr>
          <w:rFonts w:asciiTheme="majorBidi" w:hAnsiTheme="majorBidi" w:cstheme="majorBidi"/>
          <w:i/>
          <w:iCs/>
          <w:color w:val="000000" w:themeColor="text1"/>
          <w:sz w:val="24"/>
          <w:szCs w:val="24"/>
        </w:rPr>
      </w:pPr>
      <w:r w:rsidRPr="00D04533">
        <w:rPr>
          <w:rFonts w:asciiTheme="majorBidi" w:hAnsiTheme="majorBidi" w:cstheme="majorBidi"/>
          <w:b/>
          <w:bCs/>
          <w:i/>
          <w:iCs/>
          <w:color w:val="000000" w:themeColor="text1"/>
          <w:sz w:val="24"/>
          <w:szCs w:val="24"/>
        </w:rPr>
        <w:t>-</w:t>
      </w:r>
      <w:r w:rsidR="004B2466" w:rsidRPr="00D04533">
        <w:rPr>
          <w:rFonts w:asciiTheme="majorBidi" w:hAnsiTheme="majorBidi" w:cstheme="majorBidi"/>
          <w:i/>
          <w:iCs/>
          <w:color w:val="000000" w:themeColor="text1"/>
          <w:sz w:val="24"/>
          <w:szCs w:val="24"/>
        </w:rPr>
        <w:t>Recommendations on Credit Exposures</w:t>
      </w:r>
    </w:p>
    <w:p w:rsidR="004B2466" w:rsidRPr="00827880" w:rsidRDefault="004B2466" w:rsidP="00827880">
      <w:pPr>
        <w:spacing w:line="360" w:lineRule="auto"/>
        <w:contextualSpacing/>
        <w:jc w:val="both"/>
        <w:rPr>
          <w:rFonts w:asciiTheme="majorBidi" w:hAnsiTheme="majorBidi" w:cstheme="majorBidi"/>
          <w:b/>
          <w:bCs/>
          <w:i/>
          <w:iCs/>
          <w:color w:val="000000" w:themeColor="text1"/>
          <w:sz w:val="24"/>
          <w:szCs w:val="24"/>
        </w:rPr>
      </w:pPr>
      <w:r w:rsidRPr="00827880">
        <w:rPr>
          <w:rFonts w:asciiTheme="majorBidi" w:hAnsiTheme="majorBidi" w:cstheme="majorBidi"/>
          <w:color w:val="000000" w:themeColor="text1"/>
          <w:sz w:val="24"/>
          <w:szCs w:val="24"/>
        </w:rPr>
        <w:t xml:space="preserve">The recommendations on Credit exposures put </w:t>
      </w:r>
      <w:r w:rsidR="00D04533" w:rsidRPr="00827880">
        <w:rPr>
          <w:rFonts w:asciiTheme="majorBidi" w:hAnsiTheme="majorBidi" w:cstheme="majorBidi"/>
          <w:color w:val="000000" w:themeColor="text1"/>
          <w:sz w:val="24"/>
          <w:szCs w:val="24"/>
        </w:rPr>
        <w:t xml:space="preserve">assurance </w:t>
      </w:r>
      <w:r w:rsidRPr="00827880">
        <w:rPr>
          <w:rFonts w:asciiTheme="majorBidi" w:hAnsiTheme="majorBidi" w:cstheme="majorBidi"/>
          <w:color w:val="000000" w:themeColor="text1"/>
          <w:sz w:val="24"/>
          <w:szCs w:val="24"/>
        </w:rPr>
        <w:t>on three areas---</w:t>
      </w:r>
      <w:r w:rsidR="005211FC" w:rsidRPr="00827880">
        <w:rPr>
          <w:rFonts w:asciiTheme="majorBidi" w:hAnsiTheme="majorBidi" w:cstheme="majorBidi"/>
          <w:color w:val="000000" w:themeColor="text1"/>
          <w:sz w:val="24"/>
          <w:szCs w:val="24"/>
        </w:rPr>
        <w:t xml:space="preserve"> credit </w:t>
      </w:r>
      <w:r w:rsidR="006952A8" w:rsidRPr="00827880">
        <w:rPr>
          <w:rFonts w:asciiTheme="majorBidi" w:hAnsiTheme="majorBidi" w:cstheme="majorBidi"/>
          <w:color w:val="000000" w:themeColor="text1"/>
          <w:sz w:val="24"/>
          <w:szCs w:val="24"/>
        </w:rPr>
        <w:t>concentration, segment</w:t>
      </w:r>
      <w:r w:rsidR="005211FC" w:rsidRPr="00827880">
        <w:rPr>
          <w:rFonts w:asciiTheme="majorBidi" w:hAnsiTheme="majorBidi" w:cstheme="majorBidi"/>
          <w:color w:val="000000" w:themeColor="text1"/>
          <w:sz w:val="24"/>
          <w:szCs w:val="24"/>
        </w:rPr>
        <w:t xml:space="preserve"> exposure information </w:t>
      </w:r>
      <w:r w:rsidRPr="00827880">
        <w:rPr>
          <w:rFonts w:asciiTheme="majorBidi" w:hAnsiTheme="majorBidi" w:cstheme="majorBidi"/>
          <w:color w:val="000000" w:themeColor="text1"/>
          <w:sz w:val="24"/>
          <w:szCs w:val="24"/>
        </w:rPr>
        <w:t>and ris</w:t>
      </w:r>
      <w:r w:rsidR="00D04533" w:rsidRPr="00827880">
        <w:rPr>
          <w:rFonts w:asciiTheme="majorBidi" w:hAnsiTheme="majorBidi" w:cstheme="majorBidi"/>
          <w:color w:val="000000" w:themeColor="text1"/>
          <w:sz w:val="24"/>
          <w:szCs w:val="24"/>
        </w:rPr>
        <w:t xml:space="preserve">k mitigation techniques. </w:t>
      </w:r>
      <w:r w:rsidR="005211FC" w:rsidRPr="00827880">
        <w:rPr>
          <w:rFonts w:asciiTheme="majorBidi" w:hAnsiTheme="majorBidi" w:cstheme="majorBidi"/>
          <w:color w:val="000000" w:themeColor="text1"/>
          <w:sz w:val="24"/>
          <w:szCs w:val="24"/>
        </w:rPr>
        <w:t xml:space="preserve">Information about significant credit exposure concentrations should be revealed; </w:t>
      </w:r>
      <w:r w:rsidR="00D04533" w:rsidRPr="00827880">
        <w:rPr>
          <w:rFonts w:asciiTheme="majorBidi" w:hAnsiTheme="majorBidi" w:cstheme="majorBidi"/>
          <w:color w:val="000000" w:themeColor="text1"/>
          <w:sz w:val="24"/>
          <w:szCs w:val="24"/>
        </w:rPr>
        <w:t>S</w:t>
      </w:r>
      <w:r w:rsidRPr="00827880">
        <w:rPr>
          <w:rFonts w:asciiTheme="majorBidi" w:hAnsiTheme="majorBidi" w:cstheme="majorBidi"/>
          <w:color w:val="000000" w:themeColor="text1"/>
          <w:sz w:val="24"/>
          <w:szCs w:val="24"/>
        </w:rPr>
        <w:t>egmen</w:t>
      </w:r>
      <w:r w:rsidR="00D04533" w:rsidRPr="00827880">
        <w:rPr>
          <w:rFonts w:asciiTheme="majorBidi" w:hAnsiTheme="majorBidi" w:cstheme="majorBidi"/>
          <w:color w:val="000000" w:themeColor="text1"/>
          <w:sz w:val="24"/>
          <w:szCs w:val="24"/>
        </w:rPr>
        <w:t xml:space="preserve">t exposure information requires bank's </w:t>
      </w:r>
      <w:r w:rsidRPr="00827880">
        <w:rPr>
          <w:rFonts w:asciiTheme="majorBidi" w:hAnsiTheme="majorBidi" w:cstheme="majorBidi"/>
          <w:color w:val="000000" w:themeColor="text1"/>
          <w:sz w:val="24"/>
          <w:szCs w:val="24"/>
        </w:rPr>
        <w:t>credit e</w:t>
      </w:r>
      <w:r w:rsidR="00D04533" w:rsidRPr="00827880">
        <w:rPr>
          <w:rFonts w:asciiTheme="majorBidi" w:hAnsiTheme="majorBidi" w:cstheme="majorBidi"/>
          <w:color w:val="000000" w:themeColor="text1"/>
          <w:sz w:val="24"/>
          <w:szCs w:val="24"/>
        </w:rPr>
        <w:t>xposures in to</w:t>
      </w:r>
      <w:r w:rsidR="00AC6435" w:rsidRPr="00827880">
        <w:rPr>
          <w:rFonts w:asciiTheme="majorBidi" w:hAnsiTheme="majorBidi" w:cstheme="majorBidi"/>
          <w:color w:val="000000" w:themeColor="text1"/>
          <w:sz w:val="24"/>
          <w:szCs w:val="24"/>
        </w:rPr>
        <w:t xml:space="preserve"> be classified</w:t>
      </w:r>
      <w:r w:rsidRPr="00827880">
        <w:rPr>
          <w:rFonts w:asciiTheme="majorBidi" w:hAnsiTheme="majorBidi" w:cstheme="majorBidi"/>
          <w:color w:val="000000" w:themeColor="text1"/>
          <w:sz w:val="24"/>
          <w:szCs w:val="24"/>
        </w:rPr>
        <w:t xml:space="preserve"> according to business line, types of counterparties and </w:t>
      </w:r>
      <w:r w:rsidR="005211FC" w:rsidRPr="00827880">
        <w:rPr>
          <w:rFonts w:asciiTheme="majorBidi" w:hAnsiTheme="majorBidi" w:cstheme="majorBidi"/>
          <w:color w:val="000000" w:themeColor="text1"/>
          <w:sz w:val="24"/>
          <w:szCs w:val="24"/>
        </w:rPr>
        <w:t>geographical areas respectively</w:t>
      </w:r>
      <w:r w:rsidRPr="00827880">
        <w:rPr>
          <w:rFonts w:asciiTheme="majorBidi" w:hAnsiTheme="majorBidi" w:cstheme="majorBidi"/>
          <w:color w:val="000000" w:themeColor="text1"/>
          <w:sz w:val="24"/>
          <w:szCs w:val="24"/>
        </w:rPr>
        <w:t>; while the disclosure about credit mitigation techniques includes the use and effect of collateral, guarantees, credi</w:t>
      </w:r>
      <w:r w:rsidR="00AC6435" w:rsidRPr="00827880">
        <w:rPr>
          <w:rFonts w:asciiTheme="majorBidi" w:hAnsiTheme="majorBidi" w:cstheme="majorBidi"/>
          <w:color w:val="000000" w:themeColor="text1"/>
          <w:sz w:val="24"/>
          <w:szCs w:val="24"/>
        </w:rPr>
        <w:t>t insurance, securitization, netting agreements and credit derivatives.</w:t>
      </w:r>
    </w:p>
    <w:p w:rsidR="00827880" w:rsidRDefault="000775B0" w:rsidP="00827880">
      <w:pPr>
        <w:spacing w:line="360" w:lineRule="auto"/>
        <w:contextualSpacing/>
        <w:jc w:val="both"/>
        <w:rPr>
          <w:rFonts w:asciiTheme="majorBidi" w:hAnsiTheme="majorBidi" w:cstheme="majorBidi"/>
          <w:i/>
          <w:iCs/>
          <w:color w:val="000000" w:themeColor="text1"/>
          <w:sz w:val="24"/>
          <w:szCs w:val="24"/>
        </w:rPr>
      </w:pPr>
      <w:r w:rsidRPr="00827880">
        <w:rPr>
          <w:rFonts w:asciiTheme="majorBidi" w:hAnsiTheme="majorBidi" w:cstheme="majorBidi"/>
          <w:color w:val="000000" w:themeColor="text1"/>
          <w:sz w:val="24"/>
          <w:szCs w:val="24"/>
        </w:rPr>
        <w:t>-</w:t>
      </w:r>
      <w:r w:rsidR="004B2466" w:rsidRPr="00827880">
        <w:rPr>
          <w:rFonts w:asciiTheme="majorBidi" w:hAnsiTheme="majorBidi" w:cstheme="majorBidi"/>
          <w:i/>
          <w:iCs/>
          <w:color w:val="000000" w:themeColor="text1"/>
          <w:sz w:val="24"/>
          <w:szCs w:val="24"/>
        </w:rPr>
        <w:t>Recommendations on Credit Quality</w:t>
      </w:r>
    </w:p>
    <w:p w:rsidR="007A3102" w:rsidRDefault="00AC6435" w:rsidP="007A3102">
      <w:pPr>
        <w:spacing w:line="360" w:lineRule="auto"/>
        <w:contextualSpacing/>
        <w:jc w:val="both"/>
        <w:rPr>
          <w:rFonts w:asciiTheme="majorBidi" w:hAnsiTheme="majorBidi" w:cstheme="majorBidi"/>
          <w:color w:val="000000" w:themeColor="text1"/>
          <w:sz w:val="24"/>
          <w:szCs w:val="24"/>
        </w:rPr>
      </w:pPr>
      <w:r w:rsidRPr="00827880">
        <w:rPr>
          <w:rFonts w:asciiTheme="majorBidi" w:hAnsiTheme="majorBidi" w:cstheme="majorBidi"/>
          <w:color w:val="000000" w:themeColor="text1"/>
          <w:sz w:val="24"/>
          <w:szCs w:val="24"/>
        </w:rPr>
        <w:t>Regarding</w:t>
      </w:r>
      <w:r w:rsidR="004B2466" w:rsidRPr="00827880">
        <w:rPr>
          <w:rFonts w:asciiTheme="majorBidi" w:hAnsiTheme="majorBidi" w:cstheme="majorBidi"/>
          <w:color w:val="000000" w:themeColor="text1"/>
          <w:sz w:val="24"/>
          <w:szCs w:val="24"/>
        </w:rPr>
        <w:t xml:space="preserve"> credit quality, it is suggested that information about a bank’s internal rating process and certain </w:t>
      </w:r>
      <w:r w:rsidR="00C5615D" w:rsidRPr="00827880">
        <w:rPr>
          <w:rFonts w:asciiTheme="majorBidi" w:hAnsiTheme="majorBidi" w:cstheme="majorBidi"/>
          <w:color w:val="000000" w:themeColor="text1"/>
          <w:sz w:val="24"/>
          <w:szCs w:val="24"/>
        </w:rPr>
        <w:t>doubtful assets conditions be mentioned</w:t>
      </w:r>
      <w:r w:rsidR="004B2466" w:rsidRPr="00827880">
        <w:rPr>
          <w:rFonts w:asciiTheme="majorBidi" w:hAnsiTheme="majorBidi" w:cstheme="majorBidi"/>
          <w:color w:val="000000" w:themeColor="text1"/>
          <w:sz w:val="24"/>
          <w:szCs w:val="24"/>
        </w:rPr>
        <w:t>.</w:t>
      </w:r>
      <w:r w:rsidR="007A3102" w:rsidRPr="007A3102">
        <w:rPr>
          <w:rFonts w:asciiTheme="majorBidi" w:hAnsiTheme="majorBidi" w:cstheme="majorBidi"/>
          <w:color w:val="000000" w:themeColor="text1"/>
          <w:sz w:val="24"/>
          <w:szCs w:val="24"/>
        </w:rPr>
        <w:t xml:space="preserve"> </w:t>
      </w:r>
      <w:r w:rsidR="007A3102">
        <w:rPr>
          <w:rFonts w:asciiTheme="majorBidi" w:hAnsiTheme="majorBidi" w:cstheme="majorBidi"/>
          <w:color w:val="000000" w:themeColor="text1"/>
          <w:sz w:val="24"/>
          <w:szCs w:val="24"/>
        </w:rPr>
        <w:t>Credit exposures on which inflows or outflows of cash are stopped and the amounts and changes in allowances should be disclose.</w:t>
      </w:r>
      <w:r w:rsidR="004B2466" w:rsidRPr="00827880">
        <w:rPr>
          <w:rFonts w:asciiTheme="majorBidi" w:hAnsiTheme="majorBidi" w:cstheme="majorBidi"/>
          <w:color w:val="000000" w:themeColor="text1"/>
          <w:sz w:val="24"/>
          <w:szCs w:val="24"/>
        </w:rPr>
        <w:t xml:space="preserve"> </w:t>
      </w:r>
    </w:p>
    <w:p w:rsidR="00827880" w:rsidRDefault="007A3102" w:rsidP="007A3102">
      <w:pPr>
        <w:spacing w:line="360" w:lineRule="auto"/>
        <w:contextualSpacing/>
        <w:jc w:val="both"/>
        <w:rPr>
          <w:rFonts w:asciiTheme="majorBidi" w:hAnsiTheme="majorBidi" w:cstheme="majorBidi"/>
          <w:i/>
          <w:iCs/>
          <w:color w:val="000000" w:themeColor="text1"/>
        </w:rPr>
      </w:pPr>
      <w:r>
        <w:rPr>
          <w:rFonts w:asciiTheme="majorBidi" w:hAnsiTheme="majorBidi" w:cstheme="majorBidi"/>
          <w:i/>
          <w:iCs/>
          <w:color w:val="000000" w:themeColor="text1"/>
        </w:rPr>
        <w:t>-</w:t>
      </w:r>
      <w:r w:rsidR="004B2466" w:rsidRPr="00D04533">
        <w:rPr>
          <w:rFonts w:asciiTheme="majorBidi" w:hAnsiTheme="majorBidi" w:cstheme="majorBidi"/>
          <w:i/>
          <w:iCs/>
          <w:color w:val="000000" w:themeColor="text1"/>
        </w:rPr>
        <w:t xml:space="preserve">Recommendations on Credit Risk Management </w:t>
      </w:r>
    </w:p>
    <w:p w:rsidR="00CB4F20" w:rsidRPr="00502966" w:rsidRDefault="00C5615D" w:rsidP="00502966">
      <w:pPr>
        <w:spacing w:line="360" w:lineRule="auto"/>
        <w:rPr>
          <w:rFonts w:asciiTheme="majorBidi" w:hAnsiTheme="majorBidi" w:cstheme="majorBidi"/>
          <w:color w:val="000000" w:themeColor="text1"/>
          <w:sz w:val="24"/>
          <w:szCs w:val="24"/>
        </w:rPr>
      </w:pPr>
      <w:r w:rsidRPr="007A3102">
        <w:rPr>
          <w:rFonts w:asciiTheme="majorBidi" w:hAnsiTheme="majorBidi" w:cstheme="majorBidi"/>
          <w:color w:val="000000" w:themeColor="text1"/>
          <w:sz w:val="24"/>
          <w:szCs w:val="24"/>
        </w:rPr>
        <w:t xml:space="preserve">Besides the two previous </w:t>
      </w:r>
      <w:r w:rsidR="00827880" w:rsidRPr="007A3102">
        <w:rPr>
          <w:rFonts w:asciiTheme="majorBidi" w:hAnsiTheme="majorBidi" w:cstheme="majorBidi"/>
          <w:color w:val="000000" w:themeColor="text1"/>
          <w:sz w:val="24"/>
          <w:szCs w:val="24"/>
        </w:rPr>
        <w:t xml:space="preserve">aspects, </w:t>
      </w:r>
      <w:r w:rsidR="00064857">
        <w:rPr>
          <w:rFonts w:asciiTheme="majorBidi" w:hAnsiTheme="majorBidi" w:cstheme="majorBidi"/>
          <w:color w:val="000000" w:themeColor="text1"/>
          <w:sz w:val="24"/>
          <w:szCs w:val="24"/>
        </w:rPr>
        <w:t>t</w:t>
      </w:r>
      <w:r w:rsidR="007A3102" w:rsidRPr="007A3102">
        <w:rPr>
          <w:rFonts w:asciiTheme="majorBidi" w:hAnsiTheme="majorBidi" w:cstheme="majorBidi"/>
          <w:color w:val="000000" w:themeColor="text1"/>
          <w:sz w:val="24"/>
          <w:szCs w:val="24"/>
        </w:rPr>
        <w:t xml:space="preserve">he recommendations on credit risk disclosures should </w:t>
      </w:r>
      <w:r w:rsidR="00064857" w:rsidRPr="007A3102">
        <w:rPr>
          <w:rFonts w:asciiTheme="majorBidi" w:hAnsiTheme="majorBidi" w:cstheme="majorBidi"/>
          <w:color w:val="000000" w:themeColor="text1"/>
          <w:sz w:val="24"/>
          <w:szCs w:val="24"/>
        </w:rPr>
        <w:t>include</w:t>
      </w:r>
      <w:r w:rsidR="007A3102" w:rsidRPr="007A3102">
        <w:rPr>
          <w:rFonts w:asciiTheme="majorBidi" w:hAnsiTheme="majorBidi" w:cstheme="majorBidi"/>
          <w:color w:val="000000" w:themeColor="text1"/>
          <w:sz w:val="24"/>
          <w:szCs w:val="24"/>
        </w:rPr>
        <w:t xml:space="preserve"> sources of credit risk and its nature, credit risk management framework, credit scoring </w:t>
      </w:r>
      <w:r w:rsidR="007A3102" w:rsidRPr="007A3102">
        <w:rPr>
          <w:rFonts w:asciiTheme="majorBidi" w:hAnsiTheme="majorBidi" w:cstheme="majorBidi"/>
          <w:color w:val="000000" w:themeColor="text1"/>
          <w:sz w:val="24"/>
          <w:szCs w:val="24"/>
        </w:rPr>
        <w:lastRenderedPageBreak/>
        <w:t xml:space="preserve">techniques, credit rating systems and credit risk policies, practices, techniques for managing credit risk. </w:t>
      </w:r>
      <w:r w:rsidR="004B2466" w:rsidRPr="007A3102">
        <w:rPr>
          <w:rFonts w:asciiTheme="majorBidi" w:hAnsiTheme="majorBidi" w:cstheme="majorBidi"/>
          <w:color w:val="000000" w:themeColor="text1"/>
          <w:sz w:val="24"/>
          <w:szCs w:val="24"/>
        </w:rPr>
        <w:t>By following all of those recommendations, a picture can be drawn on a bank’s credit risk management process, which allows both clear understanding and evaluation.</w:t>
      </w:r>
    </w:p>
    <w:p w:rsidR="00DD36C4" w:rsidRDefault="00177679" w:rsidP="00DD36C4">
      <w:pPr>
        <w:contextualSpacing/>
        <w:rPr>
          <w:rFonts w:asciiTheme="majorBidi" w:hAnsiTheme="majorBidi" w:cstheme="majorBidi"/>
          <w:b/>
          <w:bCs/>
          <w:sz w:val="24"/>
          <w:szCs w:val="24"/>
        </w:rPr>
      </w:pPr>
      <w:r>
        <w:rPr>
          <w:rFonts w:asciiTheme="majorBidi" w:hAnsiTheme="majorBidi" w:cstheme="majorBidi"/>
          <w:b/>
          <w:bCs/>
          <w:sz w:val="24"/>
          <w:szCs w:val="24"/>
        </w:rPr>
        <w:t xml:space="preserve">4.4.1 </w:t>
      </w:r>
      <w:r w:rsidR="00DD36C4" w:rsidRPr="009861DB">
        <w:rPr>
          <w:rFonts w:asciiTheme="majorBidi" w:hAnsiTheme="majorBidi" w:cstheme="majorBidi"/>
          <w:b/>
          <w:bCs/>
          <w:sz w:val="24"/>
          <w:szCs w:val="24"/>
        </w:rPr>
        <w:t>Credit Risk Manageme</w:t>
      </w:r>
      <w:r w:rsidR="00C60FA4">
        <w:rPr>
          <w:rFonts w:asciiTheme="majorBidi" w:hAnsiTheme="majorBidi" w:cstheme="majorBidi"/>
          <w:b/>
          <w:bCs/>
          <w:sz w:val="24"/>
          <w:szCs w:val="24"/>
        </w:rPr>
        <w:t>nt Techniques and Practices at B</w:t>
      </w:r>
      <w:r w:rsidR="00DD36C4" w:rsidRPr="009861DB">
        <w:rPr>
          <w:rFonts w:asciiTheme="majorBidi" w:hAnsiTheme="majorBidi" w:cstheme="majorBidi"/>
          <w:b/>
          <w:bCs/>
          <w:sz w:val="24"/>
          <w:szCs w:val="24"/>
        </w:rPr>
        <w:t>an</w:t>
      </w:r>
      <w:r w:rsidR="005211FC">
        <w:rPr>
          <w:rFonts w:asciiTheme="majorBidi" w:hAnsiTheme="majorBidi" w:cstheme="majorBidi"/>
          <w:b/>
          <w:bCs/>
          <w:sz w:val="24"/>
          <w:szCs w:val="24"/>
        </w:rPr>
        <w:t>k of Palestine (Bo</w:t>
      </w:r>
      <w:r w:rsidR="00721FE5">
        <w:rPr>
          <w:rFonts w:asciiTheme="majorBidi" w:hAnsiTheme="majorBidi" w:cstheme="majorBidi"/>
          <w:b/>
          <w:bCs/>
          <w:sz w:val="24"/>
          <w:szCs w:val="24"/>
        </w:rPr>
        <w:t>P) and Al-Q</w:t>
      </w:r>
      <w:r w:rsidR="00DD36C4">
        <w:rPr>
          <w:rFonts w:asciiTheme="majorBidi" w:hAnsiTheme="majorBidi" w:cstheme="majorBidi"/>
          <w:b/>
          <w:bCs/>
          <w:sz w:val="24"/>
          <w:szCs w:val="24"/>
        </w:rPr>
        <w:t>uds</w:t>
      </w:r>
      <w:r w:rsidR="00DD36C4" w:rsidRPr="009861DB">
        <w:rPr>
          <w:rFonts w:asciiTheme="majorBidi" w:hAnsiTheme="majorBidi" w:cstheme="majorBidi"/>
          <w:b/>
          <w:bCs/>
          <w:sz w:val="24"/>
          <w:szCs w:val="24"/>
        </w:rPr>
        <w:t xml:space="preserve"> bank</w:t>
      </w:r>
    </w:p>
    <w:p w:rsidR="00625006" w:rsidRPr="009861DB" w:rsidRDefault="00625006" w:rsidP="00DD36C4">
      <w:pPr>
        <w:contextualSpacing/>
        <w:rPr>
          <w:rFonts w:asciiTheme="majorBidi" w:hAnsiTheme="majorBidi" w:cstheme="majorBidi"/>
          <w:b/>
          <w:bCs/>
          <w:sz w:val="24"/>
          <w:szCs w:val="24"/>
        </w:rPr>
      </w:pPr>
    </w:p>
    <w:p w:rsidR="00A50FDB" w:rsidRPr="00A50FDB" w:rsidRDefault="00B76F11" w:rsidP="00A50FDB">
      <w:pPr>
        <w:spacing w:line="360" w:lineRule="auto"/>
        <w:contextualSpacing/>
        <w:rPr>
          <w:rFonts w:asciiTheme="majorBidi" w:hAnsiTheme="majorBidi" w:cstheme="majorBidi"/>
          <w:sz w:val="24"/>
          <w:szCs w:val="24"/>
        </w:rPr>
      </w:pPr>
      <w:r w:rsidRPr="00A50FDB">
        <w:rPr>
          <w:rFonts w:asciiTheme="majorBidi" w:hAnsiTheme="majorBidi" w:cstheme="majorBidi"/>
          <w:sz w:val="24"/>
          <w:szCs w:val="24"/>
        </w:rPr>
        <w:t>a. Credit Risk Management Governance</w:t>
      </w:r>
    </w:p>
    <w:p w:rsidR="0033676C" w:rsidRDefault="005211FC" w:rsidP="00525721">
      <w:pPr>
        <w:spacing w:line="360" w:lineRule="auto"/>
        <w:contextualSpacing/>
        <w:jc w:val="both"/>
        <w:rPr>
          <w:rFonts w:asciiTheme="majorBidi" w:hAnsiTheme="majorBidi" w:cstheme="majorBidi"/>
          <w:sz w:val="24"/>
          <w:szCs w:val="24"/>
        </w:rPr>
      </w:pPr>
      <w:r w:rsidRPr="00A50FDB">
        <w:rPr>
          <w:rFonts w:asciiTheme="majorBidi" w:hAnsiTheme="majorBidi" w:cstheme="majorBidi"/>
          <w:sz w:val="24"/>
          <w:szCs w:val="24"/>
        </w:rPr>
        <w:t>Both at BOP and AL-quds bank</w:t>
      </w:r>
      <w:r w:rsidR="00B76F11" w:rsidRPr="00A50FDB">
        <w:rPr>
          <w:rFonts w:asciiTheme="majorBidi" w:hAnsiTheme="majorBidi" w:cstheme="majorBidi"/>
          <w:sz w:val="24"/>
          <w:szCs w:val="24"/>
        </w:rPr>
        <w:t xml:space="preserve">, the risk appetite and philosophy, which indicate the strategic directions, plans and limits on controlling risk, are set by the Board, and there exist various sub-committees </w:t>
      </w:r>
      <w:r w:rsidRPr="00A50FDB">
        <w:rPr>
          <w:rFonts w:asciiTheme="majorBidi" w:hAnsiTheme="majorBidi" w:cstheme="majorBidi"/>
          <w:sz w:val="24"/>
          <w:szCs w:val="24"/>
        </w:rPr>
        <w:t xml:space="preserve">carrying different tasks. </w:t>
      </w:r>
    </w:p>
    <w:p w:rsidR="005020C8" w:rsidRDefault="005211FC" w:rsidP="00525721">
      <w:pPr>
        <w:spacing w:line="360" w:lineRule="auto"/>
        <w:contextualSpacing/>
        <w:jc w:val="both"/>
        <w:rPr>
          <w:rFonts w:asciiTheme="majorBidi" w:hAnsiTheme="majorBidi" w:cstheme="majorBidi"/>
          <w:sz w:val="24"/>
          <w:szCs w:val="24"/>
        </w:rPr>
      </w:pPr>
      <w:r w:rsidRPr="00A50FDB">
        <w:rPr>
          <w:rFonts w:asciiTheme="majorBidi" w:hAnsiTheme="majorBidi" w:cstheme="majorBidi"/>
          <w:sz w:val="24"/>
          <w:szCs w:val="24"/>
        </w:rPr>
        <w:t>At Bo</w:t>
      </w:r>
      <w:r w:rsidR="00B76F11" w:rsidRPr="00A50FDB">
        <w:rPr>
          <w:rFonts w:asciiTheme="majorBidi" w:hAnsiTheme="majorBidi" w:cstheme="majorBidi"/>
          <w:sz w:val="24"/>
          <w:szCs w:val="24"/>
        </w:rPr>
        <w:t>P, the Credit Committee is responsible for credit proposals approval and the delegation of authority to divisional credit committees, and it is supported by the Risk Mana</w:t>
      </w:r>
      <w:r w:rsidR="005020C8">
        <w:rPr>
          <w:rFonts w:asciiTheme="majorBidi" w:hAnsiTheme="majorBidi" w:cstheme="majorBidi"/>
          <w:sz w:val="24"/>
          <w:szCs w:val="24"/>
        </w:rPr>
        <w:t>gement Committee. Besides, the Credit C</w:t>
      </w:r>
      <w:r w:rsidR="00B76F11" w:rsidRPr="00A50FDB">
        <w:rPr>
          <w:rFonts w:asciiTheme="majorBidi" w:hAnsiTheme="majorBidi" w:cstheme="majorBidi"/>
          <w:sz w:val="24"/>
          <w:szCs w:val="24"/>
        </w:rPr>
        <w:t>ommittee is responsible for:</w:t>
      </w:r>
    </w:p>
    <w:p w:rsidR="00B76F11" w:rsidRPr="00A50FDB" w:rsidRDefault="00B76F11" w:rsidP="005020C8">
      <w:pPr>
        <w:spacing w:line="360" w:lineRule="auto"/>
        <w:rPr>
          <w:rFonts w:asciiTheme="majorBidi" w:hAnsiTheme="majorBidi" w:cstheme="majorBidi"/>
          <w:sz w:val="24"/>
          <w:szCs w:val="24"/>
          <w:lang w:bidi="ar-JO"/>
        </w:rPr>
      </w:pPr>
      <w:r w:rsidRPr="00A50FDB">
        <w:rPr>
          <w:rFonts w:asciiTheme="majorBidi" w:hAnsiTheme="majorBidi" w:cstheme="majorBidi"/>
          <w:sz w:val="24"/>
          <w:szCs w:val="24"/>
        </w:rPr>
        <w:t xml:space="preserve"> -</w:t>
      </w:r>
      <w:r w:rsidR="005020C8" w:rsidRPr="005020C8">
        <w:rPr>
          <w:rFonts w:asciiTheme="majorBidi" w:hAnsiTheme="majorBidi" w:cstheme="majorBidi"/>
          <w:sz w:val="24"/>
          <w:szCs w:val="24"/>
          <w:lang w:bidi="ar-JO"/>
        </w:rPr>
        <w:t xml:space="preserve"> </w:t>
      </w:r>
      <w:r w:rsidR="005020C8">
        <w:rPr>
          <w:rFonts w:asciiTheme="majorBidi" w:hAnsiTheme="majorBidi" w:cstheme="majorBidi"/>
          <w:sz w:val="24"/>
          <w:szCs w:val="24"/>
          <w:lang w:bidi="ar-JO"/>
        </w:rPr>
        <w:t xml:space="preserve">Establishing credit policies and credit limits, that should be approved by the board </w:t>
      </w:r>
      <w:r w:rsidR="00102CC7">
        <w:rPr>
          <w:rFonts w:asciiTheme="majorBidi" w:hAnsiTheme="majorBidi" w:cstheme="majorBidi"/>
          <w:sz w:val="24"/>
          <w:szCs w:val="24"/>
          <w:lang w:bidi="ar-JO"/>
        </w:rPr>
        <w:t>and comply</w:t>
      </w:r>
      <w:r w:rsidR="005020C8">
        <w:rPr>
          <w:rFonts w:asciiTheme="majorBidi" w:hAnsiTheme="majorBidi" w:cstheme="majorBidi"/>
          <w:sz w:val="24"/>
          <w:szCs w:val="24"/>
          <w:lang w:bidi="ar-JO"/>
        </w:rPr>
        <w:t xml:space="preserve"> to financial laws and PMA instructions. Also the committee is responsible to review and update credit policies in response to any change in the political and economical environment</w:t>
      </w:r>
      <w:r w:rsidRPr="00A50FDB">
        <w:rPr>
          <w:rFonts w:asciiTheme="majorBidi" w:hAnsiTheme="majorBidi" w:cstheme="majorBidi"/>
          <w:sz w:val="24"/>
          <w:szCs w:val="24"/>
        </w:rPr>
        <w:t xml:space="preserve"> </w:t>
      </w:r>
      <w:r w:rsidR="005020C8">
        <w:rPr>
          <w:rFonts w:asciiTheme="majorBidi" w:hAnsiTheme="majorBidi" w:cstheme="majorBidi"/>
          <w:sz w:val="24"/>
          <w:szCs w:val="24"/>
        </w:rPr>
        <w:t xml:space="preserve">(BoP Annual report, 2012). </w:t>
      </w:r>
    </w:p>
    <w:p w:rsidR="00B76F11" w:rsidRDefault="00B76F11" w:rsidP="00BD5CF9">
      <w:pPr>
        <w:spacing w:line="360" w:lineRule="auto"/>
        <w:contextualSpacing/>
        <w:jc w:val="both"/>
        <w:rPr>
          <w:rFonts w:asciiTheme="majorBidi" w:hAnsiTheme="majorBidi" w:cstheme="majorBidi"/>
          <w:sz w:val="24"/>
          <w:szCs w:val="24"/>
          <w:lang w:bidi="ar-JO"/>
        </w:rPr>
      </w:pPr>
      <w:r w:rsidRPr="0033676C">
        <w:rPr>
          <w:rFonts w:asciiTheme="majorBidi" w:hAnsiTheme="majorBidi" w:cstheme="majorBidi"/>
          <w:sz w:val="24"/>
          <w:szCs w:val="24"/>
        </w:rPr>
        <w:t xml:space="preserve">- Study and review credit applications for approval that exceed the executive credit </w:t>
      </w:r>
      <w:r w:rsidR="00064857" w:rsidRPr="0033676C">
        <w:rPr>
          <w:rFonts w:asciiTheme="majorBidi" w:hAnsiTheme="majorBidi" w:cstheme="majorBidi"/>
          <w:sz w:val="24"/>
          <w:szCs w:val="24"/>
        </w:rPr>
        <w:t>committees’</w:t>
      </w:r>
      <w:r w:rsidRPr="0033676C">
        <w:rPr>
          <w:rFonts w:asciiTheme="majorBidi" w:hAnsiTheme="majorBidi" w:cstheme="majorBidi"/>
          <w:sz w:val="24"/>
          <w:szCs w:val="24"/>
        </w:rPr>
        <w:t xml:space="preserve"> limits after the recommendations of all executive credit </w:t>
      </w:r>
      <w:r w:rsidR="004900D1" w:rsidRPr="0033676C">
        <w:rPr>
          <w:rFonts w:asciiTheme="majorBidi" w:hAnsiTheme="majorBidi" w:cstheme="majorBidi"/>
          <w:sz w:val="24"/>
          <w:szCs w:val="24"/>
        </w:rPr>
        <w:t>committees. While</w:t>
      </w:r>
      <w:r w:rsidRPr="0033676C">
        <w:rPr>
          <w:rFonts w:asciiTheme="majorBidi" w:hAnsiTheme="majorBidi" w:cstheme="majorBidi"/>
          <w:sz w:val="24"/>
          <w:szCs w:val="24"/>
        </w:rPr>
        <w:t xml:space="preserve"> </w:t>
      </w:r>
      <w:r w:rsidR="00064857">
        <w:rPr>
          <w:rFonts w:asciiTheme="majorBidi" w:hAnsiTheme="majorBidi" w:cstheme="majorBidi"/>
          <w:sz w:val="24"/>
          <w:szCs w:val="24"/>
          <w:lang w:bidi="ar-JO"/>
        </w:rPr>
        <w:t>t</w:t>
      </w:r>
      <w:r w:rsidR="004900D1" w:rsidRPr="0033676C">
        <w:rPr>
          <w:rFonts w:asciiTheme="majorBidi" w:hAnsiTheme="majorBidi" w:cstheme="majorBidi"/>
          <w:sz w:val="24"/>
          <w:szCs w:val="24"/>
          <w:lang w:bidi="ar-JO"/>
        </w:rPr>
        <w:t xml:space="preserve">he responsibility of </w:t>
      </w:r>
      <w:r w:rsidR="004900D1" w:rsidRPr="0033676C">
        <w:rPr>
          <w:rFonts w:asciiTheme="majorBidi" w:hAnsiTheme="majorBidi" w:cstheme="majorBidi"/>
          <w:sz w:val="24"/>
          <w:szCs w:val="24"/>
        </w:rPr>
        <w:t>the Risk Management Committee is approving the whole risk management policies developed</w:t>
      </w:r>
      <w:r w:rsidR="0033676C">
        <w:rPr>
          <w:rFonts w:asciiTheme="majorBidi" w:hAnsiTheme="majorBidi" w:cstheme="majorBidi"/>
          <w:sz w:val="24"/>
          <w:szCs w:val="24"/>
        </w:rPr>
        <w:t xml:space="preserve"> by the board and </w:t>
      </w:r>
      <w:r w:rsidR="00064857">
        <w:rPr>
          <w:rFonts w:asciiTheme="majorBidi" w:hAnsiTheme="majorBidi" w:cstheme="majorBidi"/>
          <w:sz w:val="24"/>
          <w:szCs w:val="24"/>
        </w:rPr>
        <w:t>ensures</w:t>
      </w:r>
      <w:r w:rsidR="0033676C">
        <w:rPr>
          <w:rFonts w:asciiTheme="majorBidi" w:hAnsiTheme="majorBidi" w:cstheme="majorBidi"/>
          <w:sz w:val="24"/>
          <w:szCs w:val="24"/>
        </w:rPr>
        <w:t xml:space="preserve"> that </w:t>
      </w:r>
      <w:r w:rsidR="004900D1" w:rsidRPr="0033676C">
        <w:rPr>
          <w:rFonts w:asciiTheme="majorBidi" w:hAnsiTheme="majorBidi" w:cstheme="majorBidi"/>
          <w:sz w:val="24"/>
          <w:szCs w:val="24"/>
        </w:rPr>
        <w:t>there is an efficient institution risk management framework</w:t>
      </w:r>
      <w:r w:rsidR="0033676C">
        <w:rPr>
          <w:rFonts w:asciiTheme="majorBidi" w:hAnsiTheme="majorBidi" w:cstheme="majorBidi"/>
          <w:sz w:val="24"/>
          <w:szCs w:val="24"/>
        </w:rPr>
        <w:t xml:space="preserve">. </w:t>
      </w:r>
      <w:r w:rsidR="0033676C" w:rsidRPr="00FD05AB">
        <w:rPr>
          <w:rFonts w:asciiTheme="majorBidi" w:hAnsiTheme="majorBidi" w:cstheme="majorBidi"/>
          <w:sz w:val="24"/>
          <w:szCs w:val="24"/>
        </w:rPr>
        <w:t>At divisional level,</w:t>
      </w:r>
      <w:r w:rsidR="0033676C" w:rsidRPr="00FD05AB">
        <w:rPr>
          <w:rFonts w:asciiTheme="majorBidi" w:hAnsiTheme="majorBidi" w:cstheme="majorBidi"/>
          <w:sz w:val="24"/>
          <w:szCs w:val="24"/>
          <w:lang w:bidi="ar-JO"/>
        </w:rPr>
        <w:t xml:space="preserve"> credit risk management is managed by credit units, responsible of developing maintenance individual credit risk management framework that consistent with the institution policies.  </w:t>
      </w:r>
      <w:r w:rsidR="00721FE5">
        <w:rPr>
          <w:rFonts w:asciiTheme="majorBidi" w:hAnsiTheme="majorBidi" w:cstheme="majorBidi"/>
          <w:sz w:val="24"/>
          <w:szCs w:val="24"/>
        </w:rPr>
        <w:t>While at AlQ</w:t>
      </w:r>
      <w:r w:rsidRPr="0035496F">
        <w:rPr>
          <w:rFonts w:asciiTheme="majorBidi" w:hAnsiTheme="majorBidi" w:cstheme="majorBidi"/>
          <w:sz w:val="24"/>
          <w:szCs w:val="24"/>
        </w:rPr>
        <w:t xml:space="preserve">uds bank, the board Risk Management and Compliance Committee is responsible for </w:t>
      </w:r>
      <w:r w:rsidRPr="0035496F">
        <w:rPr>
          <w:rFonts w:asciiTheme="majorBidi" w:hAnsiTheme="majorBidi" w:cstheme="majorBidi"/>
          <w:color w:val="000000"/>
          <w:sz w:val="24"/>
          <w:szCs w:val="24"/>
        </w:rPr>
        <w:t xml:space="preserve">Reviewing the Bank’s risk management policies and strategies including credit risks, market risks, operational risks, liquidity risks, credit concentrations risks, before they are finally approved by the Board and identifying risk mitigation techniques and mechanisms in line with applicable oversight requirements to reduce the impact of risks on the Bank’s financial safety and integrity. While </w:t>
      </w:r>
      <w:r w:rsidRPr="0035496F">
        <w:rPr>
          <w:rFonts w:asciiTheme="majorBidi" w:hAnsiTheme="majorBidi" w:cstheme="majorBidi"/>
          <w:sz w:val="24"/>
          <w:szCs w:val="24"/>
        </w:rPr>
        <w:t>the Risk management responsibilities include</w:t>
      </w:r>
      <w:r>
        <w:rPr>
          <w:rFonts w:asciiTheme="majorBidi" w:hAnsiTheme="majorBidi" w:cstheme="majorBidi"/>
          <w:sz w:val="24"/>
          <w:szCs w:val="24"/>
        </w:rPr>
        <w:t>:</w:t>
      </w:r>
    </w:p>
    <w:p w:rsidR="00B76F11" w:rsidRDefault="00B76F11" w:rsidP="006952A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Pr="0035496F">
        <w:rPr>
          <w:rFonts w:asciiTheme="majorBidi" w:hAnsiTheme="majorBidi" w:cstheme="majorBidi"/>
          <w:sz w:val="24"/>
          <w:szCs w:val="24"/>
        </w:rPr>
        <w:t xml:space="preserve"> Develop a risk policy, covering all types of</w:t>
      </w:r>
      <w:r w:rsidR="00601E54">
        <w:rPr>
          <w:rFonts w:asciiTheme="majorBidi" w:hAnsiTheme="majorBidi" w:cstheme="majorBidi"/>
          <w:sz w:val="24"/>
          <w:szCs w:val="24"/>
        </w:rPr>
        <w:t xml:space="preserve"> </w:t>
      </w:r>
      <w:r w:rsidRPr="0035496F">
        <w:rPr>
          <w:rFonts w:asciiTheme="majorBidi" w:hAnsiTheme="majorBidi" w:cstheme="majorBidi"/>
          <w:sz w:val="24"/>
          <w:szCs w:val="24"/>
        </w:rPr>
        <w:t>risk, and submit to the Board for approval.</w:t>
      </w:r>
    </w:p>
    <w:p w:rsidR="00B76F11" w:rsidRPr="0035496F" w:rsidRDefault="00B76F11" w:rsidP="006952A8">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w:t>
      </w:r>
      <w:r w:rsidRPr="0035496F">
        <w:rPr>
          <w:rFonts w:asciiTheme="majorBidi" w:hAnsiTheme="majorBidi" w:cstheme="majorBidi"/>
          <w:color w:val="000000"/>
          <w:sz w:val="24"/>
          <w:szCs w:val="24"/>
        </w:rPr>
        <w:t>Analyze all risks, including credit risks, market risks, liquidity risks and operational risks.</w:t>
      </w:r>
    </w:p>
    <w:p w:rsidR="00B76F11" w:rsidRPr="0035496F" w:rsidRDefault="00B76F11" w:rsidP="00ED7850">
      <w:pPr>
        <w:autoSpaceDE w:val="0"/>
        <w:autoSpaceDN w:val="0"/>
        <w:adjustRightInd w:val="0"/>
        <w:spacing w:after="0" w:line="360" w:lineRule="auto"/>
        <w:jc w:val="both"/>
        <w:rPr>
          <w:rFonts w:asciiTheme="majorBidi" w:hAnsiTheme="majorBidi" w:cstheme="majorBidi"/>
          <w:color w:val="000000"/>
          <w:sz w:val="24"/>
          <w:szCs w:val="24"/>
        </w:rPr>
      </w:pPr>
      <w:r w:rsidRPr="0035496F">
        <w:rPr>
          <w:rFonts w:asciiTheme="majorBidi" w:hAnsiTheme="majorBidi" w:cstheme="majorBidi"/>
          <w:color w:val="414142"/>
          <w:sz w:val="24"/>
          <w:szCs w:val="24"/>
        </w:rPr>
        <w:lastRenderedPageBreak/>
        <w:t xml:space="preserve">- </w:t>
      </w:r>
      <w:r w:rsidRPr="0035496F">
        <w:rPr>
          <w:rFonts w:asciiTheme="majorBidi" w:hAnsiTheme="majorBidi" w:cstheme="majorBidi"/>
          <w:color w:val="000000"/>
          <w:sz w:val="24"/>
          <w:szCs w:val="24"/>
        </w:rPr>
        <w:t>Develop- measurement and control methods of each risk type.</w:t>
      </w:r>
    </w:p>
    <w:p w:rsidR="000775B0" w:rsidRPr="006952A8" w:rsidRDefault="00F83F6A" w:rsidP="00BA14F4">
      <w:pPr>
        <w:autoSpaceDE w:val="0"/>
        <w:autoSpaceDN w:val="0"/>
        <w:adjustRightInd w:val="0"/>
        <w:spacing w:after="0" w:line="360" w:lineRule="auto"/>
        <w:jc w:val="center"/>
        <w:rPr>
          <w:rFonts w:asciiTheme="majorBidi" w:hAnsiTheme="majorBidi" w:cstheme="majorBidi"/>
          <w:b/>
          <w:bCs/>
          <w:color w:val="000000"/>
        </w:rPr>
      </w:pPr>
      <w:r w:rsidRPr="00601E54">
        <w:rPr>
          <w:rFonts w:asciiTheme="majorBidi" w:hAnsiTheme="majorBidi" w:cstheme="majorBidi"/>
          <w:b/>
          <w:bCs/>
        </w:rPr>
        <w:t>Figure 4.23</w:t>
      </w:r>
      <w:r w:rsidR="000775B0" w:rsidRPr="00601E54">
        <w:rPr>
          <w:rFonts w:asciiTheme="majorBidi" w:hAnsiTheme="majorBidi" w:cstheme="majorBidi"/>
          <w:b/>
          <w:bCs/>
        </w:rPr>
        <w:t>:</w:t>
      </w:r>
      <w:r w:rsidR="000775B0" w:rsidRPr="00C60FA4">
        <w:rPr>
          <w:rFonts w:asciiTheme="majorBidi" w:hAnsiTheme="majorBidi" w:cstheme="majorBidi"/>
          <w:b/>
          <w:bCs/>
        </w:rPr>
        <w:t xml:space="preserve"> Credit risk management org</w:t>
      </w:r>
      <w:r w:rsidR="00F40043">
        <w:rPr>
          <w:rFonts w:asciiTheme="majorBidi" w:hAnsiTheme="majorBidi" w:cstheme="majorBidi"/>
          <w:b/>
          <w:bCs/>
        </w:rPr>
        <w:t>anizations at BOP</w:t>
      </w:r>
    </w:p>
    <w:p w:rsidR="004B2466" w:rsidRPr="006952A8" w:rsidRDefault="007A78D1" w:rsidP="00EA6FBF">
      <w:pPr>
        <w:autoSpaceDE w:val="0"/>
        <w:autoSpaceDN w:val="0"/>
        <w:adjustRightInd w:val="0"/>
        <w:spacing w:after="0" w:line="360" w:lineRule="auto"/>
        <w:rPr>
          <w:rFonts w:asciiTheme="majorBidi" w:hAnsiTheme="majorBidi" w:cstheme="majorBidi"/>
          <w:b/>
          <w:sz w:val="24"/>
          <w:szCs w:val="24"/>
        </w:rPr>
      </w:pPr>
      <w:r>
        <w:rPr>
          <w:rFonts w:asciiTheme="majorBidi" w:hAnsiTheme="majorBidi" w:cstheme="majorBidi"/>
          <w:b/>
          <w:noProof/>
          <w:sz w:val="24"/>
          <w:szCs w:val="24"/>
        </w:rPr>
        <w:pict>
          <v:rect id="_x0000_s1183" style="position:absolute;margin-left:188.35pt;margin-top:18.65pt;width:135.65pt;height:37.65pt;z-index:251777024" fillcolor="#c0504d [3205]" strokecolor="#f2f2f2 [3041]" strokeweight="3pt">
            <v:shadow on="t" type="perspective" color="#622423 [1605]" opacity=".5" offset="1pt" offset2="-1pt"/>
            <v:textbox>
              <w:txbxContent>
                <w:p w:rsidR="00095056" w:rsidRDefault="00095056" w:rsidP="00262A93">
                  <w:pPr>
                    <w:jc w:val="center"/>
                  </w:pPr>
                  <w:r>
                    <w:t>Risk Management Committee</w:t>
                  </w:r>
                </w:p>
              </w:txbxContent>
            </v:textbox>
          </v:rect>
        </w:pict>
      </w:r>
    </w:p>
    <w:p w:rsidR="004B2466" w:rsidRDefault="007A78D1" w:rsidP="00EA6FB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pict>
          <v:shape id="_x0000_s1225" type="#_x0000_t32" style="position:absolute;margin-left:324pt;margin-top:15.55pt;width:62.8pt;height:0;z-index:251816960" o:connectortype="straight" strokecolor="black [3213]"/>
        </w:pict>
      </w:r>
      <w:r>
        <w:rPr>
          <w:rFonts w:asciiTheme="majorBidi" w:hAnsiTheme="majorBidi" w:cstheme="majorBidi"/>
          <w:noProof/>
          <w:sz w:val="24"/>
          <w:szCs w:val="24"/>
        </w:rPr>
        <w:pict>
          <v:shape id="_x0000_s1193" type="#_x0000_t32" style="position:absolute;margin-left:386.8pt;margin-top:15.55pt;width:0;height:108pt;z-index:251787264" o:connectortype="straight" strokecolor="black [3213]">
            <v:stroke endarrow="block"/>
          </v:shape>
        </w:pict>
      </w:r>
      <w:r w:rsidR="002D2061">
        <w:rPr>
          <w:rFonts w:asciiTheme="majorBidi" w:hAnsiTheme="majorBidi" w:cstheme="majorBidi"/>
          <w:sz w:val="24"/>
          <w:szCs w:val="24"/>
        </w:rPr>
        <w:t xml:space="preserve">                                                                                                                 Support </w:t>
      </w:r>
    </w:p>
    <w:p w:rsidR="004B2466" w:rsidRDefault="007A78D1" w:rsidP="00EA6FB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pict>
          <v:shape id="_x0000_s1218" type="#_x0000_t32" style="position:absolute;margin-left:252.85pt;margin-top:14.9pt;width:0;height:26pt;z-index:251810816" o:connectortype="straight" strokecolor="black [3213]">
            <v:stroke endarrow="block"/>
          </v:shape>
        </w:pict>
      </w:r>
    </w:p>
    <w:p w:rsidR="009C1760" w:rsidRPr="009C1760" w:rsidRDefault="002D2061" w:rsidP="009C17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Support</w:t>
      </w:r>
    </w:p>
    <w:p w:rsidR="00B93E1E" w:rsidRDefault="007A78D1" w:rsidP="00B93E1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184" style="position:absolute;margin-left:188.35pt;margin-top:6.4pt;width:135.65pt;height:33.45pt;z-index:251778048" fillcolor="#ddd8c2 [2894]" strokecolor="#f2f2f2 [3041]" strokeweight="3pt">
            <v:shadow on="t" type="perspective" color="#243f60 [1604]" opacity=".5" offset="1pt" offset2="-1pt"/>
            <v:textbox>
              <w:txbxContent>
                <w:p w:rsidR="00095056" w:rsidRDefault="00095056" w:rsidP="00ED7850">
                  <w:pPr>
                    <w:shd w:val="clear" w:color="auto" w:fill="DDD9C3" w:themeFill="background2" w:themeFillShade="E6"/>
                  </w:pPr>
                  <w:r>
                    <w:t xml:space="preserve">Credit Facility Committee </w:t>
                  </w:r>
                </w:p>
              </w:txbxContent>
            </v:textbox>
          </v:rect>
        </w:pict>
      </w:r>
    </w:p>
    <w:p w:rsidR="00A23E61"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shape id="_x0000_s1197" type="#_x0000_t32" style="position:absolute;left:0;text-align:left;margin-left:252.85pt;margin-top:19.15pt;width:0;height:28.5pt;z-index:251790336" o:connectortype="straight" strokecolor="black [3213]">
            <v:stroke endarrow="block"/>
          </v:shape>
        </w:pict>
      </w:r>
    </w:p>
    <w:p w:rsidR="00A23E61"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shape id="_x0000_s1199" type="#_x0000_t32" style="position:absolute;left:0;text-align:left;margin-left:164.1pt;margin-top:23.5pt;width:0;height:41.85pt;z-index:251792384" o:connectortype="straight" strokecolor="#8064a2 [3207]">
            <v:stroke endarrow="block"/>
          </v:shape>
        </w:pict>
      </w:r>
      <w:r>
        <w:rPr>
          <w:rFonts w:asciiTheme="majorBidi" w:hAnsiTheme="majorBidi" w:cstheme="majorBidi"/>
          <w:b/>
          <w:bCs/>
          <w:noProof/>
          <w:sz w:val="28"/>
          <w:szCs w:val="28"/>
        </w:rPr>
        <w:pict>
          <v:shape id="_x0000_s1198" type="#_x0000_t32" style="position:absolute;left:0;text-align:left;margin-left:164.1pt;margin-top:23.5pt;width:88.75pt;height:0;flip:x;z-index:251791360" o:connectortype="straight" strokecolor="black [3213]">
            <v:stroke endarrow="block"/>
          </v:shape>
        </w:pict>
      </w:r>
    </w:p>
    <w:p w:rsidR="00A23E61"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rect id="_x0000_s1224" style="position:absolute;left:0;text-align:left;margin-left:336.55pt;margin-top:3.75pt;width:104.65pt;height:45.8pt;z-index:251815936" fillcolor="#ddd8c2 [2894]" strokecolor="black [3213]">
            <v:textbox>
              <w:txbxContent>
                <w:p w:rsidR="00095056" w:rsidRPr="002D2061" w:rsidRDefault="00095056" w:rsidP="002D2061">
                  <w:pPr>
                    <w:jc w:val="center"/>
                    <w:rPr>
                      <w:rFonts w:asciiTheme="majorBidi" w:hAnsiTheme="majorBidi" w:cstheme="majorBidi"/>
                      <w:b/>
                      <w:bCs/>
                    </w:rPr>
                  </w:pPr>
                  <w:r w:rsidRPr="002D2061">
                    <w:rPr>
                      <w:rFonts w:asciiTheme="majorBidi" w:hAnsiTheme="majorBidi" w:cstheme="majorBidi"/>
                      <w:b/>
                      <w:bCs/>
                    </w:rPr>
                    <w:t>Deputy GM</w:t>
                  </w:r>
                </w:p>
                <w:p w:rsidR="00095056" w:rsidRPr="002D2061" w:rsidRDefault="00095056" w:rsidP="002D2061">
                  <w:pPr>
                    <w:jc w:val="center"/>
                    <w:rPr>
                      <w:rFonts w:asciiTheme="majorBidi" w:hAnsiTheme="majorBidi" w:cstheme="majorBidi"/>
                      <w:b/>
                      <w:bCs/>
                    </w:rPr>
                  </w:pPr>
                  <w:r w:rsidRPr="002D2061">
                    <w:rPr>
                      <w:rFonts w:asciiTheme="majorBidi" w:hAnsiTheme="majorBidi" w:cstheme="majorBidi"/>
                      <w:b/>
                      <w:bCs/>
                    </w:rPr>
                    <w:t>CRO</w:t>
                  </w:r>
                </w:p>
              </w:txbxContent>
            </v:textbox>
          </v:rect>
        </w:pict>
      </w:r>
    </w:p>
    <w:p w:rsidR="00A23E61"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rect id="_x0000_s1188" style="position:absolute;left:0;text-align:left;margin-left:113.85pt;margin-top:17.05pt;width:101.3pt;height:34.3pt;z-index:251782144" fillcolor="#ddd8c2 [2894]" strokecolor="black [3213]">
            <v:textbox>
              <w:txbxContent>
                <w:p w:rsidR="00095056" w:rsidRPr="002D2061" w:rsidRDefault="00095056" w:rsidP="000769E4">
                  <w:pPr>
                    <w:jc w:val="center"/>
                    <w:rPr>
                      <w:rFonts w:asciiTheme="majorBidi" w:hAnsiTheme="majorBidi" w:cstheme="majorBidi"/>
                      <w:b/>
                      <w:bCs/>
                    </w:rPr>
                  </w:pPr>
                  <w:r w:rsidRPr="002D2061">
                    <w:rPr>
                      <w:rFonts w:asciiTheme="majorBidi" w:hAnsiTheme="majorBidi" w:cstheme="majorBidi"/>
                      <w:b/>
                      <w:bCs/>
                    </w:rPr>
                    <w:t>Assistant General Manager Credit</w:t>
                  </w:r>
                </w:p>
              </w:txbxContent>
            </v:textbox>
          </v:rect>
        </w:pict>
      </w:r>
    </w:p>
    <w:p w:rsidR="00A23E61" w:rsidRDefault="007A78D1" w:rsidP="002D2061">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noProof/>
          <w:sz w:val="28"/>
          <w:szCs w:val="28"/>
        </w:rPr>
        <w:pict>
          <v:shape id="_x0000_s1229" type="#_x0000_t32" style="position:absolute;margin-left:77.85pt;margin-top:5.7pt;width:0;height:45.2pt;z-index:251821056" o:connectortype="straight" strokecolor="black [3213]"/>
        </w:pict>
      </w:r>
      <w:r>
        <w:rPr>
          <w:rFonts w:asciiTheme="majorBidi" w:hAnsiTheme="majorBidi" w:cstheme="majorBidi"/>
          <w:b/>
          <w:bCs/>
          <w:noProof/>
          <w:sz w:val="28"/>
          <w:szCs w:val="28"/>
        </w:rPr>
        <w:pict>
          <v:shape id="_x0000_s1226" type="#_x0000_t32" style="position:absolute;margin-left:77.85pt;margin-top:5.7pt;width:36pt;height:0;flip:x;z-index:251817984" o:connectortype="straight" strokecolor="black [3213]"/>
        </w:pict>
      </w:r>
      <w:r>
        <w:rPr>
          <w:rFonts w:asciiTheme="majorBidi" w:hAnsiTheme="majorBidi" w:cstheme="majorBidi"/>
          <w:b/>
          <w:bCs/>
          <w:noProof/>
          <w:sz w:val="28"/>
          <w:szCs w:val="28"/>
        </w:rPr>
        <w:pict>
          <v:shape id="_x0000_s1194" type="#_x0000_t32" style="position:absolute;margin-left:386.8pt;margin-top:1.25pt;width:0;height:18.45pt;z-index:251788288" o:connectortype="straight" strokecolor="black [3213]">
            <v:stroke endarrow="block"/>
          </v:shape>
        </w:pict>
      </w:r>
      <w:r>
        <w:rPr>
          <w:rFonts w:asciiTheme="majorBidi" w:hAnsiTheme="majorBidi" w:cstheme="majorBidi"/>
          <w:b/>
          <w:bCs/>
          <w:noProof/>
          <w:sz w:val="28"/>
          <w:szCs w:val="28"/>
        </w:rPr>
        <w:pict>
          <v:rect id="_x0000_s1186" style="position:absolute;margin-left:336.55pt;margin-top:19.55pt;width:109.7pt;height:41.85pt;z-index:251780096" fillcolor="#ddd8c2 [2894]" strokecolor="black [3213]">
            <v:textbox>
              <w:txbxContent>
                <w:p w:rsidR="00095056" w:rsidRPr="002D2061" w:rsidRDefault="00095056" w:rsidP="00ED7850">
                  <w:pPr>
                    <w:shd w:val="clear" w:color="auto" w:fill="DDD9C3" w:themeFill="background2" w:themeFillShade="E6"/>
                    <w:jc w:val="center"/>
                    <w:rPr>
                      <w:rFonts w:asciiTheme="majorBidi" w:hAnsiTheme="majorBidi" w:cstheme="majorBidi"/>
                      <w:b/>
                      <w:bCs/>
                    </w:rPr>
                  </w:pPr>
                  <w:r w:rsidRPr="002D2061">
                    <w:rPr>
                      <w:rFonts w:asciiTheme="majorBidi" w:hAnsiTheme="majorBidi" w:cstheme="majorBidi"/>
                      <w:b/>
                      <w:bCs/>
                    </w:rPr>
                    <w:t>Deputy Credit Risk Officer</w:t>
                  </w:r>
                </w:p>
              </w:txbxContent>
            </v:textbox>
          </v:rect>
        </w:pict>
      </w:r>
    </w:p>
    <w:p w:rsidR="00A23E61" w:rsidRDefault="007A78D1" w:rsidP="002D2061">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noProof/>
          <w:sz w:val="28"/>
          <w:szCs w:val="28"/>
        </w:rPr>
        <w:pict>
          <v:rect id="_x0000_s1189" style="position:absolute;margin-left:113.85pt;margin-top:20.65pt;width:101.3pt;height:32.9pt;z-index:251783168" fillcolor="#ddd8c2 [2894]" strokecolor="#f79646 [3209]">
            <v:textbox>
              <w:txbxContent>
                <w:p w:rsidR="00095056" w:rsidRPr="00551FE5" w:rsidRDefault="00095056" w:rsidP="000769E4">
                  <w:pPr>
                    <w:jc w:val="center"/>
                    <w:rPr>
                      <w:rFonts w:asciiTheme="majorBidi" w:hAnsiTheme="majorBidi" w:cstheme="majorBidi"/>
                      <w:b/>
                      <w:bCs/>
                    </w:rPr>
                  </w:pPr>
                  <w:r w:rsidRPr="00551FE5">
                    <w:rPr>
                      <w:rFonts w:asciiTheme="majorBidi" w:hAnsiTheme="majorBidi" w:cstheme="majorBidi"/>
                      <w:b/>
                      <w:bCs/>
                    </w:rPr>
                    <w:t>Credit Manager</w:t>
                  </w:r>
                </w:p>
              </w:txbxContent>
            </v:textbox>
          </v:rect>
        </w:pict>
      </w:r>
      <w:r>
        <w:rPr>
          <w:rFonts w:asciiTheme="majorBidi" w:hAnsiTheme="majorBidi" w:cstheme="majorBidi"/>
          <w:b/>
          <w:bCs/>
          <w:noProof/>
          <w:sz w:val="28"/>
          <w:szCs w:val="28"/>
        </w:rPr>
        <w:pict>
          <v:shape id="_x0000_s1200" type="#_x0000_t32" style="position:absolute;margin-left:164.1pt;margin-top:3.05pt;width:0;height:17.6pt;z-index:251793408" o:connectortype="straight" strokecolor="black [3213]">
            <v:stroke endarrow="block"/>
          </v:shape>
        </w:pict>
      </w:r>
    </w:p>
    <w:p w:rsidR="00551FE5" w:rsidRDefault="007A78D1" w:rsidP="002D2061">
      <w:pPr>
        <w:autoSpaceDE w:val="0"/>
        <w:autoSpaceDN w:val="0"/>
        <w:adjustRightInd w:val="0"/>
        <w:spacing w:after="0" w:line="360" w:lineRule="auto"/>
        <w:rPr>
          <w:rFonts w:asciiTheme="majorBidi" w:hAnsiTheme="majorBidi" w:cstheme="majorBidi"/>
          <w:sz w:val="24"/>
          <w:szCs w:val="24"/>
        </w:rPr>
      </w:pPr>
      <w:r w:rsidRPr="007A78D1">
        <w:rPr>
          <w:rFonts w:asciiTheme="majorBidi" w:hAnsiTheme="majorBidi" w:cstheme="majorBidi"/>
          <w:b/>
          <w:bCs/>
          <w:noProof/>
          <w:sz w:val="28"/>
          <w:szCs w:val="28"/>
        </w:rPr>
        <w:pict>
          <v:shape id="_x0000_s1232" type="#_x0000_t32" style="position:absolute;margin-left:386.8pt;margin-top:13.25pt;width:0;height:55.45pt;z-index:251824128" o:connectortype="straight" strokecolor="black [3213]">
            <v:stroke endarrow="block"/>
          </v:shape>
        </w:pict>
      </w:r>
      <w:r w:rsidR="00F40043">
        <w:rPr>
          <w:rFonts w:asciiTheme="majorBidi" w:hAnsiTheme="majorBidi" w:cstheme="majorBidi"/>
          <w:sz w:val="24"/>
          <w:szCs w:val="24"/>
        </w:rPr>
        <w:t xml:space="preserve">                   </w:t>
      </w:r>
      <w:r w:rsidR="00551FE5">
        <w:rPr>
          <w:rFonts w:asciiTheme="majorBidi" w:hAnsiTheme="majorBidi" w:cstheme="majorBidi"/>
          <w:sz w:val="24"/>
          <w:szCs w:val="24"/>
        </w:rPr>
        <w:t>Guide</w:t>
      </w:r>
    </w:p>
    <w:p w:rsidR="00551FE5" w:rsidRDefault="00551FE5" w:rsidP="002D2061">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p>
    <w:p w:rsidR="00A23E61" w:rsidRDefault="007A78D1" w:rsidP="002D2061">
      <w:pPr>
        <w:autoSpaceDE w:val="0"/>
        <w:autoSpaceDN w:val="0"/>
        <w:adjustRightInd w:val="0"/>
        <w:spacing w:after="0" w:line="360" w:lineRule="auto"/>
        <w:rPr>
          <w:rFonts w:asciiTheme="majorBidi" w:hAnsiTheme="majorBidi" w:cstheme="majorBidi"/>
          <w:b/>
          <w:bCs/>
          <w:sz w:val="28"/>
          <w:szCs w:val="28"/>
        </w:rPr>
      </w:pPr>
      <w:r w:rsidRPr="007A78D1">
        <w:rPr>
          <w:rFonts w:asciiTheme="majorBidi" w:hAnsiTheme="majorBidi" w:cstheme="majorBidi"/>
          <w:noProof/>
          <w:sz w:val="24"/>
          <w:szCs w:val="24"/>
        </w:rPr>
        <w:pict>
          <v:shape id="_x0000_s1230" type="#_x0000_t32" style="position:absolute;margin-left:72.85pt;margin-top:14.8pt;width:0;height:77.9pt;z-index:251822080" o:connectortype="straight" strokecolor="black [3213]"/>
        </w:pict>
      </w:r>
      <w:r w:rsidR="00551FE5">
        <w:rPr>
          <w:rFonts w:asciiTheme="majorBidi" w:hAnsiTheme="majorBidi" w:cstheme="majorBidi"/>
          <w:sz w:val="24"/>
          <w:szCs w:val="24"/>
        </w:rPr>
        <w:t xml:space="preserve">                  Monitor</w:t>
      </w:r>
    </w:p>
    <w:p w:rsidR="002D2061" w:rsidRPr="002D2061" w:rsidRDefault="007A78D1" w:rsidP="002D2061">
      <w:pPr>
        <w:autoSpaceDE w:val="0"/>
        <w:autoSpaceDN w:val="0"/>
        <w:adjustRightInd w:val="0"/>
        <w:spacing w:after="0" w:line="360" w:lineRule="auto"/>
        <w:rPr>
          <w:rFonts w:asciiTheme="majorBidi" w:hAnsiTheme="majorBidi" w:cstheme="majorBidi"/>
          <w:sz w:val="24"/>
          <w:szCs w:val="24"/>
        </w:rPr>
      </w:pPr>
      <w:r w:rsidRPr="007A78D1">
        <w:rPr>
          <w:rFonts w:asciiTheme="majorBidi" w:hAnsiTheme="majorBidi" w:cstheme="majorBidi"/>
          <w:b/>
          <w:bCs/>
          <w:noProof/>
          <w:sz w:val="28"/>
          <w:szCs w:val="28"/>
        </w:rPr>
        <w:pict>
          <v:rect id="_x0000_s1190" style="position:absolute;margin-left:113.85pt;margin-top:6.7pt;width:101.3pt;height:39.65pt;z-index:251784192" fillcolor="#ddd8c2 [2894]" strokecolor="black [3213]">
            <v:textbox>
              <w:txbxContent>
                <w:p w:rsidR="00095056" w:rsidRPr="00551FE5" w:rsidRDefault="00095056" w:rsidP="000769E4">
                  <w:pPr>
                    <w:jc w:val="center"/>
                    <w:rPr>
                      <w:rFonts w:asciiTheme="majorBidi" w:hAnsiTheme="majorBidi" w:cstheme="majorBidi"/>
                      <w:b/>
                      <w:bCs/>
                    </w:rPr>
                  </w:pPr>
                  <w:r w:rsidRPr="00551FE5">
                    <w:rPr>
                      <w:rFonts w:asciiTheme="majorBidi" w:hAnsiTheme="majorBidi" w:cstheme="majorBidi"/>
                      <w:b/>
                      <w:bCs/>
                    </w:rPr>
                    <w:t>Credit Policy</w:t>
                  </w:r>
                </w:p>
              </w:txbxContent>
            </v:textbox>
          </v:rect>
        </w:pict>
      </w:r>
      <w:r w:rsidRPr="007A78D1">
        <w:rPr>
          <w:rFonts w:asciiTheme="majorBidi" w:hAnsiTheme="majorBidi" w:cstheme="majorBidi"/>
          <w:b/>
          <w:bCs/>
          <w:noProof/>
          <w:sz w:val="28"/>
          <w:szCs w:val="28"/>
        </w:rPr>
        <w:pict>
          <v:rect id="_x0000_s1187" style="position:absolute;margin-left:336.55pt;margin-top:6.5pt;width:109.7pt;height:35.2pt;z-index:251781120" fillcolor="#ddd8c2 [2894]" strokecolor="black [3213]">
            <v:textbox>
              <w:txbxContent>
                <w:p w:rsidR="00095056" w:rsidRPr="002D2061" w:rsidRDefault="00095056" w:rsidP="00A4553E">
                  <w:pPr>
                    <w:jc w:val="center"/>
                    <w:rPr>
                      <w:rFonts w:asciiTheme="majorBidi" w:hAnsiTheme="majorBidi" w:cstheme="majorBidi"/>
                      <w:b/>
                      <w:bCs/>
                    </w:rPr>
                  </w:pPr>
                  <w:r w:rsidRPr="002D2061">
                    <w:rPr>
                      <w:rFonts w:asciiTheme="majorBidi" w:hAnsiTheme="majorBidi" w:cstheme="majorBidi"/>
                      <w:b/>
                      <w:bCs/>
                    </w:rPr>
                    <w:t>Credit Risk</w:t>
                  </w:r>
                </w:p>
              </w:txbxContent>
            </v:textbox>
          </v:rect>
        </w:pict>
      </w:r>
    </w:p>
    <w:p w:rsidR="00A23E61" w:rsidRDefault="00A23E61" w:rsidP="00C859F6">
      <w:pPr>
        <w:autoSpaceDE w:val="0"/>
        <w:autoSpaceDN w:val="0"/>
        <w:adjustRightInd w:val="0"/>
        <w:spacing w:after="0" w:line="360" w:lineRule="auto"/>
        <w:jc w:val="center"/>
        <w:rPr>
          <w:rFonts w:asciiTheme="majorBidi" w:hAnsiTheme="majorBidi" w:cstheme="majorBidi"/>
          <w:b/>
          <w:bCs/>
          <w:sz w:val="28"/>
          <w:szCs w:val="28"/>
        </w:rPr>
      </w:pPr>
    </w:p>
    <w:p w:rsidR="00A23E61"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rect id="_x0000_s1191" style="position:absolute;left:0;text-align:left;margin-left:113.85pt;margin-top:17.85pt;width:101.3pt;height:26.8pt;z-index:251785216" fillcolor="#ddd8c2 [2894]" strokecolor="black [3213]">
            <v:textbox>
              <w:txbxContent>
                <w:p w:rsidR="00095056" w:rsidRPr="00551FE5" w:rsidRDefault="00095056" w:rsidP="000769E4">
                  <w:pPr>
                    <w:jc w:val="center"/>
                    <w:rPr>
                      <w:rFonts w:asciiTheme="majorBidi" w:hAnsiTheme="majorBidi" w:cstheme="majorBidi"/>
                      <w:b/>
                      <w:bCs/>
                    </w:rPr>
                  </w:pPr>
                  <w:r w:rsidRPr="00551FE5">
                    <w:rPr>
                      <w:rFonts w:asciiTheme="majorBidi" w:hAnsiTheme="majorBidi" w:cstheme="majorBidi"/>
                      <w:b/>
                      <w:bCs/>
                    </w:rPr>
                    <w:t>Credit Facility</w:t>
                  </w:r>
                </w:p>
              </w:txbxContent>
            </v:textbox>
          </v:rect>
        </w:pict>
      </w:r>
    </w:p>
    <w:p w:rsidR="00DB66AF"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shape id="_x0000_s1231" type="#_x0000_t32" style="position:absolute;left:0;text-align:left;margin-left:72.85pt;margin-top:3pt;width:41pt;height:0;z-index:251823104" o:connectortype="straight" strokecolor="black [3213]">
            <v:stroke endarrow="block"/>
          </v:shape>
        </w:pict>
      </w:r>
      <w:r>
        <w:rPr>
          <w:rFonts w:asciiTheme="majorBidi" w:hAnsiTheme="majorBidi" w:cstheme="majorBidi"/>
          <w:b/>
          <w:bCs/>
          <w:noProof/>
          <w:sz w:val="28"/>
          <w:szCs w:val="28"/>
        </w:rPr>
        <w:pict>
          <v:shape id="_x0000_s1228" type="#_x0000_t32" style="position:absolute;left:0;text-align:left;margin-left:170.85pt;margin-top:20.5pt;width:0;height:46.05pt;flip:y;z-index:251820032" o:connectortype="straight" strokecolor="black [3213]">
            <v:stroke endarrow="block"/>
          </v:shape>
        </w:pict>
      </w:r>
    </w:p>
    <w:p w:rsidR="00DB66AF" w:rsidRDefault="00DB66AF" w:rsidP="00C859F6">
      <w:pPr>
        <w:autoSpaceDE w:val="0"/>
        <w:autoSpaceDN w:val="0"/>
        <w:adjustRightInd w:val="0"/>
        <w:spacing w:after="0" w:line="360" w:lineRule="auto"/>
        <w:jc w:val="center"/>
        <w:rPr>
          <w:rFonts w:asciiTheme="majorBidi" w:hAnsiTheme="majorBidi" w:cstheme="majorBidi"/>
          <w:b/>
          <w:bCs/>
          <w:sz w:val="28"/>
          <w:szCs w:val="28"/>
        </w:rPr>
      </w:pPr>
    </w:p>
    <w:p w:rsidR="00E574CD" w:rsidRPr="002D2061" w:rsidRDefault="007A78D1" w:rsidP="002D2061">
      <w:pPr>
        <w:autoSpaceDE w:val="0"/>
        <w:autoSpaceDN w:val="0"/>
        <w:adjustRightInd w:val="0"/>
        <w:spacing w:after="0" w:line="360" w:lineRule="auto"/>
        <w:rPr>
          <w:rFonts w:asciiTheme="majorBidi" w:hAnsiTheme="majorBidi" w:cstheme="majorBidi"/>
          <w:sz w:val="24"/>
          <w:szCs w:val="24"/>
        </w:rPr>
      </w:pPr>
      <w:r w:rsidRPr="007A78D1">
        <w:rPr>
          <w:rFonts w:asciiTheme="majorBidi" w:hAnsiTheme="majorBidi" w:cstheme="majorBidi"/>
          <w:b/>
          <w:bCs/>
          <w:noProof/>
          <w:sz w:val="28"/>
          <w:szCs w:val="28"/>
        </w:rPr>
        <w:pict>
          <v:shape id="_x0000_s1215" type="#_x0000_t32" style="position:absolute;margin-left:178.35pt;margin-top:18.25pt;width:0;height:13.4pt;z-index:251808768" o:connectortype="straight" strokecolor="black [3213]"/>
        </w:pict>
      </w:r>
      <w:r w:rsidRPr="007A78D1">
        <w:rPr>
          <w:rFonts w:asciiTheme="majorBidi" w:hAnsiTheme="majorBidi" w:cstheme="majorBidi"/>
          <w:b/>
          <w:bCs/>
          <w:noProof/>
          <w:sz w:val="28"/>
          <w:szCs w:val="28"/>
        </w:rPr>
        <w:pict>
          <v:shape id="_x0000_s1214" type="#_x0000_t32" style="position:absolute;margin-left:252.85pt;margin-top:18.25pt;width:0;height:13.4pt;z-index:251807744" o:connectortype="straight" strokecolor="black [3213]"/>
        </w:pict>
      </w:r>
      <w:r w:rsidRPr="007A78D1">
        <w:rPr>
          <w:rFonts w:asciiTheme="majorBidi" w:hAnsiTheme="majorBidi" w:cstheme="majorBidi"/>
          <w:b/>
          <w:bCs/>
          <w:noProof/>
          <w:sz w:val="28"/>
          <w:szCs w:val="28"/>
        </w:rPr>
        <w:pict>
          <v:shape id="_x0000_s1213" type="#_x0000_t32" style="position:absolute;margin-left:348.3pt;margin-top:18.25pt;width:0;height:13.4pt;z-index:251806720" o:connectortype="straight" strokecolor="black [3213]"/>
        </w:pict>
      </w:r>
      <w:r w:rsidRPr="007A78D1">
        <w:rPr>
          <w:rFonts w:asciiTheme="majorBidi" w:hAnsiTheme="majorBidi" w:cstheme="majorBidi"/>
          <w:b/>
          <w:bCs/>
          <w:noProof/>
          <w:sz w:val="28"/>
          <w:szCs w:val="28"/>
        </w:rPr>
        <w:pict>
          <v:shape id="_x0000_s1212" type="#_x0000_t32" style="position:absolute;margin-left:93.75pt;margin-top:18.25pt;width:254.55pt;height:0;z-index:251805696" o:connectortype="straight" strokecolor="black [3213]"/>
        </w:pict>
      </w:r>
      <w:r w:rsidRPr="007A78D1">
        <w:rPr>
          <w:rFonts w:asciiTheme="majorBidi" w:hAnsiTheme="majorBidi" w:cstheme="majorBidi"/>
          <w:b/>
          <w:bCs/>
          <w:noProof/>
          <w:sz w:val="28"/>
          <w:szCs w:val="28"/>
        </w:rPr>
        <w:pict>
          <v:shape id="_x0000_s1211" type="#_x0000_t32" style="position:absolute;margin-left:93.75pt;margin-top:18.25pt;width:0;height:13.4pt;flip:y;z-index:251804672" o:connectortype="straight" strokecolor="black [3213]"/>
        </w:pict>
      </w:r>
      <w:r w:rsidR="00601E54">
        <w:rPr>
          <w:rFonts w:asciiTheme="majorBidi" w:hAnsiTheme="majorBidi" w:cstheme="majorBidi"/>
          <w:sz w:val="24"/>
          <w:szCs w:val="24"/>
        </w:rPr>
        <w:t xml:space="preserve">                                     </w:t>
      </w:r>
      <w:r w:rsidR="002D2061">
        <w:rPr>
          <w:rFonts w:asciiTheme="majorBidi" w:hAnsiTheme="majorBidi" w:cstheme="majorBidi"/>
          <w:sz w:val="24"/>
          <w:szCs w:val="24"/>
        </w:rPr>
        <w:t>Reporting</w:t>
      </w:r>
    </w:p>
    <w:p w:rsidR="00506A8D" w:rsidRDefault="007A78D1" w:rsidP="008606AB">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noProof/>
          <w:sz w:val="28"/>
          <w:szCs w:val="28"/>
        </w:rPr>
        <w:pict>
          <v:rect id="_x0000_s1210" style="position:absolute;margin-left:303.9pt;margin-top:7.35pt;width:82.9pt;height:38.5pt;z-index:251803648" fillcolor="#ddd8c2 [2894]" strokecolor="black [3213]">
            <v:textbox style="mso-next-textbox:#_x0000_s1210">
              <w:txbxContent>
                <w:p w:rsidR="00095056" w:rsidRPr="000769E4" w:rsidRDefault="00095056" w:rsidP="000769E4">
                  <w:pPr>
                    <w:jc w:val="center"/>
                    <w:rPr>
                      <w:b/>
                      <w:bCs/>
                    </w:rPr>
                  </w:pPr>
                  <w:r w:rsidRPr="000769E4">
                    <w:rPr>
                      <w:b/>
                      <w:bCs/>
                    </w:rPr>
                    <w:t>Micro-finance Unit</w:t>
                  </w:r>
                </w:p>
              </w:txbxContent>
            </v:textbox>
          </v:rect>
        </w:pict>
      </w:r>
      <w:r>
        <w:rPr>
          <w:rFonts w:asciiTheme="majorBidi" w:hAnsiTheme="majorBidi" w:cstheme="majorBidi"/>
          <w:b/>
          <w:bCs/>
          <w:noProof/>
          <w:sz w:val="28"/>
          <w:szCs w:val="28"/>
        </w:rPr>
        <w:pict>
          <v:rect id="_x0000_s1209" style="position:absolute;margin-left:225.2pt;margin-top:7.35pt;width:65.3pt;height:38.5pt;z-index:251802624" fillcolor="#ddd8c2 [2894]" strokecolor="black [3213]">
            <v:textbox style="mso-next-textbox:#_x0000_s1209">
              <w:txbxContent>
                <w:p w:rsidR="00095056" w:rsidRPr="000769E4" w:rsidRDefault="00095056" w:rsidP="000769E4">
                  <w:pPr>
                    <w:jc w:val="center"/>
                    <w:rPr>
                      <w:b/>
                      <w:bCs/>
                    </w:rPr>
                  </w:pPr>
                  <w:r w:rsidRPr="000769E4">
                    <w:rPr>
                      <w:b/>
                      <w:bCs/>
                    </w:rPr>
                    <w:t>Mortgage Unit</w:t>
                  </w:r>
                </w:p>
              </w:txbxContent>
            </v:textbox>
          </v:rect>
        </w:pict>
      </w:r>
      <w:r>
        <w:rPr>
          <w:rFonts w:asciiTheme="majorBidi" w:hAnsiTheme="majorBidi" w:cstheme="majorBidi"/>
          <w:b/>
          <w:bCs/>
          <w:noProof/>
          <w:sz w:val="28"/>
          <w:szCs w:val="28"/>
        </w:rPr>
        <w:pict>
          <v:rect id="_x0000_s1208" style="position:absolute;margin-left:142.35pt;margin-top:7.35pt;width:72.8pt;height:38.5pt;z-index:251801600" fillcolor="#ddd8c2 [2894]" strokecolor="black [3213]">
            <v:textbox style="mso-next-textbox:#_x0000_s1208">
              <w:txbxContent>
                <w:p w:rsidR="00095056" w:rsidRPr="000769E4" w:rsidRDefault="00095056" w:rsidP="000769E4">
                  <w:pPr>
                    <w:jc w:val="center"/>
                    <w:rPr>
                      <w:b/>
                      <w:bCs/>
                    </w:rPr>
                  </w:pPr>
                  <w:r w:rsidRPr="000769E4">
                    <w:rPr>
                      <w:b/>
                      <w:bCs/>
                    </w:rPr>
                    <w:t>Individuals Unit</w:t>
                  </w:r>
                </w:p>
              </w:txbxContent>
            </v:textbox>
          </v:rect>
        </w:pict>
      </w:r>
      <w:r>
        <w:rPr>
          <w:rFonts w:asciiTheme="majorBidi" w:hAnsiTheme="majorBidi" w:cstheme="majorBidi"/>
          <w:b/>
          <w:bCs/>
          <w:noProof/>
          <w:sz w:val="28"/>
          <w:szCs w:val="28"/>
        </w:rPr>
        <w:pict>
          <v:rect id="_x0000_s1207" style="position:absolute;margin-left:53.6pt;margin-top:7.35pt;width:74.5pt;height:38.5pt;z-index:251800576" fillcolor="#ddd8c2 [2894]" strokecolor="black [3213]">
            <v:textbox style="mso-next-textbox:#_x0000_s1207">
              <w:txbxContent>
                <w:p w:rsidR="00095056" w:rsidRPr="000769E4" w:rsidRDefault="00095056" w:rsidP="000769E4">
                  <w:pPr>
                    <w:jc w:val="center"/>
                    <w:rPr>
                      <w:b/>
                      <w:bCs/>
                    </w:rPr>
                  </w:pPr>
                  <w:r w:rsidRPr="000769E4">
                    <w:rPr>
                      <w:b/>
                      <w:bCs/>
                    </w:rPr>
                    <w:t>Corporate Unit</w:t>
                  </w:r>
                </w:p>
              </w:txbxContent>
            </v:textbox>
          </v:rect>
        </w:pict>
      </w:r>
    </w:p>
    <w:p w:rsidR="008606AB" w:rsidRDefault="008606AB" w:rsidP="008606AB">
      <w:pPr>
        <w:autoSpaceDE w:val="0"/>
        <w:autoSpaceDN w:val="0"/>
        <w:adjustRightInd w:val="0"/>
        <w:spacing w:after="0" w:line="360" w:lineRule="auto"/>
        <w:rPr>
          <w:rFonts w:asciiTheme="majorBidi" w:hAnsiTheme="majorBidi" w:cstheme="majorBidi"/>
          <w:b/>
          <w:bCs/>
          <w:sz w:val="28"/>
          <w:szCs w:val="28"/>
        </w:rPr>
      </w:pPr>
    </w:p>
    <w:p w:rsidR="002870BC" w:rsidRPr="00BA14F4" w:rsidRDefault="00BA14F4" w:rsidP="00625006">
      <w:pPr>
        <w:pStyle w:val="Default"/>
        <w:spacing w:before="300" w:after="300" w:line="360" w:lineRule="auto"/>
        <w:jc w:val="center"/>
        <w:rPr>
          <w:color w:val="auto"/>
          <w:sz w:val="20"/>
          <w:szCs w:val="20"/>
        </w:rPr>
      </w:pPr>
      <w:r w:rsidRPr="00BA14F4">
        <w:rPr>
          <w:rFonts w:asciiTheme="majorBidi" w:hAnsiTheme="majorBidi" w:cstheme="majorBidi"/>
          <w:color w:val="auto"/>
          <w:sz w:val="20"/>
          <w:szCs w:val="20"/>
        </w:rPr>
        <w:t>Source: Bank of Palestine</w:t>
      </w:r>
      <w:r w:rsidR="00A2127D">
        <w:rPr>
          <w:rFonts w:asciiTheme="majorBidi" w:hAnsiTheme="majorBidi" w:cstheme="majorBidi"/>
          <w:color w:val="auto"/>
          <w:sz w:val="20"/>
          <w:szCs w:val="20"/>
        </w:rPr>
        <w:t>’s</w:t>
      </w:r>
      <w:r w:rsidRPr="00BA14F4">
        <w:rPr>
          <w:rFonts w:asciiTheme="majorBidi" w:hAnsiTheme="majorBidi" w:cstheme="majorBidi"/>
          <w:color w:val="auto"/>
          <w:sz w:val="20"/>
          <w:szCs w:val="20"/>
        </w:rPr>
        <w:t xml:space="preserve"> Annual Report, 2012</w:t>
      </w:r>
    </w:p>
    <w:p w:rsidR="002870BC" w:rsidRDefault="002870BC" w:rsidP="00C60FA4">
      <w:pPr>
        <w:pStyle w:val="Default"/>
        <w:spacing w:before="300" w:after="300" w:line="360" w:lineRule="auto"/>
        <w:jc w:val="center"/>
        <w:rPr>
          <w:b/>
          <w:bCs/>
          <w:color w:val="auto"/>
          <w:sz w:val="22"/>
          <w:szCs w:val="22"/>
        </w:rPr>
      </w:pPr>
    </w:p>
    <w:p w:rsidR="00BD5CF9" w:rsidRDefault="00BD5CF9" w:rsidP="008F0D55">
      <w:pPr>
        <w:pStyle w:val="Default"/>
        <w:spacing w:before="300" w:after="300" w:line="360" w:lineRule="auto"/>
        <w:rPr>
          <w:b/>
          <w:bCs/>
          <w:color w:val="auto"/>
          <w:sz w:val="22"/>
          <w:szCs w:val="22"/>
        </w:rPr>
      </w:pPr>
    </w:p>
    <w:p w:rsidR="00FB145B" w:rsidRPr="00C60FA4" w:rsidRDefault="00F83F6A" w:rsidP="00C60FA4">
      <w:pPr>
        <w:pStyle w:val="Default"/>
        <w:spacing w:before="300" w:after="300" w:line="360" w:lineRule="auto"/>
        <w:jc w:val="center"/>
        <w:rPr>
          <w:b/>
          <w:bCs/>
          <w:sz w:val="22"/>
          <w:szCs w:val="22"/>
        </w:rPr>
      </w:pPr>
      <w:r w:rsidRPr="00C60FA4">
        <w:rPr>
          <w:b/>
          <w:bCs/>
          <w:color w:val="auto"/>
          <w:sz w:val="22"/>
          <w:szCs w:val="22"/>
        </w:rPr>
        <w:lastRenderedPageBreak/>
        <w:t>Figure 4.24</w:t>
      </w:r>
      <w:r w:rsidR="00FB145B" w:rsidRPr="00C60FA4">
        <w:rPr>
          <w:b/>
          <w:bCs/>
          <w:color w:val="auto"/>
          <w:sz w:val="22"/>
          <w:szCs w:val="22"/>
        </w:rPr>
        <w:t xml:space="preserve">: Credit risk </w:t>
      </w:r>
      <w:r w:rsidR="00721FE5">
        <w:rPr>
          <w:b/>
          <w:bCs/>
          <w:color w:val="auto"/>
          <w:sz w:val="22"/>
          <w:szCs w:val="22"/>
        </w:rPr>
        <w:t>management organizations at AlQ</w:t>
      </w:r>
      <w:r w:rsidR="00FB145B" w:rsidRPr="00C60FA4">
        <w:rPr>
          <w:b/>
          <w:bCs/>
          <w:color w:val="auto"/>
          <w:sz w:val="22"/>
          <w:szCs w:val="22"/>
        </w:rPr>
        <w:t>uds</w:t>
      </w:r>
      <w:r w:rsidR="00BA14F4">
        <w:rPr>
          <w:b/>
          <w:bCs/>
          <w:sz w:val="22"/>
          <w:szCs w:val="22"/>
        </w:rPr>
        <w:t xml:space="preserve"> bank </w:t>
      </w:r>
    </w:p>
    <w:p w:rsidR="00FB145B" w:rsidRDefault="007A78D1" w:rsidP="005F2037">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noProof/>
          <w:sz w:val="28"/>
          <w:szCs w:val="28"/>
        </w:rPr>
        <w:pict>
          <v:rect id="_x0000_s1219" style="position:absolute;margin-left:147.35pt;margin-top:19.9pt;width:104.65pt;height:29.3pt;z-index:251811840" fillcolor="#c0504d [3205]" strokecolor="#c0504d [3205]">
            <v:textbox style="mso-next-textbox:#_x0000_s1219">
              <w:txbxContent>
                <w:p w:rsidR="00095056" w:rsidRPr="00ED7850" w:rsidRDefault="00095056" w:rsidP="005F2037">
                  <w:pPr>
                    <w:shd w:val="clear" w:color="auto" w:fill="C0504D" w:themeFill="accent2"/>
                    <w:rPr>
                      <w:rFonts w:asciiTheme="majorBidi" w:hAnsiTheme="majorBidi" w:cstheme="majorBidi"/>
                      <w:b/>
                      <w:bCs/>
                    </w:rPr>
                  </w:pPr>
                  <w:r w:rsidRPr="00ED7850">
                    <w:rPr>
                      <w:rFonts w:asciiTheme="majorBidi" w:hAnsiTheme="majorBidi" w:cstheme="majorBidi"/>
                      <w:b/>
                      <w:bCs/>
                    </w:rPr>
                    <w:t>Board of Directors</w:t>
                  </w:r>
                </w:p>
              </w:txbxContent>
            </v:textbox>
          </v:rect>
        </w:pict>
      </w:r>
    </w:p>
    <w:p w:rsidR="00FB145B" w:rsidRDefault="00FB145B" w:rsidP="00C859F6">
      <w:pPr>
        <w:autoSpaceDE w:val="0"/>
        <w:autoSpaceDN w:val="0"/>
        <w:adjustRightInd w:val="0"/>
        <w:spacing w:after="0" w:line="360" w:lineRule="auto"/>
        <w:jc w:val="center"/>
        <w:rPr>
          <w:rFonts w:asciiTheme="majorBidi" w:hAnsiTheme="majorBidi" w:cstheme="majorBidi"/>
          <w:b/>
          <w:bCs/>
          <w:sz w:val="28"/>
          <w:szCs w:val="28"/>
        </w:rPr>
      </w:pPr>
    </w:p>
    <w:p w:rsidR="00FB145B" w:rsidRDefault="00CC2A30"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3920068" cy="3976370"/>
            <wp:effectExtent l="38100" t="0" r="23282"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rot="16200000">
                      <a:off x="0" y="0"/>
                      <a:ext cx="3932271" cy="3988748"/>
                    </a:xfrm>
                    <a:prstGeom prst="rect">
                      <a:avLst/>
                    </a:prstGeom>
                    <a:noFill/>
                    <a:ln w="9525">
                      <a:noFill/>
                      <a:miter lim="800000"/>
                      <a:headEnd/>
                      <a:tailEnd/>
                    </a:ln>
                  </pic:spPr>
                </pic:pic>
              </a:graphicData>
            </a:graphic>
          </wp:inline>
        </w:drawing>
      </w:r>
    </w:p>
    <w:p w:rsidR="008C0BF6" w:rsidRPr="00BA14F4" w:rsidRDefault="00721FE5" w:rsidP="00625006">
      <w:pPr>
        <w:autoSpaceDE w:val="0"/>
        <w:autoSpaceDN w:val="0"/>
        <w:adjustRightInd w:val="0"/>
        <w:spacing w:after="0" w:line="480" w:lineRule="auto"/>
        <w:jc w:val="center"/>
        <w:rPr>
          <w:rFonts w:asciiTheme="majorBidi" w:hAnsiTheme="majorBidi" w:cstheme="majorBidi"/>
          <w:sz w:val="20"/>
          <w:szCs w:val="20"/>
        </w:rPr>
      </w:pPr>
      <w:r w:rsidRPr="00BA14F4">
        <w:rPr>
          <w:rFonts w:asciiTheme="majorBidi" w:hAnsiTheme="majorBidi" w:cstheme="majorBidi"/>
          <w:sz w:val="20"/>
          <w:szCs w:val="20"/>
        </w:rPr>
        <w:t>Source: AlQ</w:t>
      </w:r>
      <w:r w:rsidR="00A2127D">
        <w:rPr>
          <w:rFonts w:asciiTheme="majorBidi" w:hAnsiTheme="majorBidi" w:cstheme="majorBidi"/>
          <w:sz w:val="20"/>
          <w:szCs w:val="20"/>
        </w:rPr>
        <w:t>uds bank’s Annual R</w:t>
      </w:r>
      <w:r w:rsidR="00063771" w:rsidRPr="00BA14F4">
        <w:rPr>
          <w:rFonts w:asciiTheme="majorBidi" w:hAnsiTheme="majorBidi" w:cstheme="majorBidi"/>
          <w:sz w:val="20"/>
          <w:szCs w:val="20"/>
        </w:rPr>
        <w:t>eport, 2012</w:t>
      </w:r>
    </w:p>
    <w:p w:rsidR="008C0BF6" w:rsidRPr="00F40043" w:rsidRDefault="00B76F11" w:rsidP="00625006">
      <w:pPr>
        <w:autoSpaceDE w:val="0"/>
        <w:autoSpaceDN w:val="0"/>
        <w:adjustRightInd w:val="0"/>
        <w:spacing w:after="0" w:line="480" w:lineRule="auto"/>
        <w:rPr>
          <w:rFonts w:asciiTheme="majorBidi" w:hAnsiTheme="majorBidi" w:cstheme="majorBidi"/>
          <w:sz w:val="24"/>
          <w:szCs w:val="24"/>
        </w:rPr>
      </w:pPr>
      <w:r w:rsidRPr="00F40043">
        <w:rPr>
          <w:rFonts w:asciiTheme="majorBidi" w:hAnsiTheme="majorBidi" w:cstheme="majorBidi"/>
          <w:sz w:val="24"/>
          <w:szCs w:val="24"/>
        </w:rPr>
        <w:t>b. Credit Granting Process</w:t>
      </w:r>
    </w:p>
    <w:p w:rsidR="008C0BF6" w:rsidRDefault="00B76F11" w:rsidP="005F65E1">
      <w:pPr>
        <w:autoSpaceDE w:val="0"/>
        <w:autoSpaceDN w:val="0"/>
        <w:adjustRightInd w:val="0"/>
        <w:spacing w:after="0" w:line="360" w:lineRule="auto"/>
        <w:jc w:val="both"/>
        <w:rPr>
          <w:rFonts w:asciiTheme="majorBidi" w:hAnsiTheme="majorBidi" w:cstheme="majorBidi"/>
          <w:sz w:val="24"/>
          <w:szCs w:val="24"/>
        </w:rPr>
      </w:pPr>
      <w:r w:rsidRPr="00F40043">
        <w:rPr>
          <w:rFonts w:asciiTheme="majorBidi" w:hAnsiTheme="majorBidi" w:cstheme="majorBidi"/>
          <w:sz w:val="24"/>
          <w:szCs w:val="24"/>
        </w:rPr>
        <w:t>Before the approval of the credit exposure</w:t>
      </w:r>
      <w:r w:rsidR="00064857">
        <w:rPr>
          <w:rFonts w:asciiTheme="majorBidi" w:hAnsiTheme="majorBidi" w:cstheme="majorBidi"/>
          <w:sz w:val="24"/>
          <w:szCs w:val="24"/>
        </w:rPr>
        <w:t>s, an assessment and analysis of the borrower’s</w:t>
      </w:r>
      <w:r w:rsidRPr="00F40043">
        <w:rPr>
          <w:rFonts w:asciiTheme="majorBidi" w:hAnsiTheme="majorBidi" w:cstheme="majorBidi"/>
          <w:sz w:val="24"/>
          <w:szCs w:val="24"/>
        </w:rPr>
        <w:t xml:space="preserve"> credit risk and credit</w:t>
      </w:r>
      <w:r w:rsidR="00F40043" w:rsidRPr="00F40043">
        <w:rPr>
          <w:rFonts w:asciiTheme="majorBidi" w:hAnsiTheme="majorBidi" w:cstheme="majorBidi"/>
          <w:sz w:val="24"/>
          <w:szCs w:val="24"/>
        </w:rPr>
        <w:t xml:space="preserve"> facilities is undertaken at Bo</w:t>
      </w:r>
      <w:r w:rsidRPr="00F40043">
        <w:rPr>
          <w:rFonts w:asciiTheme="majorBidi" w:hAnsiTheme="majorBidi" w:cstheme="majorBidi"/>
          <w:sz w:val="24"/>
          <w:szCs w:val="24"/>
        </w:rPr>
        <w:t>P, which includes a review of the purpose of the credit, sources of repayment. The affordability tests will be carried out, the repayment history, repayment capacity, sensitivity to economic and market developments as well as the risk-adjusted return are al</w:t>
      </w:r>
      <w:r w:rsidR="005F65E1">
        <w:rPr>
          <w:rFonts w:asciiTheme="majorBidi" w:hAnsiTheme="majorBidi" w:cstheme="majorBidi"/>
          <w:sz w:val="24"/>
          <w:szCs w:val="24"/>
        </w:rPr>
        <w:t>l examined</w:t>
      </w:r>
      <w:r w:rsidR="00625006">
        <w:rPr>
          <w:rFonts w:asciiTheme="majorBidi" w:hAnsiTheme="majorBidi" w:cstheme="majorBidi"/>
          <w:sz w:val="24"/>
          <w:szCs w:val="24"/>
        </w:rPr>
        <w:t xml:space="preserve">. </w:t>
      </w:r>
      <w:r w:rsidR="007D6162" w:rsidRPr="00F40043">
        <w:rPr>
          <w:rFonts w:asciiTheme="majorBidi" w:hAnsiTheme="majorBidi" w:cstheme="majorBidi"/>
          <w:sz w:val="24"/>
          <w:szCs w:val="24"/>
        </w:rPr>
        <w:t>At</w:t>
      </w:r>
      <w:r w:rsidR="005F65E1">
        <w:rPr>
          <w:rFonts w:asciiTheme="majorBidi" w:hAnsiTheme="majorBidi" w:cstheme="majorBidi"/>
          <w:sz w:val="24"/>
          <w:szCs w:val="24"/>
        </w:rPr>
        <w:t xml:space="preserve"> AL-Q</w:t>
      </w:r>
      <w:r w:rsidRPr="00F40043">
        <w:rPr>
          <w:rFonts w:asciiTheme="majorBidi" w:hAnsiTheme="majorBidi" w:cstheme="majorBidi"/>
          <w:sz w:val="24"/>
          <w:szCs w:val="24"/>
        </w:rPr>
        <w:t>uds</w:t>
      </w:r>
      <w:r w:rsidR="00572415" w:rsidRPr="00F40043">
        <w:rPr>
          <w:rFonts w:asciiTheme="majorBidi" w:hAnsiTheme="majorBidi" w:cstheme="majorBidi"/>
          <w:sz w:val="24"/>
          <w:szCs w:val="24"/>
        </w:rPr>
        <w:t>bank, the</w:t>
      </w:r>
      <w:r w:rsidRPr="00F40043">
        <w:rPr>
          <w:rFonts w:asciiTheme="majorBidi" w:hAnsiTheme="majorBidi" w:cstheme="majorBidi"/>
          <w:sz w:val="24"/>
          <w:szCs w:val="24"/>
        </w:rPr>
        <w:t xml:space="preserve"> granting of credit facilities is the responsibility of the credit facility</w:t>
      </w:r>
      <w:r w:rsidRPr="00AB387E">
        <w:rPr>
          <w:rFonts w:asciiTheme="majorBidi" w:hAnsiTheme="majorBidi" w:cstheme="majorBidi"/>
          <w:sz w:val="24"/>
          <w:szCs w:val="24"/>
        </w:rPr>
        <w:t xml:space="preserve"> committee in the bank and it</w:t>
      </w:r>
      <w:r w:rsidR="000B7094">
        <w:rPr>
          <w:rFonts w:asciiTheme="majorBidi" w:hAnsiTheme="majorBidi" w:cstheme="majorBidi"/>
          <w:sz w:val="24"/>
          <w:szCs w:val="24"/>
        </w:rPr>
        <w:t xml:space="preserve"> </w:t>
      </w:r>
      <w:r w:rsidRPr="00AB387E">
        <w:rPr>
          <w:rFonts w:asciiTheme="majorBidi" w:hAnsiTheme="majorBidi" w:cstheme="majorBidi"/>
          <w:sz w:val="24"/>
          <w:szCs w:val="24"/>
        </w:rPr>
        <w:t>conducts its work in accordance with the requirements of the credit policy which agrees with limits of</w:t>
      </w:r>
      <w:r w:rsidR="000B7094">
        <w:rPr>
          <w:rFonts w:asciiTheme="majorBidi" w:hAnsiTheme="majorBidi" w:cstheme="majorBidi"/>
          <w:sz w:val="24"/>
          <w:szCs w:val="24"/>
        </w:rPr>
        <w:t xml:space="preserve"> </w:t>
      </w:r>
      <w:r w:rsidRPr="00AB387E">
        <w:rPr>
          <w:rFonts w:asciiTheme="majorBidi" w:hAnsiTheme="majorBidi" w:cstheme="majorBidi"/>
          <w:sz w:val="24"/>
          <w:szCs w:val="24"/>
        </w:rPr>
        <w:t>applicable authorization. The committee studies each credit request separately from the reality of data</w:t>
      </w:r>
      <w:r w:rsidR="000B7094">
        <w:rPr>
          <w:rFonts w:asciiTheme="majorBidi" w:hAnsiTheme="majorBidi" w:cstheme="majorBidi"/>
          <w:sz w:val="24"/>
          <w:szCs w:val="24"/>
        </w:rPr>
        <w:t xml:space="preserve"> </w:t>
      </w:r>
      <w:r w:rsidRPr="00AB387E">
        <w:rPr>
          <w:rFonts w:asciiTheme="majorBidi" w:hAnsiTheme="majorBidi" w:cstheme="majorBidi"/>
          <w:sz w:val="24"/>
          <w:szCs w:val="24"/>
        </w:rPr>
        <w:t>provided by the client requesting the facility such as the audited financial statements, the statements</w:t>
      </w:r>
      <w:r w:rsidR="000B7094">
        <w:rPr>
          <w:rFonts w:asciiTheme="majorBidi" w:hAnsiTheme="majorBidi" w:cstheme="majorBidi"/>
          <w:sz w:val="24"/>
          <w:szCs w:val="24"/>
        </w:rPr>
        <w:t xml:space="preserve"> </w:t>
      </w:r>
      <w:r w:rsidRPr="00AB387E">
        <w:rPr>
          <w:rFonts w:asciiTheme="majorBidi" w:hAnsiTheme="majorBidi" w:cstheme="majorBidi"/>
          <w:sz w:val="24"/>
          <w:szCs w:val="24"/>
        </w:rPr>
        <w:t xml:space="preserve">of other </w:t>
      </w:r>
      <w:r w:rsidRPr="00AB387E">
        <w:rPr>
          <w:rFonts w:asciiTheme="majorBidi" w:hAnsiTheme="majorBidi" w:cstheme="majorBidi"/>
          <w:sz w:val="24"/>
          <w:szCs w:val="24"/>
        </w:rPr>
        <w:lastRenderedPageBreak/>
        <w:t>explanations on the financial solvency of the client, guarantees which is attainable, economic</w:t>
      </w:r>
      <w:r w:rsidR="000B7094">
        <w:rPr>
          <w:rFonts w:asciiTheme="majorBidi" w:hAnsiTheme="majorBidi" w:cstheme="majorBidi"/>
          <w:sz w:val="24"/>
          <w:szCs w:val="24"/>
        </w:rPr>
        <w:t xml:space="preserve"> </w:t>
      </w:r>
      <w:r w:rsidRPr="00AB387E">
        <w:rPr>
          <w:rFonts w:asciiTheme="majorBidi" w:hAnsiTheme="majorBidi" w:cstheme="majorBidi"/>
          <w:sz w:val="24"/>
          <w:szCs w:val="24"/>
        </w:rPr>
        <w:t>feasibility studies for projects subject for financing and the size of required credit.</w:t>
      </w:r>
    </w:p>
    <w:p w:rsidR="008C0BF6" w:rsidRPr="001F6BFA" w:rsidRDefault="001F6BFA" w:rsidP="008C0BF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C. </w:t>
      </w:r>
      <w:r w:rsidR="00B76F11" w:rsidRPr="001F6BFA">
        <w:rPr>
          <w:rFonts w:asciiTheme="majorBidi" w:hAnsiTheme="majorBidi" w:cstheme="majorBidi"/>
          <w:sz w:val="24"/>
          <w:szCs w:val="24"/>
        </w:rPr>
        <w:t>Quantitative Credit Risk Measurement</w:t>
      </w:r>
    </w:p>
    <w:p w:rsidR="008C0BF6" w:rsidRPr="001F6BFA" w:rsidRDefault="00791EAA" w:rsidP="00F873C9">
      <w:pPr>
        <w:pStyle w:val="ListParagraph"/>
        <w:numPr>
          <w:ilvl w:val="0"/>
          <w:numId w:val="28"/>
        </w:numPr>
        <w:autoSpaceDE w:val="0"/>
        <w:autoSpaceDN w:val="0"/>
        <w:adjustRightInd w:val="0"/>
        <w:spacing w:after="0" w:line="360" w:lineRule="auto"/>
        <w:jc w:val="both"/>
        <w:rPr>
          <w:rFonts w:asciiTheme="majorBidi" w:hAnsiTheme="majorBidi" w:cstheme="majorBidi"/>
          <w:sz w:val="24"/>
          <w:szCs w:val="24"/>
        </w:rPr>
      </w:pPr>
      <w:r w:rsidRPr="001F6BFA">
        <w:rPr>
          <w:rFonts w:asciiTheme="majorBidi" w:hAnsiTheme="majorBidi" w:cstheme="majorBidi"/>
          <w:sz w:val="23"/>
          <w:szCs w:val="23"/>
        </w:rPr>
        <w:t>Internal Credit Rating system</w:t>
      </w:r>
    </w:p>
    <w:p w:rsidR="008C0BF6" w:rsidRPr="005F65E1" w:rsidRDefault="00791EAA" w:rsidP="008C0BF6">
      <w:pPr>
        <w:autoSpaceDE w:val="0"/>
        <w:autoSpaceDN w:val="0"/>
        <w:adjustRightInd w:val="0"/>
        <w:spacing w:after="0" w:line="360" w:lineRule="auto"/>
        <w:ind w:left="360"/>
        <w:jc w:val="both"/>
        <w:rPr>
          <w:rFonts w:asciiTheme="majorBidi" w:hAnsiTheme="majorBidi" w:cstheme="majorBidi"/>
          <w:sz w:val="24"/>
          <w:szCs w:val="24"/>
        </w:rPr>
      </w:pPr>
      <w:r w:rsidRPr="005F65E1">
        <w:rPr>
          <w:rFonts w:asciiTheme="majorBidi" w:hAnsiTheme="majorBidi" w:cstheme="majorBidi"/>
          <w:sz w:val="24"/>
          <w:szCs w:val="24"/>
        </w:rPr>
        <w:t>The internal ratings used inside bank of Palestine (BOP) for assessing borrower credit quality,</w:t>
      </w:r>
      <w:r w:rsidR="002C4C4C" w:rsidRPr="005F65E1">
        <w:rPr>
          <w:rFonts w:asciiTheme="majorBidi" w:hAnsiTheme="majorBidi" w:cstheme="majorBidi"/>
          <w:sz w:val="24"/>
          <w:szCs w:val="24"/>
        </w:rPr>
        <w:t xml:space="preserve"> which</w:t>
      </w:r>
      <w:r w:rsidRPr="005F65E1">
        <w:rPr>
          <w:rFonts w:asciiTheme="majorBidi" w:hAnsiTheme="majorBidi" w:cstheme="majorBidi"/>
          <w:sz w:val="24"/>
          <w:szCs w:val="24"/>
        </w:rPr>
        <w:t xml:space="preserve"> based on the results from the</w:t>
      </w:r>
      <w:r w:rsidR="000B7094" w:rsidRPr="005F65E1">
        <w:rPr>
          <w:rFonts w:asciiTheme="majorBidi" w:hAnsiTheme="majorBidi" w:cstheme="majorBidi"/>
          <w:sz w:val="24"/>
          <w:szCs w:val="24"/>
        </w:rPr>
        <w:t xml:space="preserve"> </w:t>
      </w:r>
      <w:r w:rsidRPr="005F65E1">
        <w:rPr>
          <w:rFonts w:asciiTheme="majorBidi" w:hAnsiTheme="majorBidi" w:cstheme="majorBidi"/>
          <w:sz w:val="24"/>
          <w:szCs w:val="24"/>
        </w:rPr>
        <w:t>Probability of default (PD) models.  All the customers are assigne</w:t>
      </w:r>
      <w:r w:rsidR="00C621AD" w:rsidRPr="005F65E1">
        <w:rPr>
          <w:rFonts w:asciiTheme="majorBidi" w:hAnsiTheme="majorBidi" w:cstheme="majorBidi"/>
          <w:sz w:val="24"/>
          <w:szCs w:val="24"/>
        </w:rPr>
        <w:t>d credit ratings from 0% (lowest PD)</w:t>
      </w:r>
      <w:r w:rsidRPr="005F65E1">
        <w:rPr>
          <w:rFonts w:asciiTheme="majorBidi" w:hAnsiTheme="majorBidi" w:cstheme="majorBidi"/>
          <w:sz w:val="24"/>
          <w:szCs w:val="24"/>
        </w:rPr>
        <w:t>) to100% (highest</w:t>
      </w:r>
      <w:r w:rsidR="00C621AD" w:rsidRPr="005F65E1">
        <w:rPr>
          <w:rFonts w:asciiTheme="majorBidi" w:hAnsiTheme="majorBidi" w:cstheme="majorBidi"/>
          <w:sz w:val="24"/>
          <w:szCs w:val="24"/>
        </w:rPr>
        <w:t xml:space="preserve"> PD</w:t>
      </w:r>
      <w:r w:rsidRPr="005F65E1">
        <w:rPr>
          <w:rFonts w:asciiTheme="majorBidi" w:hAnsiTheme="majorBidi" w:cstheme="majorBidi"/>
          <w:sz w:val="24"/>
          <w:szCs w:val="24"/>
        </w:rPr>
        <w:t xml:space="preserve">), which then are mapped into a bank level rating </w:t>
      </w:r>
      <w:r w:rsidR="005D36D2" w:rsidRPr="005F65E1">
        <w:rPr>
          <w:rFonts w:asciiTheme="majorBidi" w:hAnsiTheme="majorBidi" w:cstheme="majorBidi"/>
          <w:sz w:val="24"/>
          <w:szCs w:val="24"/>
        </w:rPr>
        <w:t>scale from 1 to 8 degrees as reflection for asset quality</w:t>
      </w:r>
      <w:r w:rsidRPr="005F65E1">
        <w:rPr>
          <w:rFonts w:asciiTheme="majorBidi" w:hAnsiTheme="majorBidi" w:cstheme="majorBidi"/>
          <w:sz w:val="24"/>
          <w:szCs w:val="24"/>
        </w:rPr>
        <w:t>.</w:t>
      </w:r>
      <w:r w:rsidR="002C4C4C" w:rsidRPr="005F65E1">
        <w:rPr>
          <w:rFonts w:asciiTheme="majorBidi" w:hAnsiTheme="majorBidi" w:cstheme="majorBidi"/>
          <w:sz w:val="24"/>
          <w:szCs w:val="24"/>
        </w:rPr>
        <w:t xml:space="preserve"> Bank of Palestine (BOP) risk ratings from 1- 3 rated as low risk borrower, while 3-5 rated as acceptable risk borrower</w:t>
      </w:r>
      <w:r w:rsidR="005D36D2" w:rsidRPr="005F65E1">
        <w:rPr>
          <w:rFonts w:asciiTheme="majorBidi" w:hAnsiTheme="majorBidi" w:cstheme="majorBidi"/>
          <w:sz w:val="24"/>
          <w:szCs w:val="24"/>
        </w:rPr>
        <w:t xml:space="preserve"> and 5-8 high risk </w:t>
      </w:r>
      <w:r w:rsidR="000B7094" w:rsidRPr="005F65E1">
        <w:rPr>
          <w:rFonts w:asciiTheme="majorBidi" w:hAnsiTheme="majorBidi" w:cstheme="majorBidi"/>
          <w:sz w:val="24"/>
          <w:szCs w:val="24"/>
        </w:rPr>
        <w:t>borrower. Besides</w:t>
      </w:r>
      <w:r w:rsidR="00C621AD" w:rsidRPr="005F65E1">
        <w:rPr>
          <w:rFonts w:asciiTheme="majorBidi" w:hAnsiTheme="majorBidi" w:cstheme="majorBidi"/>
          <w:sz w:val="24"/>
          <w:szCs w:val="24"/>
        </w:rPr>
        <w:t xml:space="preserve"> the infor</w:t>
      </w:r>
      <w:r w:rsidR="00BB3566" w:rsidRPr="005F65E1">
        <w:rPr>
          <w:rFonts w:asciiTheme="majorBidi" w:hAnsiTheme="majorBidi" w:cstheme="majorBidi"/>
          <w:sz w:val="24"/>
          <w:szCs w:val="24"/>
        </w:rPr>
        <w:t>mation on asset quality grading and</w:t>
      </w:r>
      <w:r w:rsidR="00C621AD" w:rsidRPr="005F65E1">
        <w:rPr>
          <w:rFonts w:asciiTheme="majorBidi" w:hAnsiTheme="majorBidi" w:cstheme="majorBidi"/>
          <w:sz w:val="24"/>
          <w:szCs w:val="24"/>
        </w:rPr>
        <w:t xml:space="preserve"> the distribution of assets according to this grading is also provided by BOP, as shown in table 4.25.</w:t>
      </w:r>
      <w:r w:rsidR="00095056">
        <w:rPr>
          <w:rFonts w:asciiTheme="majorBidi" w:hAnsiTheme="majorBidi" w:cstheme="majorBidi"/>
          <w:sz w:val="24"/>
          <w:szCs w:val="24"/>
        </w:rPr>
        <w:t>while AL-Q</w:t>
      </w:r>
      <w:r w:rsidR="006207CA" w:rsidRPr="005F65E1">
        <w:rPr>
          <w:rFonts w:asciiTheme="majorBidi" w:hAnsiTheme="majorBidi" w:cstheme="majorBidi"/>
          <w:sz w:val="24"/>
          <w:szCs w:val="24"/>
        </w:rPr>
        <w:t>uds bank, the internal rating system assigned for assessing credit quality of borrowers is ranged from 1 (low risk) to 10 (high risk). The rating from 1-5, rated as low risk, from 6-8 is rated as acceptable (medium) risk and fr</w:t>
      </w:r>
      <w:r w:rsidR="00E656AE" w:rsidRPr="005F65E1">
        <w:rPr>
          <w:rFonts w:asciiTheme="majorBidi" w:hAnsiTheme="majorBidi" w:cstheme="majorBidi"/>
          <w:sz w:val="24"/>
          <w:szCs w:val="24"/>
        </w:rPr>
        <w:t xml:space="preserve">om 8-10 is rated as high risk as shown in table 4. 26. </w:t>
      </w:r>
    </w:p>
    <w:p w:rsidR="0094497A" w:rsidRPr="002870BC" w:rsidRDefault="00B76F11" w:rsidP="0094497A">
      <w:pPr>
        <w:autoSpaceDE w:val="0"/>
        <w:autoSpaceDN w:val="0"/>
        <w:adjustRightInd w:val="0"/>
        <w:spacing w:after="0" w:line="360" w:lineRule="auto"/>
        <w:ind w:left="360"/>
        <w:jc w:val="both"/>
        <w:rPr>
          <w:rFonts w:asciiTheme="majorBidi" w:hAnsiTheme="majorBidi" w:cstheme="majorBidi"/>
          <w:sz w:val="24"/>
          <w:szCs w:val="24"/>
        </w:rPr>
      </w:pPr>
      <w:r w:rsidRPr="002870BC">
        <w:rPr>
          <w:rFonts w:asciiTheme="majorBidi" w:hAnsiTheme="majorBidi" w:cstheme="majorBidi"/>
          <w:sz w:val="24"/>
          <w:szCs w:val="24"/>
        </w:rPr>
        <w:t>d. Credit Risk Exposure Management</w:t>
      </w:r>
    </w:p>
    <w:p w:rsidR="0094497A" w:rsidRDefault="00F40043" w:rsidP="00F73F18">
      <w:pPr>
        <w:autoSpaceDE w:val="0"/>
        <w:autoSpaceDN w:val="0"/>
        <w:adjustRightInd w:val="0"/>
        <w:spacing w:after="0" w:line="360" w:lineRule="auto"/>
        <w:ind w:left="360"/>
        <w:jc w:val="both"/>
        <w:rPr>
          <w:rFonts w:asciiTheme="majorBidi" w:hAnsiTheme="majorBidi" w:cstheme="majorBidi"/>
          <w:sz w:val="24"/>
          <w:szCs w:val="24"/>
        </w:rPr>
      </w:pPr>
      <w:r w:rsidRPr="0094497A">
        <w:rPr>
          <w:rFonts w:asciiTheme="majorBidi" w:hAnsiTheme="majorBidi" w:cstheme="majorBidi"/>
          <w:sz w:val="24"/>
          <w:szCs w:val="24"/>
        </w:rPr>
        <w:t>Bo</w:t>
      </w:r>
      <w:r w:rsidR="00B76F11" w:rsidRPr="0094497A">
        <w:rPr>
          <w:rFonts w:asciiTheme="majorBidi" w:hAnsiTheme="majorBidi" w:cstheme="majorBidi"/>
          <w:sz w:val="24"/>
          <w:szCs w:val="24"/>
        </w:rPr>
        <w:t>P has a very clear definition about the credit risk it will manage and has adopted “credit risk assets” as an internal measure of the bank’s exposure to its customers, which consist of loans and advances, installment c</w:t>
      </w:r>
      <w:r w:rsidR="00572415" w:rsidRPr="0094497A">
        <w:rPr>
          <w:rFonts w:asciiTheme="majorBidi" w:hAnsiTheme="majorBidi" w:cstheme="majorBidi"/>
          <w:sz w:val="24"/>
          <w:szCs w:val="24"/>
        </w:rPr>
        <w:t>redit</w:t>
      </w:r>
      <w:r w:rsidR="00B76F11" w:rsidRPr="0094497A">
        <w:rPr>
          <w:rFonts w:asciiTheme="majorBidi" w:hAnsiTheme="majorBidi" w:cstheme="majorBidi"/>
          <w:sz w:val="24"/>
          <w:szCs w:val="24"/>
        </w:rPr>
        <w:t>, debt securities and other traded instruments. Regarding the cre</w:t>
      </w:r>
      <w:r w:rsidRPr="0094497A">
        <w:rPr>
          <w:rFonts w:asciiTheme="majorBidi" w:hAnsiTheme="majorBidi" w:cstheme="majorBidi"/>
          <w:sz w:val="24"/>
          <w:szCs w:val="24"/>
        </w:rPr>
        <w:t>dit risk assets distribution, Bo</w:t>
      </w:r>
      <w:r w:rsidR="00B76F11" w:rsidRPr="0094497A">
        <w:rPr>
          <w:rFonts w:asciiTheme="majorBidi" w:hAnsiTheme="majorBidi" w:cstheme="majorBidi"/>
          <w:sz w:val="24"/>
          <w:szCs w:val="24"/>
        </w:rPr>
        <w:t>P has very comprehensive understanding and provides a detailed report according to industry sector, geographic areas and product as well as customer type respectively, which are shown in the following figures:</w:t>
      </w:r>
    </w:p>
    <w:p w:rsidR="00BD5CF9" w:rsidRPr="00BD5CF9" w:rsidRDefault="00BD5CF9" w:rsidP="00F73F18">
      <w:pPr>
        <w:autoSpaceDE w:val="0"/>
        <w:autoSpaceDN w:val="0"/>
        <w:adjustRightInd w:val="0"/>
        <w:spacing w:after="0" w:line="360" w:lineRule="auto"/>
        <w:ind w:left="360"/>
        <w:jc w:val="both"/>
        <w:rPr>
          <w:rFonts w:asciiTheme="majorBidi" w:hAnsiTheme="majorBidi" w:cstheme="majorBidi"/>
          <w:sz w:val="16"/>
          <w:szCs w:val="16"/>
          <w:vertAlign w:val="superscript"/>
        </w:rPr>
      </w:pPr>
    </w:p>
    <w:p w:rsidR="00FB145B" w:rsidRPr="00C60FA4" w:rsidRDefault="00A254D0" w:rsidP="005F65E1">
      <w:pPr>
        <w:autoSpaceDE w:val="0"/>
        <w:autoSpaceDN w:val="0"/>
        <w:adjustRightInd w:val="0"/>
        <w:spacing w:after="0" w:line="360" w:lineRule="auto"/>
        <w:jc w:val="center"/>
        <w:rPr>
          <w:rFonts w:asciiTheme="majorBidi" w:hAnsiTheme="majorBidi" w:cstheme="majorBidi"/>
          <w:b/>
          <w:bCs/>
        </w:rPr>
      </w:pPr>
      <w:r w:rsidRPr="00C60FA4">
        <w:rPr>
          <w:rFonts w:asciiTheme="majorBidi" w:hAnsiTheme="majorBidi" w:cstheme="majorBidi"/>
          <w:b/>
          <w:bCs/>
        </w:rPr>
        <w:t>Figure</w:t>
      </w:r>
      <w:r w:rsidR="00F83F6A" w:rsidRPr="00C60FA4">
        <w:rPr>
          <w:rFonts w:asciiTheme="majorBidi" w:hAnsiTheme="majorBidi" w:cstheme="majorBidi"/>
          <w:b/>
          <w:bCs/>
        </w:rPr>
        <w:t xml:space="preserve"> 4.25:</w:t>
      </w:r>
      <w:r w:rsidR="00F40043">
        <w:rPr>
          <w:rFonts w:asciiTheme="majorBidi" w:hAnsiTheme="majorBidi" w:cstheme="majorBidi"/>
          <w:b/>
          <w:bCs/>
        </w:rPr>
        <w:t xml:space="preserve"> Exposure to credit risk at Bo</w:t>
      </w:r>
      <w:r w:rsidR="007874D5" w:rsidRPr="00C60FA4">
        <w:rPr>
          <w:rFonts w:asciiTheme="majorBidi" w:hAnsiTheme="majorBidi" w:cstheme="majorBidi"/>
          <w:b/>
          <w:bCs/>
        </w:rPr>
        <w:t>P</w:t>
      </w:r>
    </w:p>
    <w:p w:rsidR="00187F0D" w:rsidRDefault="000533DB" w:rsidP="00187F0D">
      <w:pPr>
        <w:autoSpaceDE w:val="0"/>
        <w:autoSpaceDN w:val="0"/>
        <w:adjustRightInd w:val="0"/>
        <w:spacing w:after="0" w:line="360" w:lineRule="auto"/>
        <w:jc w:val="center"/>
        <w:rPr>
          <w:rFonts w:asciiTheme="majorBidi" w:eastAsia="Times New Roman" w:hAnsiTheme="majorBidi" w:cstheme="majorBidi"/>
          <w:sz w:val="24"/>
          <w:szCs w:val="24"/>
        </w:rPr>
      </w:pPr>
      <w:r w:rsidRPr="000533DB">
        <w:rPr>
          <w:rFonts w:asciiTheme="majorBidi" w:hAnsiTheme="majorBidi" w:cstheme="majorBidi"/>
          <w:b/>
          <w:bCs/>
          <w:noProof/>
          <w:sz w:val="24"/>
          <w:szCs w:val="24"/>
        </w:rPr>
        <w:drawing>
          <wp:inline distT="0" distB="0" distL="0" distR="0">
            <wp:extent cx="4538980" cy="1319917"/>
            <wp:effectExtent l="19050" t="0" r="1397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3F18" w:rsidRPr="00B75A19" w:rsidRDefault="001E1F07" w:rsidP="00625006">
      <w:pPr>
        <w:autoSpaceDE w:val="0"/>
        <w:autoSpaceDN w:val="0"/>
        <w:adjustRightInd w:val="0"/>
        <w:spacing w:after="0" w:line="360" w:lineRule="auto"/>
        <w:jc w:val="center"/>
        <w:rPr>
          <w:rFonts w:asciiTheme="majorBidi" w:hAnsiTheme="majorBidi" w:cstheme="majorBidi"/>
          <w:b/>
          <w:bCs/>
        </w:rPr>
      </w:pPr>
      <w:r w:rsidRPr="00194D4A">
        <w:rPr>
          <w:rFonts w:asciiTheme="majorBidi" w:eastAsia="Times New Roman" w:hAnsiTheme="majorBidi" w:cstheme="majorBidi"/>
        </w:rPr>
        <w:t>Source: Po</w:t>
      </w:r>
      <w:r w:rsidR="00D50A52" w:rsidRPr="00194D4A">
        <w:rPr>
          <w:rFonts w:asciiTheme="majorBidi" w:eastAsia="Times New Roman" w:hAnsiTheme="majorBidi" w:cstheme="majorBidi"/>
        </w:rPr>
        <w:t>B</w:t>
      </w:r>
      <w:r w:rsidR="00A2127D">
        <w:rPr>
          <w:rFonts w:asciiTheme="majorBidi" w:eastAsia="Times New Roman" w:hAnsiTheme="majorBidi" w:cstheme="majorBidi"/>
        </w:rPr>
        <w:t>’s Annual R</w:t>
      </w:r>
      <w:r w:rsidR="00D50A52" w:rsidRPr="00194D4A">
        <w:rPr>
          <w:rFonts w:asciiTheme="majorBidi" w:eastAsia="Times New Roman" w:hAnsiTheme="majorBidi" w:cstheme="majorBidi"/>
        </w:rPr>
        <w:t>eport, 2012</w:t>
      </w:r>
    </w:p>
    <w:p w:rsidR="00502966" w:rsidRDefault="00502966" w:rsidP="00C60FA4">
      <w:pPr>
        <w:autoSpaceDE w:val="0"/>
        <w:autoSpaceDN w:val="0"/>
        <w:adjustRightInd w:val="0"/>
        <w:spacing w:after="0" w:line="360" w:lineRule="auto"/>
        <w:jc w:val="center"/>
        <w:rPr>
          <w:rFonts w:asciiTheme="majorBidi" w:eastAsia="Times New Roman" w:hAnsiTheme="majorBidi" w:cstheme="majorBidi"/>
          <w:b/>
          <w:bCs/>
        </w:rPr>
      </w:pPr>
    </w:p>
    <w:p w:rsidR="00502966" w:rsidRDefault="00502966" w:rsidP="00C60FA4">
      <w:pPr>
        <w:autoSpaceDE w:val="0"/>
        <w:autoSpaceDN w:val="0"/>
        <w:adjustRightInd w:val="0"/>
        <w:spacing w:after="0" w:line="360" w:lineRule="auto"/>
        <w:jc w:val="center"/>
        <w:rPr>
          <w:rFonts w:asciiTheme="majorBidi" w:eastAsia="Times New Roman" w:hAnsiTheme="majorBidi" w:cstheme="majorBidi"/>
          <w:b/>
          <w:bCs/>
        </w:rPr>
      </w:pPr>
    </w:p>
    <w:p w:rsidR="007874D5" w:rsidRPr="00C60FA4" w:rsidRDefault="00A254D0" w:rsidP="00C60FA4">
      <w:pPr>
        <w:autoSpaceDE w:val="0"/>
        <w:autoSpaceDN w:val="0"/>
        <w:adjustRightInd w:val="0"/>
        <w:spacing w:after="0" w:line="360" w:lineRule="auto"/>
        <w:jc w:val="center"/>
        <w:rPr>
          <w:rFonts w:asciiTheme="majorBidi" w:hAnsiTheme="majorBidi" w:cstheme="majorBidi"/>
          <w:b/>
          <w:bCs/>
        </w:rPr>
      </w:pPr>
      <w:r w:rsidRPr="00C60FA4">
        <w:rPr>
          <w:rFonts w:asciiTheme="majorBidi" w:eastAsia="Times New Roman" w:hAnsiTheme="majorBidi" w:cstheme="majorBidi"/>
          <w:b/>
          <w:bCs/>
        </w:rPr>
        <w:t>Figure</w:t>
      </w:r>
      <w:r w:rsidR="007D6162">
        <w:rPr>
          <w:rFonts w:asciiTheme="majorBidi" w:eastAsia="Times New Roman" w:hAnsiTheme="majorBidi" w:cstheme="majorBidi"/>
          <w:b/>
          <w:bCs/>
        </w:rPr>
        <w:t xml:space="preserve"> </w:t>
      </w:r>
      <w:r w:rsidR="00F83F6A" w:rsidRPr="00C60FA4">
        <w:rPr>
          <w:rFonts w:asciiTheme="majorBidi" w:eastAsia="Times New Roman" w:hAnsiTheme="majorBidi" w:cstheme="majorBidi"/>
          <w:b/>
          <w:bCs/>
        </w:rPr>
        <w:t xml:space="preserve">4.26: </w:t>
      </w:r>
      <w:r w:rsidR="007874D5" w:rsidRPr="00C60FA4">
        <w:rPr>
          <w:rFonts w:asciiTheme="majorBidi" w:eastAsia="Times New Roman" w:hAnsiTheme="majorBidi" w:cstheme="majorBidi"/>
          <w:b/>
          <w:bCs/>
        </w:rPr>
        <w:t>Concentration of risk exposures according to the geographical area is as follows:</w:t>
      </w:r>
    </w:p>
    <w:p w:rsidR="00226EC6" w:rsidRPr="00226EC6" w:rsidRDefault="00226EC6" w:rsidP="00226EC6">
      <w:pPr>
        <w:autoSpaceDE w:val="0"/>
        <w:autoSpaceDN w:val="0"/>
        <w:adjustRightInd w:val="0"/>
        <w:spacing w:after="0" w:line="360" w:lineRule="auto"/>
        <w:rPr>
          <w:rFonts w:asciiTheme="majorBidi" w:hAnsiTheme="majorBidi" w:cstheme="majorBidi"/>
          <w:b/>
          <w:bCs/>
          <w:sz w:val="24"/>
          <w:szCs w:val="24"/>
        </w:rPr>
      </w:pPr>
    </w:p>
    <w:p w:rsidR="00FB145B" w:rsidRPr="007874D5" w:rsidRDefault="00DB2A74" w:rsidP="00625006">
      <w:pPr>
        <w:autoSpaceDE w:val="0"/>
        <w:autoSpaceDN w:val="0"/>
        <w:adjustRightInd w:val="0"/>
        <w:spacing w:after="0" w:line="240" w:lineRule="auto"/>
        <w:jc w:val="center"/>
        <w:rPr>
          <w:rFonts w:asciiTheme="majorBidi" w:hAnsiTheme="majorBidi" w:cstheme="majorBidi"/>
          <w:b/>
          <w:bCs/>
          <w:sz w:val="24"/>
          <w:szCs w:val="24"/>
        </w:rPr>
      </w:pPr>
      <w:r w:rsidRPr="00DB2A74">
        <w:rPr>
          <w:rFonts w:asciiTheme="majorBidi" w:hAnsiTheme="majorBidi" w:cstheme="majorBidi"/>
          <w:b/>
          <w:bCs/>
          <w:noProof/>
          <w:sz w:val="24"/>
          <w:szCs w:val="24"/>
        </w:rPr>
        <w:drawing>
          <wp:inline distT="0" distB="0" distL="0" distR="0">
            <wp:extent cx="4678597" cy="2202511"/>
            <wp:effectExtent l="19050" t="0" r="26753" b="7289"/>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87F0D" w:rsidRPr="00BA14F4" w:rsidRDefault="00F40043" w:rsidP="00625006">
      <w:pPr>
        <w:spacing w:before="245" w:after="27" w:line="240" w:lineRule="auto"/>
        <w:jc w:val="center"/>
        <w:textAlignment w:val="baseline"/>
        <w:rPr>
          <w:rFonts w:asciiTheme="majorBidi" w:eastAsia="Times New Roman" w:hAnsiTheme="majorBidi" w:cstheme="majorBidi"/>
          <w:color w:val="000000" w:themeColor="text1"/>
          <w:sz w:val="20"/>
          <w:szCs w:val="20"/>
        </w:rPr>
      </w:pPr>
      <w:r w:rsidRPr="00BA14F4">
        <w:rPr>
          <w:rFonts w:asciiTheme="majorBidi" w:eastAsia="Times New Roman" w:hAnsiTheme="majorBidi" w:cstheme="majorBidi"/>
          <w:sz w:val="20"/>
          <w:szCs w:val="20"/>
        </w:rPr>
        <w:t>Source: Po</w:t>
      </w:r>
      <w:r w:rsidR="00A2127D">
        <w:rPr>
          <w:rFonts w:asciiTheme="majorBidi" w:eastAsia="Times New Roman" w:hAnsiTheme="majorBidi" w:cstheme="majorBidi"/>
          <w:sz w:val="20"/>
          <w:szCs w:val="20"/>
        </w:rPr>
        <w:t>B’s Annual R</w:t>
      </w:r>
      <w:r w:rsidR="00D50A52" w:rsidRPr="00BA14F4">
        <w:rPr>
          <w:rFonts w:asciiTheme="majorBidi" w:eastAsia="Times New Roman" w:hAnsiTheme="majorBidi" w:cstheme="majorBidi"/>
          <w:sz w:val="20"/>
          <w:szCs w:val="20"/>
        </w:rPr>
        <w:t>eport, 2012</w:t>
      </w:r>
    </w:p>
    <w:p w:rsidR="007874D5" w:rsidRPr="00C60FA4" w:rsidRDefault="00A254D0" w:rsidP="00C60FA4">
      <w:pPr>
        <w:spacing w:before="245" w:after="27" w:line="264" w:lineRule="atLeast"/>
        <w:jc w:val="center"/>
        <w:textAlignment w:val="baseline"/>
        <w:rPr>
          <w:rFonts w:asciiTheme="majorBidi" w:eastAsia="Times New Roman" w:hAnsiTheme="majorBidi" w:cstheme="majorBidi"/>
          <w:b/>
          <w:bCs/>
          <w:color w:val="000000" w:themeColor="text1"/>
        </w:rPr>
      </w:pPr>
      <w:r w:rsidRPr="00C60FA4">
        <w:rPr>
          <w:rFonts w:asciiTheme="majorBidi" w:eastAsia="Times New Roman" w:hAnsiTheme="majorBidi" w:cstheme="majorBidi"/>
          <w:b/>
          <w:bCs/>
          <w:color w:val="000000" w:themeColor="text1"/>
        </w:rPr>
        <w:t>Figure</w:t>
      </w:r>
      <w:r w:rsidR="00F83F6A" w:rsidRPr="00C60FA4">
        <w:rPr>
          <w:rFonts w:asciiTheme="majorBidi" w:eastAsia="Times New Roman" w:hAnsiTheme="majorBidi" w:cstheme="majorBidi"/>
          <w:b/>
          <w:bCs/>
          <w:color w:val="000000" w:themeColor="text1"/>
        </w:rPr>
        <w:t xml:space="preserve"> 4.27: </w:t>
      </w:r>
      <w:r w:rsidR="007874D5" w:rsidRPr="00C60FA4">
        <w:rPr>
          <w:rFonts w:asciiTheme="majorBidi" w:eastAsia="Times New Roman" w:hAnsiTheme="majorBidi" w:cstheme="majorBidi"/>
          <w:b/>
          <w:bCs/>
          <w:color w:val="000000" w:themeColor="text1"/>
        </w:rPr>
        <w:t>Concentration of risk exposures according to economic sectors is as follows:</w:t>
      </w:r>
    </w:p>
    <w:p w:rsidR="00CC2A30" w:rsidRPr="009A0C78" w:rsidRDefault="00CC2A30" w:rsidP="007874D5">
      <w:pPr>
        <w:autoSpaceDE w:val="0"/>
        <w:autoSpaceDN w:val="0"/>
        <w:adjustRightInd w:val="0"/>
        <w:spacing w:after="0" w:line="360" w:lineRule="auto"/>
        <w:rPr>
          <w:rFonts w:asciiTheme="majorBidi" w:hAnsiTheme="majorBidi" w:cstheme="majorBidi"/>
          <w:b/>
          <w:bCs/>
          <w:sz w:val="24"/>
          <w:szCs w:val="24"/>
        </w:rPr>
      </w:pPr>
    </w:p>
    <w:p w:rsidR="00CC2A30" w:rsidRDefault="00A254D0" w:rsidP="00D50A52">
      <w:pPr>
        <w:autoSpaceDE w:val="0"/>
        <w:autoSpaceDN w:val="0"/>
        <w:adjustRightInd w:val="0"/>
        <w:spacing w:after="0" w:line="360" w:lineRule="auto"/>
        <w:jc w:val="center"/>
        <w:rPr>
          <w:rFonts w:asciiTheme="majorBidi" w:hAnsiTheme="majorBidi" w:cstheme="majorBidi"/>
          <w:b/>
          <w:bCs/>
          <w:sz w:val="28"/>
          <w:szCs w:val="28"/>
        </w:rPr>
      </w:pPr>
      <w:r w:rsidRPr="00A254D0">
        <w:rPr>
          <w:rFonts w:asciiTheme="majorBidi" w:hAnsiTheme="majorBidi" w:cstheme="majorBidi"/>
          <w:b/>
          <w:bCs/>
          <w:noProof/>
          <w:sz w:val="28"/>
          <w:szCs w:val="28"/>
        </w:rPr>
        <w:drawing>
          <wp:inline distT="0" distB="0" distL="0" distR="0">
            <wp:extent cx="4391108" cy="2552369"/>
            <wp:effectExtent l="19050" t="0" r="28492" b="331"/>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C2A30" w:rsidRPr="00BA14F4" w:rsidRDefault="00F40043" w:rsidP="00625006">
      <w:pPr>
        <w:autoSpaceDE w:val="0"/>
        <w:autoSpaceDN w:val="0"/>
        <w:adjustRightInd w:val="0"/>
        <w:spacing w:after="0" w:line="360" w:lineRule="auto"/>
        <w:jc w:val="center"/>
        <w:rPr>
          <w:rFonts w:asciiTheme="majorBidi" w:hAnsiTheme="majorBidi" w:cstheme="majorBidi"/>
          <w:b/>
          <w:bCs/>
          <w:sz w:val="20"/>
          <w:szCs w:val="20"/>
        </w:rPr>
      </w:pPr>
      <w:r w:rsidRPr="00BA14F4">
        <w:rPr>
          <w:rFonts w:asciiTheme="majorBidi" w:eastAsia="Times New Roman" w:hAnsiTheme="majorBidi" w:cstheme="majorBidi"/>
          <w:sz w:val="20"/>
          <w:szCs w:val="20"/>
        </w:rPr>
        <w:t>Source: Po</w:t>
      </w:r>
      <w:r w:rsidR="00D50A52" w:rsidRPr="00BA14F4">
        <w:rPr>
          <w:rFonts w:asciiTheme="majorBidi" w:eastAsia="Times New Roman" w:hAnsiTheme="majorBidi" w:cstheme="majorBidi"/>
          <w:sz w:val="20"/>
          <w:szCs w:val="20"/>
        </w:rPr>
        <w:t>B</w:t>
      </w:r>
      <w:r w:rsidR="00A2127D">
        <w:rPr>
          <w:rFonts w:asciiTheme="majorBidi" w:eastAsia="Times New Roman" w:hAnsiTheme="majorBidi" w:cstheme="majorBidi"/>
          <w:sz w:val="20"/>
          <w:szCs w:val="20"/>
        </w:rPr>
        <w:t>’s Annual R</w:t>
      </w:r>
      <w:r w:rsidR="00D50A52" w:rsidRPr="00BA14F4">
        <w:rPr>
          <w:rFonts w:asciiTheme="majorBidi" w:eastAsia="Times New Roman" w:hAnsiTheme="majorBidi" w:cstheme="majorBidi"/>
          <w:sz w:val="20"/>
          <w:szCs w:val="20"/>
        </w:rPr>
        <w:t>eport, 2012</w:t>
      </w:r>
    </w:p>
    <w:p w:rsidR="00D36D3E" w:rsidRPr="008C0BF6" w:rsidRDefault="00D36D3E" w:rsidP="00507D05">
      <w:pPr>
        <w:spacing w:after="0" w:line="360" w:lineRule="auto"/>
        <w:jc w:val="both"/>
        <w:rPr>
          <w:rFonts w:asciiTheme="majorBidi" w:hAnsiTheme="majorBidi" w:cstheme="majorBidi"/>
          <w:color w:val="C00000"/>
          <w:sz w:val="24"/>
          <w:szCs w:val="24"/>
        </w:rPr>
      </w:pPr>
      <w:r w:rsidRPr="006F0835">
        <w:rPr>
          <w:rFonts w:asciiTheme="majorBidi" w:hAnsiTheme="majorBidi" w:cstheme="majorBidi"/>
          <w:sz w:val="24"/>
          <w:szCs w:val="24"/>
        </w:rPr>
        <w:t>To assess the potential concentration risk that arises from within the loan portfolio, industry, geography and product as well as customer type, analysis play</w:t>
      </w:r>
      <w:r w:rsidR="002870BC">
        <w:rPr>
          <w:rFonts w:asciiTheme="majorBidi" w:hAnsiTheme="majorBidi" w:cstheme="majorBidi"/>
          <w:sz w:val="24"/>
          <w:szCs w:val="24"/>
        </w:rPr>
        <w:t>s</w:t>
      </w:r>
      <w:r w:rsidRPr="006F0835">
        <w:rPr>
          <w:rFonts w:asciiTheme="majorBidi" w:hAnsiTheme="majorBidi" w:cstheme="majorBidi"/>
          <w:sz w:val="24"/>
          <w:szCs w:val="24"/>
        </w:rPr>
        <w:t xml:space="preserve"> a very important part since credit concentration issue is given particular attention at bank of Palestine, where relevant information can be found in an independent part of their annual report named “Credit Concentration”.  From</w:t>
      </w:r>
      <w:r w:rsidR="00572415">
        <w:rPr>
          <w:rFonts w:asciiTheme="majorBidi" w:hAnsiTheme="majorBidi" w:cstheme="majorBidi"/>
          <w:sz w:val="24"/>
          <w:szCs w:val="24"/>
        </w:rPr>
        <w:t xml:space="preserve"> the prior figures,</w:t>
      </w:r>
      <w:r w:rsidRPr="006F0835">
        <w:rPr>
          <w:rFonts w:asciiTheme="majorBidi" w:hAnsiTheme="majorBidi" w:cstheme="majorBidi"/>
          <w:sz w:val="24"/>
          <w:szCs w:val="24"/>
        </w:rPr>
        <w:t xml:space="preserve"> some facts and numbers about the bank’s risk exposure distribution can be </w:t>
      </w:r>
      <w:r w:rsidRPr="006F0835">
        <w:rPr>
          <w:rFonts w:asciiTheme="majorBidi" w:hAnsiTheme="majorBidi" w:cstheme="majorBidi"/>
          <w:sz w:val="24"/>
          <w:szCs w:val="24"/>
        </w:rPr>
        <w:lastRenderedPageBreak/>
        <w:t>generated. For instance, considerin</w:t>
      </w:r>
      <w:r>
        <w:rPr>
          <w:rFonts w:asciiTheme="majorBidi" w:hAnsiTheme="majorBidi" w:cstheme="majorBidi"/>
          <w:sz w:val="24"/>
          <w:szCs w:val="24"/>
        </w:rPr>
        <w:t xml:space="preserve">g geographical areas, the </w:t>
      </w:r>
      <w:r w:rsidRPr="006F0835">
        <w:rPr>
          <w:rFonts w:asciiTheme="majorBidi" w:hAnsiTheme="majorBidi" w:cstheme="majorBidi"/>
          <w:sz w:val="24"/>
          <w:szCs w:val="24"/>
        </w:rPr>
        <w:t>largest exposures are in the local market</w:t>
      </w:r>
      <w:r>
        <w:rPr>
          <w:rFonts w:asciiTheme="majorBidi" w:hAnsiTheme="majorBidi" w:cstheme="majorBidi"/>
          <w:sz w:val="24"/>
          <w:szCs w:val="24"/>
        </w:rPr>
        <w:t xml:space="preserve"> (Palestine) about 60% of total risk exposures are in Palestine.</w:t>
      </w:r>
      <w:r w:rsidRPr="006F0835">
        <w:rPr>
          <w:rFonts w:asciiTheme="majorBidi" w:hAnsiTheme="majorBidi" w:cstheme="majorBidi"/>
          <w:sz w:val="24"/>
          <w:szCs w:val="24"/>
        </w:rPr>
        <w:t xml:space="preserve"> And through differentiating credit risk assets by products and customer type, it is shown that credit risk exposures through direct credit facilities to individuals, corporate and public sector are 36%, 31% and 32% respectively. </w:t>
      </w:r>
      <w:r>
        <w:rPr>
          <w:rFonts w:asciiTheme="majorBidi" w:hAnsiTheme="majorBidi" w:cstheme="majorBidi"/>
          <w:sz w:val="24"/>
          <w:szCs w:val="24"/>
        </w:rPr>
        <w:t xml:space="preserve">It should be noted that, according to PMA instructions investment or lending in each economic sector must not exceed 20% of the total bank’s credit portfolio. </w:t>
      </w:r>
      <w:r w:rsidRPr="006F0835">
        <w:rPr>
          <w:rFonts w:asciiTheme="majorBidi" w:hAnsiTheme="majorBidi" w:cstheme="majorBidi"/>
          <w:sz w:val="24"/>
          <w:szCs w:val="24"/>
        </w:rPr>
        <w:t xml:space="preserve">For instance, considering </w:t>
      </w:r>
      <w:r>
        <w:rPr>
          <w:rFonts w:asciiTheme="majorBidi" w:hAnsiTheme="majorBidi" w:cstheme="majorBidi"/>
          <w:sz w:val="24"/>
          <w:szCs w:val="24"/>
        </w:rPr>
        <w:t>economic sector, the bank is largely exposure to public sector with 32% of the credit portfolio. Besides, BOP</w:t>
      </w:r>
      <w:r w:rsidRPr="0072465A">
        <w:rPr>
          <w:rFonts w:asciiTheme="majorBidi" w:hAnsiTheme="majorBidi" w:cstheme="majorBidi"/>
          <w:sz w:val="24"/>
          <w:szCs w:val="24"/>
        </w:rPr>
        <w:t xml:space="preserve"> also includes maturity analysis on its</w:t>
      </w:r>
      <w:r>
        <w:rPr>
          <w:rFonts w:asciiTheme="majorBidi" w:hAnsiTheme="majorBidi" w:cstheme="majorBidi"/>
          <w:sz w:val="24"/>
          <w:szCs w:val="24"/>
        </w:rPr>
        <w:t xml:space="preserve"> assets and liabilities according to their maturities</w:t>
      </w:r>
      <w:r w:rsidRPr="0072465A">
        <w:rPr>
          <w:rFonts w:asciiTheme="majorBidi" w:hAnsiTheme="majorBidi" w:cstheme="majorBidi"/>
          <w:sz w:val="24"/>
          <w:szCs w:val="24"/>
        </w:rPr>
        <w:t>, as shown in the following table.</w:t>
      </w:r>
    </w:p>
    <w:p w:rsidR="00D50A52" w:rsidRPr="00C60FA4" w:rsidRDefault="00D50A52" w:rsidP="00507D05">
      <w:pPr>
        <w:autoSpaceDE w:val="0"/>
        <w:autoSpaceDN w:val="0"/>
        <w:adjustRightInd w:val="0"/>
        <w:spacing w:after="0" w:line="360" w:lineRule="auto"/>
        <w:jc w:val="center"/>
        <w:rPr>
          <w:rFonts w:asciiTheme="majorBidi" w:hAnsiTheme="majorBidi" w:cstheme="majorBidi"/>
          <w:b/>
          <w:bCs/>
        </w:rPr>
      </w:pPr>
      <w:r w:rsidRPr="00C60FA4">
        <w:rPr>
          <w:rFonts w:asciiTheme="majorBidi" w:hAnsiTheme="majorBidi" w:cstheme="majorBidi"/>
          <w:b/>
          <w:bCs/>
        </w:rPr>
        <w:t>Table</w:t>
      </w:r>
      <w:r w:rsidR="00F36759">
        <w:rPr>
          <w:rFonts w:asciiTheme="majorBidi" w:hAnsiTheme="majorBidi" w:cstheme="majorBidi"/>
          <w:b/>
          <w:bCs/>
        </w:rPr>
        <w:t xml:space="preserve"> </w:t>
      </w:r>
      <w:r w:rsidR="002E3E3E" w:rsidRPr="00C60FA4">
        <w:rPr>
          <w:rFonts w:asciiTheme="majorBidi" w:hAnsiTheme="majorBidi" w:cstheme="majorBidi"/>
          <w:b/>
          <w:bCs/>
        </w:rPr>
        <w:t>4.24:</w:t>
      </w:r>
      <w:r w:rsidRPr="00C60FA4">
        <w:rPr>
          <w:rFonts w:asciiTheme="majorBidi" w:hAnsiTheme="majorBidi" w:cstheme="majorBidi"/>
          <w:b/>
          <w:bCs/>
        </w:rPr>
        <w:t xml:space="preserve"> Distribution of a</w:t>
      </w:r>
      <w:r w:rsidR="00F40043">
        <w:rPr>
          <w:rFonts w:asciiTheme="majorBidi" w:hAnsiTheme="majorBidi" w:cstheme="majorBidi"/>
          <w:b/>
          <w:bCs/>
        </w:rPr>
        <w:t>ssets according to maturity at Po</w:t>
      </w:r>
      <w:r w:rsidRPr="00C60FA4">
        <w:rPr>
          <w:rFonts w:asciiTheme="majorBidi" w:hAnsiTheme="majorBidi" w:cstheme="majorBidi"/>
          <w:b/>
          <w:bCs/>
        </w:rPr>
        <w:t>B</w:t>
      </w:r>
    </w:p>
    <w:tbl>
      <w:tblPr>
        <w:tblW w:w="7027" w:type="dxa"/>
        <w:jc w:val="center"/>
        <w:tblInd w:w="-344" w:type="dxa"/>
        <w:tblBorders>
          <w:top w:val="double" w:sz="4" w:space="0" w:color="auto"/>
          <w:left w:val="double" w:sz="4" w:space="0" w:color="auto"/>
          <w:bottom w:val="double" w:sz="4" w:space="0" w:color="auto"/>
          <w:right w:val="double" w:sz="4" w:space="0" w:color="auto"/>
        </w:tblBorders>
        <w:shd w:val="clear" w:color="auto" w:fill="FFFFFF"/>
        <w:tblCellMar>
          <w:left w:w="0" w:type="dxa"/>
          <w:right w:w="0" w:type="dxa"/>
        </w:tblCellMar>
        <w:tblLook w:val="04A0"/>
      </w:tblPr>
      <w:tblGrid>
        <w:gridCol w:w="1834"/>
        <w:gridCol w:w="1263"/>
        <w:gridCol w:w="165"/>
        <w:gridCol w:w="1056"/>
        <w:gridCol w:w="170"/>
        <w:gridCol w:w="1113"/>
        <w:gridCol w:w="163"/>
        <w:gridCol w:w="1263"/>
      </w:tblGrid>
      <w:tr w:rsidR="00D36D3E" w:rsidRPr="008C0BF6" w:rsidTr="00554A5F">
        <w:trPr>
          <w:trHeight w:val="202"/>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Up to 1 year</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More than 1 year</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Without</w:t>
            </w:r>
            <w:r w:rsidRPr="008C0BF6">
              <w:rPr>
                <w:rFonts w:asciiTheme="majorBidi" w:eastAsia="Times New Roman" w:hAnsiTheme="majorBidi" w:cstheme="majorBidi"/>
                <w:b/>
                <w:bCs/>
                <w:color w:val="666666"/>
                <w:sz w:val="20"/>
                <w:szCs w:val="20"/>
                <w:bdr w:val="none" w:sz="0" w:space="0" w:color="auto" w:frame="1"/>
              </w:rPr>
              <w:br/>
              <w:t> maturity</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Total</w:t>
            </w:r>
          </w:p>
        </w:tc>
      </w:tr>
      <w:tr w:rsidR="00D36D3E" w:rsidRPr="008C0BF6" w:rsidTr="00554A5F">
        <w:trPr>
          <w:trHeight w:val="105"/>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u w:val="single"/>
                <w:bdr w:val="none" w:sz="0" w:space="0" w:color="auto" w:frame="1"/>
              </w:rPr>
              <w:t>December 31, 2012</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U.S.$</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U.S.$</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U.S.$</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U.S.$</w:t>
            </w:r>
          </w:p>
        </w:tc>
      </w:tr>
      <w:tr w:rsidR="00D36D3E" w:rsidRPr="008C0BF6" w:rsidTr="00554A5F">
        <w:trPr>
          <w:trHeight w:val="105"/>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smallCaps/>
                <w:color w:val="666666"/>
                <w:sz w:val="20"/>
                <w:szCs w:val="20"/>
                <w:u w:val="single"/>
                <w:bdr w:val="none" w:sz="0" w:space="0" w:color="auto" w:frame="1"/>
                <w:lang w:val="en-GB"/>
              </w:rPr>
              <w:t>Assets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righ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5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r>
      <w:tr w:rsidR="00D36D3E" w:rsidRPr="008C0BF6" w:rsidTr="00554A5F">
        <w:trPr>
          <w:trHeight w:val="149"/>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Cash and balances with PMA</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268,691,805</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127,963,908</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396,655,713</w:t>
            </w:r>
          </w:p>
        </w:tc>
      </w:tr>
      <w:tr w:rsidR="00D36D3E" w:rsidRPr="008C0BF6" w:rsidTr="00554A5F">
        <w:trPr>
          <w:trHeight w:val="202"/>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71"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Balances at banks and financial</w:t>
            </w:r>
            <w:r w:rsidRPr="008C0BF6">
              <w:rPr>
                <w:rFonts w:asciiTheme="majorBidi" w:eastAsia="Times New Roman" w:hAnsiTheme="majorBidi" w:cstheme="majorBidi"/>
                <w:b/>
                <w:bCs/>
                <w:color w:val="666666"/>
                <w:sz w:val="20"/>
                <w:szCs w:val="20"/>
                <w:bdr w:val="none" w:sz="0" w:space="0" w:color="auto" w:frame="1"/>
              </w:rPr>
              <w:br/>
              <w:t>institutions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415,255,368</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602,110</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415,857,478</w:t>
            </w:r>
          </w:p>
        </w:tc>
      </w:tr>
      <w:tr w:rsidR="00D36D3E" w:rsidRPr="008C0BF6" w:rsidTr="00554A5F">
        <w:trPr>
          <w:trHeight w:val="141"/>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71"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Financial assets at fair value through profit or loss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25,224,350</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8,203,971</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33,428,321</w:t>
            </w:r>
          </w:p>
        </w:tc>
      </w:tr>
      <w:tr w:rsidR="00D36D3E" w:rsidRPr="008C0BF6" w:rsidTr="00554A5F">
        <w:trPr>
          <w:trHeight w:val="141"/>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Direct credit facilities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678,808,779</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297,586,149</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976,394,928</w:t>
            </w:r>
          </w:p>
        </w:tc>
      </w:tr>
      <w:tr w:rsidR="00D36D3E" w:rsidRPr="008C0BF6" w:rsidTr="00554A5F">
        <w:trPr>
          <w:trHeight w:val="202"/>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71"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Financial assets at fair value through other comprehensive income</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25,761,983</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25,761,983</w:t>
            </w:r>
          </w:p>
        </w:tc>
      </w:tr>
      <w:tr w:rsidR="00D36D3E" w:rsidRPr="008C0BF6" w:rsidTr="00554A5F">
        <w:trPr>
          <w:trHeight w:val="149"/>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Financial assets at amortized cost</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25,518,962</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61,215,812</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86,734,774</w:t>
            </w:r>
          </w:p>
        </w:tc>
      </w:tr>
      <w:tr w:rsidR="00D36D3E" w:rsidRPr="008C0BF6" w:rsidTr="00554A5F">
        <w:trPr>
          <w:trHeight w:val="141"/>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Investment in an associate</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11,524,968</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11,524,968</w:t>
            </w:r>
          </w:p>
        </w:tc>
      </w:tr>
      <w:tr w:rsidR="00D36D3E" w:rsidRPr="008C0BF6" w:rsidTr="00554A5F">
        <w:trPr>
          <w:trHeight w:val="149"/>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Property, plant and equipment</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38,827,061</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38,827,061</w:t>
            </w:r>
          </w:p>
        </w:tc>
      </w:tr>
      <w:tr w:rsidR="00D36D3E" w:rsidRPr="008C0BF6" w:rsidTr="00554A5F">
        <w:trPr>
          <w:trHeight w:val="141"/>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Project in progress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5,040,203</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5,040,203</w:t>
            </w:r>
          </w:p>
        </w:tc>
      </w:tr>
      <w:tr w:rsidR="00D36D3E" w:rsidRPr="008C0BF6" w:rsidTr="00554A5F">
        <w:trPr>
          <w:trHeight w:val="141"/>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Other assets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7,079,626</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7,189,040</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14,268,666</w:t>
            </w:r>
          </w:p>
        </w:tc>
      </w:tr>
      <w:tr w:rsidR="00D36D3E" w:rsidRPr="008C0BF6" w:rsidTr="00294944">
        <w:trPr>
          <w:trHeight w:val="80"/>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554A5F">
            <w:pPr>
              <w:spacing w:after="0" w:line="149" w:lineRule="atLeast"/>
              <w:ind w:left="217" w:right="-107" w:hanging="217"/>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Total Assets</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1,395,354,540</w:t>
            </w:r>
          </w:p>
        </w:tc>
        <w:tc>
          <w:tcPr>
            <w:tcW w:w="165"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056"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384,026,311</w:t>
            </w:r>
          </w:p>
        </w:tc>
        <w:tc>
          <w:tcPr>
            <w:tcW w:w="170"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11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225,113,244</w:t>
            </w:r>
          </w:p>
        </w:tc>
        <w:tc>
          <w:tcPr>
            <w:tcW w:w="1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 </w:t>
            </w:r>
          </w:p>
        </w:tc>
        <w:tc>
          <w:tcPr>
            <w:tcW w:w="1263" w:type="dxa"/>
            <w:shd w:val="clear" w:color="auto" w:fill="auto"/>
            <w:tcMar>
              <w:top w:w="0" w:type="dxa"/>
              <w:left w:w="28" w:type="dxa"/>
              <w:bottom w:w="0" w:type="dxa"/>
              <w:right w:w="28" w:type="dxa"/>
            </w:tcMar>
            <w:vAlign w:val="bottom"/>
            <w:hideMark/>
          </w:tcPr>
          <w:p w:rsidR="00D36D3E" w:rsidRPr="008C0BF6" w:rsidRDefault="00D36D3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8C0BF6">
              <w:rPr>
                <w:rFonts w:asciiTheme="majorBidi" w:eastAsia="Times New Roman" w:hAnsiTheme="majorBidi" w:cstheme="majorBidi"/>
                <w:b/>
                <w:bCs/>
                <w:color w:val="666666"/>
                <w:sz w:val="20"/>
                <w:szCs w:val="20"/>
                <w:bdr w:val="none" w:sz="0" w:space="0" w:color="auto" w:frame="1"/>
              </w:rPr>
              <w:t>2,004,494,095</w:t>
            </w:r>
          </w:p>
        </w:tc>
      </w:tr>
      <w:tr w:rsidR="00D36D3E" w:rsidRPr="008C0BF6" w:rsidTr="00A8717D">
        <w:trPr>
          <w:trHeight w:val="80"/>
          <w:jc w:val="center"/>
        </w:trPr>
        <w:tc>
          <w:tcPr>
            <w:tcW w:w="1834" w:type="dxa"/>
            <w:shd w:val="clear" w:color="auto" w:fill="auto"/>
            <w:tcMar>
              <w:top w:w="0" w:type="dxa"/>
              <w:left w:w="28" w:type="dxa"/>
              <w:bottom w:w="0" w:type="dxa"/>
              <w:right w:w="28" w:type="dxa"/>
            </w:tcMar>
            <w:vAlign w:val="bottom"/>
            <w:hideMark/>
          </w:tcPr>
          <w:p w:rsidR="00D36D3E" w:rsidRPr="008C0BF6" w:rsidRDefault="00D36D3E" w:rsidP="00625006">
            <w:pPr>
              <w:spacing w:after="0" w:line="480" w:lineRule="auto"/>
              <w:ind w:left="217" w:hanging="217"/>
              <w:textAlignment w:val="baseline"/>
              <w:rPr>
                <w:rFonts w:asciiTheme="majorBidi" w:eastAsia="Times New Roman" w:hAnsiTheme="majorBidi" w:cstheme="majorBidi"/>
                <w:b/>
                <w:bCs/>
                <w:color w:val="666666"/>
                <w:sz w:val="20"/>
                <w:szCs w:val="20"/>
                <w:bdr w:val="none" w:sz="0" w:space="0" w:color="auto" w:frame="1"/>
              </w:rPr>
            </w:pPr>
            <w:r w:rsidRPr="008C0BF6">
              <w:rPr>
                <w:rFonts w:asciiTheme="majorBidi" w:eastAsia="Times New Roman" w:hAnsiTheme="majorBidi" w:cstheme="majorBidi"/>
                <w:b/>
                <w:bCs/>
                <w:color w:val="666666"/>
                <w:sz w:val="20"/>
                <w:szCs w:val="20"/>
                <w:bdr w:val="none" w:sz="0" w:space="0" w:color="auto" w:frame="1"/>
              </w:rPr>
              <w:t> </w:t>
            </w: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c>
          <w:tcPr>
            <w:tcW w:w="0" w:type="auto"/>
            <w:shd w:val="clear" w:color="auto" w:fill="auto"/>
            <w:vAlign w:val="bottom"/>
            <w:hideMark/>
          </w:tcPr>
          <w:p w:rsidR="00D36D3E" w:rsidRPr="008C0BF6" w:rsidRDefault="00D36D3E" w:rsidP="00625006">
            <w:pPr>
              <w:spacing w:after="0" w:line="480" w:lineRule="auto"/>
              <w:rPr>
                <w:rFonts w:asciiTheme="majorBidi" w:eastAsia="Times New Roman" w:hAnsiTheme="majorBidi" w:cstheme="majorBidi"/>
                <w:b/>
                <w:bCs/>
                <w:sz w:val="20"/>
                <w:szCs w:val="20"/>
              </w:rPr>
            </w:pPr>
          </w:p>
        </w:tc>
      </w:tr>
    </w:tbl>
    <w:p w:rsidR="00625006" w:rsidRDefault="00625006" w:rsidP="00625006">
      <w:pPr>
        <w:autoSpaceDE w:val="0"/>
        <w:autoSpaceDN w:val="0"/>
        <w:adjustRightInd w:val="0"/>
        <w:spacing w:after="0" w:line="240" w:lineRule="auto"/>
        <w:jc w:val="center"/>
        <w:rPr>
          <w:rFonts w:asciiTheme="majorBidi" w:hAnsiTheme="majorBidi" w:cstheme="majorBidi"/>
          <w:sz w:val="20"/>
          <w:szCs w:val="20"/>
        </w:rPr>
      </w:pPr>
    </w:p>
    <w:p w:rsidR="00625006" w:rsidRDefault="00A2127D" w:rsidP="00625006">
      <w:pPr>
        <w:autoSpaceDE w:val="0"/>
        <w:autoSpaceDN w:val="0"/>
        <w:adjustRightInd w:val="0"/>
        <w:spacing w:after="0" w:line="240" w:lineRule="auto"/>
        <w:jc w:val="center"/>
        <w:rPr>
          <w:rFonts w:asciiTheme="majorBidi" w:hAnsiTheme="majorBidi" w:cstheme="majorBidi"/>
          <w:sz w:val="20"/>
          <w:szCs w:val="20"/>
        </w:rPr>
      </w:pPr>
      <w:r>
        <w:rPr>
          <w:rFonts w:asciiTheme="majorBidi" w:hAnsiTheme="majorBidi" w:cstheme="majorBidi"/>
          <w:sz w:val="20"/>
          <w:szCs w:val="20"/>
        </w:rPr>
        <w:t>Source: BoP’s Annual R</w:t>
      </w:r>
      <w:r w:rsidR="00625006" w:rsidRPr="00BA14F4">
        <w:rPr>
          <w:rFonts w:asciiTheme="majorBidi" w:hAnsiTheme="majorBidi" w:cstheme="majorBidi"/>
          <w:sz w:val="20"/>
          <w:szCs w:val="20"/>
        </w:rPr>
        <w:t>eport, 2012</w:t>
      </w:r>
    </w:p>
    <w:p w:rsidR="00625006" w:rsidRPr="00BA14F4" w:rsidRDefault="00625006" w:rsidP="00625006">
      <w:pPr>
        <w:autoSpaceDE w:val="0"/>
        <w:autoSpaceDN w:val="0"/>
        <w:adjustRightInd w:val="0"/>
        <w:spacing w:after="0" w:line="480" w:lineRule="auto"/>
        <w:jc w:val="center"/>
        <w:rPr>
          <w:rFonts w:asciiTheme="majorBidi" w:hAnsiTheme="majorBidi" w:cstheme="majorBidi"/>
          <w:sz w:val="20"/>
          <w:szCs w:val="20"/>
        </w:rPr>
      </w:pPr>
    </w:p>
    <w:p w:rsidR="005D7249" w:rsidRDefault="00095056" w:rsidP="005F65E1">
      <w:pPr>
        <w:spacing w:line="360" w:lineRule="auto"/>
        <w:jc w:val="both"/>
        <w:rPr>
          <w:rFonts w:asciiTheme="majorBidi" w:hAnsiTheme="majorBidi" w:cstheme="majorBidi"/>
          <w:sz w:val="24"/>
          <w:szCs w:val="24"/>
          <w:lang w:bidi="ar-JO"/>
        </w:rPr>
      </w:pPr>
      <w:r>
        <w:rPr>
          <w:rFonts w:asciiTheme="majorBidi" w:hAnsiTheme="majorBidi" w:cstheme="majorBidi"/>
          <w:sz w:val="24"/>
          <w:szCs w:val="24"/>
        </w:rPr>
        <w:t>While at AL-Q</w:t>
      </w:r>
      <w:r w:rsidR="00D36D3E" w:rsidRPr="00475E41">
        <w:rPr>
          <w:rFonts w:asciiTheme="majorBidi" w:hAnsiTheme="majorBidi" w:cstheme="majorBidi"/>
          <w:sz w:val="24"/>
          <w:szCs w:val="24"/>
        </w:rPr>
        <w:t xml:space="preserve">uds bank, credit risk, especially together with the sub-types of market risk and liquidity risk is </w:t>
      </w:r>
      <w:r w:rsidR="005F65E1">
        <w:rPr>
          <w:rFonts w:asciiTheme="majorBidi" w:hAnsiTheme="majorBidi" w:cstheme="majorBidi"/>
          <w:sz w:val="24"/>
          <w:szCs w:val="24"/>
        </w:rPr>
        <w:t>well recognized within the bank</w:t>
      </w:r>
      <w:r w:rsidR="00B56017" w:rsidRPr="00475E41">
        <w:rPr>
          <w:rFonts w:asciiTheme="majorBidi" w:hAnsiTheme="majorBidi" w:cstheme="majorBidi"/>
          <w:sz w:val="24"/>
          <w:szCs w:val="24"/>
        </w:rPr>
        <w:t>.</w:t>
      </w:r>
      <w:r w:rsidR="005F65E1">
        <w:rPr>
          <w:rFonts w:asciiTheme="majorBidi" w:hAnsiTheme="majorBidi" w:cstheme="majorBidi"/>
          <w:sz w:val="24"/>
          <w:szCs w:val="24"/>
        </w:rPr>
        <w:t xml:space="preserve"> The board is responsible for </w:t>
      </w:r>
      <w:r w:rsidR="005F65E1" w:rsidRPr="00475E41">
        <w:rPr>
          <w:rFonts w:asciiTheme="majorBidi" w:hAnsiTheme="majorBidi" w:cstheme="majorBidi"/>
          <w:color w:val="000000"/>
          <w:sz w:val="24"/>
          <w:szCs w:val="24"/>
        </w:rPr>
        <w:t xml:space="preserve">identifying and </w:t>
      </w:r>
      <w:r w:rsidR="005F65E1" w:rsidRPr="00475E41">
        <w:rPr>
          <w:rFonts w:asciiTheme="majorBidi" w:hAnsiTheme="majorBidi" w:cstheme="majorBidi"/>
          <w:color w:val="000000"/>
          <w:sz w:val="24"/>
          <w:szCs w:val="24"/>
        </w:rPr>
        <w:lastRenderedPageBreak/>
        <w:t>controlling risks</w:t>
      </w:r>
      <w:r w:rsidR="005F65E1">
        <w:rPr>
          <w:rFonts w:asciiTheme="majorBidi" w:hAnsiTheme="majorBidi" w:cstheme="majorBidi"/>
          <w:color w:val="000000"/>
          <w:sz w:val="24"/>
          <w:szCs w:val="24"/>
        </w:rPr>
        <w:t xml:space="preserve"> that have been developed by risk committee, while the duty of managing and monitoring the bank's risk lies on different units. </w:t>
      </w:r>
      <w:r w:rsidR="00B56017" w:rsidRPr="00475E41">
        <w:rPr>
          <w:rFonts w:asciiTheme="majorBidi" w:hAnsiTheme="majorBidi" w:cstheme="majorBidi"/>
          <w:sz w:val="24"/>
          <w:szCs w:val="24"/>
        </w:rPr>
        <w:t>The</w:t>
      </w:r>
      <w:r w:rsidR="00D36D3E" w:rsidRPr="00475E41">
        <w:rPr>
          <w:rFonts w:asciiTheme="majorBidi" w:hAnsiTheme="majorBidi" w:cstheme="majorBidi"/>
          <w:sz w:val="24"/>
          <w:szCs w:val="24"/>
        </w:rPr>
        <w:t xml:space="preserve"> risk management covers a wide range including customer loans and advances, loan com</w:t>
      </w:r>
      <w:r w:rsidR="00D36D3E">
        <w:rPr>
          <w:rFonts w:asciiTheme="majorBidi" w:hAnsiTheme="majorBidi" w:cstheme="majorBidi"/>
          <w:sz w:val="24"/>
          <w:szCs w:val="24"/>
        </w:rPr>
        <w:t>mitments</w:t>
      </w:r>
      <w:r w:rsidR="00D36D3E" w:rsidRPr="00475E41">
        <w:rPr>
          <w:rFonts w:asciiTheme="majorBidi" w:hAnsiTheme="majorBidi" w:cstheme="majorBidi"/>
          <w:sz w:val="24"/>
          <w:szCs w:val="24"/>
        </w:rPr>
        <w:t>, debt securities and other exposures in trading activities, and clear explanation as well as differentiation is given to the credit risk nature of these exposures respectively in the report. Geographical and industry analysis on the loans and advances to customers a</w:t>
      </w:r>
      <w:r w:rsidR="00D36D3E">
        <w:rPr>
          <w:rFonts w:asciiTheme="majorBidi" w:hAnsiTheme="majorBidi" w:cstheme="majorBidi"/>
          <w:sz w:val="24"/>
          <w:szCs w:val="24"/>
        </w:rPr>
        <w:t>re also carried out by the bank in the similar as what BOP</w:t>
      </w:r>
      <w:r w:rsidR="00D36D3E" w:rsidRPr="00475E41">
        <w:rPr>
          <w:rFonts w:asciiTheme="majorBidi" w:hAnsiTheme="majorBidi" w:cstheme="majorBidi"/>
          <w:sz w:val="24"/>
          <w:szCs w:val="24"/>
        </w:rPr>
        <w:t xml:space="preserve"> has done</w:t>
      </w:r>
      <w:r w:rsidR="00D36D3E" w:rsidRPr="002A1399">
        <w:rPr>
          <w:rFonts w:asciiTheme="majorBidi" w:hAnsiTheme="majorBidi" w:cstheme="majorBidi"/>
          <w:sz w:val="24"/>
          <w:szCs w:val="24"/>
        </w:rPr>
        <w:t xml:space="preserve">. Credit concentration issue is given </w:t>
      </w:r>
      <w:r w:rsidR="00D36D3E">
        <w:rPr>
          <w:rFonts w:asciiTheme="majorBidi" w:hAnsiTheme="majorBidi" w:cstheme="majorBidi"/>
          <w:sz w:val="24"/>
          <w:szCs w:val="24"/>
        </w:rPr>
        <w:t>particular attention at AL-quds bank as well as Bank of Palestine</w:t>
      </w:r>
      <w:r w:rsidR="00D36D3E" w:rsidRPr="002A1399">
        <w:rPr>
          <w:rFonts w:asciiTheme="majorBidi" w:hAnsiTheme="majorBidi" w:cstheme="majorBidi"/>
          <w:sz w:val="24"/>
          <w:szCs w:val="24"/>
        </w:rPr>
        <w:t>, where relevant information can be found in an independent part of the report named “Credit Concentration”.</w:t>
      </w:r>
    </w:p>
    <w:p w:rsidR="00CC2A30" w:rsidRPr="00C60FA4" w:rsidRDefault="009A0C78" w:rsidP="00C60FA4">
      <w:pPr>
        <w:autoSpaceDE w:val="0"/>
        <w:autoSpaceDN w:val="0"/>
        <w:adjustRightInd w:val="0"/>
        <w:spacing w:after="0" w:line="360" w:lineRule="auto"/>
        <w:jc w:val="center"/>
        <w:rPr>
          <w:rFonts w:asciiTheme="majorBidi" w:hAnsiTheme="majorBidi" w:cstheme="majorBidi"/>
          <w:b/>
          <w:bCs/>
        </w:rPr>
      </w:pPr>
      <w:r w:rsidRPr="00C60FA4">
        <w:rPr>
          <w:rFonts w:asciiTheme="majorBidi" w:hAnsiTheme="majorBidi" w:cstheme="majorBidi"/>
          <w:b/>
          <w:bCs/>
        </w:rPr>
        <w:t>Figure</w:t>
      </w:r>
      <w:r w:rsidR="00F83F6A" w:rsidRPr="00C60FA4">
        <w:rPr>
          <w:rFonts w:asciiTheme="majorBidi" w:hAnsiTheme="majorBidi" w:cstheme="majorBidi"/>
          <w:b/>
          <w:bCs/>
        </w:rPr>
        <w:t xml:space="preserve"> 4.28:</w:t>
      </w:r>
      <w:r w:rsidRPr="00C60FA4">
        <w:rPr>
          <w:rFonts w:asciiTheme="majorBidi" w:hAnsiTheme="majorBidi" w:cstheme="majorBidi"/>
          <w:b/>
          <w:bCs/>
        </w:rPr>
        <w:t xml:space="preserve"> Distribution of credit assets by economic sector:</w:t>
      </w:r>
    </w:p>
    <w:p w:rsidR="009A0C78" w:rsidRPr="009A0C78" w:rsidRDefault="00584CA0" w:rsidP="00625006">
      <w:pPr>
        <w:autoSpaceDE w:val="0"/>
        <w:autoSpaceDN w:val="0"/>
        <w:adjustRightInd w:val="0"/>
        <w:spacing w:after="0" w:line="480" w:lineRule="auto"/>
        <w:jc w:val="center"/>
        <w:rPr>
          <w:rFonts w:asciiTheme="majorBidi" w:hAnsiTheme="majorBidi" w:cstheme="majorBidi"/>
          <w:sz w:val="24"/>
          <w:szCs w:val="24"/>
        </w:rPr>
      </w:pPr>
      <w:r w:rsidRPr="00584CA0">
        <w:rPr>
          <w:rFonts w:asciiTheme="majorBidi" w:hAnsiTheme="majorBidi" w:cstheme="majorBidi"/>
          <w:noProof/>
          <w:sz w:val="24"/>
          <w:szCs w:val="24"/>
        </w:rPr>
        <w:drawing>
          <wp:inline distT="0" distB="0" distL="0" distR="0">
            <wp:extent cx="4867551" cy="2568271"/>
            <wp:effectExtent l="19050" t="0" r="28299" b="3479"/>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C2A30" w:rsidRPr="00BA14F4" w:rsidRDefault="00BA14F4" w:rsidP="00625006">
      <w:pPr>
        <w:autoSpaceDE w:val="0"/>
        <w:autoSpaceDN w:val="0"/>
        <w:adjustRightInd w:val="0"/>
        <w:spacing w:after="0" w:line="480" w:lineRule="auto"/>
        <w:jc w:val="center"/>
        <w:rPr>
          <w:rFonts w:asciiTheme="majorBidi" w:hAnsiTheme="majorBidi" w:cstheme="majorBidi"/>
          <w:b/>
          <w:bCs/>
          <w:color w:val="000000" w:themeColor="text1"/>
          <w:sz w:val="20"/>
          <w:szCs w:val="20"/>
        </w:rPr>
      </w:pPr>
      <w:r>
        <w:rPr>
          <w:rFonts w:asciiTheme="majorBidi" w:hAnsiTheme="majorBidi" w:cstheme="majorBidi"/>
          <w:color w:val="000000" w:themeColor="text1"/>
          <w:sz w:val="20"/>
          <w:szCs w:val="20"/>
        </w:rPr>
        <w:t>Source: AlQuds B</w:t>
      </w:r>
      <w:r w:rsidR="00721FE5" w:rsidRPr="00BA14F4">
        <w:rPr>
          <w:rFonts w:asciiTheme="majorBidi" w:hAnsiTheme="majorBidi" w:cstheme="majorBidi"/>
          <w:color w:val="000000" w:themeColor="text1"/>
          <w:sz w:val="20"/>
          <w:szCs w:val="20"/>
        </w:rPr>
        <w:t>ank</w:t>
      </w:r>
      <w:r w:rsidR="00A2127D">
        <w:rPr>
          <w:rFonts w:asciiTheme="majorBidi" w:hAnsiTheme="majorBidi" w:cstheme="majorBidi"/>
          <w:color w:val="000000" w:themeColor="text1"/>
          <w:sz w:val="20"/>
          <w:szCs w:val="20"/>
        </w:rPr>
        <w:t>’s</w:t>
      </w:r>
      <w:r w:rsidR="00721FE5" w:rsidRPr="00BA14F4">
        <w:rPr>
          <w:rFonts w:asciiTheme="majorBidi" w:hAnsiTheme="majorBidi" w:cstheme="majorBidi"/>
          <w:color w:val="000000" w:themeColor="text1"/>
          <w:sz w:val="20"/>
          <w:szCs w:val="20"/>
        </w:rPr>
        <w:t xml:space="preserve"> </w:t>
      </w:r>
      <w:r w:rsidR="00A2127D">
        <w:rPr>
          <w:rFonts w:asciiTheme="majorBidi" w:hAnsiTheme="majorBidi" w:cstheme="majorBidi"/>
          <w:color w:val="000000" w:themeColor="text1"/>
          <w:sz w:val="20"/>
          <w:szCs w:val="20"/>
        </w:rPr>
        <w:t>A</w:t>
      </w:r>
      <w:r>
        <w:rPr>
          <w:rFonts w:asciiTheme="majorBidi" w:hAnsiTheme="majorBidi" w:cstheme="majorBidi"/>
          <w:color w:val="000000" w:themeColor="text1"/>
          <w:sz w:val="20"/>
          <w:szCs w:val="20"/>
        </w:rPr>
        <w:t>nnual R</w:t>
      </w:r>
      <w:r w:rsidR="009A0C78" w:rsidRPr="00BA14F4">
        <w:rPr>
          <w:rFonts w:asciiTheme="majorBidi" w:hAnsiTheme="majorBidi" w:cstheme="majorBidi"/>
          <w:color w:val="000000" w:themeColor="text1"/>
          <w:sz w:val="20"/>
          <w:szCs w:val="20"/>
        </w:rPr>
        <w:t>eport</w:t>
      </w:r>
      <w:r w:rsidR="00721FE5" w:rsidRPr="00BA14F4">
        <w:rPr>
          <w:rFonts w:asciiTheme="majorBidi" w:hAnsiTheme="majorBidi" w:cstheme="majorBidi"/>
          <w:color w:val="000000" w:themeColor="text1"/>
          <w:sz w:val="20"/>
          <w:szCs w:val="20"/>
        </w:rPr>
        <w:t>, 2012</w:t>
      </w:r>
    </w:p>
    <w:p w:rsidR="00C60FA4" w:rsidRDefault="00C60FA4" w:rsidP="00C60FA4">
      <w:pPr>
        <w:autoSpaceDE w:val="0"/>
        <w:autoSpaceDN w:val="0"/>
        <w:adjustRightInd w:val="0"/>
        <w:spacing w:after="0" w:line="360" w:lineRule="auto"/>
        <w:jc w:val="center"/>
        <w:rPr>
          <w:rFonts w:asciiTheme="majorBidi" w:hAnsiTheme="majorBidi" w:cstheme="majorBidi"/>
          <w:b/>
          <w:bCs/>
        </w:rPr>
      </w:pPr>
    </w:p>
    <w:p w:rsidR="00CC2A30" w:rsidRPr="00C60FA4" w:rsidRDefault="009A0C78" w:rsidP="00C60FA4">
      <w:pPr>
        <w:autoSpaceDE w:val="0"/>
        <w:autoSpaceDN w:val="0"/>
        <w:adjustRightInd w:val="0"/>
        <w:spacing w:after="0" w:line="360" w:lineRule="auto"/>
        <w:jc w:val="center"/>
        <w:rPr>
          <w:rFonts w:asciiTheme="majorBidi" w:hAnsiTheme="majorBidi" w:cstheme="majorBidi"/>
          <w:b/>
          <w:bCs/>
        </w:rPr>
      </w:pPr>
      <w:r w:rsidRPr="00C60FA4">
        <w:rPr>
          <w:rFonts w:asciiTheme="majorBidi" w:hAnsiTheme="majorBidi" w:cstheme="majorBidi"/>
          <w:b/>
          <w:bCs/>
        </w:rPr>
        <w:t>Figure</w:t>
      </w:r>
      <w:r w:rsidR="00F83F6A" w:rsidRPr="00C60FA4">
        <w:rPr>
          <w:rFonts w:asciiTheme="majorBidi" w:hAnsiTheme="majorBidi" w:cstheme="majorBidi"/>
          <w:b/>
          <w:bCs/>
        </w:rPr>
        <w:t xml:space="preserve"> 4.29</w:t>
      </w:r>
      <w:r w:rsidRPr="00C60FA4">
        <w:rPr>
          <w:rFonts w:asciiTheme="majorBidi" w:hAnsiTheme="majorBidi" w:cstheme="majorBidi"/>
          <w:b/>
          <w:bCs/>
        </w:rPr>
        <w:t>: Distribution of credit assets by geography:</w:t>
      </w:r>
    </w:p>
    <w:p w:rsidR="009A0C78" w:rsidRDefault="00584CA0" w:rsidP="00584CA0">
      <w:pPr>
        <w:autoSpaceDE w:val="0"/>
        <w:autoSpaceDN w:val="0"/>
        <w:adjustRightInd w:val="0"/>
        <w:spacing w:after="0" w:line="360" w:lineRule="auto"/>
        <w:jc w:val="center"/>
        <w:rPr>
          <w:rFonts w:asciiTheme="majorBidi" w:hAnsiTheme="majorBidi" w:cstheme="majorBidi"/>
          <w:b/>
          <w:bCs/>
          <w:sz w:val="28"/>
          <w:szCs w:val="28"/>
        </w:rPr>
      </w:pPr>
      <w:r w:rsidRPr="00584CA0">
        <w:rPr>
          <w:rFonts w:asciiTheme="majorBidi" w:hAnsiTheme="majorBidi" w:cstheme="majorBidi"/>
          <w:b/>
          <w:bCs/>
          <w:noProof/>
          <w:sz w:val="28"/>
          <w:szCs w:val="28"/>
        </w:rPr>
        <w:drawing>
          <wp:inline distT="0" distB="0" distL="0" distR="0">
            <wp:extent cx="4869429" cy="1582310"/>
            <wp:effectExtent l="19050" t="0" r="26421"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46B7" w:rsidRPr="00625006" w:rsidRDefault="00BA14F4" w:rsidP="00625006">
      <w:pPr>
        <w:autoSpaceDE w:val="0"/>
        <w:autoSpaceDN w:val="0"/>
        <w:adjustRightInd w:val="0"/>
        <w:spacing w:after="0" w:line="36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Source: AlQuds </w:t>
      </w:r>
      <w:r w:rsidR="00095056">
        <w:rPr>
          <w:rFonts w:asciiTheme="majorBidi" w:hAnsiTheme="majorBidi" w:cstheme="majorBidi"/>
          <w:color w:val="000000" w:themeColor="text1"/>
          <w:sz w:val="20"/>
          <w:szCs w:val="20"/>
        </w:rPr>
        <w:t>B</w:t>
      </w:r>
      <w:r w:rsidR="00095056" w:rsidRPr="00BA14F4">
        <w:rPr>
          <w:rFonts w:asciiTheme="majorBidi" w:hAnsiTheme="majorBidi" w:cstheme="majorBidi"/>
          <w:color w:val="000000" w:themeColor="text1"/>
          <w:sz w:val="20"/>
          <w:szCs w:val="20"/>
        </w:rPr>
        <w:t>ank</w:t>
      </w:r>
      <w:r w:rsidR="00095056">
        <w:rPr>
          <w:rFonts w:asciiTheme="majorBidi" w:hAnsiTheme="majorBidi" w:cstheme="majorBidi"/>
          <w:color w:val="000000" w:themeColor="text1"/>
          <w:sz w:val="20"/>
          <w:szCs w:val="20"/>
        </w:rPr>
        <w:t>‘s</w:t>
      </w:r>
      <w:r w:rsidR="00A2127D">
        <w:rPr>
          <w:rFonts w:asciiTheme="majorBidi" w:hAnsiTheme="majorBidi" w:cstheme="majorBidi"/>
          <w:color w:val="000000" w:themeColor="text1"/>
          <w:sz w:val="20"/>
          <w:szCs w:val="20"/>
        </w:rPr>
        <w:t xml:space="preserve"> A</w:t>
      </w:r>
      <w:r>
        <w:rPr>
          <w:rFonts w:asciiTheme="majorBidi" w:hAnsiTheme="majorBidi" w:cstheme="majorBidi"/>
          <w:color w:val="000000" w:themeColor="text1"/>
          <w:sz w:val="20"/>
          <w:szCs w:val="20"/>
        </w:rPr>
        <w:t>nnual R</w:t>
      </w:r>
      <w:r w:rsidR="00584CA0" w:rsidRPr="00BA14F4">
        <w:rPr>
          <w:rFonts w:asciiTheme="majorBidi" w:hAnsiTheme="majorBidi" w:cstheme="majorBidi"/>
          <w:color w:val="000000" w:themeColor="text1"/>
          <w:sz w:val="20"/>
          <w:szCs w:val="20"/>
        </w:rPr>
        <w:t>eport</w:t>
      </w:r>
      <w:r w:rsidR="00625006">
        <w:rPr>
          <w:rFonts w:asciiTheme="majorBidi" w:hAnsiTheme="majorBidi" w:cstheme="majorBidi"/>
          <w:color w:val="000000" w:themeColor="text1"/>
          <w:sz w:val="20"/>
          <w:szCs w:val="20"/>
        </w:rPr>
        <w:t>, 2012.</w:t>
      </w:r>
    </w:p>
    <w:p w:rsidR="00EA084C" w:rsidRPr="002870BC" w:rsidRDefault="00D36D3E" w:rsidP="00EA084C">
      <w:pPr>
        <w:autoSpaceDE w:val="0"/>
        <w:autoSpaceDN w:val="0"/>
        <w:adjustRightInd w:val="0"/>
        <w:spacing w:after="0" w:line="360" w:lineRule="auto"/>
        <w:rPr>
          <w:rFonts w:asciiTheme="majorBidi" w:hAnsiTheme="majorBidi" w:cstheme="majorBidi"/>
          <w:sz w:val="24"/>
          <w:szCs w:val="24"/>
        </w:rPr>
      </w:pPr>
      <w:r w:rsidRPr="002870BC">
        <w:rPr>
          <w:rFonts w:asciiTheme="majorBidi" w:hAnsiTheme="majorBidi" w:cstheme="majorBidi"/>
          <w:sz w:val="24"/>
          <w:szCs w:val="24"/>
        </w:rPr>
        <w:lastRenderedPageBreak/>
        <w:t>e. Credit Quality Management</w:t>
      </w:r>
    </w:p>
    <w:p w:rsidR="00EA084C" w:rsidRPr="002870BC" w:rsidRDefault="00D36D3E" w:rsidP="00EA084C">
      <w:pPr>
        <w:autoSpaceDE w:val="0"/>
        <w:autoSpaceDN w:val="0"/>
        <w:adjustRightInd w:val="0"/>
        <w:spacing w:after="0" w:line="360" w:lineRule="auto"/>
        <w:rPr>
          <w:rFonts w:asciiTheme="majorBidi" w:hAnsiTheme="majorBidi" w:cstheme="majorBidi"/>
          <w:sz w:val="24"/>
          <w:szCs w:val="24"/>
        </w:rPr>
      </w:pPr>
      <w:r w:rsidRPr="002870BC">
        <w:rPr>
          <w:rFonts w:asciiTheme="majorBidi" w:hAnsiTheme="majorBidi" w:cstheme="majorBidi"/>
          <w:sz w:val="24"/>
          <w:szCs w:val="24"/>
        </w:rPr>
        <w:t>- Quality Statistics by Internal Rating</w:t>
      </w:r>
    </w:p>
    <w:p w:rsidR="00EA084C" w:rsidRDefault="0094497A" w:rsidP="00EA084C">
      <w:pPr>
        <w:autoSpaceDE w:val="0"/>
        <w:autoSpaceDN w:val="0"/>
        <w:adjustRightInd w:val="0"/>
        <w:spacing w:after="0" w:line="360" w:lineRule="auto"/>
        <w:rPr>
          <w:rFonts w:ascii="Times New Roman" w:hAnsi="Times New Roman" w:cs="Times New Roman"/>
          <w:sz w:val="24"/>
          <w:szCs w:val="24"/>
        </w:rPr>
      </w:pPr>
      <w:r w:rsidRPr="00EA084C">
        <w:rPr>
          <w:rFonts w:ascii="Times New Roman" w:hAnsi="Times New Roman" w:cs="Times New Roman"/>
          <w:sz w:val="24"/>
          <w:szCs w:val="24"/>
        </w:rPr>
        <w:t>As mentioned before, Bo</w:t>
      </w:r>
      <w:r w:rsidR="00D36D3E" w:rsidRPr="00EA084C">
        <w:rPr>
          <w:rFonts w:ascii="Times New Roman" w:hAnsi="Times New Roman" w:cs="Times New Roman"/>
          <w:sz w:val="24"/>
          <w:szCs w:val="24"/>
        </w:rPr>
        <w:t xml:space="preserve">P uses internal credit ratings for assessing the quality of borrowers. To give general information on its credit risk assets, the statistics about the distribution of those assets by quality is provided by the bank. </w:t>
      </w:r>
    </w:p>
    <w:p w:rsidR="00031374" w:rsidRPr="00EA084C" w:rsidRDefault="00114557" w:rsidP="00EA084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C60FA4">
        <w:rPr>
          <w:rFonts w:asciiTheme="majorBidi" w:hAnsiTheme="majorBidi" w:cstheme="majorBidi"/>
          <w:b/>
          <w:bCs/>
        </w:rPr>
        <w:t>Table</w:t>
      </w:r>
      <w:r w:rsidR="00F36759">
        <w:rPr>
          <w:rFonts w:asciiTheme="majorBidi" w:hAnsiTheme="majorBidi" w:cstheme="majorBidi"/>
          <w:b/>
          <w:bCs/>
        </w:rPr>
        <w:t xml:space="preserve"> </w:t>
      </w:r>
      <w:r w:rsidR="007B2075">
        <w:rPr>
          <w:rFonts w:asciiTheme="majorBidi" w:hAnsiTheme="majorBidi" w:cstheme="majorBidi"/>
          <w:b/>
          <w:bCs/>
        </w:rPr>
        <w:t>4.27</w:t>
      </w:r>
      <w:r w:rsidR="00031374" w:rsidRPr="00C60FA4">
        <w:rPr>
          <w:rFonts w:asciiTheme="majorBidi" w:hAnsiTheme="majorBidi" w:cstheme="majorBidi"/>
          <w:b/>
          <w:bCs/>
        </w:rPr>
        <w:t xml:space="preserve">: </w:t>
      </w:r>
      <w:r w:rsidR="00031374" w:rsidRPr="00C60FA4">
        <w:rPr>
          <w:rFonts w:asciiTheme="majorBidi" w:hAnsiTheme="majorBidi" w:cstheme="majorBidi"/>
          <w:b/>
          <w:bCs/>
          <w:shd w:val="clear" w:color="auto" w:fill="FFFFFF"/>
        </w:rPr>
        <w:t>Credit risk exposure for each risk rating</w:t>
      </w:r>
      <w:r w:rsidR="00D36D3E" w:rsidRPr="00C60FA4">
        <w:rPr>
          <w:rFonts w:asciiTheme="majorBidi" w:hAnsiTheme="majorBidi" w:cstheme="majorBidi"/>
          <w:b/>
          <w:bCs/>
        </w:rPr>
        <w:t xml:space="preserve"> at BOP:</w:t>
      </w:r>
    </w:p>
    <w:tbl>
      <w:tblPr>
        <w:tblW w:w="8240" w:type="dxa"/>
        <w:jc w:val="center"/>
        <w:tblInd w:w="2" w:type="dxa"/>
        <w:tblBorders>
          <w:top w:val="thinThickSmallGap" w:sz="24" w:space="0" w:color="auto"/>
          <w:left w:val="thinThickSmallGap" w:sz="24" w:space="0" w:color="auto"/>
          <w:bottom w:val="thickThinSmallGap" w:sz="24" w:space="0" w:color="auto"/>
          <w:right w:val="thickThinSmallGap" w:sz="24" w:space="0" w:color="auto"/>
        </w:tblBorders>
        <w:shd w:val="clear" w:color="auto" w:fill="FFFFFF"/>
        <w:tblCellMar>
          <w:left w:w="0" w:type="dxa"/>
          <w:right w:w="0" w:type="dxa"/>
        </w:tblCellMar>
        <w:tblLook w:val="04A0"/>
      </w:tblPr>
      <w:tblGrid>
        <w:gridCol w:w="2630"/>
        <w:gridCol w:w="1268"/>
        <w:gridCol w:w="211"/>
        <w:gridCol w:w="1281"/>
        <w:gridCol w:w="211"/>
        <w:gridCol w:w="1229"/>
        <w:gridCol w:w="211"/>
        <w:gridCol w:w="1199"/>
      </w:tblGrid>
      <w:tr w:rsidR="00D843DE" w:rsidRPr="00E576BC" w:rsidTr="00554A5F">
        <w:trPr>
          <w:trHeight w:val="369"/>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u w:val="single"/>
                <w:bdr w:val="none" w:sz="0" w:space="0" w:color="auto" w:frame="1"/>
                <w:lang w:val="en-GB"/>
              </w:rPr>
              <w:t>December 31, 2012</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Individuals</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Companies and other institutions</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Public sector</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Total</w:t>
            </w:r>
          </w:p>
        </w:tc>
      </w:tr>
      <w:tr w:rsidR="00D843DE" w:rsidRPr="00E576BC" w:rsidTr="00554A5F">
        <w:trPr>
          <w:trHeight w:val="165"/>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U.S.$</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ind w:left="-113" w:right="-113"/>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U.S.$</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ind w:left="-113" w:right="-113"/>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U.S.$</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ind w:left="-113" w:right="-113"/>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bidi/>
              <w:spacing w:after="0" w:line="149"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U.S.$</w:t>
            </w:r>
          </w:p>
        </w:tc>
      </w:tr>
      <w:tr w:rsidR="00D843DE" w:rsidRPr="00E576BC" w:rsidTr="00554A5F">
        <w:trPr>
          <w:trHeight w:val="263"/>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r>
      <w:tr w:rsidR="00D843DE" w:rsidRPr="00E576BC" w:rsidTr="00554A5F">
        <w:trPr>
          <w:trHeight w:val="263"/>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Low risk</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6,237,118</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74,849,355</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318,866,888</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xml:space="preserve"> 399,953,361</w:t>
            </w:r>
          </w:p>
        </w:tc>
      </w:tr>
      <w:tr w:rsidR="00D843DE" w:rsidRPr="00E576BC" w:rsidTr="00554A5F">
        <w:trPr>
          <w:trHeight w:val="277"/>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Acceptable risk</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343,600,572</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224,735,316</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568,335,888</w:t>
            </w:r>
          </w:p>
        </w:tc>
      </w:tr>
      <w:tr w:rsidR="00D843DE" w:rsidRPr="00E576BC" w:rsidTr="00554A5F">
        <w:trPr>
          <w:trHeight w:val="263"/>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From which is due:</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r>
      <w:tr w:rsidR="00D843DE" w:rsidRPr="00E576BC" w:rsidTr="00554A5F">
        <w:trPr>
          <w:trHeight w:val="277"/>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Until 30 days</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7,594,887</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1,918,031</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9,512,918</w:t>
            </w:r>
          </w:p>
        </w:tc>
      </w:tr>
      <w:tr w:rsidR="00D843DE" w:rsidRPr="00E576BC" w:rsidTr="002646B7">
        <w:trPr>
          <w:trHeight w:val="50"/>
          <w:jc w:val="center"/>
        </w:trPr>
        <w:tc>
          <w:tcPr>
            <w:tcW w:w="2630"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Watch list</w:t>
            </w:r>
          </w:p>
        </w:tc>
        <w:tc>
          <w:tcPr>
            <w:tcW w:w="1268"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199,110</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8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82,202</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22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t>
            </w:r>
          </w:p>
        </w:tc>
        <w:tc>
          <w:tcPr>
            <w:tcW w:w="211"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99"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281,312</w:t>
            </w:r>
          </w:p>
        </w:tc>
      </w:tr>
    </w:tbl>
    <w:p w:rsidR="00625006" w:rsidRDefault="00625006" w:rsidP="00625006">
      <w:pPr>
        <w:autoSpaceDE w:val="0"/>
        <w:autoSpaceDN w:val="0"/>
        <w:adjustRightInd w:val="0"/>
        <w:spacing w:after="0" w:line="240" w:lineRule="auto"/>
        <w:jc w:val="center"/>
        <w:rPr>
          <w:rFonts w:asciiTheme="majorBidi" w:hAnsiTheme="majorBidi" w:cstheme="majorBidi"/>
          <w:color w:val="000000" w:themeColor="text1"/>
          <w:sz w:val="20"/>
          <w:szCs w:val="20"/>
        </w:rPr>
      </w:pPr>
    </w:p>
    <w:p w:rsidR="00D36D3E" w:rsidRDefault="0094497A" w:rsidP="00625006">
      <w:pPr>
        <w:autoSpaceDE w:val="0"/>
        <w:autoSpaceDN w:val="0"/>
        <w:adjustRightInd w:val="0"/>
        <w:spacing w:after="0" w:line="240" w:lineRule="auto"/>
        <w:jc w:val="center"/>
        <w:rPr>
          <w:rFonts w:asciiTheme="majorBidi" w:hAnsiTheme="majorBidi" w:cstheme="majorBidi"/>
          <w:color w:val="000000" w:themeColor="text1"/>
          <w:sz w:val="20"/>
          <w:szCs w:val="20"/>
        </w:rPr>
      </w:pPr>
      <w:r w:rsidRPr="008A0806">
        <w:rPr>
          <w:rFonts w:asciiTheme="majorBidi" w:hAnsiTheme="majorBidi" w:cstheme="majorBidi"/>
          <w:color w:val="000000" w:themeColor="text1"/>
          <w:sz w:val="20"/>
          <w:szCs w:val="20"/>
        </w:rPr>
        <w:t>Source: Bo</w:t>
      </w:r>
      <w:r w:rsidR="008A0806" w:rsidRPr="008A0806">
        <w:rPr>
          <w:rFonts w:asciiTheme="majorBidi" w:hAnsiTheme="majorBidi" w:cstheme="majorBidi"/>
          <w:color w:val="000000" w:themeColor="text1"/>
          <w:sz w:val="20"/>
          <w:szCs w:val="20"/>
        </w:rPr>
        <w:t>P</w:t>
      </w:r>
      <w:r w:rsidR="00095056">
        <w:rPr>
          <w:rFonts w:asciiTheme="majorBidi" w:hAnsiTheme="majorBidi" w:cstheme="majorBidi"/>
          <w:color w:val="000000" w:themeColor="text1"/>
          <w:sz w:val="20"/>
          <w:szCs w:val="20"/>
        </w:rPr>
        <w:t>’s</w:t>
      </w:r>
      <w:r w:rsidR="008A0806" w:rsidRPr="008A0806">
        <w:rPr>
          <w:rFonts w:asciiTheme="majorBidi" w:hAnsiTheme="majorBidi" w:cstheme="majorBidi"/>
          <w:color w:val="000000" w:themeColor="text1"/>
          <w:sz w:val="20"/>
          <w:szCs w:val="20"/>
        </w:rPr>
        <w:t xml:space="preserve"> Annual R</w:t>
      </w:r>
      <w:r w:rsidR="00D36D3E" w:rsidRPr="008A0806">
        <w:rPr>
          <w:rFonts w:asciiTheme="majorBidi" w:hAnsiTheme="majorBidi" w:cstheme="majorBidi"/>
          <w:color w:val="000000" w:themeColor="text1"/>
          <w:sz w:val="20"/>
          <w:szCs w:val="20"/>
        </w:rPr>
        <w:t>eport</w:t>
      </w:r>
      <w:r w:rsidR="00194D4A" w:rsidRPr="008A0806">
        <w:rPr>
          <w:rFonts w:asciiTheme="majorBidi" w:hAnsiTheme="majorBidi" w:cstheme="majorBidi"/>
          <w:color w:val="000000" w:themeColor="text1"/>
          <w:sz w:val="20"/>
          <w:szCs w:val="20"/>
        </w:rPr>
        <w:t>, 2012</w:t>
      </w:r>
    </w:p>
    <w:p w:rsidR="00625006" w:rsidRPr="008A0806" w:rsidRDefault="00625006" w:rsidP="00625006">
      <w:pPr>
        <w:autoSpaceDE w:val="0"/>
        <w:autoSpaceDN w:val="0"/>
        <w:adjustRightInd w:val="0"/>
        <w:spacing w:after="0" w:line="240" w:lineRule="auto"/>
        <w:jc w:val="center"/>
        <w:rPr>
          <w:rFonts w:asciiTheme="majorBidi" w:hAnsiTheme="majorBidi" w:cstheme="majorBidi"/>
          <w:color w:val="000000" w:themeColor="text1"/>
          <w:sz w:val="20"/>
          <w:szCs w:val="20"/>
        </w:rPr>
      </w:pPr>
    </w:p>
    <w:p w:rsidR="00625006" w:rsidRPr="00BD5CF9" w:rsidRDefault="00D843DE" w:rsidP="00BD5CF9">
      <w:pPr>
        <w:pStyle w:val="Default"/>
        <w:spacing w:line="360" w:lineRule="auto"/>
        <w:contextualSpacing/>
        <w:jc w:val="both"/>
      </w:pPr>
      <w:r w:rsidRPr="00B376E1">
        <w:rPr>
          <w:rFonts w:asciiTheme="majorBidi" w:hAnsiTheme="majorBidi" w:cstheme="majorBidi"/>
          <w:color w:val="auto"/>
        </w:rPr>
        <w:t>According to table</w:t>
      </w:r>
      <w:r w:rsidR="007B2075">
        <w:rPr>
          <w:rFonts w:asciiTheme="majorBidi" w:hAnsiTheme="majorBidi" w:cstheme="majorBidi"/>
          <w:color w:val="auto"/>
        </w:rPr>
        <w:t xml:space="preserve"> 4.27</w:t>
      </w:r>
      <w:r w:rsidR="00AD309A">
        <w:rPr>
          <w:rFonts w:asciiTheme="majorBidi" w:hAnsiTheme="majorBidi" w:cstheme="majorBidi"/>
          <w:color w:val="auto"/>
        </w:rPr>
        <w:t>,</w:t>
      </w:r>
      <w:r w:rsidR="00AD309A" w:rsidRPr="00B376E1">
        <w:rPr>
          <w:rFonts w:asciiTheme="majorBidi" w:hAnsiTheme="majorBidi" w:cstheme="majorBidi"/>
          <w:color w:val="auto"/>
        </w:rPr>
        <w:t xml:space="preserve"> 80</w:t>
      </w:r>
      <w:r w:rsidRPr="00B376E1">
        <w:rPr>
          <w:rFonts w:asciiTheme="majorBidi" w:hAnsiTheme="majorBidi" w:cstheme="majorBidi"/>
          <w:color w:val="auto"/>
        </w:rPr>
        <w:t>%, 19% and 1.5% of the credit exposures are to Public sector, Corporate and individual</w:t>
      </w:r>
      <w:r>
        <w:rPr>
          <w:rFonts w:asciiTheme="majorBidi" w:hAnsiTheme="majorBidi" w:cstheme="majorBidi"/>
          <w:color w:val="auto"/>
        </w:rPr>
        <w:t>s respectively, rated low risk, w</w:t>
      </w:r>
      <w:r w:rsidRPr="00B376E1">
        <w:rPr>
          <w:rFonts w:asciiTheme="majorBidi" w:hAnsiTheme="majorBidi" w:cstheme="majorBidi"/>
          <w:color w:val="auto"/>
        </w:rPr>
        <w:t xml:space="preserve">hich means even in the event of a markedly adverse economy, only modest reductions in profitability would be recorded. Also 40% and 60% of the credit exposures are to Corporate and individuals respectively, rated acceptable risk, which means in markedly adverse economy, substantial reductions in profitability may be caused, but profits would still be positive. </w:t>
      </w:r>
      <w:r w:rsidR="00AD309A" w:rsidRPr="0094497A">
        <w:t xml:space="preserve">While </w:t>
      </w:r>
      <w:r w:rsidRPr="0094497A">
        <w:t>AL-qud</w:t>
      </w:r>
      <w:r w:rsidR="0094497A" w:rsidRPr="0094497A">
        <w:t>s bank, as bank of Palestine (Bo</w:t>
      </w:r>
      <w:r w:rsidRPr="0094497A">
        <w:t>P) uses internal credit ratings for assessing the quality of borrowers.</w:t>
      </w:r>
    </w:p>
    <w:p w:rsidR="00625006" w:rsidRDefault="00625006" w:rsidP="00B75A19">
      <w:pPr>
        <w:pStyle w:val="Default"/>
        <w:spacing w:line="360" w:lineRule="auto"/>
        <w:contextualSpacing/>
        <w:jc w:val="center"/>
        <w:rPr>
          <w:rFonts w:asciiTheme="majorBidi" w:hAnsiTheme="majorBidi" w:cstheme="majorBidi"/>
          <w:b/>
          <w:bCs/>
          <w:sz w:val="22"/>
          <w:szCs w:val="22"/>
        </w:rPr>
      </w:pPr>
    </w:p>
    <w:p w:rsidR="00031374" w:rsidRPr="00B75A19" w:rsidRDefault="00031374" w:rsidP="00B75A19">
      <w:pPr>
        <w:pStyle w:val="Default"/>
        <w:spacing w:line="360" w:lineRule="auto"/>
        <w:contextualSpacing/>
        <w:jc w:val="center"/>
        <w:rPr>
          <w:rFonts w:asciiTheme="majorBidi" w:hAnsiTheme="majorBidi" w:cstheme="majorBidi"/>
          <w:color w:val="auto"/>
        </w:rPr>
      </w:pPr>
      <w:r w:rsidRPr="00C60FA4">
        <w:rPr>
          <w:rFonts w:asciiTheme="majorBidi" w:hAnsiTheme="majorBidi" w:cstheme="majorBidi"/>
          <w:b/>
          <w:bCs/>
          <w:sz w:val="22"/>
          <w:szCs w:val="22"/>
        </w:rPr>
        <w:t>Table</w:t>
      </w:r>
      <w:r w:rsidR="00F36759">
        <w:rPr>
          <w:rFonts w:asciiTheme="majorBidi" w:hAnsiTheme="majorBidi" w:cstheme="majorBidi"/>
          <w:b/>
          <w:bCs/>
          <w:sz w:val="22"/>
          <w:szCs w:val="22"/>
        </w:rPr>
        <w:t xml:space="preserve"> </w:t>
      </w:r>
      <w:r w:rsidR="007B2075">
        <w:rPr>
          <w:rFonts w:asciiTheme="majorBidi" w:hAnsiTheme="majorBidi" w:cstheme="majorBidi"/>
          <w:b/>
          <w:bCs/>
          <w:sz w:val="22"/>
          <w:szCs w:val="22"/>
        </w:rPr>
        <w:t>4.28</w:t>
      </w:r>
      <w:r w:rsidR="00AD309A" w:rsidRPr="00C60FA4">
        <w:rPr>
          <w:rFonts w:asciiTheme="majorBidi" w:hAnsiTheme="majorBidi" w:cstheme="majorBidi"/>
          <w:b/>
          <w:bCs/>
          <w:sz w:val="22"/>
          <w:szCs w:val="22"/>
        </w:rPr>
        <w:t>:</w:t>
      </w:r>
      <w:r w:rsidRPr="00C60FA4">
        <w:rPr>
          <w:rFonts w:asciiTheme="majorBidi" w:hAnsiTheme="majorBidi" w:cstheme="majorBidi"/>
          <w:b/>
          <w:bCs/>
          <w:sz w:val="22"/>
          <w:szCs w:val="22"/>
        </w:rPr>
        <w:t xml:space="preserve"> The credit exposures for the credit facilities are distributed according to risks degrees</w:t>
      </w:r>
      <w:r w:rsidR="00D36D3E" w:rsidRPr="00C60FA4">
        <w:rPr>
          <w:rFonts w:asciiTheme="majorBidi" w:hAnsiTheme="majorBidi" w:cstheme="majorBidi"/>
          <w:b/>
          <w:bCs/>
          <w:sz w:val="22"/>
          <w:szCs w:val="22"/>
        </w:rPr>
        <w:t xml:space="preserve"> at </w:t>
      </w:r>
      <w:r w:rsidR="00D36D3E" w:rsidRPr="00EA084C">
        <w:rPr>
          <w:rFonts w:asciiTheme="majorBidi" w:hAnsiTheme="majorBidi" w:cstheme="majorBidi"/>
          <w:b/>
          <w:bCs/>
          <w:color w:val="auto"/>
          <w:sz w:val="22"/>
          <w:szCs w:val="22"/>
        </w:rPr>
        <w:t>ALquds:</w:t>
      </w:r>
    </w:p>
    <w:p w:rsidR="00CC2A30" w:rsidRDefault="00031374" w:rsidP="00625006">
      <w:pPr>
        <w:autoSpaceDE w:val="0"/>
        <w:autoSpaceDN w:val="0"/>
        <w:adjustRightInd w:val="0"/>
        <w:spacing w:after="0" w:line="240" w:lineRule="auto"/>
        <w:jc w:val="center"/>
        <w:rPr>
          <w:rFonts w:asciiTheme="majorBidi" w:hAnsiTheme="majorBidi" w:cstheme="majorBidi"/>
          <w:b/>
          <w:bCs/>
          <w:sz w:val="28"/>
          <w:szCs w:val="28"/>
        </w:rPr>
      </w:pPr>
      <w:r w:rsidRPr="00031374">
        <w:rPr>
          <w:rFonts w:asciiTheme="majorBidi" w:hAnsiTheme="majorBidi" w:cstheme="majorBidi"/>
          <w:b/>
          <w:bCs/>
          <w:noProof/>
          <w:sz w:val="28"/>
          <w:szCs w:val="28"/>
        </w:rPr>
        <w:drawing>
          <wp:inline distT="0" distB="0" distL="0" distR="0">
            <wp:extent cx="4754698" cy="1359673"/>
            <wp:effectExtent l="19050" t="0" r="7802"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761612" cy="1361650"/>
                    </a:xfrm>
                    <a:prstGeom prst="rect">
                      <a:avLst/>
                    </a:prstGeom>
                    <a:noFill/>
                    <a:ln w="9525">
                      <a:noFill/>
                      <a:miter lim="800000"/>
                      <a:headEnd/>
                      <a:tailEnd/>
                    </a:ln>
                  </pic:spPr>
                </pic:pic>
              </a:graphicData>
            </a:graphic>
          </wp:inline>
        </w:drawing>
      </w:r>
    </w:p>
    <w:p w:rsidR="00625006" w:rsidRDefault="00625006" w:rsidP="00625006">
      <w:pPr>
        <w:autoSpaceDE w:val="0"/>
        <w:autoSpaceDN w:val="0"/>
        <w:adjustRightInd w:val="0"/>
        <w:spacing w:after="0" w:line="240" w:lineRule="auto"/>
        <w:jc w:val="center"/>
        <w:rPr>
          <w:rFonts w:asciiTheme="majorBidi" w:hAnsiTheme="majorBidi" w:cstheme="majorBidi"/>
          <w:color w:val="000000" w:themeColor="text1"/>
          <w:sz w:val="20"/>
          <w:szCs w:val="20"/>
        </w:rPr>
      </w:pPr>
    </w:p>
    <w:p w:rsidR="00031374" w:rsidRDefault="00721FE5" w:rsidP="00625006">
      <w:pPr>
        <w:autoSpaceDE w:val="0"/>
        <w:autoSpaceDN w:val="0"/>
        <w:adjustRightInd w:val="0"/>
        <w:spacing w:after="0" w:line="240" w:lineRule="auto"/>
        <w:jc w:val="center"/>
        <w:rPr>
          <w:rFonts w:asciiTheme="majorBidi" w:hAnsiTheme="majorBidi" w:cstheme="majorBidi"/>
          <w:color w:val="000000" w:themeColor="text1"/>
          <w:sz w:val="20"/>
          <w:szCs w:val="20"/>
        </w:rPr>
      </w:pPr>
      <w:r w:rsidRPr="008A0806">
        <w:rPr>
          <w:rFonts w:asciiTheme="majorBidi" w:hAnsiTheme="majorBidi" w:cstheme="majorBidi"/>
          <w:color w:val="000000" w:themeColor="text1"/>
          <w:sz w:val="20"/>
          <w:szCs w:val="20"/>
        </w:rPr>
        <w:t>Source: Al</w:t>
      </w:r>
      <w:r w:rsidR="007B3CEF" w:rsidRPr="008A0806">
        <w:rPr>
          <w:rFonts w:asciiTheme="majorBidi" w:hAnsiTheme="majorBidi" w:cstheme="majorBidi"/>
          <w:color w:val="000000" w:themeColor="text1"/>
          <w:sz w:val="20"/>
          <w:szCs w:val="20"/>
        </w:rPr>
        <w:t>-</w:t>
      </w:r>
      <w:r w:rsidR="008A0806" w:rsidRPr="008A0806">
        <w:rPr>
          <w:rFonts w:asciiTheme="majorBidi" w:hAnsiTheme="majorBidi" w:cstheme="majorBidi"/>
          <w:color w:val="000000" w:themeColor="text1"/>
          <w:sz w:val="20"/>
          <w:szCs w:val="20"/>
        </w:rPr>
        <w:t>Quds B</w:t>
      </w:r>
      <w:r w:rsidRPr="008A0806">
        <w:rPr>
          <w:rFonts w:asciiTheme="majorBidi" w:hAnsiTheme="majorBidi" w:cstheme="majorBidi"/>
          <w:color w:val="000000" w:themeColor="text1"/>
          <w:sz w:val="20"/>
          <w:szCs w:val="20"/>
        </w:rPr>
        <w:t>ank</w:t>
      </w:r>
      <w:r w:rsidR="008A0806" w:rsidRPr="008A0806">
        <w:rPr>
          <w:rFonts w:asciiTheme="majorBidi" w:hAnsiTheme="majorBidi" w:cstheme="majorBidi"/>
          <w:color w:val="000000" w:themeColor="text1"/>
          <w:sz w:val="20"/>
          <w:szCs w:val="20"/>
        </w:rPr>
        <w:t xml:space="preserve"> Annual R</w:t>
      </w:r>
      <w:r w:rsidR="00031374" w:rsidRPr="008A0806">
        <w:rPr>
          <w:rFonts w:asciiTheme="majorBidi" w:hAnsiTheme="majorBidi" w:cstheme="majorBidi"/>
          <w:color w:val="000000" w:themeColor="text1"/>
          <w:sz w:val="20"/>
          <w:szCs w:val="20"/>
        </w:rPr>
        <w:t>eport</w:t>
      </w:r>
      <w:r w:rsidRPr="008A0806">
        <w:rPr>
          <w:rFonts w:asciiTheme="majorBidi" w:hAnsiTheme="majorBidi" w:cstheme="majorBidi"/>
          <w:color w:val="000000" w:themeColor="text1"/>
          <w:sz w:val="20"/>
          <w:szCs w:val="20"/>
        </w:rPr>
        <w:t>, 2012</w:t>
      </w:r>
    </w:p>
    <w:p w:rsidR="00625006" w:rsidRPr="008A0806" w:rsidRDefault="00625006" w:rsidP="00625006">
      <w:pPr>
        <w:autoSpaceDE w:val="0"/>
        <w:autoSpaceDN w:val="0"/>
        <w:adjustRightInd w:val="0"/>
        <w:spacing w:after="0" w:line="240" w:lineRule="auto"/>
        <w:jc w:val="center"/>
        <w:rPr>
          <w:rFonts w:asciiTheme="majorBidi" w:hAnsiTheme="majorBidi" w:cstheme="majorBidi"/>
          <w:color w:val="000000" w:themeColor="text1"/>
          <w:sz w:val="20"/>
          <w:szCs w:val="20"/>
        </w:rPr>
      </w:pPr>
    </w:p>
    <w:p w:rsidR="00B75A19" w:rsidRPr="00EA084C" w:rsidRDefault="007B2075" w:rsidP="002646B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table 4.28</w:t>
      </w:r>
      <w:r w:rsidR="00AD309A" w:rsidRPr="00EA084C">
        <w:rPr>
          <w:rFonts w:ascii="Times New Roman" w:hAnsi="Times New Roman" w:cs="Times New Roman"/>
          <w:sz w:val="24"/>
          <w:szCs w:val="24"/>
        </w:rPr>
        <w:t>,</w:t>
      </w:r>
      <w:r w:rsidR="00D843DE" w:rsidRPr="00EA084C">
        <w:rPr>
          <w:rFonts w:ascii="Times New Roman" w:hAnsi="Times New Roman" w:cs="Times New Roman"/>
          <w:sz w:val="24"/>
          <w:szCs w:val="24"/>
        </w:rPr>
        <w:t xml:space="preserve"> 91%, 6.8% and 1.8% of the credit exposures are to Public sector, Corporate and individuals respectively, rated low </w:t>
      </w:r>
      <w:r w:rsidR="00AD309A" w:rsidRPr="00EA084C">
        <w:rPr>
          <w:rFonts w:ascii="Times New Roman" w:hAnsi="Times New Roman" w:cs="Times New Roman"/>
          <w:sz w:val="24"/>
          <w:szCs w:val="24"/>
        </w:rPr>
        <w:t xml:space="preserve">risk, and 72% and 32% are credit exposure rated acceptable to individuals and corporate respectively. </w:t>
      </w:r>
    </w:p>
    <w:p w:rsidR="00D843DE" w:rsidRPr="008C0BF6" w:rsidRDefault="008C0BF6" w:rsidP="00BA2241">
      <w:pPr>
        <w:pStyle w:val="NormalWeb"/>
        <w:shd w:val="clear" w:color="auto" w:fill="FFFFFF"/>
        <w:spacing w:before="0" w:beforeAutospacing="0" w:after="0" w:afterAutospacing="0" w:line="360" w:lineRule="auto"/>
        <w:contextualSpacing/>
        <w:textAlignment w:val="baseline"/>
        <w:rPr>
          <w:rFonts w:asciiTheme="majorBidi" w:hAnsiTheme="majorBidi" w:cstheme="majorBidi"/>
          <w:color w:val="000000" w:themeColor="text1"/>
        </w:rPr>
      </w:pPr>
      <w:r>
        <w:rPr>
          <w:rFonts w:asciiTheme="majorBidi" w:hAnsiTheme="majorBidi" w:cstheme="majorBidi"/>
          <w:color w:val="000000" w:themeColor="text1"/>
        </w:rPr>
        <w:t>-</w:t>
      </w:r>
      <w:r w:rsidR="00D843DE" w:rsidRPr="008A037E">
        <w:rPr>
          <w:rFonts w:asciiTheme="majorBidi" w:hAnsiTheme="majorBidi" w:cstheme="majorBidi"/>
        </w:rPr>
        <w:t>Loan Impairment</w:t>
      </w:r>
    </w:p>
    <w:p w:rsidR="00EA084C" w:rsidRDefault="00D843DE" w:rsidP="00BA2241">
      <w:pPr>
        <w:autoSpaceDE w:val="0"/>
        <w:autoSpaceDN w:val="0"/>
        <w:adjustRightInd w:val="0"/>
        <w:spacing w:after="0" w:line="360" w:lineRule="auto"/>
        <w:jc w:val="both"/>
        <w:rPr>
          <w:rFonts w:asciiTheme="majorBidi" w:hAnsiTheme="majorBidi" w:cstheme="majorBidi"/>
          <w:sz w:val="24"/>
          <w:szCs w:val="24"/>
        </w:rPr>
      </w:pPr>
      <w:r w:rsidRPr="0010472D">
        <w:rPr>
          <w:rFonts w:asciiTheme="majorBidi" w:hAnsiTheme="majorBidi" w:cstheme="majorBidi"/>
          <w:sz w:val="24"/>
          <w:szCs w:val="24"/>
        </w:rPr>
        <w:t xml:space="preserve">Regarding this issue, potential credit risk loans (nonperforming loans) at Palestine bank are identified as either </w:t>
      </w:r>
      <w:r w:rsidRPr="0010472D">
        <w:rPr>
          <w:rFonts w:asciiTheme="majorBidi" w:hAnsiTheme="majorBidi" w:cstheme="majorBidi"/>
          <w:sz w:val="24"/>
          <w:szCs w:val="24"/>
          <w:shd w:val="clear" w:color="auto" w:fill="FFFFFF"/>
        </w:rPr>
        <w:t xml:space="preserve">Substandard or Doubtful loans. Substandard loans are </w:t>
      </w:r>
      <w:r w:rsidRPr="0010472D">
        <w:rPr>
          <w:rFonts w:asciiTheme="majorBidi" w:hAnsiTheme="majorBidi" w:cstheme="majorBidi"/>
          <w:sz w:val="24"/>
          <w:szCs w:val="24"/>
        </w:rPr>
        <w:t>inadequately protected by current worth/paying capacity of obligor or collateral. Well-defined weaknesses jeopardize liquidation of the debt. Distinct possibility that bank will sustain some loss if deficiencies are not corrected.</w:t>
      </w:r>
      <w:r w:rsidRPr="0010472D">
        <w:rPr>
          <w:rFonts w:asciiTheme="majorBidi" w:hAnsiTheme="majorBidi" w:cstheme="majorBidi"/>
          <w:sz w:val="24"/>
          <w:szCs w:val="24"/>
          <w:shd w:val="clear" w:color="auto" w:fill="FFFFFF"/>
        </w:rPr>
        <w:t xml:space="preserve"> Where the substandard loans are</w:t>
      </w:r>
      <w:r w:rsidRPr="0010472D">
        <w:rPr>
          <w:rFonts w:asciiTheme="majorBidi" w:hAnsiTheme="majorBidi" w:cstheme="majorBidi"/>
          <w:sz w:val="24"/>
          <w:szCs w:val="24"/>
        </w:rPr>
        <w:t xml:space="preserve"> accruing but are past due 91 to 180 days. According to PMA instructions, the bank must have provisions by 20% of the </w:t>
      </w:r>
      <w:r w:rsidRPr="0010472D">
        <w:rPr>
          <w:rFonts w:asciiTheme="majorBidi" w:hAnsiTheme="majorBidi" w:cstheme="majorBidi"/>
          <w:sz w:val="24"/>
          <w:szCs w:val="24"/>
          <w:shd w:val="clear" w:color="auto" w:fill="FFFFFF"/>
        </w:rPr>
        <w:t>substandard loans. Doubtful loans</w:t>
      </w:r>
      <w:r>
        <w:rPr>
          <w:rFonts w:asciiTheme="majorBidi" w:hAnsiTheme="majorBidi" w:cstheme="majorBidi"/>
          <w:sz w:val="24"/>
          <w:szCs w:val="24"/>
          <w:shd w:val="clear" w:color="auto" w:fill="FFFFFF"/>
        </w:rPr>
        <w:t xml:space="preserve"> are</w:t>
      </w:r>
      <w:r w:rsidR="000B7094">
        <w:rPr>
          <w:rFonts w:asciiTheme="majorBidi" w:hAnsiTheme="majorBidi" w:cstheme="majorBidi"/>
          <w:sz w:val="24"/>
          <w:szCs w:val="24"/>
          <w:shd w:val="clear" w:color="auto" w:fill="FFFFFF"/>
        </w:rPr>
        <w:t xml:space="preserve"> </w:t>
      </w:r>
      <w:r>
        <w:rPr>
          <w:rFonts w:asciiTheme="majorBidi" w:hAnsiTheme="majorBidi" w:cstheme="majorBidi"/>
          <w:sz w:val="24"/>
          <w:szCs w:val="24"/>
        </w:rPr>
        <w:t>all</w:t>
      </w:r>
      <w:r w:rsidRPr="0010472D">
        <w:rPr>
          <w:rFonts w:asciiTheme="majorBidi" w:hAnsiTheme="majorBidi" w:cstheme="majorBidi"/>
          <w:sz w:val="24"/>
          <w:szCs w:val="24"/>
        </w:rPr>
        <w:t xml:space="preserve"> weaknesses inherent in</w:t>
      </w:r>
      <w:r>
        <w:rPr>
          <w:rFonts w:asciiTheme="majorBidi" w:hAnsiTheme="majorBidi" w:cstheme="majorBidi"/>
          <w:sz w:val="24"/>
          <w:szCs w:val="24"/>
        </w:rPr>
        <w:t xml:space="preserve"> substandard, and</w:t>
      </w:r>
      <w:r w:rsidRPr="0010472D">
        <w:rPr>
          <w:rFonts w:asciiTheme="majorBidi" w:hAnsiTheme="majorBidi" w:cstheme="majorBidi"/>
          <w:sz w:val="24"/>
          <w:szCs w:val="24"/>
        </w:rPr>
        <w:t xml:space="preserve"> collection/liquidation in full, on basis of</w:t>
      </w:r>
      <w:r w:rsidR="000B7094">
        <w:rPr>
          <w:rFonts w:asciiTheme="majorBidi" w:hAnsiTheme="majorBidi" w:cstheme="majorBidi"/>
          <w:sz w:val="24"/>
          <w:szCs w:val="24"/>
        </w:rPr>
        <w:t xml:space="preserve"> </w:t>
      </w:r>
      <w:r w:rsidRPr="0010472D">
        <w:rPr>
          <w:rFonts w:asciiTheme="majorBidi" w:hAnsiTheme="majorBidi" w:cstheme="majorBidi"/>
          <w:sz w:val="24"/>
          <w:szCs w:val="24"/>
        </w:rPr>
        <w:t>currently existing conditions, is</w:t>
      </w:r>
      <w:r w:rsidR="000B7094">
        <w:rPr>
          <w:rFonts w:asciiTheme="majorBidi" w:hAnsiTheme="majorBidi" w:cstheme="majorBidi"/>
          <w:sz w:val="24"/>
          <w:szCs w:val="24"/>
        </w:rPr>
        <w:t xml:space="preserve"> </w:t>
      </w:r>
      <w:r w:rsidRPr="0010472D">
        <w:rPr>
          <w:rFonts w:asciiTheme="majorBidi" w:hAnsiTheme="majorBidi" w:cstheme="majorBidi"/>
          <w:sz w:val="24"/>
          <w:szCs w:val="24"/>
        </w:rPr>
        <w:t xml:space="preserve">highly questionable or </w:t>
      </w:r>
      <w:r w:rsidR="000B7094" w:rsidRPr="0010472D">
        <w:rPr>
          <w:rFonts w:asciiTheme="majorBidi" w:hAnsiTheme="majorBidi" w:cstheme="majorBidi"/>
          <w:sz w:val="24"/>
          <w:szCs w:val="24"/>
        </w:rPr>
        <w:t>improbable. Specific</w:t>
      </w:r>
      <w:r w:rsidRPr="0010472D">
        <w:rPr>
          <w:rFonts w:asciiTheme="majorBidi" w:hAnsiTheme="majorBidi" w:cstheme="majorBidi"/>
          <w:sz w:val="24"/>
          <w:szCs w:val="24"/>
        </w:rPr>
        <w:t xml:space="preserve"> pending factors </w:t>
      </w:r>
      <w:r w:rsidR="000B7094" w:rsidRPr="0010472D">
        <w:rPr>
          <w:rFonts w:asciiTheme="majorBidi" w:hAnsiTheme="majorBidi" w:cstheme="majorBidi"/>
          <w:sz w:val="24"/>
          <w:szCs w:val="24"/>
        </w:rPr>
        <w:t>may strengthen</w:t>
      </w:r>
      <w:r w:rsidRPr="0010472D">
        <w:rPr>
          <w:rFonts w:asciiTheme="majorBidi" w:hAnsiTheme="majorBidi" w:cstheme="majorBidi"/>
          <w:sz w:val="24"/>
          <w:szCs w:val="24"/>
        </w:rPr>
        <w:t xml:space="preserve"> credit; treatment as </w:t>
      </w:r>
      <w:r w:rsidR="000B7094" w:rsidRPr="0010472D">
        <w:rPr>
          <w:rFonts w:asciiTheme="majorBidi" w:hAnsiTheme="majorBidi" w:cstheme="majorBidi"/>
          <w:sz w:val="24"/>
          <w:szCs w:val="24"/>
        </w:rPr>
        <w:t>loss deferred</w:t>
      </w:r>
      <w:r w:rsidRPr="0010472D">
        <w:rPr>
          <w:rFonts w:asciiTheme="majorBidi" w:hAnsiTheme="majorBidi" w:cstheme="majorBidi"/>
          <w:sz w:val="24"/>
          <w:szCs w:val="24"/>
        </w:rPr>
        <w:t xml:space="preserve"> until exact status can </w:t>
      </w:r>
      <w:r w:rsidR="000B7094" w:rsidRPr="0010472D">
        <w:rPr>
          <w:rFonts w:asciiTheme="majorBidi" w:hAnsiTheme="majorBidi" w:cstheme="majorBidi"/>
          <w:sz w:val="24"/>
          <w:szCs w:val="24"/>
        </w:rPr>
        <w:t>be determined</w:t>
      </w:r>
      <w:r w:rsidRPr="0010472D">
        <w:rPr>
          <w:rFonts w:asciiTheme="majorBidi" w:hAnsiTheme="majorBidi" w:cstheme="majorBidi"/>
          <w:sz w:val="24"/>
          <w:szCs w:val="24"/>
        </w:rPr>
        <w:t>.</w:t>
      </w:r>
      <w:r w:rsidRPr="0010472D">
        <w:rPr>
          <w:rFonts w:asciiTheme="majorBidi" w:hAnsiTheme="majorBidi" w:cstheme="majorBidi"/>
          <w:sz w:val="24"/>
          <w:szCs w:val="24"/>
          <w:shd w:val="clear" w:color="auto" w:fill="FFFFFF"/>
        </w:rPr>
        <w:t xml:space="preserve"> While</w:t>
      </w:r>
      <w:r w:rsidRPr="00912106">
        <w:rPr>
          <w:rFonts w:asciiTheme="majorBidi" w:hAnsiTheme="majorBidi" w:cstheme="majorBidi"/>
          <w:sz w:val="24"/>
          <w:szCs w:val="24"/>
          <w:shd w:val="clear" w:color="auto" w:fill="FFFFFF"/>
        </w:rPr>
        <w:t xml:space="preserve"> the Doubtful loans, are accruing but are past due181 to 360 days and its required provisions by 50% of its value. Also there are some loans classified “under watch list”, and it require special attention by the bank</w:t>
      </w:r>
      <w:r>
        <w:rPr>
          <w:rFonts w:asciiTheme="majorBidi" w:hAnsiTheme="majorBidi" w:cstheme="majorBidi"/>
          <w:sz w:val="24"/>
          <w:szCs w:val="24"/>
          <w:shd w:val="clear" w:color="auto" w:fill="FFFFFF"/>
        </w:rPr>
        <w:t xml:space="preserve">, since it </w:t>
      </w:r>
      <w:r>
        <w:rPr>
          <w:rFonts w:asciiTheme="majorBidi" w:hAnsiTheme="majorBidi" w:cstheme="majorBidi"/>
          <w:sz w:val="24"/>
          <w:szCs w:val="24"/>
        </w:rPr>
        <w:t xml:space="preserve">has potential weaknesses. </w:t>
      </w:r>
    </w:p>
    <w:p w:rsidR="00D843DE" w:rsidRPr="00EA084C" w:rsidRDefault="00D843DE" w:rsidP="00EA084C">
      <w:pPr>
        <w:autoSpaceDE w:val="0"/>
        <w:autoSpaceDN w:val="0"/>
        <w:adjustRightInd w:val="0"/>
        <w:spacing w:after="0" w:line="360" w:lineRule="auto"/>
        <w:jc w:val="center"/>
        <w:rPr>
          <w:rFonts w:asciiTheme="majorBidi" w:hAnsiTheme="majorBidi" w:cstheme="majorBidi"/>
          <w:sz w:val="24"/>
          <w:szCs w:val="24"/>
        </w:rPr>
      </w:pPr>
      <w:r w:rsidRPr="00C60FA4">
        <w:rPr>
          <w:rFonts w:asciiTheme="majorBidi" w:hAnsiTheme="majorBidi" w:cstheme="majorBidi"/>
          <w:b/>
          <w:bCs/>
          <w:shd w:val="clear" w:color="auto" w:fill="FFFFFF"/>
        </w:rPr>
        <w:t>Table</w:t>
      </w:r>
      <w:r w:rsidR="007B2075">
        <w:rPr>
          <w:rFonts w:asciiTheme="majorBidi" w:hAnsiTheme="majorBidi" w:cstheme="majorBidi"/>
          <w:b/>
          <w:bCs/>
          <w:shd w:val="clear" w:color="auto" w:fill="FFFFFF"/>
        </w:rPr>
        <w:t xml:space="preserve"> 4.29</w:t>
      </w:r>
      <w:r w:rsidR="00625006" w:rsidRPr="00C60FA4">
        <w:rPr>
          <w:rFonts w:asciiTheme="majorBidi" w:hAnsiTheme="majorBidi" w:cstheme="majorBidi"/>
          <w:b/>
          <w:bCs/>
          <w:shd w:val="clear" w:color="auto" w:fill="FFFFFF"/>
        </w:rPr>
        <w:t>:</w:t>
      </w:r>
      <w:r w:rsidR="00625006" w:rsidRPr="00C60FA4">
        <w:rPr>
          <w:rFonts w:asciiTheme="majorBidi" w:hAnsiTheme="majorBidi" w:cstheme="majorBidi"/>
          <w:b/>
          <w:bCs/>
        </w:rPr>
        <w:t xml:space="preserve"> potential</w:t>
      </w:r>
      <w:r w:rsidRPr="00C60FA4">
        <w:rPr>
          <w:rFonts w:asciiTheme="majorBidi" w:hAnsiTheme="majorBidi" w:cstheme="majorBidi"/>
          <w:b/>
          <w:bCs/>
        </w:rPr>
        <w:t xml:space="preserve"> credit risk loans at BOP</w:t>
      </w:r>
    </w:p>
    <w:tbl>
      <w:tblPr>
        <w:tblW w:w="7252" w:type="dxa"/>
        <w:jc w:val="center"/>
        <w:tblInd w:w="2" w:type="dxa"/>
        <w:tblBorders>
          <w:top w:val="double" w:sz="4" w:space="0" w:color="auto"/>
          <w:left w:val="double" w:sz="4" w:space="0" w:color="auto"/>
          <w:bottom w:val="double" w:sz="4" w:space="0" w:color="auto"/>
          <w:right w:val="double" w:sz="4" w:space="0" w:color="auto"/>
        </w:tblBorders>
        <w:shd w:val="clear" w:color="auto" w:fill="FFFFFF"/>
        <w:tblCellMar>
          <w:left w:w="0" w:type="dxa"/>
          <w:right w:w="0" w:type="dxa"/>
        </w:tblCellMar>
        <w:tblLook w:val="04A0"/>
      </w:tblPr>
      <w:tblGrid>
        <w:gridCol w:w="2314"/>
        <w:gridCol w:w="1116"/>
        <w:gridCol w:w="186"/>
        <w:gridCol w:w="1127"/>
        <w:gridCol w:w="186"/>
        <w:gridCol w:w="1082"/>
        <w:gridCol w:w="186"/>
        <w:gridCol w:w="1055"/>
      </w:tblGrid>
      <w:tr w:rsidR="00D843DE" w:rsidRPr="00E576BC" w:rsidTr="00554A5F">
        <w:trPr>
          <w:trHeight w:val="272"/>
          <w:jc w:val="center"/>
        </w:trPr>
        <w:tc>
          <w:tcPr>
            <w:tcW w:w="2314"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Watch list</w:t>
            </w:r>
          </w:p>
        </w:tc>
        <w:tc>
          <w:tcPr>
            <w:tcW w:w="111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199,110</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27"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82,202</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82"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55"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281,312</w:t>
            </w:r>
          </w:p>
        </w:tc>
      </w:tr>
      <w:tr w:rsidR="00D843DE" w:rsidRPr="00E576BC" w:rsidTr="00554A5F">
        <w:trPr>
          <w:trHeight w:val="272"/>
          <w:jc w:val="center"/>
        </w:trPr>
        <w:tc>
          <w:tcPr>
            <w:tcW w:w="2314"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Non-performing:</w:t>
            </w:r>
          </w:p>
        </w:tc>
        <w:tc>
          <w:tcPr>
            <w:tcW w:w="111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27"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82"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55"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r>
      <w:tr w:rsidR="00D843DE" w:rsidRPr="00E576BC" w:rsidTr="00554A5F">
        <w:trPr>
          <w:trHeight w:val="272"/>
          <w:jc w:val="center"/>
        </w:trPr>
        <w:tc>
          <w:tcPr>
            <w:tcW w:w="2314"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Substandard</w:t>
            </w:r>
          </w:p>
        </w:tc>
        <w:tc>
          <w:tcPr>
            <w:tcW w:w="111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5,748,223</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27"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1,261,089</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82"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55"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7,009,312</w:t>
            </w:r>
          </w:p>
        </w:tc>
      </w:tr>
      <w:tr w:rsidR="00D843DE" w:rsidRPr="00E576BC" w:rsidTr="00554A5F">
        <w:trPr>
          <w:trHeight w:val="272"/>
          <w:jc w:val="center"/>
        </w:trPr>
        <w:tc>
          <w:tcPr>
            <w:tcW w:w="2314" w:type="dxa"/>
            <w:shd w:val="clear" w:color="auto" w:fill="auto"/>
            <w:tcMar>
              <w:top w:w="20" w:type="dxa"/>
              <w:left w:w="0" w:type="dxa"/>
              <w:bottom w:w="20" w:type="dxa"/>
              <w:right w:w="108" w:type="dxa"/>
            </w:tcMar>
            <w:vAlign w:val="bottom"/>
            <w:hideMark/>
          </w:tcPr>
          <w:p w:rsidR="00D843DE" w:rsidRPr="00E576BC" w:rsidRDefault="00D843DE" w:rsidP="00554A5F">
            <w:pPr>
              <w:spacing w:after="0" w:line="149"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Doubtful</w:t>
            </w:r>
          </w:p>
        </w:tc>
        <w:tc>
          <w:tcPr>
            <w:tcW w:w="111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4,455,902</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127"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3,951,978</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82"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946,257</w:t>
            </w:r>
          </w:p>
        </w:tc>
        <w:tc>
          <w:tcPr>
            <w:tcW w:w="186"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055" w:type="dxa"/>
            <w:shd w:val="clear" w:color="auto" w:fill="auto"/>
            <w:tcMar>
              <w:top w:w="20" w:type="dxa"/>
              <w:left w:w="0" w:type="dxa"/>
              <w:bottom w:w="2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9,354,137</w:t>
            </w:r>
          </w:p>
        </w:tc>
      </w:tr>
    </w:tbl>
    <w:p w:rsidR="00625006" w:rsidRPr="002A4D97" w:rsidRDefault="00625006" w:rsidP="00625006">
      <w:pPr>
        <w:autoSpaceDE w:val="0"/>
        <w:autoSpaceDN w:val="0"/>
        <w:adjustRightInd w:val="0"/>
        <w:spacing w:after="0" w:line="360" w:lineRule="auto"/>
        <w:jc w:val="center"/>
        <w:rPr>
          <w:rFonts w:asciiTheme="majorBidi" w:hAnsiTheme="majorBidi" w:cstheme="majorBidi"/>
          <w:color w:val="000000" w:themeColor="text1"/>
          <w:sz w:val="16"/>
          <w:szCs w:val="16"/>
        </w:rPr>
      </w:pPr>
    </w:p>
    <w:p w:rsidR="0094497A" w:rsidRPr="00625006" w:rsidRDefault="00095056" w:rsidP="00625006">
      <w:pPr>
        <w:autoSpaceDE w:val="0"/>
        <w:autoSpaceDN w:val="0"/>
        <w:adjustRightInd w:val="0"/>
        <w:spacing w:after="0" w:line="36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Source: BOP, 2012 Annual R</w:t>
      </w:r>
      <w:r w:rsidR="00D843DE" w:rsidRPr="00625006">
        <w:rPr>
          <w:rFonts w:asciiTheme="majorBidi" w:hAnsiTheme="majorBidi" w:cstheme="majorBidi"/>
          <w:color w:val="000000" w:themeColor="text1"/>
          <w:sz w:val="20"/>
          <w:szCs w:val="20"/>
        </w:rPr>
        <w:t>eport</w:t>
      </w:r>
    </w:p>
    <w:p w:rsidR="00EA084C" w:rsidRPr="002A4D97" w:rsidRDefault="00D843DE" w:rsidP="00EA084C">
      <w:pPr>
        <w:autoSpaceDE w:val="0"/>
        <w:autoSpaceDN w:val="0"/>
        <w:adjustRightInd w:val="0"/>
        <w:spacing w:after="0" w:line="360" w:lineRule="auto"/>
        <w:rPr>
          <w:rFonts w:asciiTheme="majorBidi" w:hAnsiTheme="majorBidi" w:cstheme="majorBidi"/>
          <w:sz w:val="24"/>
          <w:szCs w:val="24"/>
        </w:rPr>
      </w:pPr>
      <w:r w:rsidRPr="002A4D97">
        <w:rPr>
          <w:rFonts w:asciiTheme="majorBidi" w:hAnsiTheme="majorBidi" w:cstheme="majorBidi"/>
          <w:sz w:val="24"/>
          <w:szCs w:val="24"/>
          <w:shd w:val="clear" w:color="auto" w:fill="FFFFFF"/>
        </w:rPr>
        <w:t xml:space="preserve">While at AL-quds bank, </w:t>
      </w:r>
      <w:r w:rsidRPr="002A4D97">
        <w:rPr>
          <w:rFonts w:asciiTheme="majorBidi" w:hAnsiTheme="majorBidi" w:cstheme="majorBidi"/>
          <w:sz w:val="24"/>
          <w:szCs w:val="24"/>
        </w:rPr>
        <w:t>different categorizing method is adopted, where</w:t>
      </w:r>
      <w:r w:rsidRPr="002A4D97">
        <w:rPr>
          <w:rFonts w:asciiTheme="majorBidi" w:hAnsiTheme="majorBidi" w:cstheme="majorBidi"/>
          <w:sz w:val="24"/>
          <w:szCs w:val="24"/>
          <w:shd w:val="clear" w:color="auto" w:fill="FFFFFF"/>
        </w:rPr>
        <w:t xml:space="preserve"> potential</w:t>
      </w:r>
      <w:r w:rsidRPr="002A4D97">
        <w:rPr>
          <w:rFonts w:asciiTheme="majorBidi" w:hAnsiTheme="majorBidi" w:cstheme="majorBidi"/>
          <w:sz w:val="24"/>
          <w:szCs w:val="24"/>
        </w:rPr>
        <w:t xml:space="preserve"> credit risk loans name “non-functional loans” and classified either below the level or doubted loans. These non functional loans treated as bank of Palestine based on PMA instructions. </w:t>
      </w:r>
    </w:p>
    <w:p w:rsidR="006D31A0" w:rsidRPr="00EA084C" w:rsidRDefault="006D31A0" w:rsidP="00EA084C">
      <w:pPr>
        <w:autoSpaceDE w:val="0"/>
        <w:autoSpaceDN w:val="0"/>
        <w:adjustRightInd w:val="0"/>
        <w:spacing w:after="0" w:line="360" w:lineRule="auto"/>
        <w:jc w:val="center"/>
        <w:rPr>
          <w:rFonts w:asciiTheme="majorBidi" w:hAnsiTheme="majorBidi" w:cstheme="majorBidi"/>
          <w:color w:val="000000" w:themeColor="text1"/>
          <w:sz w:val="24"/>
          <w:szCs w:val="24"/>
        </w:rPr>
      </w:pPr>
      <w:r w:rsidRPr="00C60FA4">
        <w:rPr>
          <w:rFonts w:asciiTheme="majorBidi" w:hAnsiTheme="majorBidi" w:cstheme="majorBidi"/>
          <w:b/>
          <w:bCs/>
          <w:shd w:val="clear" w:color="auto" w:fill="FFFFFF"/>
        </w:rPr>
        <w:t>Table</w:t>
      </w:r>
      <w:r w:rsidR="007B2075">
        <w:rPr>
          <w:rFonts w:asciiTheme="majorBidi" w:hAnsiTheme="majorBidi" w:cstheme="majorBidi"/>
          <w:b/>
          <w:bCs/>
          <w:shd w:val="clear" w:color="auto" w:fill="FFFFFF"/>
        </w:rPr>
        <w:t xml:space="preserve"> 4.30</w:t>
      </w:r>
      <w:r w:rsidR="00EA084C" w:rsidRPr="00C60FA4">
        <w:rPr>
          <w:rFonts w:asciiTheme="majorBidi" w:hAnsiTheme="majorBidi" w:cstheme="majorBidi"/>
          <w:b/>
          <w:bCs/>
          <w:shd w:val="clear" w:color="auto" w:fill="FFFFFF"/>
        </w:rPr>
        <w:t>:</w:t>
      </w:r>
      <w:r w:rsidR="00EA084C" w:rsidRPr="00C60FA4">
        <w:rPr>
          <w:rFonts w:asciiTheme="majorBidi" w:hAnsiTheme="majorBidi" w:cstheme="majorBidi"/>
          <w:b/>
          <w:bCs/>
        </w:rPr>
        <w:t xml:space="preserve"> potential</w:t>
      </w:r>
      <w:r w:rsidRPr="00C60FA4">
        <w:rPr>
          <w:rFonts w:asciiTheme="majorBidi" w:hAnsiTheme="majorBidi" w:cstheme="majorBidi"/>
          <w:b/>
          <w:bCs/>
        </w:rPr>
        <w:t xml:space="preserve"> credit risk loans at Al-quds bank</w:t>
      </w:r>
    </w:p>
    <w:p w:rsidR="006D31A0" w:rsidRPr="00B910D5" w:rsidRDefault="006D31A0" w:rsidP="006D31A0">
      <w:pPr>
        <w:pStyle w:val="NormalWeb"/>
        <w:shd w:val="clear" w:color="auto" w:fill="FFFFFF"/>
        <w:spacing w:before="245" w:beforeAutospacing="0" w:after="0" w:afterAutospacing="0" w:line="360" w:lineRule="auto"/>
        <w:jc w:val="center"/>
        <w:textAlignment w:val="baseline"/>
        <w:rPr>
          <w:rFonts w:asciiTheme="majorBidi" w:hAnsiTheme="majorBidi" w:cstheme="majorBidi"/>
          <w:shd w:val="clear" w:color="auto" w:fill="FFFFFF"/>
        </w:rPr>
      </w:pPr>
      <w:r w:rsidRPr="006D31A0">
        <w:rPr>
          <w:rFonts w:asciiTheme="majorBidi" w:hAnsiTheme="majorBidi" w:cstheme="majorBidi"/>
          <w:noProof/>
          <w:shd w:val="clear" w:color="auto" w:fill="FFFFFF"/>
        </w:rPr>
        <w:drawing>
          <wp:inline distT="0" distB="0" distL="0" distR="0">
            <wp:extent cx="4576799" cy="73152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611943" cy="737137"/>
                    </a:xfrm>
                    <a:prstGeom prst="rect">
                      <a:avLst/>
                    </a:prstGeom>
                    <a:noFill/>
                    <a:ln w="9525">
                      <a:noFill/>
                      <a:miter lim="800000"/>
                      <a:headEnd/>
                      <a:tailEnd/>
                    </a:ln>
                  </pic:spPr>
                </pic:pic>
              </a:graphicData>
            </a:graphic>
          </wp:inline>
        </w:drawing>
      </w:r>
    </w:p>
    <w:p w:rsidR="0094497A" w:rsidRPr="008A0806" w:rsidRDefault="00721FE5" w:rsidP="00625006">
      <w:pPr>
        <w:pStyle w:val="NormalWeb"/>
        <w:shd w:val="clear" w:color="auto" w:fill="FFFFFF"/>
        <w:spacing w:before="245" w:beforeAutospacing="0" w:after="0" w:afterAutospacing="0" w:line="360" w:lineRule="auto"/>
        <w:jc w:val="center"/>
        <w:textAlignment w:val="baseline"/>
        <w:rPr>
          <w:rFonts w:asciiTheme="majorBidi" w:hAnsiTheme="majorBidi" w:cstheme="majorBidi"/>
          <w:sz w:val="20"/>
          <w:szCs w:val="20"/>
          <w:shd w:val="clear" w:color="auto" w:fill="FFFFFF"/>
        </w:rPr>
      </w:pPr>
      <w:r w:rsidRPr="008A0806">
        <w:rPr>
          <w:rFonts w:asciiTheme="majorBidi" w:hAnsiTheme="majorBidi" w:cstheme="majorBidi"/>
          <w:sz w:val="20"/>
          <w:szCs w:val="20"/>
          <w:shd w:val="clear" w:color="auto" w:fill="FFFFFF"/>
        </w:rPr>
        <w:t>Source: AlQ</w:t>
      </w:r>
      <w:r w:rsidR="00095056">
        <w:rPr>
          <w:rFonts w:asciiTheme="majorBidi" w:hAnsiTheme="majorBidi" w:cstheme="majorBidi"/>
          <w:sz w:val="20"/>
          <w:szCs w:val="20"/>
          <w:shd w:val="clear" w:color="auto" w:fill="FFFFFF"/>
        </w:rPr>
        <w:t>uds Bank's A</w:t>
      </w:r>
      <w:r w:rsidR="008A0806">
        <w:rPr>
          <w:rFonts w:asciiTheme="majorBidi" w:hAnsiTheme="majorBidi" w:cstheme="majorBidi"/>
          <w:sz w:val="20"/>
          <w:szCs w:val="20"/>
          <w:shd w:val="clear" w:color="auto" w:fill="FFFFFF"/>
        </w:rPr>
        <w:t>nnual R</w:t>
      </w:r>
      <w:r w:rsidR="005D7249" w:rsidRPr="008A0806">
        <w:rPr>
          <w:rFonts w:asciiTheme="majorBidi" w:hAnsiTheme="majorBidi" w:cstheme="majorBidi"/>
          <w:sz w:val="20"/>
          <w:szCs w:val="20"/>
          <w:shd w:val="clear" w:color="auto" w:fill="FFFFFF"/>
        </w:rPr>
        <w:t>eport, 2012</w:t>
      </w:r>
    </w:p>
    <w:p w:rsidR="002646B7" w:rsidRDefault="002646B7" w:rsidP="0094497A">
      <w:pPr>
        <w:pStyle w:val="NormalWeb"/>
        <w:shd w:val="clear" w:color="auto" w:fill="FFFFFF"/>
        <w:spacing w:before="245" w:beforeAutospacing="0" w:after="0" w:afterAutospacing="0" w:line="360" w:lineRule="auto"/>
        <w:contextualSpacing/>
        <w:textAlignment w:val="baseline"/>
        <w:rPr>
          <w:rFonts w:asciiTheme="majorBidi" w:hAnsiTheme="majorBidi" w:cstheme="majorBidi"/>
        </w:rPr>
      </w:pPr>
    </w:p>
    <w:p w:rsidR="00496DF3" w:rsidRDefault="00D843DE" w:rsidP="0094497A">
      <w:pPr>
        <w:pStyle w:val="NormalWeb"/>
        <w:shd w:val="clear" w:color="auto" w:fill="FFFFFF"/>
        <w:spacing w:before="245" w:beforeAutospacing="0" w:after="0" w:afterAutospacing="0" w:line="360" w:lineRule="auto"/>
        <w:contextualSpacing/>
        <w:textAlignment w:val="baseline"/>
        <w:rPr>
          <w:rFonts w:asciiTheme="majorBidi" w:hAnsiTheme="majorBidi" w:cstheme="majorBidi"/>
          <w:shd w:val="clear" w:color="auto" w:fill="FFFFFF"/>
        </w:rPr>
      </w:pPr>
      <w:r w:rsidRPr="00E235FB">
        <w:rPr>
          <w:rFonts w:asciiTheme="majorBidi" w:hAnsiTheme="majorBidi" w:cstheme="majorBidi"/>
        </w:rPr>
        <w:t>- Provisions/ Allowances</w:t>
      </w:r>
    </w:p>
    <w:p w:rsidR="00BA2241" w:rsidRPr="007121A3" w:rsidRDefault="0094497A" w:rsidP="007121A3">
      <w:pPr>
        <w:pStyle w:val="NormalWeb"/>
        <w:shd w:val="clear" w:color="auto" w:fill="FFFFFF"/>
        <w:spacing w:before="245" w:beforeAutospacing="0" w:after="0" w:afterAutospacing="0" w:line="360" w:lineRule="auto"/>
        <w:contextualSpacing/>
        <w:textAlignment w:val="baseline"/>
        <w:rPr>
          <w:rFonts w:asciiTheme="majorBidi" w:hAnsiTheme="majorBidi" w:cstheme="majorBidi"/>
          <w:shd w:val="clear" w:color="auto" w:fill="FFFFFF"/>
        </w:rPr>
      </w:pPr>
      <w:r>
        <w:rPr>
          <w:rFonts w:asciiTheme="majorBidi" w:hAnsiTheme="majorBidi" w:cstheme="majorBidi"/>
        </w:rPr>
        <w:t>Both at Bank of Palestine (Bo</w:t>
      </w:r>
      <w:r w:rsidR="00D843DE" w:rsidRPr="00E235FB">
        <w:rPr>
          <w:rFonts w:asciiTheme="majorBidi" w:hAnsiTheme="majorBidi" w:cstheme="majorBidi"/>
        </w:rPr>
        <w:t>P) or AL-quds bank no such detailed information on the allowance assessment methodologies is provided. And what is known is that the impairment is measured either individually for significant assets or collectively for portfolio of homogeneous assets</w:t>
      </w:r>
      <w:r w:rsidR="00D843DE">
        <w:rPr>
          <w:rFonts w:asciiTheme="majorBidi" w:hAnsiTheme="majorBidi" w:cstheme="majorBidi"/>
        </w:rPr>
        <w:t>.</w:t>
      </w:r>
    </w:p>
    <w:p w:rsidR="00D843DE" w:rsidRPr="00C60FA4" w:rsidRDefault="00D843DE" w:rsidP="00C60FA4">
      <w:pPr>
        <w:shd w:val="clear" w:color="auto" w:fill="FFFFFF"/>
        <w:spacing w:line="264" w:lineRule="atLeast"/>
        <w:ind w:right="-51"/>
        <w:jc w:val="center"/>
        <w:textAlignment w:val="baseline"/>
        <w:rPr>
          <w:rFonts w:asciiTheme="majorBidi" w:eastAsia="Times New Roman" w:hAnsiTheme="majorBidi" w:cstheme="majorBidi"/>
          <w:b/>
          <w:bCs/>
          <w:color w:val="666666"/>
        </w:rPr>
      </w:pPr>
      <w:r w:rsidRPr="00C60FA4">
        <w:rPr>
          <w:rFonts w:asciiTheme="majorBidi" w:hAnsiTheme="majorBidi" w:cstheme="majorBidi"/>
          <w:b/>
          <w:bCs/>
        </w:rPr>
        <w:t>Table</w:t>
      </w:r>
      <w:r w:rsidR="007B2075">
        <w:rPr>
          <w:rFonts w:asciiTheme="majorBidi" w:hAnsiTheme="majorBidi" w:cstheme="majorBidi"/>
          <w:b/>
          <w:bCs/>
        </w:rPr>
        <w:t xml:space="preserve"> 4.31</w:t>
      </w:r>
      <w:r w:rsidR="00EA084C" w:rsidRPr="00C60FA4">
        <w:rPr>
          <w:rFonts w:asciiTheme="majorBidi" w:hAnsiTheme="majorBidi" w:cstheme="majorBidi"/>
          <w:b/>
          <w:bCs/>
        </w:rPr>
        <w:t>:</w:t>
      </w:r>
      <w:r w:rsidR="00EA084C" w:rsidRPr="00C60FA4">
        <w:rPr>
          <w:rFonts w:asciiTheme="majorBidi" w:eastAsia="Times New Roman" w:hAnsiTheme="majorBidi" w:cstheme="majorBidi"/>
          <w:b/>
          <w:bCs/>
          <w:bdr w:val="none" w:sz="0" w:space="0" w:color="auto" w:frame="1"/>
        </w:rPr>
        <w:t xml:space="preserve"> Summary</w:t>
      </w:r>
      <w:r w:rsidRPr="00C60FA4">
        <w:rPr>
          <w:rFonts w:asciiTheme="majorBidi" w:eastAsia="Times New Roman" w:hAnsiTheme="majorBidi" w:cstheme="majorBidi"/>
          <w:b/>
          <w:bCs/>
          <w:bdr w:val="none" w:sz="0" w:space="0" w:color="auto" w:frame="1"/>
        </w:rPr>
        <w:t xml:space="preserve"> of movement on impairment allowance for credit facilities at BOP:</w:t>
      </w:r>
    </w:p>
    <w:tbl>
      <w:tblPr>
        <w:tblW w:w="7795" w:type="dxa"/>
        <w:jc w:val="center"/>
        <w:tblInd w:w="2" w:type="dxa"/>
        <w:tblBorders>
          <w:top w:val="double" w:sz="4" w:space="0" w:color="auto"/>
          <w:left w:val="double" w:sz="4" w:space="0" w:color="auto"/>
          <w:bottom w:val="double" w:sz="4" w:space="0" w:color="auto"/>
          <w:right w:val="double" w:sz="4" w:space="0" w:color="auto"/>
        </w:tblBorders>
        <w:shd w:val="clear" w:color="auto" w:fill="FFFFFF"/>
        <w:tblCellMar>
          <w:left w:w="0" w:type="dxa"/>
          <w:right w:w="0" w:type="dxa"/>
        </w:tblCellMar>
        <w:tblLook w:val="04A0"/>
      </w:tblPr>
      <w:tblGrid>
        <w:gridCol w:w="4417"/>
        <w:gridCol w:w="1556"/>
        <w:gridCol w:w="266"/>
        <w:gridCol w:w="1556"/>
      </w:tblGrid>
      <w:tr w:rsidR="00D843DE" w:rsidRPr="00E576BC" w:rsidTr="00554A5F">
        <w:trPr>
          <w:trHeight w:val="290"/>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B30CFE" w:rsidP="00554A5F">
            <w:pPr>
              <w:bidi/>
              <w:spacing w:after="0" w:line="264" w:lineRule="atLeast"/>
              <w:jc w:val="center"/>
              <w:textAlignment w:val="baseline"/>
              <w:rPr>
                <w:rFonts w:asciiTheme="majorBidi" w:eastAsia="Times New Roman" w:hAnsiTheme="majorBidi" w:cstheme="majorBidi"/>
                <w:b/>
                <w:bCs/>
                <w:color w:val="666666"/>
                <w:sz w:val="20"/>
                <w:szCs w:val="20"/>
                <w:lang w:bidi="ar-JO"/>
              </w:rPr>
            </w:pPr>
            <w:r>
              <w:rPr>
                <w:rFonts w:asciiTheme="majorBidi" w:eastAsia="Times New Roman" w:hAnsiTheme="majorBidi" w:cstheme="majorBidi"/>
                <w:b/>
                <w:bCs/>
                <w:color w:val="666666"/>
                <w:sz w:val="20"/>
                <w:szCs w:val="20"/>
                <w:bdr w:val="none" w:sz="0" w:space="0" w:color="auto" w:frame="1"/>
              </w:rPr>
              <w:t>2012</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bidi/>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B30CFE" w:rsidP="00554A5F">
            <w:pPr>
              <w:bidi/>
              <w:spacing w:after="0" w:line="264" w:lineRule="atLeast"/>
              <w:jc w:val="center"/>
              <w:textAlignment w:val="baseline"/>
              <w:rPr>
                <w:rFonts w:asciiTheme="majorBidi" w:eastAsia="Times New Roman" w:hAnsiTheme="majorBidi" w:cstheme="majorBidi"/>
                <w:b/>
                <w:bCs/>
                <w:color w:val="666666"/>
                <w:sz w:val="20"/>
                <w:szCs w:val="20"/>
              </w:rPr>
            </w:pPr>
            <w:r>
              <w:rPr>
                <w:rFonts w:asciiTheme="majorBidi" w:eastAsia="Times New Roman" w:hAnsiTheme="majorBidi" w:cstheme="majorBidi"/>
                <w:b/>
                <w:bCs/>
                <w:color w:val="666666"/>
                <w:sz w:val="20"/>
                <w:szCs w:val="20"/>
                <w:bdr w:val="none" w:sz="0" w:space="0" w:color="auto" w:frame="1"/>
              </w:rPr>
              <w:t>2011</w:t>
            </w:r>
          </w:p>
        </w:tc>
      </w:tr>
      <w:tr w:rsidR="00D843DE" w:rsidRPr="00E576BC" w:rsidTr="00554A5F">
        <w:trPr>
          <w:trHeight w:val="290"/>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bidi/>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U.S.$</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bidi/>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bidi/>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U.S.</w:t>
            </w:r>
            <w:r>
              <w:rPr>
                <w:rFonts w:asciiTheme="majorBidi" w:eastAsia="Times New Roman" w:hAnsiTheme="majorBidi" w:cstheme="majorBidi"/>
                <w:b/>
                <w:bCs/>
                <w:color w:val="666666"/>
                <w:sz w:val="20"/>
                <w:szCs w:val="20"/>
                <w:bdr w:val="none" w:sz="0" w:space="0" w:color="auto" w:frame="1"/>
              </w:rPr>
              <w:t>S</w:t>
            </w:r>
          </w:p>
        </w:tc>
      </w:tr>
      <w:tr w:rsidR="00D843DE" w:rsidRPr="00E576BC" w:rsidTr="00554A5F">
        <w:trPr>
          <w:trHeight w:val="290"/>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Balance, beginning of the year</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xml:space="preserve">   6,880,680</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7,442,324</w:t>
            </w:r>
          </w:p>
        </w:tc>
      </w:tr>
      <w:tr w:rsidR="00D843DE" w:rsidRPr="00E576BC" w:rsidTr="00554A5F">
        <w:trPr>
          <w:trHeight w:val="275"/>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Additions</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xml:space="preserve">    1,574,072</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bidi/>
              <w:spacing w:after="0" w:line="264" w:lineRule="atLeas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w:t>
            </w:r>
          </w:p>
        </w:tc>
      </w:tr>
      <w:tr w:rsidR="00D843DE" w:rsidRPr="00E576BC" w:rsidTr="00554A5F">
        <w:trPr>
          <w:trHeight w:val="290"/>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Recovered during the year</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bidi/>
              <w:spacing w:after="0" w:line="264" w:lineRule="atLeast"/>
              <w:textAlignment w:val="baseline"/>
              <w:rPr>
                <w:rFonts w:asciiTheme="majorBidi" w:eastAsia="Times New Roman" w:hAnsiTheme="majorBidi" w:cstheme="majorBidi"/>
                <w:b/>
                <w:bCs/>
                <w:color w:val="666666"/>
                <w:sz w:val="20"/>
                <w:szCs w:val="20"/>
              </w:rPr>
            </w:pP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(628,289)</w:t>
            </w:r>
          </w:p>
        </w:tc>
      </w:tr>
      <w:tr w:rsidR="00D843DE" w:rsidRPr="00E576BC" w:rsidTr="00554A5F">
        <w:trPr>
          <w:trHeight w:val="275"/>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Credit facilities in default for more than 6 years</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right="-57"/>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xml:space="preserve">     (630,799)</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(46,410)</w:t>
            </w:r>
          </w:p>
        </w:tc>
      </w:tr>
      <w:tr w:rsidR="00D843DE" w:rsidRPr="00E576BC" w:rsidTr="00554A5F">
        <w:trPr>
          <w:trHeight w:val="275"/>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Provision written off</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right="-57"/>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xml:space="preserve">     (296,856)</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right="-57"/>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(71,832)</w:t>
            </w:r>
          </w:p>
        </w:tc>
      </w:tr>
      <w:tr w:rsidR="00D843DE" w:rsidRPr="00E576BC" w:rsidTr="00554A5F">
        <w:trPr>
          <w:trHeight w:val="290"/>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Foreign currency exchange differences</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center"/>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xml:space="preserve">    476,336</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184,887</w:t>
            </w:r>
          </w:p>
        </w:tc>
      </w:tr>
      <w:tr w:rsidR="00D843DE" w:rsidRPr="00E576BC" w:rsidTr="00554A5F">
        <w:trPr>
          <w:trHeight w:val="303"/>
          <w:jc w:val="center"/>
        </w:trPr>
        <w:tc>
          <w:tcPr>
            <w:tcW w:w="4421"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ind w:left="113" w:hanging="107"/>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Balance, end of year</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8,003,433</w:t>
            </w:r>
          </w:p>
        </w:tc>
        <w:tc>
          <w:tcPr>
            <w:tcW w:w="260"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 </w:t>
            </w:r>
          </w:p>
        </w:tc>
        <w:tc>
          <w:tcPr>
            <w:tcW w:w="1557" w:type="dxa"/>
            <w:shd w:val="clear" w:color="auto" w:fill="auto"/>
            <w:tcMar>
              <w:top w:w="0" w:type="dxa"/>
              <w:left w:w="108" w:type="dxa"/>
              <w:bottom w:w="0" w:type="dxa"/>
              <w:right w:w="108" w:type="dxa"/>
            </w:tcMar>
            <w:vAlign w:val="bottom"/>
            <w:hideMark/>
          </w:tcPr>
          <w:p w:rsidR="00D843DE" w:rsidRPr="00E576BC" w:rsidRDefault="00D843DE" w:rsidP="00554A5F">
            <w:pPr>
              <w:spacing w:after="0" w:line="264" w:lineRule="atLeast"/>
              <w:jc w:val="right"/>
              <w:textAlignment w:val="baseline"/>
              <w:rPr>
                <w:rFonts w:asciiTheme="majorBidi" w:eastAsia="Times New Roman" w:hAnsiTheme="majorBidi" w:cstheme="majorBidi"/>
                <w:b/>
                <w:bCs/>
                <w:color w:val="666666"/>
                <w:sz w:val="20"/>
                <w:szCs w:val="20"/>
              </w:rPr>
            </w:pPr>
            <w:r w:rsidRPr="00E576BC">
              <w:rPr>
                <w:rFonts w:asciiTheme="majorBidi" w:eastAsia="Times New Roman" w:hAnsiTheme="majorBidi" w:cstheme="majorBidi"/>
                <w:b/>
                <w:bCs/>
                <w:color w:val="666666"/>
                <w:sz w:val="20"/>
                <w:szCs w:val="20"/>
                <w:bdr w:val="none" w:sz="0" w:space="0" w:color="auto" w:frame="1"/>
              </w:rPr>
              <w:t>6,880,680</w:t>
            </w:r>
          </w:p>
        </w:tc>
      </w:tr>
    </w:tbl>
    <w:p w:rsidR="00D843DE" w:rsidRDefault="0094497A" w:rsidP="00625006">
      <w:pPr>
        <w:pStyle w:val="NormalWeb"/>
        <w:shd w:val="clear" w:color="auto" w:fill="FFFFFF"/>
        <w:spacing w:before="245" w:beforeAutospacing="0" w:after="0" w:afterAutospacing="0" w:line="360" w:lineRule="auto"/>
        <w:jc w:val="center"/>
        <w:textAlignment w:val="baseline"/>
        <w:rPr>
          <w:rFonts w:asciiTheme="majorBidi" w:hAnsiTheme="majorBidi" w:cstheme="majorBidi"/>
          <w:sz w:val="20"/>
          <w:szCs w:val="20"/>
        </w:rPr>
      </w:pPr>
      <w:r w:rsidRPr="008A0806">
        <w:rPr>
          <w:rFonts w:asciiTheme="majorBidi" w:hAnsiTheme="majorBidi" w:cstheme="majorBidi"/>
          <w:sz w:val="20"/>
          <w:szCs w:val="20"/>
        </w:rPr>
        <w:t>Source: Bo</w:t>
      </w:r>
      <w:r w:rsidR="002A4D97">
        <w:rPr>
          <w:rFonts w:asciiTheme="majorBidi" w:hAnsiTheme="majorBidi" w:cstheme="majorBidi"/>
          <w:sz w:val="20"/>
          <w:szCs w:val="20"/>
        </w:rPr>
        <w:t>P’s A</w:t>
      </w:r>
      <w:r w:rsidR="008A0806" w:rsidRPr="008A0806">
        <w:rPr>
          <w:rFonts w:asciiTheme="majorBidi" w:hAnsiTheme="majorBidi" w:cstheme="majorBidi"/>
          <w:sz w:val="20"/>
          <w:szCs w:val="20"/>
        </w:rPr>
        <w:t>nnual R</w:t>
      </w:r>
      <w:r w:rsidR="00D843DE" w:rsidRPr="008A0806">
        <w:rPr>
          <w:rFonts w:asciiTheme="majorBidi" w:hAnsiTheme="majorBidi" w:cstheme="majorBidi"/>
          <w:sz w:val="20"/>
          <w:szCs w:val="20"/>
        </w:rPr>
        <w:t>eport, 2012</w:t>
      </w:r>
    </w:p>
    <w:p w:rsidR="00D843DE" w:rsidRDefault="00D843DE" w:rsidP="00D843DE">
      <w:pPr>
        <w:pStyle w:val="NormalWeb"/>
        <w:shd w:val="clear" w:color="auto" w:fill="FFFFFF"/>
        <w:spacing w:before="245" w:beforeAutospacing="0" w:after="0" w:afterAutospacing="0" w:line="360" w:lineRule="auto"/>
        <w:contextualSpacing/>
        <w:textAlignment w:val="baseline"/>
        <w:rPr>
          <w:rFonts w:asciiTheme="majorBidi" w:hAnsiTheme="majorBidi" w:cstheme="majorBidi"/>
        </w:rPr>
      </w:pPr>
      <w:r w:rsidRPr="006445A8">
        <w:rPr>
          <w:rFonts w:asciiTheme="majorBidi" w:hAnsiTheme="majorBidi" w:cstheme="majorBidi"/>
        </w:rPr>
        <w:t>f. Credit Risk Mitigation Methods</w:t>
      </w:r>
    </w:p>
    <w:p w:rsidR="00194FB4" w:rsidRPr="007121A3" w:rsidRDefault="00B31482" w:rsidP="002E3E3E">
      <w:pPr>
        <w:pStyle w:val="NormalWeb"/>
        <w:shd w:val="clear" w:color="auto" w:fill="FFFFFF"/>
        <w:spacing w:before="245" w:beforeAutospacing="0" w:after="0" w:afterAutospacing="0" w:line="360" w:lineRule="auto"/>
        <w:contextualSpacing/>
        <w:jc w:val="both"/>
        <w:textAlignment w:val="baseline"/>
        <w:rPr>
          <w:rFonts w:asciiTheme="majorBidi" w:hAnsiTheme="majorBidi" w:cstheme="majorBidi"/>
        </w:rPr>
      </w:pPr>
      <w:r w:rsidRPr="006445A8">
        <w:rPr>
          <w:rFonts w:asciiTheme="majorBidi" w:hAnsiTheme="majorBidi" w:cstheme="majorBidi"/>
        </w:rPr>
        <w:t>Unfortunately, there</w:t>
      </w:r>
      <w:r w:rsidR="0094497A">
        <w:rPr>
          <w:rFonts w:asciiTheme="majorBidi" w:hAnsiTheme="majorBidi" w:cstheme="majorBidi"/>
        </w:rPr>
        <w:t xml:space="preserve"> is no independent section in Bo</w:t>
      </w:r>
      <w:r w:rsidRPr="006445A8">
        <w:rPr>
          <w:rFonts w:asciiTheme="majorBidi" w:hAnsiTheme="majorBidi" w:cstheme="majorBidi"/>
        </w:rPr>
        <w:t>P annual reports that can provide any information on the methods adopted for minimizing credit risk within the bank. By searching through the whole report and other published information, it can be found that traditional ways for controlling c</w:t>
      </w:r>
      <w:r>
        <w:rPr>
          <w:rFonts w:asciiTheme="majorBidi" w:hAnsiTheme="majorBidi" w:cstheme="majorBidi"/>
        </w:rPr>
        <w:t>redit risk are used by the bank</w:t>
      </w:r>
      <w:r w:rsidRPr="006445A8">
        <w:rPr>
          <w:rFonts w:asciiTheme="majorBidi" w:hAnsiTheme="majorBidi" w:cstheme="majorBidi"/>
        </w:rPr>
        <w:t>, such as collateral and putting limits and ceilings for the amounts of direct credit facilities(individual or institution) and the total loans and debt granted to each sector and each geographical</w:t>
      </w:r>
      <w:r w:rsidR="000B7094">
        <w:rPr>
          <w:rFonts w:asciiTheme="majorBidi" w:hAnsiTheme="majorBidi" w:cstheme="majorBidi"/>
        </w:rPr>
        <w:t xml:space="preserve"> </w:t>
      </w:r>
      <w:r w:rsidRPr="006445A8">
        <w:rPr>
          <w:rFonts w:asciiTheme="majorBidi" w:hAnsiTheme="majorBidi" w:cstheme="majorBidi"/>
        </w:rPr>
        <w:t>area. However, there is no detailed description about the diversification strategy or practices of loan portfolios</w:t>
      </w:r>
      <w:r>
        <w:rPr>
          <w:rFonts w:asciiTheme="majorBidi" w:hAnsiTheme="majorBidi" w:cstheme="majorBidi"/>
        </w:rPr>
        <w:t>.</w:t>
      </w:r>
      <w:r w:rsidR="002E3E3E">
        <w:rPr>
          <w:rFonts w:asciiTheme="majorBidi" w:hAnsiTheme="majorBidi" w:cstheme="majorBidi"/>
        </w:rPr>
        <w:t xml:space="preserve"> </w:t>
      </w:r>
      <w:r w:rsidRPr="0057620E">
        <w:rPr>
          <w:rFonts w:asciiTheme="majorBidi" w:hAnsiTheme="majorBidi" w:cstheme="majorBidi"/>
        </w:rPr>
        <w:t>Besides traditional ways for controlling c</w:t>
      </w:r>
      <w:r w:rsidR="00721FE5">
        <w:rPr>
          <w:rFonts w:asciiTheme="majorBidi" w:hAnsiTheme="majorBidi" w:cstheme="majorBidi"/>
        </w:rPr>
        <w:t>redit risk</w:t>
      </w:r>
      <w:r w:rsidR="009A19E5">
        <w:rPr>
          <w:rFonts w:asciiTheme="majorBidi" w:hAnsiTheme="majorBidi" w:cstheme="majorBidi"/>
        </w:rPr>
        <w:t xml:space="preserve"> that</w:t>
      </w:r>
      <w:r w:rsidR="00721FE5">
        <w:rPr>
          <w:rFonts w:asciiTheme="majorBidi" w:hAnsiTheme="majorBidi" w:cstheme="majorBidi"/>
        </w:rPr>
        <w:t xml:space="preserve"> are used by AlQ</w:t>
      </w:r>
      <w:r>
        <w:rPr>
          <w:rFonts w:asciiTheme="majorBidi" w:hAnsiTheme="majorBidi" w:cstheme="majorBidi"/>
        </w:rPr>
        <w:t>uds</w:t>
      </w:r>
      <w:r w:rsidRPr="0057620E">
        <w:rPr>
          <w:rFonts w:asciiTheme="majorBidi" w:hAnsiTheme="majorBidi" w:cstheme="majorBidi"/>
        </w:rPr>
        <w:t xml:space="preserve"> bank, such as</w:t>
      </w:r>
      <w:r w:rsidR="009A19E5" w:rsidRPr="009A19E5">
        <w:rPr>
          <w:rFonts w:asciiTheme="majorBidi" w:hAnsiTheme="majorBidi" w:cstheme="majorBidi"/>
        </w:rPr>
        <w:t xml:space="preserve"> </w:t>
      </w:r>
      <w:r w:rsidR="009A19E5">
        <w:rPr>
          <w:rFonts w:asciiTheme="majorBidi" w:hAnsiTheme="majorBidi" w:cstheme="majorBidi"/>
        </w:rPr>
        <w:t xml:space="preserve">collateral, credit limits and ceilings for credit facilities, weather its individual, corporate credits, sectoral and </w:t>
      </w:r>
      <w:r w:rsidR="009A19E5" w:rsidRPr="0057620E">
        <w:rPr>
          <w:rFonts w:asciiTheme="majorBidi" w:hAnsiTheme="majorBidi" w:cstheme="majorBidi"/>
        </w:rPr>
        <w:t xml:space="preserve">geographical </w:t>
      </w:r>
      <w:r w:rsidR="009A19E5">
        <w:rPr>
          <w:rFonts w:asciiTheme="majorBidi" w:hAnsiTheme="majorBidi" w:cstheme="majorBidi"/>
        </w:rPr>
        <w:t>area credits, the bank used</w:t>
      </w:r>
      <w:r w:rsidRPr="0057620E">
        <w:rPr>
          <w:rFonts w:asciiTheme="majorBidi" w:hAnsiTheme="majorBidi" w:cstheme="majorBidi"/>
        </w:rPr>
        <w:t xml:space="preserve"> derivatives and other financial instruments to</w:t>
      </w:r>
      <w:r w:rsidR="000B7094">
        <w:rPr>
          <w:rFonts w:asciiTheme="majorBidi" w:hAnsiTheme="majorBidi" w:cstheme="majorBidi"/>
        </w:rPr>
        <w:t xml:space="preserve"> </w:t>
      </w:r>
      <w:r w:rsidRPr="0057620E">
        <w:rPr>
          <w:rFonts w:asciiTheme="majorBidi" w:hAnsiTheme="majorBidi" w:cstheme="majorBidi"/>
        </w:rPr>
        <w:t xml:space="preserve">manage the results from changes in the interest prices, foreign currencies, capital risks and credit. </w:t>
      </w:r>
      <w:r w:rsidRPr="007B56C0">
        <w:rPr>
          <w:rFonts w:asciiTheme="majorBidi" w:hAnsiTheme="majorBidi" w:cstheme="majorBidi"/>
        </w:rPr>
        <w:t>To sum up, based on the above illustration, a consolidated table is provided below, which includes the key techniques and practices in credi</w:t>
      </w:r>
      <w:r>
        <w:rPr>
          <w:rFonts w:asciiTheme="majorBidi" w:hAnsiTheme="majorBidi" w:cstheme="majorBidi"/>
        </w:rPr>
        <w:t>t risk management of</w:t>
      </w:r>
      <w:r w:rsidR="00721FE5">
        <w:rPr>
          <w:rFonts w:asciiTheme="majorBidi" w:hAnsiTheme="majorBidi" w:cstheme="majorBidi"/>
        </w:rPr>
        <w:t xml:space="preserve"> bank of Palestine (BOP) and Al</w:t>
      </w:r>
      <w:r>
        <w:rPr>
          <w:rFonts w:asciiTheme="majorBidi" w:hAnsiTheme="majorBidi" w:cstheme="majorBidi"/>
        </w:rPr>
        <w:t>Quds bank</w:t>
      </w:r>
      <w:r w:rsidRPr="007B56C0">
        <w:rPr>
          <w:rFonts w:asciiTheme="majorBidi" w:hAnsiTheme="majorBidi" w:cstheme="majorBidi"/>
        </w:rPr>
        <w:t>. A clear general view can be drawn regardin</w:t>
      </w:r>
      <w:r>
        <w:rPr>
          <w:rFonts w:asciiTheme="majorBidi" w:hAnsiTheme="majorBidi" w:cstheme="majorBidi"/>
        </w:rPr>
        <w:t>g credi</w:t>
      </w:r>
      <w:r w:rsidR="00721FE5">
        <w:rPr>
          <w:rFonts w:asciiTheme="majorBidi" w:hAnsiTheme="majorBidi" w:cstheme="majorBidi"/>
        </w:rPr>
        <w:t>t risk management at BOP and Al</w:t>
      </w:r>
      <w:r>
        <w:rPr>
          <w:rFonts w:asciiTheme="majorBidi" w:hAnsiTheme="majorBidi" w:cstheme="majorBidi"/>
        </w:rPr>
        <w:t>Quds.</w:t>
      </w:r>
    </w:p>
    <w:p w:rsidR="00BD5CF9" w:rsidRDefault="00BD5CF9" w:rsidP="00C60FA4">
      <w:pPr>
        <w:pStyle w:val="NormalWeb"/>
        <w:shd w:val="clear" w:color="auto" w:fill="FFFFFF"/>
        <w:spacing w:before="245" w:beforeAutospacing="0" w:after="0" w:afterAutospacing="0" w:line="360" w:lineRule="auto"/>
        <w:jc w:val="center"/>
        <w:textAlignment w:val="baseline"/>
        <w:rPr>
          <w:rFonts w:asciiTheme="majorBidi" w:hAnsiTheme="majorBidi" w:cstheme="majorBidi"/>
          <w:b/>
          <w:bCs/>
          <w:sz w:val="22"/>
          <w:szCs w:val="22"/>
        </w:rPr>
      </w:pPr>
    </w:p>
    <w:p w:rsidR="00B31482" w:rsidRPr="00C60FA4" w:rsidRDefault="007B2075" w:rsidP="00C60FA4">
      <w:pPr>
        <w:pStyle w:val="NormalWeb"/>
        <w:shd w:val="clear" w:color="auto" w:fill="FFFFFF"/>
        <w:spacing w:before="245" w:beforeAutospacing="0" w:after="0" w:afterAutospacing="0" w:line="360" w:lineRule="auto"/>
        <w:jc w:val="center"/>
        <w:textAlignment w:val="baseline"/>
        <w:rPr>
          <w:rFonts w:asciiTheme="majorBidi" w:hAnsiTheme="majorBidi" w:cstheme="majorBidi"/>
          <w:b/>
          <w:bCs/>
          <w:color w:val="FF0000"/>
          <w:sz w:val="22"/>
          <w:szCs w:val="22"/>
        </w:rPr>
      </w:pPr>
      <w:r>
        <w:rPr>
          <w:rFonts w:asciiTheme="majorBidi" w:hAnsiTheme="majorBidi" w:cstheme="majorBidi"/>
          <w:b/>
          <w:bCs/>
          <w:sz w:val="22"/>
          <w:szCs w:val="22"/>
        </w:rPr>
        <w:lastRenderedPageBreak/>
        <w:t>Table 4.32</w:t>
      </w:r>
      <w:r w:rsidR="00B31482" w:rsidRPr="00C60FA4">
        <w:rPr>
          <w:rFonts w:asciiTheme="majorBidi" w:hAnsiTheme="majorBidi" w:cstheme="majorBidi"/>
          <w:b/>
          <w:bCs/>
          <w:sz w:val="22"/>
          <w:szCs w:val="22"/>
        </w:rPr>
        <w:t>: Summaries of credit risk management techniques and practices at BOP and AL-Quds banks</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084"/>
        <w:gridCol w:w="3192"/>
        <w:gridCol w:w="3192"/>
      </w:tblGrid>
      <w:tr w:rsidR="00B31482" w:rsidRPr="008C0BF6" w:rsidTr="00B31482">
        <w:tc>
          <w:tcPr>
            <w:tcW w:w="3084" w:type="dxa"/>
          </w:tcPr>
          <w:p w:rsidR="00B31482" w:rsidRPr="008C0BF6" w:rsidRDefault="00B31482" w:rsidP="00554A5F">
            <w:pPr>
              <w:autoSpaceDE w:val="0"/>
              <w:autoSpaceDN w:val="0"/>
              <w:adjustRightInd w:val="0"/>
              <w:spacing w:line="360" w:lineRule="auto"/>
              <w:rPr>
                <w:rFonts w:asciiTheme="majorBidi" w:hAnsiTheme="majorBidi" w:cstheme="majorBidi"/>
                <w:sz w:val="20"/>
                <w:szCs w:val="20"/>
              </w:rPr>
            </w:pPr>
          </w:p>
        </w:tc>
        <w:tc>
          <w:tcPr>
            <w:tcW w:w="3192" w:type="dxa"/>
          </w:tcPr>
          <w:p w:rsidR="00B31482" w:rsidRPr="008C0BF6" w:rsidRDefault="00B31482" w:rsidP="00554A5F">
            <w:pPr>
              <w:autoSpaceDE w:val="0"/>
              <w:autoSpaceDN w:val="0"/>
              <w:adjustRightInd w:val="0"/>
              <w:spacing w:line="360" w:lineRule="auto"/>
              <w:jc w:val="center"/>
              <w:rPr>
                <w:rFonts w:asciiTheme="majorBidi" w:hAnsiTheme="majorBidi" w:cstheme="majorBidi"/>
                <w:b/>
                <w:bCs/>
                <w:sz w:val="20"/>
                <w:szCs w:val="20"/>
              </w:rPr>
            </w:pPr>
            <w:r w:rsidRPr="008C0BF6">
              <w:rPr>
                <w:rFonts w:asciiTheme="majorBidi" w:hAnsiTheme="majorBidi" w:cstheme="majorBidi"/>
                <w:b/>
                <w:bCs/>
                <w:sz w:val="20"/>
                <w:szCs w:val="20"/>
              </w:rPr>
              <w:t>Bank of Palestine (BOP)</w:t>
            </w:r>
          </w:p>
        </w:tc>
        <w:tc>
          <w:tcPr>
            <w:tcW w:w="3192" w:type="dxa"/>
          </w:tcPr>
          <w:p w:rsidR="00B31482" w:rsidRPr="008C0BF6" w:rsidRDefault="00721FE5" w:rsidP="00554A5F">
            <w:pPr>
              <w:autoSpaceDE w:val="0"/>
              <w:autoSpaceDN w:val="0"/>
              <w:adjustRightInd w:val="0"/>
              <w:spacing w:line="360" w:lineRule="auto"/>
              <w:jc w:val="center"/>
              <w:rPr>
                <w:rFonts w:asciiTheme="majorBidi" w:hAnsiTheme="majorBidi" w:cstheme="majorBidi"/>
                <w:b/>
                <w:bCs/>
                <w:sz w:val="20"/>
                <w:szCs w:val="20"/>
              </w:rPr>
            </w:pPr>
            <w:r>
              <w:rPr>
                <w:rFonts w:asciiTheme="majorBidi" w:hAnsiTheme="majorBidi" w:cstheme="majorBidi"/>
                <w:b/>
                <w:bCs/>
                <w:sz w:val="20"/>
                <w:szCs w:val="20"/>
              </w:rPr>
              <w:t>Al</w:t>
            </w:r>
            <w:r w:rsidR="00B31482" w:rsidRPr="008C0BF6">
              <w:rPr>
                <w:rFonts w:asciiTheme="majorBidi" w:hAnsiTheme="majorBidi" w:cstheme="majorBidi"/>
                <w:b/>
                <w:bCs/>
                <w:sz w:val="20"/>
                <w:szCs w:val="20"/>
              </w:rPr>
              <w:t>Quds bank</w:t>
            </w:r>
          </w:p>
        </w:tc>
      </w:tr>
      <w:tr w:rsidR="00B31482" w:rsidRPr="008C0BF6" w:rsidTr="00B31482">
        <w:tc>
          <w:tcPr>
            <w:tcW w:w="3084" w:type="dxa"/>
          </w:tcPr>
          <w:p w:rsidR="00B31482" w:rsidRPr="008C0BF6" w:rsidRDefault="00B31482" w:rsidP="00554A5F">
            <w:pPr>
              <w:pStyle w:val="Default"/>
              <w:spacing w:line="276" w:lineRule="auto"/>
              <w:rPr>
                <w:rFonts w:asciiTheme="majorBidi" w:hAnsiTheme="majorBidi" w:cstheme="majorBidi"/>
                <w:sz w:val="20"/>
                <w:szCs w:val="20"/>
              </w:rPr>
            </w:pPr>
            <w:r w:rsidRPr="008C0BF6">
              <w:rPr>
                <w:rFonts w:asciiTheme="majorBidi" w:hAnsiTheme="majorBidi" w:cstheme="majorBidi"/>
                <w:sz w:val="20"/>
                <w:szCs w:val="20"/>
              </w:rPr>
              <w:t>Credit risk management governance</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The</w:t>
            </w:r>
            <w:r w:rsidR="00064857">
              <w:rPr>
                <w:rFonts w:asciiTheme="majorBidi" w:hAnsiTheme="majorBidi" w:cstheme="majorBidi"/>
                <w:sz w:val="20"/>
                <w:szCs w:val="20"/>
              </w:rPr>
              <w:t xml:space="preserve"> Credit Facility Committee develop </w:t>
            </w:r>
            <w:r w:rsidRPr="008C0BF6">
              <w:rPr>
                <w:rFonts w:asciiTheme="majorBidi" w:hAnsiTheme="majorBidi" w:cstheme="majorBidi"/>
                <w:sz w:val="20"/>
                <w:szCs w:val="20"/>
              </w:rPr>
              <w:t>the Credit Risk Management Framework</w:t>
            </w:r>
          </w:p>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p>
        </w:tc>
        <w:tc>
          <w:tcPr>
            <w:tcW w:w="3192" w:type="dxa"/>
          </w:tcPr>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r w:rsidRPr="008C0BF6">
              <w:rPr>
                <w:rFonts w:asciiTheme="majorBidi" w:hAnsiTheme="majorBidi" w:cstheme="majorBidi"/>
                <w:sz w:val="20"/>
                <w:szCs w:val="20"/>
              </w:rPr>
              <w:t>The Executiv</w:t>
            </w:r>
            <w:r w:rsidR="00064857">
              <w:rPr>
                <w:rFonts w:asciiTheme="majorBidi" w:hAnsiTheme="majorBidi" w:cstheme="majorBidi"/>
                <w:sz w:val="20"/>
                <w:szCs w:val="20"/>
              </w:rPr>
              <w:t>e Committee Develop the Bank’s Credit P</w:t>
            </w:r>
            <w:r w:rsidRPr="008C0BF6">
              <w:rPr>
                <w:rFonts w:asciiTheme="majorBidi" w:hAnsiTheme="majorBidi" w:cstheme="majorBidi"/>
                <w:sz w:val="20"/>
                <w:szCs w:val="20"/>
              </w:rPr>
              <w:t>olicy</w:t>
            </w:r>
          </w:p>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p>
        </w:tc>
      </w:tr>
      <w:tr w:rsidR="00B31482" w:rsidRPr="008C0BF6" w:rsidTr="00B31482">
        <w:tc>
          <w:tcPr>
            <w:tcW w:w="3084" w:type="dxa"/>
          </w:tcPr>
          <w:p w:rsidR="00B31482" w:rsidRPr="008C0BF6" w:rsidRDefault="00B31482" w:rsidP="00554A5F">
            <w:pPr>
              <w:pStyle w:val="Default"/>
              <w:spacing w:line="276" w:lineRule="auto"/>
              <w:rPr>
                <w:rFonts w:asciiTheme="majorBidi" w:hAnsiTheme="majorBidi" w:cstheme="majorBidi"/>
                <w:sz w:val="20"/>
                <w:szCs w:val="20"/>
              </w:rPr>
            </w:pPr>
            <w:r w:rsidRPr="008C0BF6">
              <w:rPr>
                <w:rFonts w:asciiTheme="majorBidi" w:hAnsiTheme="majorBidi" w:cstheme="majorBidi"/>
                <w:sz w:val="20"/>
                <w:szCs w:val="20"/>
              </w:rPr>
              <w:t xml:space="preserve">Credit granting </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Different credit approval processes are applied to different customer types.</w:t>
            </w:r>
          </w:p>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p>
        </w:tc>
        <w:tc>
          <w:tcPr>
            <w:tcW w:w="3192" w:type="dxa"/>
          </w:tcPr>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r w:rsidRPr="008C0BF6">
              <w:rPr>
                <w:rFonts w:asciiTheme="majorBidi" w:hAnsiTheme="majorBidi" w:cstheme="majorBidi"/>
                <w:sz w:val="20"/>
                <w:szCs w:val="20"/>
              </w:rPr>
              <w:t>The credit facility committee is responsible of</w:t>
            </w:r>
            <w:r w:rsidR="002870BC">
              <w:rPr>
                <w:rFonts w:asciiTheme="majorBidi" w:hAnsiTheme="majorBidi" w:cstheme="majorBidi"/>
                <w:sz w:val="20"/>
                <w:szCs w:val="20"/>
              </w:rPr>
              <w:t xml:space="preserve"> credit granting based on the </w:t>
            </w:r>
            <w:r w:rsidRPr="008C0BF6">
              <w:rPr>
                <w:rFonts w:asciiTheme="majorBidi" w:hAnsiTheme="majorBidi" w:cstheme="majorBidi"/>
                <w:sz w:val="20"/>
                <w:szCs w:val="20"/>
              </w:rPr>
              <w:t>lending procedures developed by the Executive Committee</w:t>
            </w:r>
          </w:p>
        </w:tc>
      </w:tr>
      <w:tr w:rsidR="00B31482" w:rsidRPr="008C0BF6" w:rsidTr="00B31482">
        <w:tc>
          <w:tcPr>
            <w:tcW w:w="3084" w:type="dxa"/>
          </w:tcPr>
          <w:p w:rsidR="00B31482" w:rsidRPr="008C0BF6" w:rsidRDefault="00B31482" w:rsidP="00554A5F">
            <w:pPr>
              <w:pStyle w:val="Default"/>
              <w:spacing w:line="276" w:lineRule="auto"/>
              <w:rPr>
                <w:rFonts w:asciiTheme="majorBidi" w:hAnsiTheme="majorBidi" w:cstheme="majorBidi"/>
                <w:sz w:val="20"/>
                <w:szCs w:val="20"/>
              </w:rPr>
            </w:pPr>
            <w:r w:rsidRPr="008C0BF6">
              <w:rPr>
                <w:rFonts w:asciiTheme="majorBidi" w:hAnsiTheme="majorBidi" w:cstheme="majorBidi"/>
                <w:sz w:val="20"/>
                <w:szCs w:val="20"/>
              </w:rPr>
              <w:t xml:space="preserve">Credit risk measurement </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46474B" w:rsidP="00064857">
            <w:pPr>
              <w:autoSpaceDE w:val="0"/>
              <w:autoSpaceDN w:val="0"/>
              <w:adjustRightInd w:val="0"/>
              <w:spacing w:line="276" w:lineRule="auto"/>
              <w:jc w:val="center"/>
              <w:rPr>
                <w:rFonts w:asciiTheme="majorBidi" w:hAnsiTheme="majorBidi" w:cstheme="majorBidi"/>
                <w:sz w:val="20"/>
                <w:szCs w:val="20"/>
              </w:rPr>
            </w:pPr>
            <w:r w:rsidRPr="008C0BF6">
              <w:rPr>
                <w:rFonts w:asciiTheme="majorBidi" w:hAnsiTheme="majorBidi" w:cstheme="majorBidi"/>
                <w:sz w:val="20"/>
                <w:szCs w:val="20"/>
              </w:rPr>
              <w:t>Self developed PD model and credit risk exposure  measurement and internal credit ratings based on the PD model are adopted</w:t>
            </w:r>
          </w:p>
        </w:tc>
        <w:tc>
          <w:tcPr>
            <w:tcW w:w="3192" w:type="dxa"/>
          </w:tcPr>
          <w:p w:rsidR="00B31482" w:rsidRPr="008C0BF6" w:rsidRDefault="00E656AE" w:rsidP="00064857">
            <w:pPr>
              <w:autoSpaceDE w:val="0"/>
              <w:autoSpaceDN w:val="0"/>
              <w:adjustRightInd w:val="0"/>
              <w:spacing w:line="276" w:lineRule="auto"/>
              <w:jc w:val="center"/>
              <w:rPr>
                <w:rFonts w:asciiTheme="majorBidi" w:hAnsiTheme="majorBidi" w:cstheme="majorBidi"/>
                <w:sz w:val="20"/>
                <w:szCs w:val="20"/>
              </w:rPr>
            </w:pPr>
            <w:r w:rsidRPr="008C0BF6">
              <w:rPr>
                <w:rFonts w:asciiTheme="majorBidi" w:hAnsiTheme="majorBidi" w:cstheme="majorBidi"/>
                <w:sz w:val="20"/>
                <w:szCs w:val="20"/>
              </w:rPr>
              <w:t xml:space="preserve">Simple internal rating system is adopted for assessing clients </w:t>
            </w:r>
            <w:r w:rsidR="00064857" w:rsidRPr="008C0BF6">
              <w:rPr>
                <w:rFonts w:asciiTheme="majorBidi" w:hAnsiTheme="majorBidi" w:cstheme="majorBidi"/>
                <w:sz w:val="20"/>
                <w:szCs w:val="20"/>
              </w:rPr>
              <w:t>credit</w:t>
            </w:r>
            <w:r w:rsidR="00064857">
              <w:rPr>
                <w:rFonts w:asciiTheme="majorBidi" w:hAnsiTheme="majorBidi" w:cstheme="majorBidi"/>
                <w:sz w:val="20"/>
                <w:szCs w:val="20"/>
              </w:rPr>
              <w:t>worthiness</w:t>
            </w:r>
          </w:p>
        </w:tc>
      </w:tr>
      <w:tr w:rsidR="00B31482" w:rsidRPr="008C0BF6" w:rsidTr="00B31482">
        <w:tc>
          <w:tcPr>
            <w:tcW w:w="3084" w:type="dxa"/>
          </w:tcPr>
          <w:p w:rsidR="00B31482" w:rsidRPr="008C0BF6" w:rsidRDefault="00B31482" w:rsidP="00554A5F">
            <w:pPr>
              <w:pStyle w:val="Default"/>
              <w:spacing w:line="276" w:lineRule="auto"/>
              <w:rPr>
                <w:rFonts w:asciiTheme="majorBidi" w:hAnsiTheme="majorBidi" w:cstheme="majorBidi"/>
                <w:sz w:val="20"/>
                <w:szCs w:val="20"/>
              </w:rPr>
            </w:pPr>
            <w:r w:rsidRPr="008C0BF6">
              <w:rPr>
                <w:rFonts w:asciiTheme="majorBidi" w:hAnsiTheme="majorBidi" w:cstheme="majorBidi"/>
                <w:sz w:val="20"/>
                <w:szCs w:val="20"/>
              </w:rPr>
              <w:t xml:space="preserve">Credit exposure management </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Assets with credit risk are all identified.</w:t>
            </w:r>
          </w:p>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r w:rsidRPr="008C0BF6">
              <w:rPr>
                <w:rFonts w:asciiTheme="majorBidi" w:hAnsiTheme="majorBidi" w:cstheme="majorBidi"/>
                <w:sz w:val="20"/>
                <w:szCs w:val="20"/>
              </w:rPr>
              <w:t>Credit assets distribution is controlled according to indust</w:t>
            </w:r>
            <w:r w:rsidR="00C7076B" w:rsidRPr="008C0BF6">
              <w:rPr>
                <w:rFonts w:asciiTheme="majorBidi" w:hAnsiTheme="majorBidi" w:cstheme="majorBidi"/>
                <w:sz w:val="20"/>
                <w:szCs w:val="20"/>
              </w:rPr>
              <w:t>ry sector, geographical area, customer</w:t>
            </w:r>
            <w:r w:rsidRPr="008C0BF6">
              <w:rPr>
                <w:rFonts w:asciiTheme="majorBidi" w:hAnsiTheme="majorBidi" w:cstheme="majorBidi"/>
                <w:sz w:val="20"/>
                <w:szCs w:val="20"/>
              </w:rPr>
              <w:t xml:space="preserve"> type and maturity. Awareness of credit risk concentration has been</w:t>
            </w:r>
          </w:p>
        </w:tc>
        <w:tc>
          <w:tcPr>
            <w:tcW w:w="3192" w:type="dxa"/>
          </w:tcPr>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Analysis on credit exposure is made according to geographical area, industry.</w:t>
            </w:r>
          </w:p>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r w:rsidRPr="008C0BF6">
              <w:rPr>
                <w:rFonts w:asciiTheme="majorBidi" w:hAnsiTheme="majorBidi" w:cstheme="majorBidi"/>
                <w:sz w:val="20"/>
                <w:szCs w:val="20"/>
              </w:rPr>
              <w:t>Credit concentration is given attention to and limits to sub-investment grade countries are clarified.</w:t>
            </w:r>
          </w:p>
        </w:tc>
      </w:tr>
      <w:tr w:rsidR="00B31482" w:rsidRPr="008C0BF6" w:rsidTr="002E3E3E">
        <w:trPr>
          <w:trHeight w:val="1482"/>
        </w:trPr>
        <w:tc>
          <w:tcPr>
            <w:tcW w:w="3084" w:type="dxa"/>
          </w:tcPr>
          <w:p w:rsidR="00B31482" w:rsidRPr="008C0BF6" w:rsidRDefault="00B31482" w:rsidP="00554A5F">
            <w:pPr>
              <w:pStyle w:val="Default"/>
              <w:spacing w:line="276" w:lineRule="auto"/>
              <w:rPr>
                <w:rFonts w:asciiTheme="majorBidi" w:hAnsiTheme="majorBidi" w:cstheme="majorBidi"/>
                <w:sz w:val="20"/>
                <w:szCs w:val="20"/>
              </w:rPr>
            </w:pPr>
            <w:r w:rsidRPr="008C0BF6">
              <w:rPr>
                <w:rFonts w:asciiTheme="majorBidi" w:hAnsiTheme="majorBidi" w:cstheme="majorBidi"/>
                <w:sz w:val="20"/>
                <w:szCs w:val="20"/>
              </w:rPr>
              <w:t xml:space="preserve">Credit quality management </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Quality Statistics based on internal ratings has been made.</w:t>
            </w:r>
          </w:p>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Nonperforming loans classified either Substandard</w:t>
            </w:r>
            <w:r w:rsidRPr="008C0BF6">
              <w:rPr>
                <w:rFonts w:asciiTheme="majorBidi" w:hAnsiTheme="majorBidi" w:cstheme="majorBidi"/>
                <w:sz w:val="20"/>
                <w:szCs w:val="20"/>
                <w:shd w:val="clear" w:color="auto" w:fill="FFFFFF"/>
              </w:rPr>
              <w:t xml:space="preserve"> or Doubtful loans.</w:t>
            </w:r>
          </w:p>
        </w:tc>
        <w:tc>
          <w:tcPr>
            <w:tcW w:w="3192" w:type="dxa"/>
          </w:tcPr>
          <w:p w:rsidR="00B31482" w:rsidRPr="008C0BF6" w:rsidRDefault="00B31482" w:rsidP="00064857">
            <w:pPr>
              <w:pStyle w:val="Default"/>
              <w:spacing w:line="276" w:lineRule="auto"/>
              <w:jc w:val="center"/>
              <w:rPr>
                <w:rFonts w:asciiTheme="majorBidi" w:hAnsiTheme="majorBidi" w:cstheme="majorBidi"/>
                <w:sz w:val="20"/>
                <w:szCs w:val="20"/>
              </w:rPr>
            </w:pPr>
            <w:r w:rsidRPr="008C0BF6">
              <w:rPr>
                <w:rFonts w:asciiTheme="majorBidi" w:hAnsiTheme="majorBidi" w:cstheme="majorBidi"/>
                <w:sz w:val="20"/>
                <w:szCs w:val="20"/>
              </w:rPr>
              <w:t>Potential credit risk loans “non-functional loans” is classified either below the level or doubted loans</w:t>
            </w:r>
          </w:p>
          <w:p w:rsidR="00B31482" w:rsidRPr="008C0BF6" w:rsidRDefault="00B31482" w:rsidP="00064857">
            <w:pPr>
              <w:autoSpaceDE w:val="0"/>
              <w:autoSpaceDN w:val="0"/>
              <w:adjustRightInd w:val="0"/>
              <w:spacing w:line="276" w:lineRule="auto"/>
              <w:jc w:val="center"/>
              <w:rPr>
                <w:rFonts w:asciiTheme="majorBidi" w:hAnsiTheme="majorBidi" w:cstheme="majorBidi"/>
                <w:sz w:val="20"/>
                <w:szCs w:val="20"/>
              </w:rPr>
            </w:pPr>
          </w:p>
        </w:tc>
      </w:tr>
      <w:tr w:rsidR="00B31482" w:rsidRPr="008C0BF6" w:rsidTr="00B31482">
        <w:tc>
          <w:tcPr>
            <w:tcW w:w="3084" w:type="dxa"/>
          </w:tcPr>
          <w:p w:rsidR="00B31482" w:rsidRPr="008C0BF6" w:rsidRDefault="00B31482" w:rsidP="00554A5F">
            <w:pPr>
              <w:pStyle w:val="Default"/>
              <w:spacing w:line="276" w:lineRule="auto"/>
              <w:rPr>
                <w:rFonts w:asciiTheme="majorBidi" w:hAnsiTheme="majorBidi" w:cstheme="majorBidi"/>
                <w:sz w:val="20"/>
                <w:szCs w:val="20"/>
              </w:rPr>
            </w:pPr>
            <w:r w:rsidRPr="008C0BF6">
              <w:rPr>
                <w:rFonts w:asciiTheme="majorBidi" w:hAnsiTheme="majorBidi" w:cstheme="majorBidi"/>
                <w:sz w:val="20"/>
                <w:szCs w:val="20"/>
              </w:rPr>
              <w:t xml:space="preserve">Credit risk mitigation techniques </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4D2397" w:rsidP="00554A5F">
            <w:pPr>
              <w:pStyle w:val="Default"/>
              <w:rPr>
                <w:sz w:val="20"/>
                <w:szCs w:val="20"/>
              </w:rPr>
            </w:pPr>
            <w:r w:rsidRPr="008C0BF6">
              <w:rPr>
                <w:sz w:val="20"/>
                <w:szCs w:val="20"/>
              </w:rPr>
              <w:t xml:space="preserve">Combination </w:t>
            </w:r>
            <w:r w:rsidR="00B31482" w:rsidRPr="008C0BF6">
              <w:rPr>
                <w:sz w:val="20"/>
                <w:szCs w:val="20"/>
              </w:rPr>
              <w:t>of traditional</w:t>
            </w:r>
            <w:r w:rsidRPr="008C0BF6">
              <w:rPr>
                <w:sz w:val="20"/>
                <w:szCs w:val="20"/>
              </w:rPr>
              <w:t xml:space="preserve"> and newer</w:t>
            </w:r>
            <w:r w:rsidR="00B31482" w:rsidRPr="008C0BF6">
              <w:rPr>
                <w:sz w:val="20"/>
                <w:szCs w:val="20"/>
              </w:rPr>
              <w:t xml:space="preserve"> techniques, including credit l</w:t>
            </w:r>
            <w:r w:rsidR="008C0BF6" w:rsidRPr="008C0BF6">
              <w:rPr>
                <w:sz w:val="20"/>
                <w:szCs w:val="20"/>
              </w:rPr>
              <w:t>imits, collateral, hedge funds.</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c>
          <w:tcPr>
            <w:tcW w:w="3192" w:type="dxa"/>
          </w:tcPr>
          <w:p w:rsidR="00B31482" w:rsidRPr="008C0BF6" w:rsidRDefault="00B31482" w:rsidP="00554A5F">
            <w:pPr>
              <w:pStyle w:val="Default"/>
              <w:rPr>
                <w:sz w:val="20"/>
                <w:szCs w:val="20"/>
              </w:rPr>
            </w:pPr>
            <w:r w:rsidRPr="008C0BF6">
              <w:rPr>
                <w:sz w:val="20"/>
                <w:szCs w:val="20"/>
              </w:rPr>
              <w:t>Traditional</w:t>
            </w:r>
            <w:r w:rsidR="004D2397" w:rsidRPr="008C0BF6">
              <w:rPr>
                <w:sz w:val="20"/>
                <w:szCs w:val="20"/>
              </w:rPr>
              <w:t xml:space="preserve"> and newer methods such as collateral,</w:t>
            </w:r>
            <w:r w:rsidRPr="008C0BF6">
              <w:rPr>
                <w:sz w:val="20"/>
                <w:szCs w:val="20"/>
              </w:rPr>
              <w:t xml:space="preserve"> credit limits</w:t>
            </w:r>
            <w:r w:rsidR="004D2397" w:rsidRPr="008C0BF6">
              <w:rPr>
                <w:sz w:val="20"/>
                <w:szCs w:val="20"/>
              </w:rPr>
              <w:t xml:space="preserve"> and credit derivatives</w:t>
            </w:r>
            <w:r w:rsidRPr="008C0BF6">
              <w:rPr>
                <w:sz w:val="20"/>
                <w:szCs w:val="20"/>
              </w:rPr>
              <w:t xml:space="preserve"> are adopted. </w:t>
            </w:r>
          </w:p>
          <w:p w:rsidR="00B31482" w:rsidRPr="008C0BF6" w:rsidRDefault="00B31482" w:rsidP="00554A5F">
            <w:pPr>
              <w:autoSpaceDE w:val="0"/>
              <w:autoSpaceDN w:val="0"/>
              <w:adjustRightInd w:val="0"/>
              <w:spacing w:line="276" w:lineRule="auto"/>
              <w:rPr>
                <w:rFonts w:asciiTheme="majorBidi" w:hAnsiTheme="majorBidi" w:cstheme="majorBidi"/>
                <w:sz w:val="20"/>
                <w:szCs w:val="20"/>
              </w:rPr>
            </w:pPr>
          </w:p>
        </w:tc>
      </w:tr>
    </w:tbl>
    <w:p w:rsidR="007121A3" w:rsidRDefault="008A0806" w:rsidP="00625006">
      <w:pPr>
        <w:pStyle w:val="Default"/>
        <w:spacing w:before="300" w:after="300" w:line="360" w:lineRule="auto"/>
        <w:contextualSpacing/>
        <w:jc w:val="center"/>
        <w:rPr>
          <w:rFonts w:asciiTheme="majorBidi" w:hAnsiTheme="majorBidi" w:cstheme="majorBidi"/>
          <w:sz w:val="20"/>
          <w:szCs w:val="20"/>
        </w:rPr>
      </w:pPr>
      <w:r w:rsidRPr="008A0806">
        <w:rPr>
          <w:rFonts w:asciiTheme="majorBidi" w:hAnsiTheme="majorBidi" w:cstheme="majorBidi"/>
          <w:sz w:val="20"/>
          <w:szCs w:val="20"/>
        </w:rPr>
        <w:t>Source: Zidan (The Auth</w:t>
      </w:r>
      <w:r>
        <w:rPr>
          <w:rFonts w:asciiTheme="majorBidi" w:hAnsiTheme="majorBidi" w:cstheme="majorBidi"/>
          <w:sz w:val="20"/>
          <w:szCs w:val="20"/>
        </w:rPr>
        <w:t>or)</w:t>
      </w:r>
      <w:r w:rsidRPr="008A0806">
        <w:rPr>
          <w:rFonts w:asciiTheme="majorBidi" w:hAnsiTheme="majorBidi" w:cstheme="majorBidi"/>
          <w:sz w:val="20"/>
          <w:szCs w:val="20"/>
        </w:rPr>
        <w:t>, 2013</w:t>
      </w:r>
    </w:p>
    <w:p w:rsidR="00507D05" w:rsidRPr="008A0806" w:rsidRDefault="00507D05" w:rsidP="0094497A">
      <w:pPr>
        <w:pStyle w:val="Default"/>
        <w:spacing w:before="300" w:after="300" w:line="360" w:lineRule="auto"/>
        <w:contextualSpacing/>
        <w:jc w:val="both"/>
        <w:rPr>
          <w:rFonts w:asciiTheme="majorBidi" w:hAnsiTheme="majorBidi" w:cstheme="majorBidi"/>
          <w:sz w:val="20"/>
          <w:szCs w:val="20"/>
        </w:rPr>
      </w:pPr>
    </w:p>
    <w:p w:rsidR="0094497A" w:rsidRDefault="00177679" w:rsidP="0094497A">
      <w:pPr>
        <w:pStyle w:val="Default"/>
        <w:spacing w:before="300" w:after="300" w:line="360" w:lineRule="auto"/>
        <w:contextualSpacing/>
        <w:jc w:val="both"/>
        <w:rPr>
          <w:rFonts w:asciiTheme="majorBidi" w:hAnsiTheme="majorBidi" w:cstheme="majorBidi"/>
        </w:rPr>
      </w:pPr>
      <w:r>
        <w:rPr>
          <w:rFonts w:asciiTheme="majorBidi" w:hAnsiTheme="majorBidi" w:cstheme="majorBidi"/>
          <w:b/>
          <w:bCs/>
        </w:rPr>
        <w:t>4.4</w:t>
      </w:r>
      <w:r w:rsidR="00EF6F2C" w:rsidRPr="00EF6F2C">
        <w:rPr>
          <w:rFonts w:asciiTheme="majorBidi" w:hAnsiTheme="majorBidi" w:cstheme="majorBidi"/>
          <w:b/>
          <w:bCs/>
        </w:rPr>
        <w:t xml:space="preserve">.2 </w:t>
      </w:r>
      <w:r w:rsidR="005D7249" w:rsidRPr="00EF6F2C">
        <w:rPr>
          <w:rFonts w:asciiTheme="majorBidi" w:hAnsiTheme="majorBidi" w:cstheme="majorBidi"/>
          <w:b/>
          <w:bCs/>
        </w:rPr>
        <w:t>Generalization and Comparison with Basel Regulations</w:t>
      </w:r>
    </w:p>
    <w:p w:rsidR="007121A3" w:rsidRDefault="00B31482" w:rsidP="007121A3">
      <w:pPr>
        <w:pStyle w:val="Default"/>
        <w:spacing w:before="300" w:after="300" w:line="360" w:lineRule="auto"/>
        <w:contextualSpacing/>
        <w:jc w:val="both"/>
        <w:rPr>
          <w:rFonts w:asciiTheme="majorBidi" w:hAnsiTheme="majorBidi" w:cstheme="majorBidi"/>
        </w:rPr>
      </w:pPr>
      <w:r w:rsidRPr="00296A62">
        <w:rPr>
          <w:rFonts w:asciiTheme="majorBidi" w:hAnsiTheme="majorBidi" w:cstheme="majorBidi"/>
        </w:rPr>
        <w:t>From the above section, the current credit risk management practices in bank of Palestine (the largest national bank accordin</w:t>
      </w:r>
      <w:r w:rsidR="00194FB4">
        <w:rPr>
          <w:rFonts w:asciiTheme="majorBidi" w:hAnsiTheme="majorBidi" w:cstheme="majorBidi"/>
        </w:rPr>
        <w:t>g to assets and profits) and AlQ</w:t>
      </w:r>
      <w:r w:rsidRPr="00296A62">
        <w:rPr>
          <w:rFonts w:asciiTheme="majorBidi" w:hAnsiTheme="majorBidi" w:cstheme="majorBidi"/>
        </w:rPr>
        <w:t>uds bank (the second national bank according to assets</w:t>
      </w:r>
      <w:r>
        <w:rPr>
          <w:rFonts w:asciiTheme="majorBidi" w:hAnsiTheme="majorBidi" w:cstheme="majorBidi"/>
        </w:rPr>
        <w:t xml:space="preserve"> and profits</w:t>
      </w:r>
      <w:r w:rsidRPr="00296A62">
        <w:rPr>
          <w:rFonts w:asciiTheme="majorBidi" w:hAnsiTheme="majorBidi" w:cstheme="majorBidi"/>
        </w:rPr>
        <w:t>) are already sh</w:t>
      </w:r>
      <w:r w:rsidR="00064857">
        <w:rPr>
          <w:rFonts w:asciiTheme="majorBidi" w:hAnsiTheme="majorBidi" w:cstheme="majorBidi"/>
        </w:rPr>
        <w:t xml:space="preserve">own from several major aspects. </w:t>
      </w:r>
      <w:r w:rsidR="00064857" w:rsidRPr="00296A62">
        <w:rPr>
          <w:rFonts w:asciiTheme="majorBidi" w:hAnsiTheme="majorBidi" w:cstheme="majorBidi"/>
        </w:rPr>
        <w:t>Bank</w:t>
      </w:r>
      <w:r w:rsidRPr="00296A62">
        <w:rPr>
          <w:rFonts w:asciiTheme="majorBidi" w:hAnsiTheme="majorBidi" w:cstheme="majorBidi"/>
        </w:rPr>
        <w:t xml:space="preserve"> of </w:t>
      </w:r>
      <w:r w:rsidR="00064857" w:rsidRPr="00296A62">
        <w:rPr>
          <w:rFonts w:asciiTheme="majorBidi" w:hAnsiTheme="majorBidi" w:cstheme="majorBidi"/>
        </w:rPr>
        <w:t>Palestine had given</w:t>
      </w:r>
      <w:r>
        <w:rPr>
          <w:rFonts w:asciiTheme="majorBidi" w:hAnsiTheme="majorBidi" w:cstheme="majorBidi"/>
        </w:rPr>
        <w:t xml:space="preserve"> more detailed descriptions in their annual reports.</w:t>
      </w:r>
      <w:r w:rsidRPr="00296A62">
        <w:rPr>
          <w:rFonts w:asciiTheme="majorBidi" w:hAnsiTheme="majorBidi" w:cstheme="majorBidi"/>
        </w:rPr>
        <w:t xml:space="preserve"> On the basis of this, a generalization will be drawn from their practices in this section, and those practices will also be </w:t>
      </w:r>
      <w:r w:rsidR="0084675D">
        <w:rPr>
          <w:rFonts w:asciiTheme="majorBidi" w:hAnsiTheme="majorBidi" w:cstheme="majorBidi"/>
        </w:rPr>
        <w:t>compared with major Basel (</w:t>
      </w:r>
      <w:r w:rsidRPr="00296A62">
        <w:rPr>
          <w:rFonts w:asciiTheme="majorBidi" w:hAnsiTheme="majorBidi" w:cstheme="majorBidi"/>
        </w:rPr>
        <w:t>2000) regulations.</w:t>
      </w:r>
    </w:p>
    <w:p w:rsidR="00BF6D79" w:rsidRPr="00502966" w:rsidRDefault="00B31482" w:rsidP="00502966">
      <w:pPr>
        <w:pStyle w:val="Default"/>
        <w:spacing w:line="360" w:lineRule="auto"/>
        <w:contextualSpacing/>
        <w:jc w:val="both"/>
        <w:rPr>
          <w:rFonts w:asciiTheme="majorBidi" w:hAnsiTheme="majorBidi" w:cstheme="majorBidi"/>
        </w:rPr>
      </w:pPr>
      <w:r w:rsidRPr="00296A62">
        <w:rPr>
          <w:rFonts w:asciiTheme="majorBidi" w:hAnsiTheme="majorBidi" w:cstheme="majorBidi"/>
        </w:rPr>
        <w:lastRenderedPageBreak/>
        <w:t>In order to str</w:t>
      </w:r>
      <w:r>
        <w:rPr>
          <w:rFonts w:asciiTheme="majorBidi" w:hAnsiTheme="majorBidi" w:cstheme="majorBidi"/>
        </w:rPr>
        <w:t>engthen the Palestinian banking sector,</w:t>
      </w:r>
      <w:r w:rsidRPr="00296A62">
        <w:rPr>
          <w:rFonts w:asciiTheme="majorBidi" w:hAnsiTheme="majorBidi" w:cstheme="majorBidi"/>
        </w:rPr>
        <w:t xml:space="preserve"> the Palestinian Monetary Authority (PMA) has issued several instructions that regulate </w:t>
      </w:r>
      <w:r>
        <w:rPr>
          <w:rFonts w:asciiTheme="majorBidi" w:hAnsiTheme="majorBidi" w:cstheme="majorBidi"/>
        </w:rPr>
        <w:t xml:space="preserve">and promote </w:t>
      </w:r>
      <w:r w:rsidR="00095056">
        <w:rPr>
          <w:rFonts w:asciiTheme="majorBidi" w:hAnsiTheme="majorBidi" w:cstheme="majorBidi"/>
        </w:rPr>
        <w:t>the banking sector. Instruction</w:t>
      </w:r>
      <w:r>
        <w:rPr>
          <w:rFonts w:asciiTheme="majorBidi" w:hAnsiTheme="majorBidi" w:cstheme="majorBidi"/>
        </w:rPr>
        <w:t xml:space="preserve"> N</w:t>
      </w:r>
      <w:r w:rsidRPr="00296A62">
        <w:rPr>
          <w:rFonts w:asciiTheme="majorBidi" w:hAnsiTheme="majorBidi" w:cstheme="majorBidi"/>
        </w:rPr>
        <w:t xml:space="preserve">o. (6/2011) concerning credit risk management: These instructions are consistent with the recommendations of </w:t>
      </w:r>
      <w:r w:rsidR="006C63ED">
        <w:rPr>
          <w:rFonts w:asciiTheme="majorBidi" w:hAnsiTheme="majorBidi" w:cstheme="majorBidi"/>
        </w:rPr>
        <w:t xml:space="preserve">(BCBS) which confirm </w:t>
      </w:r>
      <w:r w:rsidRPr="00296A62">
        <w:rPr>
          <w:rFonts w:asciiTheme="majorBidi" w:hAnsiTheme="majorBidi" w:cstheme="majorBidi"/>
        </w:rPr>
        <w:t xml:space="preserve">the </w:t>
      </w:r>
      <w:r w:rsidR="006C63ED">
        <w:rPr>
          <w:rFonts w:asciiTheme="majorBidi" w:hAnsiTheme="majorBidi" w:cstheme="majorBidi"/>
        </w:rPr>
        <w:t xml:space="preserve">essential of </w:t>
      </w:r>
      <w:r w:rsidRPr="00296A62">
        <w:rPr>
          <w:rFonts w:asciiTheme="majorBidi" w:hAnsiTheme="majorBidi" w:cstheme="majorBidi"/>
        </w:rPr>
        <w:t>providing sound bases for credit risk management within the framework of four main components representing the minimum quality principles that must be followed. The four components include the existence of a suitable environment conducive for credit risk management, working in accordance with sound procedures and controls for the general letter of credit, the availability of a prudent management</w:t>
      </w:r>
      <w:r w:rsidR="000B7094">
        <w:rPr>
          <w:rFonts w:asciiTheme="majorBidi" w:hAnsiTheme="majorBidi" w:cstheme="majorBidi"/>
        </w:rPr>
        <w:t xml:space="preserve"> </w:t>
      </w:r>
      <w:r w:rsidRPr="00296A62">
        <w:rPr>
          <w:rFonts w:asciiTheme="majorBidi" w:hAnsiTheme="majorBidi" w:cstheme="majorBidi"/>
        </w:rPr>
        <w:t>and feasible measurement and follow-up procedures, and verification of adequate oversight and monitoring on credit risk and control.</w:t>
      </w:r>
    </w:p>
    <w:p w:rsidR="00A449B3" w:rsidRDefault="00B31482" w:rsidP="00507D05">
      <w:pPr>
        <w:autoSpaceDE w:val="0"/>
        <w:autoSpaceDN w:val="0"/>
        <w:adjustRightInd w:val="0"/>
        <w:spacing w:after="0" w:line="360" w:lineRule="auto"/>
        <w:contextualSpacing/>
        <w:jc w:val="both"/>
        <w:rPr>
          <w:rFonts w:asciiTheme="majorBidi" w:hAnsiTheme="majorBidi" w:cstheme="majorBidi"/>
          <w:b/>
          <w:bCs/>
        </w:rPr>
      </w:pPr>
      <w:r w:rsidRPr="00296A62">
        <w:rPr>
          <w:rFonts w:asciiTheme="majorBidi" w:hAnsiTheme="majorBidi" w:cstheme="majorBidi"/>
          <w:b/>
          <w:bCs/>
        </w:rPr>
        <w:t>The Establishment of Credit Risk Environment</w:t>
      </w:r>
    </w:p>
    <w:p w:rsidR="00DF0C73" w:rsidRPr="00DF0C73" w:rsidRDefault="00DF0C73" w:rsidP="00DF0C73">
      <w:pPr>
        <w:spacing w:line="360" w:lineRule="auto"/>
        <w:contextualSpacing/>
        <w:jc w:val="both"/>
        <w:rPr>
          <w:rFonts w:ascii="Times New Roman" w:hAnsi="Times New Roman" w:cs="Times New Roman"/>
          <w:sz w:val="24"/>
          <w:szCs w:val="24"/>
        </w:rPr>
      </w:pPr>
      <w:r w:rsidRPr="00474AD5">
        <w:rPr>
          <w:rFonts w:ascii="Times New Roman" w:hAnsi="Times New Roman" w:cs="Times New Roman"/>
          <w:sz w:val="24"/>
          <w:szCs w:val="24"/>
        </w:rPr>
        <w:t>The first common feature of the credit risk management at BOP and AL-0uds banks is that they both establish appropriate atmosphere for sound credit risk management, in which credit risk is clearly identified in its nature, responsibilities are understood at different levels, monitoring and control process are set, which are already shown in figure 4.23 and 4.24. Credit risk policies and strategies are set by the board and other subcommittees and implemented by specialized divisions, which work as a guidance to for the whole risk management process, such as the credit risk management framework at BOP. All of the above proves the central role of credit risk management has played in the whole risk management of these two banks. And also it indicates that they do follow the first area of Basel (1999) principles well, particularly bank of Palestine (BoP). It should be noted that BoP is more comprehensive and structured in regard to credit risk management function. That can be shown in from its credit organizational chart, which has been reflected in its good operational results (nonperforming loan ratio is 1.7%) which considered the lowest among all banks operate in Palestine weather its local or foreign banks. Also AL-Quds bank has established the compliance department to ensure that the bank’s operations are in line with the requirements of Basel regulations.</w:t>
      </w:r>
    </w:p>
    <w:p w:rsidR="00A449B3" w:rsidRDefault="00B31482" w:rsidP="00507D05">
      <w:pPr>
        <w:autoSpaceDE w:val="0"/>
        <w:autoSpaceDN w:val="0"/>
        <w:adjustRightInd w:val="0"/>
        <w:spacing w:after="0" w:line="360" w:lineRule="auto"/>
        <w:contextualSpacing/>
        <w:jc w:val="both"/>
        <w:rPr>
          <w:rFonts w:asciiTheme="majorBidi" w:hAnsiTheme="majorBidi" w:cstheme="majorBidi"/>
          <w:b/>
          <w:bCs/>
        </w:rPr>
      </w:pPr>
      <w:r w:rsidRPr="00DB18C1">
        <w:rPr>
          <w:rFonts w:asciiTheme="majorBidi" w:hAnsiTheme="majorBidi" w:cstheme="majorBidi"/>
          <w:b/>
          <w:bCs/>
        </w:rPr>
        <w:t>Credit Granting Process</w:t>
      </w:r>
    </w:p>
    <w:p w:rsidR="00514300" w:rsidRPr="007F6087" w:rsidRDefault="00573E56" w:rsidP="00514300">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CE2B9B">
        <w:rPr>
          <w:rFonts w:asciiTheme="majorBidi" w:hAnsiTheme="majorBidi" w:cstheme="majorBidi"/>
          <w:sz w:val="24"/>
          <w:szCs w:val="24"/>
        </w:rPr>
        <w:t>Regarding this aspect</w:t>
      </w:r>
      <w:r w:rsidR="00B31482" w:rsidRPr="00CE2B9B">
        <w:rPr>
          <w:rFonts w:asciiTheme="majorBidi" w:hAnsiTheme="majorBidi" w:cstheme="majorBidi"/>
          <w:sz w:val="24"/>
          <w:szCs w:val="24"/>
        </w:rPr>
        <w:t>, it should be mentioned that not much generalization or results can be derived from the bank’s annual reports,</w:t>
      </w:r>
      <w:r w:rsidR="00721FE5" w:rsidRPr="00CE2B9B">
        <w:rPr>
          <w:rFonts w:asciiTheme="majorBidi" w:hAnsiTheme="majorBidi" w:cstheme="majorBidi"/>
          <w:sz w:val="24"/>
          <w:szCs w:val="24"/>
        </w:rPr>
        <w:t xml:space="preserve"> since bank of Palestine and Al</w:t>
      </w:r>
      <w:r w:rsidR="00514300">
        <w:rPr>
          <w:rFonts w:asciiTheme="majorBidi" w:hAnsiTheme="majorBidi" w:cstheme="majorBidi"/>
          <w:sz w:val="24"/>
          <w:szCs w:val="24"/>
        </w:rPr>
        <w:t>-</w:t>
      </w:r>
      <w:r w:rsidR="00721FE5" w:rsidRPr="00CE2B9B">
        <w:rPr>
          <w:rFonts w:asciiTheme="majorBidi" w:hAnsiTheme="majorBidi" w:cstheme="majorBidi"/>
          <w:sz w:val="24"/>
          <w:szCs w:val="24"/>
        </w:rPr>
        <w:t>Q</w:t>
      </w:r>
      <w:r w:rsidR="00B31482" w:rsidRPr="00CE2B9B">
        <w:rPr>
          <w:rFonts w:asciiTheme="majorBidi" w:hAnsiTheme="majorBidi" w:cstheme="majorBidi"/>
          <w:sz w:val="24"/>
          <w:szCs w:val="24"/>
        </w:rPr>
        <w:t xml:space="preserve">uds bank haven’t given any particular description on its credit granting process in their reports. But it is confirmed that careful assessment is made to different types of counterparties; however, no information is given </w:t>
      </w:r>
      <w:r w:rsidR="00B31482" w:rsidRPr="00CE2B9B">
        <w:rPr>
          <w:rFonts w:asciiTheme="majorBidi" w:hAnsiTheme="majorBidi" w:cstheme="majorBidi"/>
          <w:sz w:val="24"/>
          <w:szCs w:val="24"/>
        </w:rPr>
        <w:lastRenderedPageBreak/>
        <w:t>about its credit-granting criteria, as mention</w:t>
      </w:r>
      <w:r w:rsidR="00F84A28" w:rsidRPr="00CE2B9B">
        <w:rPr>
          <w:rFonts w:asciiTheme="majorBidi" w:hAnsiTheme="majorBidi" w:cstheme="majorBidi"/>
          <w:sz w:val="24"/>
          <w:szCs w:val="24"/>
        </w:rPr>
        <w:t>ed in Principle 4 of Basel (2000</w:t>
      </w:r>
      <w:r w:rsidR="00B31482" w:rsidRPr="00CE2B9B">
        <w:rPr>
          <w:rFonts w:asciiTheme="majorBidi" w:hAnsiTheme="majorBidi" w:cstheme="majorBidi"/>
          <w:sz w:val="24"/>
          <w:szCs w:val="24"/>
        </w:rPr>
        <w:t>) requirements. Credit limits for individual borrowers and counterparties are set and followed in the risk management process of both.</w:t>
      </w:r>
      <w:r w:rsidR="00514300" w:rsidRPr="00514300">
        <w:rPr>
          <w:rFonts w:asciiTheme="majorBidi" w:hAnsiTheme="majorBidi" w:cstheme="majorBidi"/>
          <w:sz w:val="24"/>
          <w:szCs w:val="24"/>
        </w:rPr>
        <w:t xml:space="preserve"> </w:t>
      </w:r>
      <w:r w:rsidR="00514300" w:rsidRPr="00CE2B9B">
        <w:rPr>
          <w:rFonts w:asciiTheme="majorBidi" w:hAnsiTheme="majorBidi" w:cstheme="majorBidi"/>
          <w:sz w:val="24"/>
          <w:szCs w:val="24"/>
        </w:rPr>
        <w:t>The specialized bank’s committees</w:t>
      </w:r>
      <w:r w:rsidR="00514300">
        <w:rPr>
          <w:rFonts w:asciiTheme="majorBidi" w:hAnsiTheme="majorBidi" w:cstheme="majorBidi"/>
          <w:sz w:val="24"/>
          <w:szCs w:val="24"/>
        </w:rPr>
        <w:t xml:space="preserve"> analyze and study credit request, depends on the data provided by customers in order to make the Wright credit decision.</w:t>
      </w:r>
    </w:p>
    <w:p w:rsidR="00BF6D79" w:rsidRPr="00502966" w:rsidRDefault="00B31482" w:rsidP="00514300">
      <w:pPr>
        <w:autoSpaceDE w:val="0"/>
        <w:autoSpaceDN w:val="0"/>
        <w:adjustRightInd w:val="0"/>
        <w:spacing w:after="0" w:line="360" w:lineRule="auto"/>
        <w:contextualSpacing/>
        <w:jc w:val="both"/>
        <w:rPr>
          <w:rFonts w:asciiTheme="majorBidi" w:hAnsiTheme="majorBidi" w:cstheme="majorBidi"/>
          <w:sz w:val="24"/>
          <w:szCs w:val="24"/>
        </w:rPr>
      </w:pPr>
      <w:r w:rsidRPr="00CE2B9B">
        <w:rPr>
          <w:rFonts w:asciiTheme="majorBidi" w:hAnsiTheme="majorBidi" w:cstheme="majorBidi"/>
          <w:sz w:val="24"/>
          <w:szCs w:val="24"/>
        </w:rPr>
        <w:t>Since the Basel (2000) paper on credit risk management disclosure doesn’t include particular recommendations on credit granting process, no definite comment can be made in this area about the two banks.</w:t>
      </w:r>
    </w:p>
    <w:p w:rsidR="00A449B3" w:rsidRDefault="00B31482" w:rsidP="00A449B3">
      <w:pPr>
        <w:autoSpaceDE w:val="0"/>
        <w:autoSpaceDN w:val="0"/>
        <w:adjustRightInd w:val="0"/>
        <w:spacing w:after="0" w:line="360" w:lineRule="auto"/>
        <w:contextualSpacing/>
        <w:jc w:val="both"/>
        <w:rPr>
          <w:rFonts w:asciiTheme="majorBidi" w:hAnsiTheme="majorBidi" w:cstheme="majorBidi"/>
          <w:b/>
          <w:bCs/>
        </w:rPr>
      </w:pPr>
      <w:r w:rsidRPr="00582A76">
        <w:rPr>
          <w:rFonts w:asciiTheme="majorBidi" w:hAnsiTheme="majorBidi" w:cstheme="majorBidi"/>
          <w:b/>
          <w:bCs/>
        </w:rPr>
        <w:t>Credit Measurement and Monitor Process</w:t>
      </w:r>
    </w:p>
    <w:p w:rsidR="00C87322" w:rsidRPr="00A449B3" w:rsidRDefault="00EF6F2C" w:rsidP="00A449B3">
      <w:pPr>
        <w:autoSpaceDE w:val="0"/>
        <w:autoSpaceDN w:val="0"/>
        <w:adjustRightInd w:val="0"/>
        <w:spacing w:after="0" w:line="360" w:lineRule="auto"/>
        <w:contextualSpacing/>
        <w:jc w:val="both"/>
        <w:rPr>
          <w:rFonts w:asciiTheme="majorBidi" w:hAnsiTheme="majorBidi" w:cstheme="majorBidi"/>
          <w:sz w:val="24"/>
          <w:szCs w:val="24"/>
        </w:rPr>
      </w:pPr>
      <w:r>
        <w:rPr>
          <w:rFonts w:asciiTheme="majorBidi" w:hAnsiTheme="majorBidi" w:cstheme="majorBidi"/>
        </w:rPr>
        <w:t>a.</w:t>
      </w:r>
      <w:r w:rsidRPr="00BE6DB0">
        <w:rPr>
          <w:rFonts w:asciiTheme="majorBidi" w:hAnsiTheme="majorBidi" w:cstheme="majorBidi"/>
        </w:rPr>
        <w:t xml:space="preserve"> Credit</w:t>
      </w:r>
      <w:r w:rsidR="00B31482" w:rsidRPr="00BE6DB0">
        <w:rPr>
          <w:rFonts w:asciiTheme="majorBidi" w:hAnsiTheme="majorBidi" w:cstheme="majorBidi"/>
        </w:rPr>
        <w:t xml:space="preserve"> Risk Measurement</w:t>
      </w:r>
    </w:p>
    <w:p w:rsidR="00EF6F2C" w:rsidRDefault="00EF6F2C" w:rsidP="00EF6F2C">
      <w:pPr>
        <w:pStyle w:val="Default"/>
        <w:spacing w:line="360" w:lineRule="auto"/>
        <w:contextualSpacing/>
        <w:jc w:val="both"/>
        <w:rPr>
          <w:rFonts w:asciiTheme="majorBidi" w:hAnsiTheme="majorBidi" w:cstheme="majorBidi"/>
        </w:rPr>
      </w:pPr>
      <w:r w:rsidRPr="00EF6F2C">
        <w:rPr>
          <w:rFonts w:asciiTheme="majorBidi" w:hAnsiTheme="majorBidi" w:cstheme="majorBidi"/>
        </w:rPr>
        <w:t xml:space="preserve">The application of internal rating systems is also </w:t>
      </w:r>
      <w:r w:rsidR="006165C6">
        <w:rPr>
          <w:rFonts w:asciiTheme="majorBidi" w:hAnsiTheme="majorBidi" w:cstheme="majorBidi"/>
        </w:rPr>
        <w:t xml:space="preserve">found in both banks, which based </w:t>
      </w:r>
      <w:r w:rsidRPr="00EF6F2C">
        <w:rPr>
          <w:rFonts w:asciiTheme="majorBidi" w:hAnsiTheme="majorBidi" w:cstheme="majorBidi"/>
        </w:rPr>
        <w:t xml:space="preserve">on the PD model especially. The difference </w:t>
      </w:r>
      <w:r>
        <w:rPr>
          <w:rFonts w:asciiTheme="majorBidi" w:hAnsiTheme="majorBidi" w:cstheme="majorBidi"/>
        </w:rPr>
        <w:t>is that the rating system of BOP is a 6</w:t>
      </w:r>
      <w:r w:rsidR="00BF6D79">
        <w:rPr>
          <w:rFonts w:asciiTheme="majorBidi" w:hAnsiTheme="majorBidi" w:cstheme="majorBidi"/>
        </w:rPr>
        <w:t>-grade model,</w:t>
      </w:r>
      <w:r w:rsidRPr="00EF6F2C">
        <w:rPr>
          <w:rFonts w:asciiTheme="majorBidi" w:hAnsiTheme="majorBidi" w:cstheme="majorBidi"/>
        </w:rPr>
        <w:t xml:space="preserve"> while that </w:t>
      </w:r>
      <w:r w:rsidR="00721FE5">
        <w:rPr>
          <w:rFonts w:asciiTheme="majorBidi" w:hAnsiTheme="majorBidi" w:cstheme="majorBidi"/>
          <w:color w:val="auto"/>
        </w:rPr>
        <w:t>of Al</w:t>
      </w:r>
      <w:r w:rsidR="006165C6">
        <w:rPr>
          <w:rFonts w:asciiTheme="majorBidi" w:hAnsiTheme="majorBidi" w:cstheme="majorBidi"/>
          <w:color w:val="auto"/>
        </w:rPr>
        <w:t>-</w:t>
      </w:r>
      <w:r w:rsidR="00721FE5">
        <w:rPr>
          <w:rFonts w:asciiTheme="majorBidi" w:hAnsiTheme="majorBidi" w:cstheme="majorBidi"/>
          <w:color w:val="auto"/>
        </w:rPr>
        <w:t>Q</w:t>
      </w:r>
      <w:r>
        <w:rPr>
          <w:rFonts w:asciiTheme="majorBidi" w:hAnsiTheme="majorBidi" w:cstheme="majorBidi"/>
          <w:color w:val="auto"/>
        </w:rPr>
        <w:t xml:space="preserve">uds is 1-10 </w:t>
      </w:r>
      <w:r w:rsidR="00BF6D79">
        <w:rPr>
          <w:rFonts w:asciiTheme="majorBidi" w:hAnsiTheme="majorBidi" w:cstheme="majorBidi"/>
          <w:color w:val="auto"/>
        </w:rPr>
        <w:t xml:space="preserve">grade </w:t>
      </w:r>
      <w:r w:rsidR="002A4D97">
        <w:rPr>
          <w:rFonts w:asciiTheme="majorBidi" w:hAnsiTheme="majorBidi" w:cstheme="majorBidi"/>
          <w:color w:val="auto"/>
        </w:rPr>
        <w:t>models</w:t>
      </w:r>
      <w:r w:rsidR="00BF6D79">
        <w:rPr>
          <w:rFonts w:asciiTheme="majorBidi" w:hAnsiTheme="majorBidi" w:cstheme="majorBidi"/>
          <w:color w:val="auto"/>
        </w:rPr>
        <w:t>.</w:t>
      </w:r>
      <w:r w:rsidRPr="00EF6F2C">
        <w:rPr>
          <w:rFonts w:asciiTheme="majorBidi" w:hAnsiTheme="majorBidi" w:cstheme="majorBidi"/>
          <w:color w:val="auto"/>
        </w:rPr>
        <w:t xml:space="preserve"> However, what still needs improvement is that none of them are</w:t>
      </w:r>
      <w:r w:rsidR="00614726">
        <w:rPr>
          <w:rFonts w:asciiTheme="majorBidi" w:hAnsiTheme="majorBidi" w:cstheme="majorBidi"/>
          <w:color w:val="auto"/>
        </w:rPr>
        <w:t xml:space="preserve"> given detailed explanations in </w:t>
      </w:r>
      <w:r w:rsidRPr="00EF6F2C">
        <w:rPr>
          <w:rFonts w:asciiTheme="majorBidi" w:hAnsiTheme="majorBidi" w:cstheme="majorBidi"/>
          <w:color w:val="auto"/>
        </w:rPr>
        <w:t>the</w:t>
      </w:r>
      <w:r w:rsidR="006165C6">
        <w:rPr>
          <w:rFonts w:asciiTheme="majorBidi" w:hAnsiTheme="majorBidi" w:cstheme="majorBidi"/>
          <w:color w:val="auto"/>
        </w:rPr>
        <w:t>ir annual</w:t>
      </w:r>
      <w:r w:rsidR="00614726">
        <w:rPr>
          <w:rFonts w:asciiTheme="majorBidi" w:hAnsiTheme="majorBidi" w:cstheme="majorBidi"/>
          <w:color w:val="auto"/>
        </w:rPr>
        <w:t xml:space="preserve"> reports about risk calculation criteria</w:t>
      </w:r>
      <w:r w:rsidR="002C04CC">
        <w:rPr>
          <w:rFonts w:asciiTheme="majorBidi" w:hAnsiTheme="majorBidi" w:cstheme="majorBidi"/>
          <w:color w:val="auto"/>
        </w:rPr>
        <w:t>, s</w:t>
      </w:r>
      <w:r w:rsidRPr="00EF6F2C">
        <w:rPr>
          <w:rFonts w:asciiTheme="majorBidi" w:hAnsiTheme="majorBidi" w:cstheme="majorBidi"/>
          <w:color w:val="auto"/>
        </w:rPr>
        <w:t>ince it is mentioned in the Recommendation 22 of Basel (2000) paper</w:t>
      </w:r>
      <w:r w:rsidR="002C04CC">
        <w:rPr>
          <w:rFonts w:asciiTheme="majorBidi" w:hAnsiTheme="majorBidi" w:cstheme="majorBidi"/>
          <w:color w:val="auto"/>
        </w:rPr>
        <w:t>.</w:t>
      </w:r>
      <w:r w:rsidRPr="00EF6F2C">
        <w:rPr>
          <w:rFonts w:asciiTheme="majorBidi" w:hAnsiTheme="majorBidi" w:cstheme="majorBidi"/>
          <w:color w:val="auto"/>
        </w:rPr>
        <w:t xml:space="preserve"> </w:t>
      </w:r>
      <w:r w:rsidR="002C04CC">
        <w:rPr>
          <w:rFonts w:asciiTheme="majorBidi" w:hAnsiTheme="majorBidi" w:cstheme="majorBidi"/>
          <w:color w:val="auto"/>
        </w:rPr>
        <w:t>S</w:t>
      </w:r>
      <w:r w:rsidRPr="00EF6F2C">
        <w:rPr>
          <w:rFonts w:asciiTheme="majorBidi" w:hAnsiTheme="majorBidi" w:cstheme="majorBidi"/>
          <w:color w:val="auto"/>
        </w:rPr>
        <w:t xml:space="preserve">uch descriptions in the two banks’ annual reports are obviously not sufficient. </w:t>
      </w:r>
    </w:p>
    <w:p w:rsidR="008C0BF6" w:rsidRDefault="00B31482" w:rsidP="008C0BF6">
      <w:pPr>
        <w:pStyle w:val="Default"/>
        <w:spacing w:line="360" w:lineRule="auto"/>
        <w:jc w:val="both"/>
        <w:rPr>
          <w:rFonts w:asciiTheme="majorBidi" w:hAnsiTheme="majorBidi" w:cstheme="majorBidi"/>
        </w:rPr>
      </w:pPr>
      <w:r>
        <w:rPr>
          <w:sz w:val="23"/>
          <w:szCs w:val="23"/>
        </w:rPr>
        <w:t>b. Credit Monitor</w:t>
      </w:r>
    </w:p>
    <w:p w:rsidR="00B31482" w:rsidRPr="00A77B9B" w:rsidRDefault="00B31482" w:rsidP="008C0BF6">
      <w:pPr>
        <w:pStyle w:val="Default"/>
        <w:spacing w:line="360" w:lineRule="auto"/>
        <w:jc w:val="both"/>
        <w:rPr>
          <w:rFonts w:asciiTheme="majorBidi" w:hAnsiTheme="majorBidi" w:cstheme="majorBidi"/>
        </w:rPr>
      </w:pPr>
      <w:r w:rsidRPr="00A77B9B">
        <w:rPr>
          <w:rFonts w:asciiTheme="majorBidi" w:hAnsiTheme="majorBidi" w:cstheme="majorBidi"/>
        </w:rPr>
        <w:t>The monitoring on the composition and quality of credit portfolios is carr</w:t>
      </w:r>
      <w:r w:rsidR="00721FE5">
        <w:rPr>
          <w:rFonts w:asciiTheme="majorBidi" w:hAnsiTheme="majorBidi" w:cstheme="majorBidi"/>
        </w:rPr>
        <w:t>ied out well both at BOP and AlQ</w:t>
      </w:r>
      <w:r w:rsidRPr="00A77B9B">
        <w:rPr>
          <w:rFonts w:asciiTheme="majorBidi" w:hAnsiTheme="majorBidi" w:cstheme="majorBidi"/>
        </w:rPr>
        <w:t>uds, which also accords with the requ</w:t>
      </w:r>
      <w:r w:rsidR="00721FE5">
        <w:rPr>
          <w:rFonts w:asciiTheme="majorBidi" w:hAnsiTheme="majorBidi" w:cstheme="majorBidi"/>
        </w:rPr>
        <w:t>irements of Basel (1999). At Al</w:t>
      </w:r>
      <w:r w:rsidR="00B04EB0">
        <w:rPr>
          <w:rFonts w:asciiTheme="majorBidi" w:hAnsiTheme="majorBidi" w:cstheme="majorBidi"/>
        </w:rPr>
        <w:t>-</w:t>
      </w:r>
      <w:r w:rsidR="00721FE5">
        <w:rPr>
          <w:rFonts w:asciiTheme="majorBidi" w:hAnsiTheme="majorBidi" w:cstheme="majorBidi"/>
        </w:rPr>
        <w:t>Q</w:t>
      </w:r>
      <w:r w:rsidRPr="00A77B9B">
        <w:rPr>
          <w:rFonts w:asciiTheme="majorBidi" w:hAnsiTheme="majorBidi" w:cstheme="majorBidi"/>
        </w:rPr>
        <w:t>uds bank the credit committee and department follow-up credit in collaboration with the staff of audit and</w:t>
      </w:r>
    </w:p>
    <w:p w:rsidR="008606AB" w:rsidRPr="00CE2B9B" w:rsidRDefault="00B31482" w:rsidP="00CE2B9B">
      <w:pPr>
        <w:autoSpaceDE w:val="0"/>
        <w:autoSpaceDN w:val="0"/>
        <w:adjustRightInd w:val="0"/>
        <w:spacing w:after="0" w:line="360" w:lineRule="auto"/>
        <w:jc w:val="both"/>
        <w:rPr>
          <w:rFonts w:asciiTheme="majorBidi" w:hAnsiTheme="majorBidi" w:cstheme="majorBidi"/>
          <w:sz w:val="24"/>
          <w:szCs w:val="24"/>
        </w:rPr>
      </w:pPr>
      <w:r w:rsidRPr="00A77B9B">
        <w:rPr>
          <w:rFonts w:asciiTheme="majorBidi" w:hAnsiTheme="majorBidi" w:cstheme="majorBidi"/>
          <w:sz w:val="24"/>
          <w:szCs w:val="24"/>
        </w:rPr>
        <w:t>internal inspection to monitor the credit facilities granted to customers on a regular basis to identify any deviations that would expose the bank to the risk of non-fulfillment of obligations undertaken by the customer, and thus take the necessary procedures to protect the funds of the bank. Credit exposure is analyzed by different categories such as busine</w:t>
      </w:r>
      <w:r w:rsidR="00CE2B9B">
        <w:rPr>
          <w:rFonts w:asciiTheme="majorBidi" w:hAnsiTheme="majorBidi" w:cstheme="majorBidi"/>
          <w:sz w:val="24"/>
          <w:szCs w:val="24"/>
        </w:rPr>
        <w:t>ss lines and geographical areas to somewhat,</w:t>
      </w:r>
      <w:r w:rsidRPr="00A77B9B">
        <w:rPr>
          <w:rFonts w:asciiTheme="majorBidi" w:hAnsiTheme="majorBidi" w:cstheme="majorBidi"/>
          <w:sz w:val="24"/>
          <w:szCs w:val="24"/>
        </w:rPr>
        <w:t xml:space="preserve"> as shown </w:t>
      </w:r>
      <w:r w:rsidRPr="00582D41">
        <w:rPr>
          <w:rFonts w:asciiTheme="majorBidi" w:hAnsiTheme="majorBidi" w:cstheme="majorBidi"/>
          <w:color w:val="000000" w:themeColor="text1"/>
          <w:sz w:val="24"/>
          <w:szCs w:val="24"/>
        </w:rPr>
        <w:t xml:space="preserve">in Figure </w:t>
      </w:r>
      <w:r w:rsidR="00582D41" w:rsidRPr="00582D41">
        <w:rPr>
          <w:rFonts w:asciiTheme="majorBidi" w:hAnsiTheme="majorBidi" w:cstheme="majorBidi"/>
          <w:color w:val="000000" w:themeColor="text1"/>
          <w:sz w:val="24"/>
          <w:szCs w:val="24"/>
        </w:rPr>
        <w:t>4.25</w:t>
      </w:r>
      <w:r w:rsidRPr="00582D41">
        <w:rPr>
          <w:rFonts w:asciiTheme="majorBidi" w:hAnsiTheme="majorBidi" w:cstheme="majorBidi"/>
          <w:color w:val="000000" w:themeColor="text1"/>
          <w:sz w:val="24"/>
          <w:szCs w:val="24"/>
        </w:rPr>
        <w:t>,</w:t>
      </w:r>
      <w:r w:rsidR="00582D41" w:rsidRPr="00582D41">
        <w:rPr>
          <w:rFonts w:asciiTheme="majorBidi" w:hAnsiTheme="majorBidi" w:cstheme="majorBidi"/>
          <w:color w:val="000000" w:themeColor="text1"/>
          <w:sz w:val="24"/>
          <w:szCs w:val="24"/>
        </w:rPr>
        <w:t xml:space="preserve"> 4.26</w:t>
      </w:r>
      <w:r w:rsidR="00582D41">
        <w:rPr>
          <w:rFonts w:asciiTheme="majorBidi" w:hAnsiTheme="majorBidi" w:cstheme="majorBidi"/>
          <w:color w:val="000000" w:themeColor="text1"/>
          <w:sz w:val="24"/>
          <w:szCs w:val="24"/>
        </w:rPr>
        <w:t xml:space="preserve"> and 4.</w:t>
      </w:r>
      <w:r w:rsidR="00582D41" w:rsidRPr="00582D41">
        <w:rPr>
          <w:rFonts w:asciiTheme="majorBidi" w:hAnsiTheme="majorBidi" w:cstheme="majorBidi"/>
          <w:color w:val="000000" w:themeColor="text1"/>
          <w:sz w:val="24"/>
          <w:szCs w:val="24"/>
        </w:rPr>
        <w:t>27</w:t>
      </w:r>
      <w:r w:rsidRPr="00582D41">
        <w:rPr>
          <w:rFonts w:asciiTheme="majorBidi" w:hAnsiTheme="majorBidi" w:cstheme="majorBidi"/>
          <w:color w:val="000000" w:themeColor="text1"/>
          <w:sz w:val="24"/>
          <w:szCs w:val="24"/>
        </w:rPr>
        <w:t xml:space="preserve"> and</w:t>
      </w:r>
      <w:r w:rsidRPr="00A77B9B">
        <w:rPr>
          <w:rFonts w:asciiTheme="majorBidi" w:hAnsiTheme="majorBidi" w:cstheme="majorBidi"/>
          <w:sz w:val="24"/>
          <w:szCs w:val="24"/>
        </w:rPr>
        <w:t xml:space="preserve"> concentration problems are identified by these banks. The quality of credit risk assets is monitored by showing </w:t>
      </w:r>
      <w:r w:rsidR="00CE2B9B">
        <w:rPr>
          <w:rFonts w:asciiTheme="majorBidi" w:hAnsiTheme="majorBidi" w:cstheme="majorBidi"/>
          <w:sz w:val="24"/>
          <w:szCs w:val="24"/>
        </w:rPr>
        <w:t xml:space="preserve">essential </w:t>
      </w:r>
      <w:r w:rsidRPr="00A77B9B">
        <w:rPr>
          <w:rFonts w:asciiTheme="majorBidi" w:hAnsiTheme="majorBidi" w:cstheme="majorBidi"/>
          <w:sz w:val="24"/>
          <w:szCs w:val="24"/>
        </w:rPr>
        <w:t>informatio</w:t>
      </w:r>
      <w:r w:rsidR="00CE2B9B">
        <w:rPr>
          <w:rFonts w:asciiTheme="majorBidi" w:hAnsiTheme="majorBidi" w:cstheme="majorBidi"/>
          <w:sz w:val="24"/>
          <w:szCs w:val="24"/>
        </w:rPr>
        <w:t>n about potential problem loans.</w:t>
      </w:r>
      <w:r w:rsidRPr="00A77B9B">
        <w:rPr>
          <w:rFonts w:asciiTheme="majorBidi" w:hAnsiTheme="majorBidi" w:cstheme="majorBidi"/>
          <w:sz w:val="24"/>
          <w:szCs w:val="24"/>
        </w:rPr>
        <w:t xml:space="preserve"> Although judged from the recommendation made by Basel (2000), the disclosure may not be detailed enough, which provides insufficient information on whether the banks have strong monitor on the impaired loans, it can be found that basically, the two banks do give attention to the impairment as well as allowances issue.</w:t>
      </w:r>
    </w:p>
    <w:p w:rsidR="00B04EB0" w:rsidRDefault="00B04EB0" w:rsidP="00B31482">
      <w:pPr>
        <w:autoSpaceDE w:val="0"/>
        <w:autoSpaceDN w:val="0"/>
        <w:adjustRightInd w:val="0"/>
        <w:spacing w:after="0" w:line="360" w:lineRule="auto"/>
        <w:jc w:val="both"/>
        <w:rPr>
          <w:rFonts w:asciiTheme="majorBidi" w:hAnsiTheme="majorBidi" w:cstheme="majorBidi"/>
          <w:b/>
          <w:bCs/>
          <w:sz w:val="24"/>
          <w:szCs w:val="24"/>
        </w:rPr>
      </w:pPr>
    </w:p>
    <w:p w:rsidR="00B04EB0" w:rsidRDefault="00B04EB0" w:rsidP="00B31482">
      <w:pPr>
        <w:autoSpaceDE w:val="0"/>
        <w:autoSpaceDN w:val="0"/>
        <w:adjustRightInd w:val="0"/>
        <w:spacing w:after="0" w:line="360" w:lineRule="auto"/>
        <w:jc w:val="both"/>
        <w:rPr>
          <w:rFonts w:asciiTheme="majorBidi" w:hAnsiTheme="majorBidi" w:cstheme="majorBidi"/>
          <w:b/>
          <w:bCs/>
          <w:sz w:val="24"/>
          <w:szCs w:val="24"/>
        </w:rPr>
      </w:pPr>
    </w:p>
    <w:p w:rsidR="00B31482" w:rsidRDefault="00B31482" w:rsidP="00B31482">
      <w:pPr>
        <w:autoSpaceDE w:val="0"/>
        <w:autoSpaceDN w:val="0"/>
        <w:adjustRightInd w:val="0"/>
        <w:spacing w:after="0" w:line="360" w:lineRule="auto"/>
        <w:jc w:val="both"/>
        <w:rPr>
          <w:rFonts w:asciiTheme="majorBidi" w:hAnsiTheme="majorBidi" w:cstheme="majorBidi"/>
          <w:b/>
          <w:bCs/>
          <w:sz w:val="24"/>
          <w:szCs w:val="24"/>
        </w:rPr>
      </w:pPr>
      <w:r w:rsidRPr="00A77B9B">
        <w:rPr>
          <w:rFonts w:asciiTheme="majorBidi" w:hAnsiTheme="majorBidi" w:cstheme="majorBidi"/>
          <w:b/>
          <w:bCs/>
          <w:sz w:val="24"/>
          <w:szCs w:val="24"/>
        </w:rPr>
        <w:lastRenderedPageBreak/>
        <w:t>Controls over Credit Risk</w:t>
      </w:r>
    </w:p>
    <w:p w:rsidR="00B31482" w:rsidRDefault="00B31482" w:rsidP="00CE3E3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Despite the fact that, it is already mentioned of</w:t>
      </w:r>
      <w:r w:rsidRPr="00A77B9B">
        <w:rPr>
          <w:rFonts w:asciiTheme="majorBidi" w:hAnsiTheme="majorBidi" w:cstheme="majorBidi"/>
          <w:sz w:val="24"/>
          <w:szCs w:val="24"/>
        </w:rPr>
        <w:t xml:space="preserve"> clear definition and designation of responsibilities a</w:t>
      </w:r>
      <w:r>
        <w:rPr>
          <w:rFonts w:asciiTheme="majorBidi" w:hAnsiTheme="majorBidi" w:cstheme="majorBidi"/>
          <w:sz w:val="24"/>
          <w:szCs w:val="24"/>
        </w:rPr>
        <w:t xml:space="preserve">re found in these two banks annual reports and different divisions and committees </w:t>
      </w:r>
      <w:r w:rsidRPr="00A77B9B">
        <w:rPr>
          <w:rFonts w:asciiTheme="majorBidi" w:hAnsiTheme="majorBidi" w:cstheme="majorBidi"/>
          <w:sz w:val="24"/>
          <w:szCs w:val="24"/>
        </w:rPr>
        <w:t>give regular assessments to the implementation of credit risk management, it cannot be proved that a valid and efficient credit review system is already established in both banks, due to the lack of relevant information.</w:t>
      </w:r>
    </w:p>
    <w:p w:rsidR="00B31482" w:rsidRDefault="00B31482" w:rsidP="00CE3E32">
      <w:pPr>
        <w:autoSpaceDE w:val="0"/>
        <w:autoSpaceDN w:val="0"/>
        <w:adjustRightInd w:val="0"/>
        <w:spacing w:after="0" w:line="360" w:lineRule="auto"/>
        <w:jc w:val="both"/>
        <w:rPr>
          <w:rFonts w:asciiTheme="majorBidi" w:hAnsiTheme="majorBidi" w:cstheme="majorBidi"/>
          <w:b/>
          <w:bCs/>
          <w:sz w:val="24"/>
          <w:szCs w:val="24"/>
        </w:rPr>
      </w:pPr>
      <w:r w:rsidRPr="00BC568A">
        <w:rPr>
          <w:rFonts w:asciiTheme="majorBidi" w:hAnsiTheme="majorBidi" w:cstheme="majorBidi"/>
          <w:b/>
          <w:bCs/>
          <w:sz w:val="24"/>
          <w:szCs w:val="24"/>
        </w:rPr>
        <w:t>Credit Risk Mitigation</w:t>
      </w:r>
    </w:p>
    <w:p w:rsidR="00B31482" w:rsidRDefault="00B31482" w:rsidP="00CE3E32">
      <w:pPr>
        <w:autoSpaceDE w:val="0"/>
        <w:autoSpaceDN w:val="0"/>
        <w:adjustRightInd w:val="0"/>
        <w:spacing w:after="0" w:line="360" w:lineRule="auto"/>
        <w:jc w:val="both"/>
        <w:rPr>
          <w:rFonts w:asciiTheme="majorBidi" w:hAnsiTheme="majorBidi" w:cstheme="majorBidi"/>
          <w:sz w:val="24"/>
          <w:szCs w:val="24"/>
        </w:rPr>
      </w:pPr>
      <w:r w:rsidRPr="00BC568A">
        <w:rPr>
          <w:rFonts w:asciiTheme="majorBidi" w:hAnsiTheme="majorBidi" w:cstheme="majorBidi"/>
          <w:sz w:val="24"/>
          <w:szCs w:val="24"/>
        </w:rPr>
        <w:t>Traditional credit risk mitigation approaches s</w:t>
      </w:r>
      <w:r>
        <w:rPr>
          <w:rFonts w:asciiTheme="majorBidi" w:hAnsiTheme="majorBidi" w:cstheme="majorBidi"/>
          <w:sz w:val="24"/>
          <w:szCs w:val="24"/>
        </w:rPr>
        <w:t>uch as collateral</w:t>
      </w:r>
      <w:r w:rsidR="00EB6AB3">
        <w:rPr>
          <w:rFonts w:asciiTheme="majorBidi" w:hAnsiTheme="majorBidi" w:cstheme="majorBidi"/>
          <w:sz w:val="24"/>
          <w:szCs w:val="24"/>
        </w:rPr>
        <w:t>, putting</w:t>
      </w:r>
      <w:r w:rsidR="00BF6D79">
        <w:rPr>
          <w:rFonts w:asciiTheme="majorBidi" w:hAnsiTheme="majorBidi" w:cstheme="majorBidi"/>
          <w:sz w:val="24"/>
          <w:szCs w:val="24"/>
        </w:rPr>
        <w:t xml:space="preserve"> limits for </w:t>
      </w:r>
      <w:r w:rsidRPr="00BC568A">
        <w:rPr>
          <w:rFonts w:asciiTheme="majorBidi" w:hAnsiTheme="majorBidi" w:cstheme="majorBidi"/>
          <w:sz w:val="24"/>
          <w:szCs w:val="24"/>
        </w:rPr>
        <w:t xml:space="preserve">direct credit </w:t>
      </w:r>
      <w:r w:rsidR="00EB6AB3" w:rsidRPr="00BC568A">
        <w:rPr>
          <w:rFonts w:asciiTheme="majorBidi" w:hAnsiTheme="majorBidi" w:cstheme="majorBidi"/>
          <w:sz w:val="24"/>
          <w:szCs w:val="24"/>
        </w:rPr>
        <w:t>facilities (</w:t>
      </w:r>
      <w:r w:rsidRPr="00BC568A">
        <w:rPr>
          <w:rFonts w:asciiTheme="majorBidi" w:hAnsiTheme="majorBidi" w:cstheme="majorBidi"/>
          <w:sz w:val="24"/>
          <w:szCs w:val="24"/>
        </w:rPr>
        <w:t>individual or instituti</w:t>
      </w:r>
      <w:r w:rsidR="00BF6D79">
        <w:rPr>
          <w:rFonts w:asciiTheme="majorBidi" w:hAnsiTheme="majorBidi" w:cstheme="majorBidi"/>
          <w:sz w:val="24"/>
          <w:szCs w:val="24"/>
        </w:rPr>
        <w:t>on) and the total loans given</w:t>
      </w:r>
      <w:r w:rsidRPr="00BC568A">
        <w:rPr>
          <w:rFonts w:asciiTheme="majorBidi" w:hAnsiTheme="majorBidi" w:cstheme="majorBidi"/>
          <w:sz w:val="24"/>
          <w:szCs w:val="24"/>
        </w:rPr>
        <w:t xml:space="preserve"> to each sector and each geographical</w:t>
      </w:r>
      <w:r w:rsidR="000B7094">
        <w:rPr>
          <w:rFonts w:asciiTheme="majorBidi" w:hAnsiTheme="majorBidi" w:cstheme="majorBidi"/>
          <w:sz w:val="24"/>
          <w:szCs w:val="24"/>
        </w:rPr>
        <w:t xml:space="preserve"> </w:t>
      </w:r>
      <w:r w:rsidRPr="00BC568A">
        <w:rPr>
          <w:rFonts w:asciiTheme="majorBidi" w:hAnsiTheme="majorBidi" w:cstheme="majorBidi"/>
          <w:sz w:val="24"/>
          <w:szCs w:val="24"/>
        </w:rPr>
        <w:t xml:space="preserve">area are applied in both banks. </w:t>
      </w:r>
      <w:r>
        <w:rPr>
          <w:rFonts w:asciiTheme="majorBidi" w:hAnsiTheme="majorBidi" w:cstheme="majorBidi"/>
          <w:sz w:val="24"/>
          <w:szCs w:val="24"/>
        </w:rPr>
        <w:t xml:space="preserve"> A</w:t>
      </w:r>
      <w:r w:rsidRPr="00BC568A">
        <w:rPr>
          <w:rFonts w:asciiTheme="majorBidi" w:hAnsiTheme="majorBidi" w:cstheme="majorBidi"/>
          <w:sz w:val="24"/>
          <w:szCs w:val="24"/>
        </w:rPr>
        <w:t>lthough</w:t>
      </w:r>
      <w:r w:rsidR="00721FE5">
        <w:rPr>
          <w:rFonts w:asciiTheme="majorBidi" w:hAnsiTheme="majorBidi" w:cstheme="majorBidi"/>
          <w:sz w:val="24"/>
          <w:szCs w:val="24"/>
        </w:rPr>
        <w:t>, Al</w:t>
      </w:r>
      <w:r w:rsidR="00B04EB0">
        <w:rPr>
          <w:rFonts w:asciiTheme="majorBidi" w:hAnsiTheme="majorBidi" w:cstheme="majorBidi"/>
          <w:sz w:val="24"/>
          <w:szCs w:val="24"/>
        </w:rPr>
        <w:t>-</w:t>
      </w:r>
      <w:r w:rsidR="00721FE5">
        <w:rPr>
          <w:rFonts w:asciiTheme="majorBidi" w:hAnsiTheme="majorBidi" w:cstheme="majorBidi"/>
          <w:sz w:val="24"/>
          <w:szCs w:val="24"/>
        </w:rPr>
        <w:t>Q</w:t>
      </w:r>
      <w:r>
        <w:rPr>
          <w:rFonts w:asciiTheme="majorBidi" w:hAnsiTheme="majorBidi" w:cstheme="majorBidi"/>
          <w:sz w:val="24"/>
          <w:szCs w:val="24"/>
        </w:rPr>
        <w:t>uds</w:t>
      </w:r>
      <w:r w:rsidR="000B7094">
        <w:rPr>
          <w:rFonts w:asciiTheme="majorBidi" w:hAnsiTheme="majorBidi" w:cstheme="majorBidi"/>
          <w:sz w:val="24"/>
          <w:szCs w:val="24"/>
        </w:rPr>
        <w:t xml:space="preserve"> </w:t>
      </w:r>
      <w:r w:rsidRPr="00BC568A">
        <w:rPr>
          <w:rFonts w:asciiTheme="majorBidi" w:hAnsiTheme="majorBidi" w:cstheme="majorBidi"/>
          <w:sz w:val="24"/>
          <w:szCs w:val="24"/>
        </w:rPr>
        <w:t>doesn’t give much description on</w:t>
      </w:r>
      <w:r>
        <w:rPr>
          <w:rFonts w:asciiTheme="majorBidi" w:hAnsiTheme="majorBidi" w:cstheme="majorBidi"/>
          <w:sz w:val="24"/>
          <w:szCs w:val="24"/>
        </w:rPr>
        <w:t xml:space="preserve"> its diversification strategy, n</w:t>
      </w:r>
      <w:r w:rsidRPr="00BC568A">
        <w:rPr>
          <w:rFonts w:asciiTheme="majorBidi" w:hAnsiTheme="majorBidi" w:cstheme="majorBidi"/>
          <w:sz w:val="24"/>
          <w:szCs w:val="24"/>
        </w:rPr>
        <w:t>ewer approaches are als</w:t>
      </w:r>
      <w:r>
        <w:rPr>
          <w:rFonts w:asciiTheme="majorBidi" w:hAnsiTheme="majorBidi" w:cstheme="majorBidi"/>
          <w:sz w:val="24"/>
          <w:szCs w:val="24"/>
        </w:rPr>
        <w:t>o applied, such as the use of</w:t>
      </w:r>
      <w:r w:rsidRPr="00BC568A">
        <w:rPr>
          <w:rFonts w:asciiTheme="majorBidi" w:hAnsiTheme="majorBidi" w:cstheme="majorBidi"/>
          <w:sz w:val="24"/>
          <w:szCs w:val="24"/>
        </w:rPr>
        <w:t xml:space="preserve"> credit </w:t>
      </w:r>
      <w:r>
        <w:rPr>
          <w:rFonts w:asciiTheme="majorBidi" w:hAnsiTheme="majorBidi" w:cstheme="majorBidi"/>
          <w:sz w:val="24"/>
          <w:szCs w:val="24"/>
        </w:rPr>
        <w:t xml:space="preserve">derivatives </w:t>
      </w:r>
      <w:r w:rsidRPr="00BC568A">
        <w:rPr>
          <w:rFonts w:asciiTheme="majorBidi" w:hAnsiTheme="majorBidi" w:cstheme="majorBidi"/>
          <w:sz w:val="24"/>
          <w:szCs w:val="24"/>
        </w:rPr>
        <w:t>and other financial instruments.</w:t>
      </w: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D5CF9" w:rsidRDefault="00BD5CF9" w:rsidP="00B31482">
      <w:pPr>
        <w:autoSpaceDE w:val="0"/>
        <w:autoSpaceDN w:val="0"/>
        <w:adjustRightInd w:val="0"/>
        <w:spacing w:after="0" w:line="360" w:lineRule="auto"/>
        <w:rPr>
          <w:rFonts w:asciiTheme="majorBidi" w:hAnsiTheme="majorBidi" w:cstheme="majorBidi"/>
          <w:sz w:val="24"/>
          <w:szCs w:val="24"/>
        </w:rPr>
      </w:pPr>
    </w:p>
    <w:p w:rsidR="00B04EB0" w:rsidRDefault="00B04EB0" w:rsidP="00B31482">
      <w:pPr>
        <w:autoSpaceDE w:val="0"/>
        <w:autoSpaceDN w:val="0"/>
        <w:adjustRightInd w:val="0"/>
        <w:spacing w:after="0" w:line="360" w:lineRule="auto"/>
        <w:rPr>
          <w:rFonts w:asciiTheme="majorBidi" w:hAnsiTheme="majorBidi" w:cstheme="majorBidi"/>
          <w:b/>
          <w:bCs/>
          <w:sz w:val="24"/>
          <w:szCs w:val="24"/>
        </w:rPr>
      </w:pPr>
    </w:p>
    <w:p w:rsidR="00B04EB0" w:rsidRDefault="00B04EB0" w:rsidP="00B31482">
      <w:pPr>
        <w:autoSpaceDE w:val="0"/>
        <w:autoSpaceDN w:val="0"/>
        <w:adjustRightInd w:val="0"/>
        <w:spacing w:after="0" w:line="360" w:lineRule="auto"/>
        <w:rPr>
          <w:rFonts w:asciiTheme="majorBidi" w:hAnsiTheme="majorBidi" w:cstheme="majorBidi"/>
          <w:b/>
          <w:bCs/>
          <w:sz w:val="24"/>
          <w:szCs w:val="24"/>
        </w:rPr>
      </w:pPr>
    </w:p>
    <w:p w:rsidR="00EF6F2C" w:rsidRPr="00EB197A" w:rsidRDefault="00177679" w:rsidP="00B31482">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4.4</w:t>
      </w:r>
      <w:r w:rsidR="00EB197A" w:rsidRPr="00EB197A">
        <w:rPr>
          <w:rFonts w:asciiTheme="majorBidi" w:hAnsiTheme="majorBidi" w:cstheme="majorBidi"/>
          <w:b/>
          <w:bCs/>
          <w:sz w:val="24"/>
          <w:szCs w:val="24"/>
        </w:rPr>
        <w:t>.3 Credit Risk Manag</w:t>
      </w:r>
      <w:r w:rsidR="00C60FA4">
        <w:rPr>
          <w:rFonts w:asciiTheme="majorBidi" w:hAnsiTheme="majorBidi" w:cstheme="majorBidi"/>
          <w:b/>
          <w:bCs/>
          <w:sz w:val="24"/>
          <w:szCs w:val="24"/>
        </w:rPr>
        <w:t>ement Practices at Palestinian C</w:t>
      </w:r>
      <w:r w:rsidR="00EB197A" w:rsidRPr="00EB197A">
        <w:rPr>
          <w:rFonts w:asciiTheme="majorBidi" w:hAnsiTheme="majorBidi" w:cstheme="majorBidi"/>
          <w:b/>
          <w:bCs/>
          <w:sz w:val="24"/>
          <w:szCs w:val="24"/>
        </w:rPr>
        <w:t>ommerc</w:t>
      </w:r>
      <w:r w:rsidR="0094497A">
        <w:rPr>
          <w:rFonts w:asciiTheme="majorBidi" w:hAnsiTheme="majorBidi" w:cstheme="majorBidi"/>
          <w:b/>
          <w:bCs/>
          <w:sz w:val="24"/>
          <w:szCs w:val="24"/>
        </w:rPr>
        <w:t>ial bank (PCB</w:t>
      </w:r>
      <w:r w:rsidR="00C60FA4">
        <w:rPr>
          <w:rFonts w:asciiTheme="majorBidi" w:hAnsiTheme="majorBidi" w:cstheme="majorBidi"/>
          <w:b/>
          <w:bCs/>
          <w:sz w:val="24"/>
          <w:szCs w:val="24"/>
        </w:rPr>
        <w:t>) and Palestinian Investment b</w:t>
      </w:r>
      <w:r w:rsidR="00EB197A" w:rsidRPr="00EB197A">
        <w:rPr>
          <w:rFonts w:asciiTheme="majorBidi" w:hAnsiTheme="majorBidi" w:cstheme="majorBidi"/>
          <w:b/>
          <w:bCs/>
          <w:sz w:val="24"/>
          <w:szCs w:val="24"/>
        </w:rPr>
        <w:t>ank (PIB)</w:t>
      </w:r>
    </w:p>
    <w:p w:rsidR="00B31482" w:rsidRPr="00EB197A" w:rsidRDefault="00EB197A" w:rsidP="006D31A0">
      <w:pPr>
        <w:shd w:val="clear" w:color="auto" w:fill="FFFFFF"/>
        <w:spacing w:line="264" w:lineRule="atLeast"/>
        <w:ind w:right="-51"/>
        <w:jc w:val="both"/>
        <w:textAlignment w:val="baseline"/>
        <w:rPr>
          <w:rFonts w:asciiTheme="majorBidi" w:eastAsia="Times New Roman" w:hAnsiTheme="majorBidi" w:cstheme="majorBidi"/>
          <w:color w:val="FF0000"/>
          <w:sz w:val="24"/>
          <w:szCs w:val="24"/>
          <w:bdr w:val="none" w:sz="0" w:space="0" w:color="auto" w:frame="1"/>
        </w:rPr>
      </w:pPr>
      <w:r w:rsidRPr="00EB197A">
        <w:rPr>
          <w:rFonts w:asciiTheme="majorBidi" w:hAnsiTheme="majorBidi" w:cstheme="majorBidi"/>
          <w:sz w:val="24"/>
          <w:szCs w:val="24"/>
        </w:rPr>
        <w:t>a. Credit Risk Governance</w:t>
      </w:r>
    </w:p>
    <w:p w:rsidR="0073477E" w:rsidRDefault="000F66A8" w:rsidP="008606AB">
      <w:pPr>
        <w:shd w:val="clear" w:color="auto" w:fill="FFFFFF"/>
        <w:spacing w:line="360" w:lineRule="auto"/>
        <w:ind w:right="-51"/>
        <w:contextualSpacing/>
        <w:jc w:val="both"/>
        <w:textAlignment w:val="baseline"/>
        <w:rPr>
          <w:rFonts w:asciiTheme="majorBidi" w:eastAsia="Times New Roman" w:hAnsiTheme="majorBidi" w:cstheme="majorBidi"/>
          <w:color w:val="000000" w:themeColor="text1"/>
          <w:sz w:val="24"/>
          <w:szCs w:val="24"/>
        </w:rPr>
      </w:pPr>
      <w:r w:rsidRPr="0073477E">
        <w:rPr>
          <w:rFonts w:asciiTheme="majorBidi" w:hAnsiTheme="majorBidi" w:cstheme="majorBidi"/>
          <w:color w:val="000000" w:themeColor="text1"/>
          <w:sz w:val="24"/>
          <w:szCs w:val="24"/>
        </w:rPr>
        <w:t>Generally, the credit risk policies and strategies, the risk management structure and responsibilities are determined by</w:t>
      </w:r>
      <w:r w:rsidR="000B7094">
        <w:rPr>
          <w:rFonts w:asciiTheme="majorBidi" w:hAnsiTheme="majorBidi" w:cstheme="majorBidi"/>
          <w:color w:val="000000" w:themeColor="text1"/>
          <w:sz w:val="24"/>
          <w:szCs w:val="24"/>
        </w:rPr>
        <w:t xml:space="preserve"> </w:t>
      </w:r>
      <w:r w:rsidR="0073477E" w:rsidRPr="0073477E">
        <w:rPr>
          <w:rFonts w:asciiTheme="majorBidi" w:hAnsiTheme="majorBidi" w:cstheme="majorBidi"/>
          <w:color w:val="000000" w:themeColor="text1"/>
          <w:sz w:val="24"/>
          <w:szCs w:val="24"/>
        </w:rPr>
        <w:t>the Risk Management Committee, consisting of members of the</w:t>
      </w:r>
      <w:r w:rsidRPr="0073477E">
        <w:rPr>
          <w:rFonts w:asciiTheme="majorBidi" w:hAnsiTheme="majorBidi" w:cstheme="majorBidi"/>
          <w:color w:val="000000" w:themeColor="text1"/>
          <w:sz w:val="24"/>
          <w:szCs w:val="24"/>
        </w:rPr>
        <w:t xml:space="preserve"> Board of Directors</w:t>
      </w:r>
      <w:r w:rsidR="0073477E">
        <w:rPr>
          <w:rFonts w:asciiTheme="majorBidi" w:hAnsiTheme="majorBidi" w:cstheme="majorBidi"/>
          <w:color w:val="000000" w:themeColor="text1"/>
          <w:sz w:val="24"/>
          <w:szCs w:val="24"/>
        </w:rPr>
        <w:t xml:space="preserve"> and the Executive Committee that aims to measure, monitor and control all risks including credit risk, the bank may exposed in the future</w:t>
      </w:r>
      <w:r w:rsidRPr="0073477E">
        <w:rPr>
          <w:rFonts w:asciiTheme="majorBidi" w:hAnsiTheme="majorBidi" w:cstheme="majorBidi"/>
          <w:color w:val="000000" w:themeColor="text1"/>
          <w:sz w:val="24"/>
          <w:szCs w:val="24"/>
        </w:rPr>
        <w:t xml:space="preserve"> at</w:t>
      </w:r>
      <w:r w:rsidR="0073477E" w:rsidRPr="0073477E">
        <w:rPr>
          <w:rFonts w:asciiTheme="majorBidi" w:eastAsia="Times New Roman" w:hAnsiTheme="majorBidi" w:cstheme="majorBidi"/>
          <w:color w:val="000000" w:themeColor="text1"/>
          <w:sz w:val="24"/>
          <w:szCs w:val="24"/>
        </w:rPr>
        <w:t xml:space="preserve"> PCB</w:t>
      </w:r>
      <w:r w:rsidR="0073477E">
        <w:rPr>
          <w:rFonts w:asciiTheme="majorBidi" w:eastAsia="Times New Roman" w:hAnsiTheme="majorBidi" w:cstheme="majorBidi"/>
          <w:color w:val="000000" w:themeColor="text1"/>
          <w:sz w:val="24"/>
          <w:szCs w:val="24"/>
        </w:rPr>
        <w:t xml:space="preserve">. </w:t>
      </w:r>
    </w:p>
    <w:p w:rsidR="00BA2241" w:rsidRDefault="00BA2241" w:rsidP="00BF6D79">
      <w:pPr>
        <w:autoSpaceDE w:val="0"/>
        <w:autoSpaceDN w:val="0"/>
        <w:adjustRightInd w:val="0"/>
        <w:spacing w:after="0" w:line="360" w:lineRule="auto"/>
        <w:contextualSpacing/>
        <w:rPr>
          <w:rFonts w:asciiTheme="majorBidi" w:eastAsia="Times New Roman" w:hAnsiTheme="majorBidi" w:cstheme="majorBidi"/>
          <w:b/>
          <w:bCs/>
          <w:color w:val="000000" w:themeColor="text1"/>
        </w:rPr>
      </w:pPr>
    </w:p>
    <w:p w:rsidR="00461B5D" w:rsidRPr="00A449B3" w:rsidRDefault="00461B5D" w:rsidP="008606AB">
      <w:pPr>
        <w:autoSpaceDE w:val="0"/>
        <w:autoSpaceDN w:val="0"/>
        <w:adjustRightInd w:val="0"/>
        <w:spacing w:after="0" w:line="360" w:lineRule="auto"/>
        <w:contextualSpacing/>
        <w:jc w:val="center"/>
        <w:rPr>
          <w:rFonts w:asciiTheme="majorBidi" w:hAnsiTheme="majorBidi" w:cstheme="majorBidi"/>
          <w:b/>
          <w:bCs/>
          <w:color w:val="000000"/>
        </w:rPr>
      </w:pPr>
      <w:r w:rsidRPr="00C60FA4">
        <w:rPr>
          <w:rFonts w:asciiTheme="majorBidi" w:eastAsia="Times New Roman" w:hAnsiTheme="majorBidi" w:cstheme="majorBidi"/>
          <w:b/>
          <w:bCs/>
          <w:color w:val="000000" w:themeColor="text1"/>
        </w:rPr>
        <w:t>Figure</w:t>
      </w:r>
      <w:r w:rsidR="0095775B" w:rsidRPr="00C60FA4">
        <w:rPr>
          <w:rFonts w:asciiTheme="majorBidi" w:eastAsia="Times New Roman" w:hAnsiTheme="majorBidi" w:cstheme="majorBidi"/>
          <w:b/>
          <w:bCs/>
          <w:color w:val="000000" w:themeColor="text1"/>
        </w:rPr>
        <w:t xml:space="preserve"> 4.30: </w:t>
      </w:r>
      <w:r w:rsidR="00A63F64" w:rsidRPr="00C60FA4">
        <w:rPr>
          <w:rFonts w:asciiTheme="majorBidi" w:hAnsiTheme="majorBidi" w:cstheme="majorBidi"/>
          <w:b/>
          <w:bCs/>
        </w:rPr>
        <w:t xml:space="preserve">Credit risk management organizations at PCB </w:t>
      </w:r>
    </w:p>
    <w:p w:rsidR="006D31A0" w:rsidRPr="0073477E" w:rsidRDefault="007A78D1" w:rsidP="008606AB">
      <w:pPr>
        <w:shd w:val="clear" w:color="auto" w:fill="FFFFFF"/>
        <w:spacing w:line="360" w:lineRule="auto"/>
        <w:ind w:right="-51"/>
        <w:contextualSpacing/>
        <w:jc w:val="center"/>
        <w:textAlignment w:val="baseline"/>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pict>
          <v:shape id="_x0000_s1257" type="#_x0000_t32" style="position:absolute;left:0;text-align:left;margin-left:380.25pt;margin-top:18.1pt;width:0;height:89.95pt;z-index:251847680" o:connectortype="straight" strokecolor="black [3213]">
            <w10:wrap anchorx="page"/>
          </v:shape>
        </w:pict>
      </w:r>
      <w:r>
        <w:rPr>
          <w:rFonts w:asciiTheme="majorBidi" w:eastAsia="Times New Roman" w:hAnsiTheme="majorBidi" w:cstheme="majorBidi"/>
          <w:noProof/>
          <w:color w:val="000000" w:themeColor="text1"/>
          <w:sz w:val="24"/>
          <w:szCs w:val="24"/>
        </w:rPr>
        <w:pict>
          <v:shape id="_x0000_s1256" type="#_x0000_t32" style="position:absolute;left:0;text-align:left;margin-left:277.5pt;margin-top:17.35pt;width:102.75pt;height:.75pt;z-index:251846656" o:connectortype="straight" strokecolor="black [3213]">
            <w10:wrap anchorx="page"/>
          </v:shape>
        </w:pict>
      </w:r>
      <w:r>
        <w:rPr>
          <w:rFonts w:asciiTheme="majorBidi" w:eastAsia="Times New Roman" w:hAnsiTheme="majorBidi" w:cstheme="majorBidi"/>
          <w:noProof/>
          <w:color w:val="000000" w:themeColor="text1"/>
          <w:sz w:val="24"/>
          <w:szCs w:val="24"/>
        </w:rPr>
        <w:pict>
          <v:shape id="_x0000_s1241" type="#_x0000_t32" style="position:absolute;left:0;text-align:left;margin-left:213.75pt;margin-top:27.8pt;width:0;height:17.25pt;z-index:251832320" o:connectortype="straight" strokecolor="black [3213]">
            <w10:wrap anchorx="page"/>
          </v:shape>
        </w:pict>
      </w:r>
      <w:r>
        <w:rPr>
          <w:rFonts w:asciiTheme="majorBidi" w:eastAsia="Times New Roman" w:hAnsiTheme="majorBidi" w:cstheme="majorBidi"/>
          <w:noProof/>
          <w:color w:val="000000" w:themeColor="text1"/>
          <w:sz w:val="24"/>
          <w:szCs w:val="24"/>
        </w:rPr>
        <w:pict>
          <v:roundrect id="_x0000_s1234" style="position:absolute;left:0;text-align:left;margin-left:151.5pt;margin-top:8.3pt;width:126pt;height:19.5pt;z-index:251825152"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Board of Directors</w:t>
                  </w:r>
                </w:p>
              </w:txbxContent>
            </v:textbox>
            <w10:wrap anchorx="page"/>
          </v:roundrect>
        </w:pict>
      </w:r>
    </w:p>
    <w:p w:rsidR="009A0C78" w:rsidRPr="006D31A0" w:rsidRDefault="007A78D1" w:rsidP="006D31A0">
      <w:pPr>
        <w:autoSpaceDE w:val="0"/>
        <w:autoSpaceDN w:val="0"/>
        <w:adjustRightInd w:val="0"/>
        <w:spacing w:after="0" w:line="360" w:lineRule="auto"/>
        <w:rPr>
          <w:rFonts w:asciiTheme="majorBidi" w:hAnsiTheme="majorBidi" w:cstheme="majorBidi"/>
          <w:b/>
          <w:bCs/>
          <w:color w:val="FF0000"/>
          <w:sz w:val="28"/>
          <w:szCs w:val="28"/>
        </w:rPr>
      </w:pPr>
      <w:r>
        <w:rPr>
          <w:rFonts w:asciiTheme="majorBidi" w:hAnsiTheme="majorBidi" w:cstheme="majorBidi"/>
          <w:b/>
          <w:bCs/>
          <w:noProof/>
          <w:color w:val="FF0000"/>
          <w:sz w:val="28"/>
          <w:szCs w:val="28"/>
        </w:rPr>
        <w:pict>
          <v:roundrect id="_x0000_s1242" style="position:absolute;margin-left:151.5pt;margin-top:14.35pt;width:126pt;height:20.25pt;z-index:251833344"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Executive Committee</w:t>
                  </w:r>
                </w:p>
              </w:txbxContent>
            </v:textbox>
            <w10:wrap anchorx="page"/>
          </v:roundrect>
        </w:pict>
      </w:r>
    </w:p>
    <w:p w:rsidR="009A0C78"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shape id="_x0000_s1243" type="#_x0000_t32" style="position:absolute;left:0;text-align:left;margin-left:213.75pt;margin-top:10.45pt;width:0;height:21.75pt;z-index:251834368" o:connectortype="straight" strokecolor="black [3213]">
            <w10:wrap anchorx="page"/>
          </v:shape>
        </w:pict>
      </w:r>
    </w:p>
    <w:p w:rsidR="009A0C78" w:rsidRDefault="007A78D1" w:rsidP="005816BE">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noProof/>
          <w:sz w:val="28"/>
          <w:szCs w:val="28"/>
        </w:rPr>
        <w:pict>
          <v:roundrect id="_x0000_s1244" style="position:absolute;margin-left:151.5pt;margin-top:8.05pt;width:126pt;height:21pt;z-index:251835392"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General Manager</w:t>
                  </w:r>
                </w:p>
              </w:txbxContent>
            </v:textbox>
            <w10:wrap anchorx="page"/>
          </v:roundrect>
        </w:pict>
      </w:r>
    </w:p>
    <w:p w:rsidR="009A0C78"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roundrect id="_x0000_s1238" style="position:absolute;left:0;text-align:left;margin-left:332.25pt;margin-top:4.9pt;width:105.75pt;height:39pt;z-index:251829248"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Risk Management Comm</w:t>
                  </w:r>
                  <w:r>
                    <w:rPr>
                      <w:rFonts w:asciiTheme="majorBidi" w:hAnsiTheme="majorBidi" w:cstheme="majorBidi"/>
                    </w:rPr>
                    <w:t>ittee</w:t>
                  </w:r>
                </w:p>
              </w:txbxContent>
            </v:textbox>
            <w10:wrap anchorx="page"/>
          </v:roundrect>
        </w:pict>
      </w:r>
      <w:r>
        <w:rPr>
          <w:rFonts w:asciiTheme="majorBidi" w:hAnsiTheme="majorBidi" w:cstheme="majorBidi"/>
          <w:b/>
          <w:bCs/>
          <w:noProof/>
          <w:sz w:val="28"/>
          <w:szCs w:val="28"/>
        </w:rPr>
        <w:pict>
          <v:shape id="_x0000_s1254" type="#_x0000_t32" style="position:absolute;left:0;text-align:left;margin-left:213.75pt;margin-top:4.9pt;width:0;height:84pt;z-index:251845632" o:connectortype="straight" strokecolor="black [3213]">
            <w10:wrap anchorx="page"/>
          </v:shape>
        </w:pict>
      </w:r>
    </w:p>
    <w:p w:rsidR="009A0C78"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shape id="_x0000_s1258" type="#_x0000_t32" style="position:absolute;left:0;text-align:left;margin-left:380.25pt;margin-top:19.75pt;width:0;height:37.55pt;z-index:251848704" o:connectortype="straight" strokecolor="black [3213]">
            <w10:wrap anchorx="page"/>
          </v:shape>
        </w:pict>
      </w:r>
    </w:p>
    <w:p w:rsidR="009A0C78" w:rsidRDefault="009A0C78" w:rsidP="00C859F6">
      <w:pPr>
        <w:autoSpaceDE w:val="0"/>
        <w:autoSpaceDN w:val="0"/>
        <w:adjustRightInd w:val="0"/>
        <w:spacing w:after="0" w:line="360" w:lineRule="auto"/>
        <w:jc w:val="center"/>
        <w:rPr>
          <w:rFonts w:asciiTheme="majorBidi" w:hAnsiTheme="majorBidi" w:cstheme="majorBidi"/>
          <w:b/>
          <w:bCs/>
          <w:sz w:val="28"/>
          <w:szCs w:val="28"/>
        </w:rPr>
      </w:pPr>
    </w:p>
    <w:p w:rsidR="009A0C78"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roundrect id="_x0000_s1237" style="position:absolute;left:0;text-align:left;margin-left:340.5pt;margin-top:9.05pt;width:102.75pt;height:35.85pt;z-index:251828224"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Risk Management Dept.</w:t>
                  </w:r>
                </w:p>
              </w:txbxContent>
            </v:textbox>
            <w10:wrap anchorx="page"/>
          </v:roundrect>
        </w:pict>
      </w:r>
      <w:r>
        <w:rPr>
          <w:rFonts w:asciiTheme="majorBidi" w:hAnsiTheme="majorBidi" w:cstheme="majorBidi"/>
          <w:b/>
          <w:bCs/>
          <w:noProof/>
          <w:sz w:val="28"/>
          <w:szCs w:val="28"/>
        </w:rPr>
        <w:pict>
          <v:shape id="_x0000_s1253" type="#_x0000_t32" style="position:absolute;left:0;text-align:left;margin-left:207.75pt;margin-top:16.45pt;width:0;height:9.75pt;z-index:251844608" o:connectortype="straight" strokecolor="black [3213]">
            <w10:wrap anchorx="page"/>
          </v:shape>
        </w:pict>
      </w:r>
      <w:r>
        <w:rPr>
          <w:rFonts w:asciiTheme="majorBidi" w:hAnsiTheme="majorBidi" w:cstheme="majorBidi"/>
          <w:b/>
          <w:bCs/>
          <w:noProof/>
          <w:sz w:val="28"/>
          <w:szCs w:val="28"/>
        </w:rPr>
        <w:pict>
          <v:shape id="_x0000_s1252" type="#_x0000_t32" style="position:absolute;left:0;text-align:left;margin-left:97.5pt;margin-top:16.45pt;width:0;height:9.75pt;z-index:251843584" o:connectortype="straight" strokecolor="black [3213]">
            <w10:wrap anchorx="page"/>
          </v:shape>
        </w:pict>
      </w:r>
      <w:r>
        <w:rPr>
          <w:rFonts w:asciiTheme="majorBidi" w:hAnsiTheme="majorBidi" w:cstheme="majorBidi"/>
          <w:b/>
          <w:bCs/>
          <w:noProof/>
          <w:sz w:val="28"/>
          <w:szCs w:val="28"/>
        </w:rPr>
        <w:pict>
          <v:shape id="_x0000_s1251" type="#_x0000_t32" style="position:absolute;left:0;text-align:left;margin-left:97.5pt;margin-top:16.45pt;width:220.5pt;height:0;flip:x;z-index:251842560" o:connectortype="straight" strokecolor="black [3213]">
            <w10:wrap anchorx="page"/>
          </v:shape>
        </w:pict>
      </w:r>
      <w:r>
        <w:rPr>
          <w:rFonts w:asciiTheme="majorBidi" w:hAnsiTheme="majorBidi" w:cstheme="majorBidi"/>
          <w:b/>
          <w:bCs/>
          <w:noProof/>
          <w:sz w:val="28"/>
          <w:szCs w:val="28"/>
        </w:rPr>
        <w:pict>
          <v:shape id="_x0000_s1250" type="#_x0000_t32" style="position:absolute;left:0;text-align:left;margin-left:318pt;margin-top:16.45pt;width:.75pt;height:13.5pt;flip:x y;z-index:251841536" o:connectortype="straight" strokecolor="black [3213]">
            <w10:wrap anchorx="page"/>
          </v:shape>
        </w:pict>
      </w:r>
    </w:p>
    <w:p w:rsidR="009A0C78" w:rsidRDefault="007A78D1" w:rsidP="00C859F6">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pict>
          <v:roundrect id="_x0000_s1249" style="position:absolute;left:0;text-align:left;margin-left:234.75pt;margin-top:5.65pt;width:90.75pt;height:21pt;z-index:251840512"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Credit Dept</w:t>
                  </w:r>
                </w:p>
              </w:txbxContent>
            </v:textbox>
            <w10:wrap anchorx="page"/>
          </v:roundrect>
        </w:pict>
      </w:r>
      <w:r>
        <w:rPr>
          <w:rFonts w:asciiTheme="majorBidi" w:hAnsiTheme="majorBidi" w:cstheme="majorBidi"/>
          <w:b/>
          <w:bCs/>
          <w:noProof/>
          <w:sz w:val="28"/>
          <w:szCs w:val="28"/>
        </w:rPr>
        <w:pict>
          <v:roundrect id="_x0000_s1248" style="position:absolute;left:0;text-align:left;margin-left:129.75pt;margin-top:2.05pt;width:100.5pt;height:24.75pt;z-index:251839488"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Credit Collection</w:t>
                  </w:r>
                </w:p>
              </w:txbxContent>
            </v:textbox>
            <w10:wrap anchorx="page"/>
          </v:roundrect>
        </w:pict>
      </w:r>
      <w:r>
        <w:rPr>
          <w:rFonts w:asciiTheme="majorBidi" w:hAnsiTheme="majorBidi" w:cstheme="majorBidi"/>
          <w:b/>
          <w:bCs/>
          <w:noProof/>
          <w:sz w:val="28"/>
          <w:szCs w:val="28"/>
        </w:rPr>
        <w:pict>
          <v:roundrect id="_x0000_s1247" style="position:absolute;left:0;text-align:left;margin-left:22.5pt;margin-top:2.05pt;width:100.5pt;height:24.75pt;z-index:251838464" arcsize="10923f" fillcolor="#ddd8c2 [2894]" strokecolor="black [3213]">
            <v:textbox>
              <w:txbxContent>
                <w:p w:rsidR="00095056" w:rsidRPr="0045515B" w:rsidRDefault="00095056" w:rsidP="0045515B">
                  <w:pPr>
                    <w:jc w:val="center"/>
                    <w:rPr>
                      <w:rFonts w:asciiTheme="majorBidi" w:hAnsiTheme="majorBidi" w:cstheme="majorBidi"/>
                    </w:rPr>
                  </w:pPr>
                  <w:r w:rsidRPr="0045515B">
                    <w:rPr>
                      <w:rFonts w:asciiTheme="majorBidi" w:hAnsiTheme="majorBidi" w:cstheme="majorBidi"/>
                    </w:rPr>
                    <w:t>Credit monitoring</w:t>
                  </w:r>
                </w:p>
              </w:txbxContent>
            </v:textbox>
            <w10:wrap anchorx="page"/>
          </v:roundrect>
        </w:pict>
      </w:r>
    </w:p>
    <w:p w:rsidR="008A0806" w:rsidRDefault="008A0806" w:rsidP="00CE3E32">
      <w:pPr>
        <w:autoSpaceDE w:val="0"/>
        <w:autoSpaceDN w:val="0"/>
        <w:adjustRightInd w:val="0"/>
        <w:spacing w:after="0" w:line="360" w:lineRule="auto"/>
        <w:jc w:val="both"/>
        <w:rPr>
          <w:rFonts w:asciiTheme="majorBidi" w:hAnsiTheme="majorBidi" w:cstheme="majorBidi"/>
          <w:sz w:val="20"/>
          <w:szCs w:val="20"/>
        </w:rPr>
      </w:pPr>
    </w:p>
    <w:p w:rsidR="00CE2B9B" w:rsidRPr="008A0806" w:rsidRDefault="008A0806" w:rsidP="00625006">
      <w:pPr>
        <w:autoSpaceDE w:val="0"/>
        <w:autoSpaceDN w:val="0"/>
        <w:adjustRightInd w:val="0"/>
        <w:spacing w:after="0" w:line="360" w:lineRule="auto"/>
        <w:jc w:val="center"/>
        <w:rPr>
          <w:rFonts w:asciiTheme="majorBidi" w:hAnsiTheme="majorBidi" w:cstheme="majorBidi"/>
          <w:sz w:val="20"/>
          <w:szCs w:val="20"/>
        </w:rPr>
      </w:pPr>
      <w:r w:rsidRPr="008A0806">
        <w:rPr>
          <w:rFonts w:asciiTheme="majorBidi" w:hAnsiTheme="majorBidi" w:cstheme="majorBidi"/>
          <w:sz w:val="20"/>
          <w:szCs w:val="20"/>
        </w:rPr>
        <w:t>Source: PCB annual Report, 2012</w:t>
      </w:r>
    </w:p>
    <w:p w:rsidR="008A0806" w:rsidRDefault="008A0806" w:rsidP="00CE3E32">
      <w:pPr>
        <w:autoSpaceDE w:val="0"/>
        <w:autoSpaceDN w:val="0"/>
        <w:adjustRightInd w:val="0"/>
        <w:spacing w:after="0" w:line="360" w:lineRule="auto"/>
        <w:jc w:val="both"/>
        <w:rPr>
          <w:rFonts w:asciiTheme="majorBidi" w:hAnsiTheme="majorBidi" w:cstheme="majorBidi"/>
          <w:sz w:val="24"/>
          <w:szCs w:val="24"/>
        </w:rPr>
      </w:pPr>
    </w:p>
    <w:p w:rsidR="009A0C78" w:rsidRDefault="00BA749B" w:rsidP="00CE3E32">
      <w:pPr>
        <w:autoSpaceDE w:val="0"/>
        <w:autoSpaceDN w:val="0"/>
        <w:adjustRightInd w:val="0"/>
        <w:spacing w:after="0" w:line="360" w:lineRule="auto"/>
        <w:jc w:val="both"/>
        <w:rPr>
          <w:rFonts w:asciiTheme="majorBidi" w:hAnsiTheme="majorBidi" w:cstheme="majorBidi"/>
          <w:sz w:val="24"/>
          <w:szCs w:val="24"/>
        </w:rPr>
      </w:pPr>
      <w:r w:rsidRPr="00BA749B">
        <w:rPr>
          <w:rFonts w:asciiTheme="majorBidi" w:hAnsiTheme="majorBidi" w:cstheme="majorBidi"/>
          <w:sz w:val="24"/>
          <w:szCs w:val="24"/>
        </w:rPr>
        <w:t>While at The Palestinian investment bank</w:t>
      </w:r>
      <w:r>
        <w:rPr>
          <w:rFonts w:asciiTheme="majorBidi" w:hAnsiTheme="majorBidi" w:cstheme="majorBidi"/>
          <w:sz w:val="24"/>
          <w:szCs w:val="24"/>
        </w:rPr>
        <w:t xml:space="preserve"> (PIB)</w:t>
      </w:r>
      <w:r w:rsidRPr="00BA749B">
        <w:rPr>
          <w:rFonts w:asciiTheme="majorBidi" w:hAnsiTheme="majorBidi" w:cstheme="majorBidi"/>
          <w:sz w:val="24"/>
          <w:szCs w:val="24"/>
        </w:rPr>
        <w:t>, no available information about credit organization structure</w:t>
      </w:r>
      <w:r>
        <w:rPr>
          <w:rFonts w:asciiTheme="majorBidi" w:hAnsiTheme="majorBidi" w:cstheme="majorBidi"/>
          <w:sz w:val="24"/>
          <w:szCs w:val="24"/>
        </w:rPr>
        <w:t xml:space="preserve"> mentioned</w:t>
      </w:r>
      <w:r w:rsidRPr="00BA749B">
        <w:rPr>
          <w:rFonts w:asciiTheme="majorBidi" w:hAnsiTheme="majorBidi" w:cstheme="majorBidi"/>
          <w:sz w:val="24"/>
          <w:szCs w:val="24"/>
        </w:rPr>
        <w:t xml:space="preserve"> in their annual reports.</w:t>
      </w:r>
    </w:p>
    <w:p w:rsidR="00BA749B" w:rsidRPr="00BA749B" w:rsidRDefault="00BA749B" w:rsidP="00CE3E32">
      <w:pPr>
        <w:autoSpaceDE w:val="0"/>
        <w:autoSpaceDN w:val="0"/>
        <w:adjustRightInd w:val="0"/>
        <w:spacing w:after="0" w:line="360" w:lineRule="auto"/>
        <w:jc w:val="both"/>
        <w:rPr>
          <w:rFonts w:asciiTheme="majorBidi" w:hAnsiTheme="majorBidi" w:cstheme="majorBidi"/>
          <w:sz w:val="24"/>
          <w:szCs w:val="24"/>
        </w:rPr>
      </w:pPr>
      <w:r w:rsidRPr="00BA749B">
        <w:rPr>
          <w:rFonts w:asciiTheme="majorBidi" w:hAnsiTheme="majorBidi" w:cstheme="majorBidi"/>
          <w:sz w:val="24"/>
          <w:szCs w:val="24"/>
        </w:rPr>
        <w:t>b. Credit Approval Process</w:t>
      </w:r>
    </w:p>
    <w:p w:rsidR="009A0C78" w:rsidRDefault="00BF5CF0" w:rsidP="00CE3E32">
      <w:pPr>
        <w:autoSpaceDE w:val="0"/>
        <w:autoSpaceDN w:val="0"/>
        <w:adjustRightInd w:val="0"/>
        <w:spacing w:after="0" w:line="360" w:lineRule="auto"/>
        <w:jc w:val="both"/>
        <w:rPr>
          <w:rFonts w:asciiTheme="majorBidi" w:hAnsiTheme="majorBidi" w:cstheme="majorBidi"/>
          <w:b/>
          <w:bCs/>
          <w:sz w:val="24"/>
          <w:szCs w:val="24"/>
        </w:rPr>
      </w:pPr>
      <w:r w:rsidRPr="00BF5CF0">
        <w:rPr>
          <w:rFonts w:asciiTheme="majorBidi" w:hAnsiTheme="majorBidi" w:cstheme="majorBidi"/>
          <w:sz w:val="24"/>
          <w:szCs w:val="24"/>
        </w:rPr>
        <w:t xml:space="preserve">The </w:t>
      </w:r>
      <w:r>
        <w:rPr>
          <w:rFonts w:asciiTheme="majorBidi" w:hAnsiTheme="majorBidi" w:cstheme="majorBidi"/>
          <w:sz w:val="24"/>
          <w:szCs w:val="24"/>
        </w:rPr>
        <w:t>credit approval process at PCB is guided by the credit</w:t>
      </w:r>
      <w:r w:rsidRPr="00BF5CF0">
        <w:rPr>
          <w:rFonts w:asciiTheme="majorBidi" w:hAnsiTheme="majorBidi" w:cstheme="majorBidi"/>
          <w:sz w:val="24"/>
          <w:szCs w:val="24"/>
        </w:rPr>
        <w:t xml:space="preserve"> policies issued</w:t>
      </w:r>
      <w:r w:rsidR="008D7F37">
        <w:rPr>
          <w:rFonts w:asciiTheme="majorBidi" w:hAnsiTheme="majorBidi" w:cstheme="majorBidi"/>
          <w:sz w:val="24"/>
          <w:szCs w:val="24"/>
        </w:rPr>
        <w:t xml:space="preserve"> by</w:t>
      </w:r>
      <w:r>
        <w:rPr>
          <w:rFonts w:asciiTheme="majorBidi" w:hAnsiTheme="majorBidi" w:cstheme="majorBidi"/>
          <w:sz w:val="24"/>
          <w:szCs w:val="24"/>
        </w:rPr>
        <w:t xml:space="preserve"> risk management</w:t>
      </w:r>
      <w:r w:rsidR="008D7F37">
        <w:rPr>
          <w:rFonts w:asciiTheme="majorBidi" w:hAnsiTheme="majorBidi" w:cstheme="majorBidi"/>
          <w:sz w:val="24"/>
          <w:szCs w:val="24"/>
        </w:rPr>
        <w:t xml:space="preserve"> committee by</w:t>
      </w:r>
      <w:r w:rsidRPr="00BF5CF0">
        <w:rPr>
          <w:rFonts w:asciiTheme="majorBidi" w:hAnsiTheme="majorBidi" w:cstheme="majorBidi"/>
          <w:sz w:val="24"/>
          <w:szCs w:val="24"/>
        </w:rPr>
        <w:t>, which is supported by credit scoring techniques for sound credit decision making. Certain limits have been set for screening the accepted types of borrowers or counterparties.</w:t>
      </w:r>
    </w:p>
    <w:p w:rsidR="008D7F37" w:rsidRDefault="008D7F37" w:rsidP="00CE3E3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According Palestinian investment bank (PIB), their annual reports had no information related to credit granting criteria at all.</w:t>
      </w:r>
    </w:p>
    <w:p w:rsidR="00625006" w:rsidRDefault="00625006" w:rsidP="00BF5CF0">
      <w:pPr>
        <w:autoSpaceDE w:val="0"/>
        <w:autoSpaceDN w:val="0"/>
        <w:adjustRightInd w:val="0"/>
        <w:spacing w:after="0" w:line="360" w:lineRule="auto"/>
        <w:rPr>
          <w:rFonts w:asciiTheme="majorBidi" w:hAnsiTheme="majorBidi" w:cstheme="majorBidi"/>
          <w:sz w:val="24"/>
          <w:szCs w:val="24"/>
        </w:rPr>
      </w:pPr>
    </w:p>
    <w:p w:rsidR="008D7F37" w:rsidRDefault="008D7F37" w:rsidP="00BF5CF0">
      <w:pPr>
        <w:autoSpaceDE w:val="0"/>
        <w:autoSpaceDN w:val="0"/>
        <w:adjustRightInd w:val="0"/>
        <w:spacing w:after="0" w:line="360" w:lineRule="auto"/>
        <w:rPr>
          <w:rFonts w:asciiTheme="majorBidi" w:hAnsiTheme="majorBidi" w:cstheme="majorBidi"/>
          <w:sz w:val="24"/>
          <w:szCs w:val="24"/>
        </w:rPr>
      </w:pPr>
      <w:r w:rsidRPr="008D7F37">
        <w:rPr>
          <w:rFonts w:asciiTheme="majorBidi" w:hAnsiTheme="majorBidi" w:cstheme="majorBidi"/>
          <w:sz w:val="24"/>
          <w:szCs w:val="24"/>
        </w:rPr>
        <w:lastRenderedPageBreak/>
        <w:t>c. Credit Risk Measurement</w:t>
      </w:r>
    </w:p>
    <w:p w:rsidR="008D7F37" w:rsidRDefault="008D7F37" w:rsidP="00CE3E32">
      <w:pPr>
        <w:autoSpaceDE w:val="0"/>
        <w:autoSpaceDN w:val="0"/>
        <w:adjustRightInd w:val="0"/>
        <w:spacing w:after="0" w:line="360" w:lineRule="auto"/>
        <w:jc w:val="both"/>
        <w:rPr>
          <w:rFonts w:asciiTheme="majorBidi" w:hAnsiTheme="majorBidi" w:cstheme="majorBidi"/>
          <w:sz w:val="24"/>
          <w:szCs w:val="24"/>
        </w:rPr>
      </w:pPr>
      <w:r w:rsidRPr="005713FA">
        <w:rPr>
          <w:rFonts w:asciiTheme="majorBidi" w:hAnsiTheme="majorBidi" w:cstheme="majorBidi"/>
          <w:sz w:val="24"/>
          <w:szCs w:val="24"/>
        </w:rPr>
        <w:t>Internal credit ra</w:t>
      </w:r>
      <w:r w:rsidR="00485938" w:rsidRPr="005713FA">
        <w:rPr>
          <w:rFonts w:asciiTheme="majorBidi" w:hAnsiTheme="majorBidi" w:cstheme="majorBidi"/>
          <w:sz w:val="24"/>
          <w:szCs w:val="24"/>
        </w:rPr>
        <w:t>ting system has been developed</w:t>
      </w:r>
      <w:r w:rsidRPr="005713FA">
        <w:rPr>
          <w:rFonts w:asciiTheme="majorBidi" w:hAnsiTheme="majorBidi" w:cstheme="majorBidi"/>
          <w:sz w:val="24"/>
          <w:szCs w:val="24"/>
        </w:rPr>
        <w:t xml:space="preserve"> within </w:t>
      </w:r>
      <w:r w:rsidR="0094497A">
        <w:rPr>
          <w:rFonts w:asciiTheme="majorBidi" w:hAnsiTheme="majorBidi" w:cstheme="majorBidi"/>
          <w:sz w:val="24"/>
          <w:szCs w:val="24"/>
        </w:rPr>
        <w:t>Palestinian commercial bank (PCB</w:t>
      </w:r>
      <w:r w:rsidRPr="005713FA">
        <w:rPr>
          <w:rFonts w:asciiTheme="majorBidi" w:hAnsiTheme="majorBidi" w:cstheme="majorBidi"/>
          <w:sz w:val="24"/>
          <w:szCs w:val="24"/>
        </w:rPr>
        <w:t>) for assessing credit quality of borrowers and counterparties.</w:t>
      </w:r>
      <w:r w:rsidR="005713FA" w:rsidRPr="005713FA">
        <w:rPr>
          <w:rFonts w:asciiTheme="majorBidi" w:hAnsiTheme="majorBidi" w:cstheme="majorBidi"/>
          <w:sz w:val="24"/>
          <w:szCs w:val="24"/>
        </w:rPr>
        <w:t xml:space="preserve"> All the customers are assigne</w:t>
      </w:r>
      <w:r w:rsidR="005713FA">
        <w:rPr>
          <w:rFonts w:asciiTheme="majorBidi" w:hAnsiTheme="majorBidi" w:cstheme="majorBidi"/>
          <w:sz w:val="24"/>
          <w:szCs w:val="24"/>
        </w:rPr>
        <w:t>d credit ratings from 1</w:t>
      </w:r>
      <w:r w:rsidR="00C53422">
        <w:rPr>
          <w:rFonts w:asciiTheme="majorBidi" w:hAnsiTheme="majorBidi" w:cstheme="majorBidi"/>
          <w:sz w:val="24"/>
          <w:szCs w:val="24"/>
        </w:rPr>
        <w:t>% (highest PD)) to100% (lowest</w:t>
      </w:r>
      <w:r w:rsidR="005713FA" w:rsidRPr="005713FA">
        <w:rPr>
          <w:rFonts w:asciiTheme="majorBidi" w:hAnsiTheme="majorBidi" w:cstheme="majorBidi"/>
          <w:sz w:val="24"/>
          <w:szCs w:val="24"/>
        </w:rPr>
        <w:t xml:space="preserve"> PD</w:t>
      </w:r>
      <w:r w:rsidR="005713FA">
        <w:rPr>
          <w:rFonts w:asciiTheme="majorBidi" w:hAnsiTheme="majorBidi" w:cstheme="majorBidi"/>
          <w:sz w:val="24"/>
          <w:szCs w:val="24"/>
        </w:rPr>
        <w:t>).</w:t>
      </w:r>
      <w:r w:rsidR="00C53422">
        <w:rPr>
          <w:rFonts w:asciiTheme="majorBidi" w:hAnsiTheme="majorBidi" w:cstheme="majorBidi"/>
          <w:sz w:val="24"/>
          <w:szCs w:val="24"/>
        </w:rPr>
        <w:t xml:space="preserve"> Five category risk rating scale developed by </w:t>
      </w:r>
      <w:r w:rsidR="005713FA" w:rsidRPr="005713FA">
        <w:rPr>
          <w:rFonts w:asciiTheme="majorBidi" w:hAnsiTheme="majorBidi" w:cstheme="majorBidi"/>
          <w:sz w:val="24"/>
          <w:szCs w:val="24"/>
        </w:rPr>
        <w:t xml:space="preserve"> Palestine </w:t>
      </w:r>
      <w:r w:rsidR="00C53422">
        <w:rPr>
          <w:rFonts w:asciiTheme="majorBidi" w:hAnsiTheme="majorBidi" w:cstheme="majorBidi"/>
          <w:sz w:val="24"/>
          <w:szCs w:val="24"/>
        </w:rPr>
        <w:t>commercial bank(PCB</w:t>
      </w:r>
      <w:r w:rsidR="005713FA" w:rsidRPr="005713FA">
        <w:rPr>
          <w:rFonts w:asciiTheme="majorBidi" w:hAnsiTheme="majorBidi" w:cstheme="majorBidi"/>
          <w:sz w:val="24"/>
          <w:szCs w:val="24"/>
        </w:rPr>
        <w:t>)</w:t>
      </w:r>
      <w:r w:rsidR="00C53422">
        <w:rPr>
          <w:rFonts w:asciiTheme="majorBidi" w:hAnsiTheme="majorBidi" w:cstheme="majorBidi"/>
          <w:sz w:val="24"/>
          <w:szCs w:val="24"/>
        </w:rPr>
        <w:t>,</w:t>
      </w:r>
      <w:r w:rsidR="005713FA" w:rsidRPr="005713FA">
        <w:rPr>
          <w:rFonts w:asciiTheme="majorBidi" w:hAnsiTheme="majorBidi" w:cstheme="majorBidi"/>
          <w:sz w:val="24"/>
          <w:szCs w:val="24"/>
        </w:rPr>
        <w:t xml:space="preserve"> risk ratings from </w:t>
      </w:r>
      <w:r w:rsidR="005713FA">
        <w:rPr>
          <w:rFonts w:asciiTheme="majorBidi" w:hAnsiTheme="majorBidi" w:cstheme="majorBidi"/>
          <w:sz w:val="24"/>
          <w:szCs w:val="24"/>
        </w:rPr>
        <w:t>20-36</w:t>
      </w:r>
      <w:r w:rsidR="005713FA" w:rsidRPr="005713FA">
        <w:rPr>
          <w:rFonts w:asciiTheme="majorBidi" w:hAnsiTheme="majorBidi" w:cstheme="majorBidi"/>
          <w:sz w:val="24"/>
          <w:szCs w:val="24"/>
        </w:rPr>
        <w:t xml:space="preserve"> rated as</w:t>
      </w:r>
      <w:r w:rsidR="005713FA">
        <w:rPr>
          <w:rFonts w:asciiTheme="majorBidi" w:hAnsiTheme="majorBidi" w:cstheme="majorBidi"/>
          <w:sz w:val="24"/>
          <w:szCs w:val="24"/>
        </w:rPr>
        <w:t xml:space="preserve"> very high risk borrower, while 36-52 rated as high</w:t>
      </w:r>
      <w:r w:rsidR="005713FA" w:rsidRPr="005713FA">
        <w:rPr>
          <w:rFonts w:asciiTheme="majorBidi" w:hAnsiTheme="majorBidi" w:cstheme="majorBidi"/>
          <w:sz w:val="24"/>
          <w:szCs w:val="24"/>
        </w:rPr>
        <w:t xml:space="preserve"> risk borrower</w:t>
      </w:r>
      <w:r w:rsidR="005713FA">
        <w:rPr>
          <w:rFonts w:asciiTheme="majorBidi" w:hAnsiTheme="majorBidi" w:cstheme="majorBidi"/>
          <w:sz w:val="24"/>
          <w:szCs w:val="24"/>
        </w:rPr>
        <w:t>, from 52-68 rated as medium risk borrower, from 68-84 rated as low risk borrower and from 84-100 rated as very low risk borrower.</w:t>
      </w:r>
      <w:r w:rsidR="005713FA" w:rsidRPr="005713FA">
        <w:rPr>
          <w:rFonts w:asciiTheme="majorBidi" w:hAnsiTheme="majorBidi" w:cstheme="majorBidi"/>
          <w:sz w:val="24"/>
          <w:szCs w:val="24"/>
        </w:rPr>
        <w:t xml:space="preserve"> Besides the information on asset quality grading and the distribution of assets according to this grading is also provided by</w:t>
      </w:r>
      <w:r w:rsidR="00C53422">
        <w:rPr>
          <w:rFonts w:asciiTheme="majorBidi" w:hAnsiTheme="majorBidi" w:cstheme="majorBidi"/>
          <w:sz w:val="24"/>
          <w:szCs w:val="24"/>
        </w:rPr>
        <w:t xml:space="preserve"> PCB.</w:t>
      </w:r>
      <w:r w:rsidR="00946E41">
        <w:rPr>
          <w:rFonts w:asciiTheme="majorBidi" w:hAnsiTheme="majorBidi" w:cstheme="majorBidi"/>
          <w:sz w:val="24"/>
          <w:szCs w:val="24"/>
        </w:rPr>
        <w:t xml:space="preserve"> It should be noted that those ratings are just for corporate clients, since the bank has no credit rating scales for individuals yet.</w:t>
      </w:r>
    </w:p>
    <w:p w:rsidR="00C53422" w:rsidRDefault="00C53422" w:rsidP="00CE3E3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While Palestinian investment bank (PIB) establish its own internal credit rating system, in which all customers are assigned credit ratings from 0 (new customer) to 6 (high risk</w:t>
      </w:r>
      <w:r w:rsidR="00DD2A36">
        <w:rPr>
          <w:rFonts w:asciiTheme="majorBidi" w:hAnsiTheme="majorBidi" w:cstheme="majorBidi"/>
          <w:sz w:val="24"/>
          <w:szCs w:val="24"/>
        </w:rPr>
        <w:t>).</w:t>
      </w:r>
    </w:p>
    <w:p w:rsidR="0095775B" w:rsidRPr="0095775B" w:rsidRDefault="00DD2A36" w:rsidP="00CE3E32">
      <w:pPr>
        <w:autoSpaceDE w:val="0"/>
        <w:autoSpaceDN w:val="0"/>
        <w:adjustRightInd w:val="0"/>
        <w:spacing w:after="0" w:line="360" w:lineRule="auto"/>
        <w:jc w:val="both"/>
        <w:rPr>
          <w:rFonts w:asciiTheme="majorBidi" w:hAnsiTheme="majorBidi" w:cstheme="majorBidi"/>
          <w:sz w:val="24"/>
          <w:szCs w:val="24"/>
        </w:rPr>
      </w:pPr>
      <w:r w:rsidRPr="00DD2A36">
        <w:rPr>
          <w:rFonts w:asciiTheme="majorBidi" w:hAnsiTheme="majorBidi" w:cstheme="majorBidi"/>
          <w:sz w:val="24"/>
          <w:szCs w:val="24"/>
        </w:rPr>
        <w:t>d. Credit Exposure and Quality Management</w:t>
      </w:r>
      <w:r w:rsidR="0094497A">
        <w:rPr>
          <w:rFonts w:asciiTheme="majorBidi" w:hAnsiTheme="majorBidi" w:cstheme="majorBidi"/>
          <w:sz w:val="24"/>
          <w:szCs w:val="24"/>
        </w:rPr>
        <w:t xml:space="preserve"> At Palestinian C</w:t>
      </w:r>
      <w:r w:rsidR="0095775B">
        <w:rPr>
          <w:rFonts w:asciiTheme="majorBidi" w:hAnsiTheme="majorBidi" w:cstheme="majorBidi"/>
          <w:sz w:val="24"/>
          <w:szCs w:val="24"/>
        </w:rPr>
        <w:t>ommercial bank (PCB),</w:t>
      </w:r>
      <w:r w:rsidR="0095775B" w:rsidRPr="00475E41">
        <w:rPr>
          <w:rFonts w:asciiTheme="majorBidi" w:hAnsiTheme="majorBidi" w:cstheme="majorBidi"/>
          <w:sz w:val="24"/>
          <w:szCs w:val="24"/>
        </w:rPr>
        <w:t xml:space="preserve"> credit risk, especially together with the sub-types of market risk and liquidity risk </w:t>
      </w:r>
      <w:r w:rsidR="0095775B" w:rsidRPr="0095775B">
        <w:rPr>
          <w:rFonts w:asciiTheme="majorBidi" w:hAnsiTheme="majorBidi" w:cstheme="majorBidi"/>
          <w:sz w:val="24"/>
          <w:szCs w:val="24"/>
        </w:rPr>
        <w:t>is well recognized within the bank and identified their credit risk exposure</w:t>
      </w:r>
      <w:r w:rsidR="0095775B" w:rsidRPr="0095775B">
        <w:rPr>
          <w:rFonts w:asciiTheme="majorBidi" w:hAnsiTheme="majorBidi" w:cstheme="majorBidi"/>
          <w:b/>
          <w:bCs/>
          <w:sz w:val="24"/>
          <w:szCs w:val="24"/>
        </w:rPr>
        <w:t xml:space="preserve">. </w:t>
      </w:r>
      <w:r w:rsidR="0095775B" w:rsidRPr="0095775B">
        <w:rPr>
          <w:rFonts w:asciiTheme="majorBidi" w:hAnsiTheme="majorBidi" w:cstheme="majorBidi"/>
          <w:sz w:val="24"/>
          <w:szCs w:val="24"/>
        </w:rPr>
        <w:t>Regarding the cred</w:t>
      </w:r>
      <w:r w:rsidR="0095775B">
        <w:rPr>
          <w:rFonts w:asciiTheme="majorBidi" w:hAnsiTheme="majorBidi" w:cstheme="majorBidi"/>
          <w:sz w:val="24"/>
          <w:szCs w:val="24"/>
        </w:rPr>
        <w:t>it risk assets distribution, PCB</w:t>
      </w:r>
      <w:r w:rsidR="002753F3">
        <w:rPr>
          <w:rFonts w:asciiTheme="majorBidi" w:hAnsiTheme="majorBidi" w:cstheme="majorBidi"/>
          <w:sz w:val="24"/>
          <w:szCs w:val="24"/>
        </w:rPr>
        <w:t xml:space="preserve"> has quite</w:t>
      </w:r>
      <w:r w:rsidR="0095775B" w:rsidRPr="0095775B">
        <w:rPr>
          <w:rFonts w:asciiTheme="majorBidi" w:hAnsiTheme="majorBidi" w:cstheme="majorBidi"/>
          <w:sz w:val="24"/>
          <w:szCs w:val="24"/>
        </w:rPr>
        <w:t xml:space="preserve"> comprehensive understanding and provides a detailed report according to industry sector, geog</w:t>
      </w:r>
      <w:r w:rsidR="0095775B">
        <w:rPr>
          <w:rFonts w:asciiTheme="majorBidi" w:hAnsiTheme="majorBidi" w:cstheme="majorBidi"/>
          <w:sz w:val="24"/>
          <w:szCs w:val="24"/>
        </w:rPr>
        <w:t xml:space="preserve">raphic area, </w:t>
      </w:r>
      <w:r w:rsidR="0095775B" w:rsidRPr="0095775B">
        <w:rPr>
          <w:rFonts w:asciiTheme="majorBidi" w:hAnsiTheme="majorBidi" w:cstheme="majorBidi"/>
          <w:sz w:val="24"/>
          <w:szCs w:val="24"/>
        </w:rPr>
        <w:t xml:space="preserve">which </w:t>
      </w:r>
      <w:r w:rsidR="00A2127D" w:rsidRPr="0095775B">
        <w:rPr>
          <w:rFonts w:asciiTheme="majorBidi" w:hAnsiTheme="majorBidi" w:cstheme="majorBidi"/>
          <w:sz w:val="24"/>
          <w:szCs w:val="24"/>
        </w:rPr>
        <w:t>is</w:t>
      </w:r>
      <w:r w:rsidR="0095775B" w:rsidRPr="0095775B">
        <w:rPr>
          <w:rFonts w:asciiTheme="majorBidi" w:hAnsiTheme="majorBidi" w:cstheme="majorBidi"/>
          <w:sz w:val="24"/>
          <w:szCs w:val="24"/>
        </w:rPr>
        <w:t xml:space="preserve"> shown in the following figures:</w:t>
      </w:r>
    </w:p>
    <w:p w:rsidR="0095775B" w:rsidRDefault="0095775B" w:rsidP="00C60FA4">
      <w:pPr>
        <w:autoSpaceDE w:val="0"/>
        <w:autoSpaceDN w:val="0"/>
        <w:adjustRightInd w:val="0"/>
        <w:spacing w:after="0" w:line="360" w:lineRule="auto"/>
        <w:jc w:val="center"/>
        <w:rPr>
          <w:rFonts w:asciiTheme="majorBidi" w:hAnsiTheme="majorBidi" w:cstheme="majorBidi"/>
          <w:sz w:val="24"/>
          <w:szCs w:val="24"/>
        </w:rPr>
      </w:pPr>
      <w:r w:rsidRPr="007D6162">
        <w:rPr>
          <w:rFonts w:asciiTheme="majorBidi" w:eastAsia="Times New Roman" w:hAnsiTheme="majorBidi" w:cstheme="majorBidi"/>
          <w:b/>
          <w:bCs/>
        </w:rPr>
        <w:t>Figure4.31:</w:t>
      </w:r>
      <w:r w:rsidRPr="00C60FA4">
        <w:rPr>
          <w:rFonts w:asciiTheme="majorBidi" w:eastAsia="Times New Roman" w:hAnsiTheme="majorBidi" w:cstheme="majorBidi"/>
          <w:b/>
          <w:bCs/>
        </w:rPr>
        <w:t xml:space="preserve"> Concentration of risk exposures according to the geographical area </w:t>
      </w:r>
      <w:r w:rsidR="007B2075">
        <w:rPr>
          <w:rFonts w:asciiTheme="majorBidi" w:eastAsia="Times New Roman" w:hAnsiTheme="majorBidi" w:cstheme="majorBidi"/>
          <w:b/>
          <w:bCs/>
        </w:rPr>
        <w:t>at PCB</w:t>
      </w:r>
    </w:p>
    <w:p w:rsidR="0095775B" w:rsidRPr="007D6162" w:rsidRDefault="0075344B" w:rsidP="00F873C9">
      <w:pPr>
        <w:pStyle w:val="ListParagraph"/>
        <w:numPr>
          <w:ilvl w:val="0"/>
          <w:numId w:val="28"/>
        </w:numPr>
        <w:autoSpaceDE w:val="0"/>
        <w:autoSpaceDN w:val="0"/>
        <w:adjustRightInd w:val="0"/>
        <w:spacing w:after="0" w:line="360" w:lineRule="auto"/>
        <w:jc w:val="center"/>
        <w:rPr>
          <w:rFonts w:asciiTheme="majorBidi" w:hAnsiTheme="majorBidi" w:cstheme="majorBidi"/>
          <w:sz w:val="24"/>
          <w:szCs w:val="24"/>
        </w:rPr>
      </w:pPr>
      <w:r w:rsidRPr="0075344B">
        <w:rPr>
          <w:noProof/>
        </w:rPr>
        <w:drawing>
          <wp:inline distT="0" distB="0" distL="0" distR="0">
            <wp:extent cx="5483611" cy="1335819"/>
            <wp:effectExtent l="19050" t="0" r="21839"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A084C" w:rsidRPr="008A0806" w:rsidRDefault="008A0806" w:rsidP="00625006">
      <w:pPr>
        <w:autoSpaceDE w:val="0"/>
        <w:autoSpaceDN w:val="0"/>
        <w:adjustRightInd w:val="0"/>
        <w:spacing w:after="0" w:line="360" w:lineRule="auto"/>
        <w:jc w:val="center"/>
        <w:rPr>
          <w:rFonts w:asciiTheme="majorBidi" w:hAnsiTheme="majorBidi" w:cstheme="majorBidi"/>
          <w:b/>
          <w:bCs/>
          <w:sz w:val="20"/>
          <w:szCs w:val="20"/>
        </w:rPr>
      </w:pPr>
      <w:r w:rsidRPr="008A0806">
        <w:rPr>
          <w:rFonts w:asciiTheme="majorBidi" w:hAnsiTheme="majorBidi" w:cstheme="majorBidi"/>
          <w:color w:val="000000" w:themeColor="text1"/>
          <w:sz w:val="20"/>
          <w:szCs w:val="20"/>
        </w:rPr>
        <w:t>Source: PCB, 2012 Annual R</w:t>
      </w:r>
      <w:r w:rsidR="0075344B" w:rsidRPr="008A0806">
        <w:rPr>
          <w:rFonts w:asciiTheme="majorBidi" w:hAnsiTheme="majorBidi" w:cstheme="majorBidi"/>
          <w:color w:val="000000" w:themeColor="text1"/>
          <w:sz w:val="20"/>
          <w:szCs w:val="20"/>
        </w:rPr>
        <w:t>eport</w:t>
      </w:r>
    </w:p>
    <w:p w:rsidR="0075344B" w:rsidRPr="00C60FA4" w:rsidRDefault="0075344B" w:rsidP="00DA5831">
      <w:pPr>
        <w:autoSpaceDE w:val="0"/>
        <w:autoSpaceDN w:val="0"/>
        <w:adjustRightInd w:val="0"/>
        <w:spacing w:after="0" w:line="360" w:lineRule="auto"/>
        <w:jc w:val="center"/>
        <w:rPr>
          <w:rFonts w:asciiTheme="majorBidi" w:hAnsiTheme="majorBidi" w:cstheme="majorBidi"/>
          <w:b/>
          <w:bCs/>
        </w:rPr>
      </w:pPr>
      <w:r w:rsidRPr="00C60FA4">
        <w:rPr>
          <w:rFonts w:asciiTheme="majorBidi" w:hAnsiTheme="majorBidi" w:cstheme="majorBidi"/>
          <w:b/>
          <w:bCs/>
        </w:rPr>
        <w:t>Figure 4.32: Distribution of credit assets by economic sector at PCB:</w:t>
      </w:r>
    </w:p>
    <w:p w:rsidR="0075344B" w:rsidRDefault="0075344B" w:rsidP="00CE3E32">
      <w:pPr>
        <w:autoSpaceDE w:val="0"/>
        <w:autoSpaceDN w:val="0"/>
        <w:adjustRightInd w:val="0"/>
        <w:spacing w:after="0" w:line="360" w:lineRule="auto"/>
        <w:jc w:val="center"/>
        <w:rPr>
          <w:rFonts w:asciiTheme="majorBidi" w:hAnsiTheme="majorBidi" w:cstheme="majorBidi"/>
          <w:b/>
          <w:bCs/>
          <w:sz w:val="24"/>
          <w:szCs w:val="24"/>
        </w:rPr>
      </w:pPr>
      <w:r w:rsidRPr="0075344B">
        <w:rPr>
          <w:rFonts w:asciiTheme="majorBidi" w:hAnsiTheme="majorBidi" w:cstheme="majorBidi"/>
          <w:b/>
          <w:bCs/>
          <w:noProof/>
          <w:sz w:val="24"/>
          <w:szCs w:val="24"/>
        </w:rPr>
        <w:drawing>
          <wp:inline distT="0" distB="0" distL="0" distR="0">
            <wp:extent cx="5481706" cy="1304014"/>
            <wp:effectExtent l="19050" t="0" r="23744"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449B3" w:rsidRPr="008A0806" w:rsidRDefault="008A0806" w:rsidP="00625006">
      <w:pPr>
        <w:autoSpaceDE w:val="0"/>
        <w:autoSpaceDN w:val="0"/>
        <w:adjustRightInd w:val="0"/>
        <w:spacing w:after="0" w:line="360" w:lineRule="auto"/>
        <w:jc w:val="center"/>
        <w:rPr>
          <w:rFonts w:asciiTheme="majorBidi" w:hAnsiTheme="majorBidi" w:cstheme="majorBidi"/>
          <w:sz w:val="20"/>
          <w:szCs w:val="20"/>
        </w:rPr>
      </w:pPr>
      <w:r w:rsidRPr="008A0806">
        <w:rPr>
          <w:rFonts w:asciiTheme="majorBidi" w:hAnsiTheme="majorBidi" w:cstheme="majorBidi"/>
          <w:sz w:val="20"/>
          <w:szCs w:val="20"/>
        </w:rPr>
        <w:t>Source: PCB Annual R</w:t>
      </w:r>
      <w:r w:rsidR="00A63F64" w:rsidRPr="008A0806">
        <w:rPr>
          <w:rFonts w:asciiTheme="majorBidi" w:hAnsiTheme="majorBidi" w:cstheme="majorBidi"/>
          <w:sz w:val="20"/>
          <w:szCs w:val="20"/>
        </w:rPr>
        <w:t>eport, 2012</w:t>
      </w:r>
    </w:p>
    <w:p w:rsidR="005C0010" w:rsidRDefault="005C0010" w:rsidP="00CE2B9B">
      <w:pPr>
        <w:autoSpaceDE w:val="0"/>
        <w:autoSpaceDN w:val="0"/>
        <w:adjustRightInd w:val="0"/>
        <w:spacing w:after="0" w:line="360" w:lineRule="auto"/>
        <w:jc w:val="both"/>
        <w:rPr>
          <w:rFonts w:asciiTheme="majorBidi" w:hAnsiTheme="majorBidi" w:cstheme="majorBidi"/>
          <w:sz w:val="24"/>
          <w:szCs w:val="24"/>
        </w:rPr>
      </w:pPr>
      <w:r w:rsidRPr="00CE2B9B">
        <w:rPr>
          <w:rFonts w:asciiTheme="majorBidi" w:hAnsiTheme="majorBidi" w:cstheme="majorBidi"/>
          <w:sz w:val="24"/>
          <w:szCs w:val="24"/>
        </w:rPr>
        <w:lastRenderedPageBreak/>
        <w:t>PCB uses internal credit ratings for assessing the quality of borrowers. To give general information on its credit risk assets, the statistics about the distribution of those assets by quality is provided by the bank. While at Palestinian investment bank no available information provided in their annual reports.</w:t>
      </w:r>
    </w:p>
    <w:p w:rsidR="005C0010" w:rsidRPr="00C216DE" w:rsidRDefault="005C0010" w:rsidP="00CE3E32">
      <w:pPr>
        <w:autoSpaceDE w:val="0"/>
        <w:autoSpaceDN w:val="0"/>
        <w:adjustRightInd w:val="0"/>
        <w:spacing w:after="0" w:line="360" w:lineRule="auto"/>
        <w:jc w:val="both"/>
        <w:rPr>
          <w:rFonts w:asciiTheme="majorBidi" w:hAnsiTheme="majorBidi" w:cstheme="majorBidi"/>
          <w:sz w:val="24"/>
          <w:szCs w:val="24"/>
        </w:rPr>
      </w:pPr>
      <w:r w:rsidRPr="00C216DE">
        <w:rPr>
          <w:rFonts w:asciiTheme="majorBidi" w:hAnsiTheme="majorBidi" w:cstheme="majorBidi"/>
          <w:sz w:val="24"/>
          <w:szCs w:val="24"/>
        </w:rPr>
        <w:t>e. Credit Risk Mitigation</w:t>
      </w:r>
    </w:p>
    <w:p w:rsidR="00A63F64" w:rsidRPr="00C216DE" w:rsidRDefault="00946E41" w:rsidP="00CE3E32">
      <w:pPr>
        <w:autoSpaceDE w:val="0"/>
        <w:autoSpaceDN w:val="0"/>
        <w:adjustRightInd w:val="0"/>
        <w:spacing w:after="0" w:line="360" w:lineRule="auto"/>
        <w:jc w:val="both"/>
        <w:rPr>
          <w:rFonts w:asciiTheme="majorBidi" w:hAnsiTheme="majorBidi" w:cstheme="majorBidi"/>
          <w:sz w:val="24"/>
          <w:szCs w:val="24"/>
        </w:rPr>
      </w:pPr>
      <w:r w:rsidRPr="00C216DE">
        <w:rPr>
          <w:rFonts w:asciiTheme="majorBidi" w:hAnsiTheme="majorBidi" w:cstheme="majorBidi"/>
          <w:sz w:val="24"/>
          <w:szCs w:val="24"/>
        </w:rPr>
        <w:t>There is no independent section in PCB</w:t>
      </w:r>
      <w:r w:rsidR="00BF6D79">
        <w:rPr>
          <w:rFonts w:asciiTheme="majorBidi" w:hAnsiTheme="majorBidi" w:cstheme="majorBidi"/>
          <w:sz w:val="24"/>
          <w:szCs w:val="24"/>
        </w:rPr>
        <w:t>'s</w:t>
      </w:r>
      <w:r w:rsidRPr="00C216DE">
        <w:rPr>
          <w:rFonts w:asciiTheme="majorBidi" w:hAnsiTheme="majorBidi" w:cstheme="majorBidi"/>
          <w:sz w:val="24"/>
          <w:szCs w:val="24"/>
        </w:rPr>
        <w:t xml:space="preserve"> annual reports that can provide any information on the methods adopted for minimizing credit risk within the bank. By searching through the whole report and other published information, it can be found that traditional ways for controlling credit risk are used by the bank, such as collateral and putting limits and ceilings for the amounts of direct credit facilities.</w:t>
      </w:r>
      <w:r w:rsidR="00C216DE" w:rsidRPr="00C216DE">
        <w:rPr>
          <w:rFonts w:asciiTheme="majorBidi" w:hAnsiTheme="majorBidi" w:cstheme="majorBidi"/>
          <w:sz w:val="24"/>
          <w:szCs w:val="24"/>
        </w:rPr>
        <w:t xml:space="preserve"> According to Palestinian investment bank (PIB) no relevant information about credit risk mitigation techniques is found in its annual reports.</w:t>
      </w:r>
    </w:p>
    <w:p w:rsidR="00C216DE" w:rsidRDefault="00C216DE" w:rsidP="00CE3E32">
      <w:pPr>
        <w:autoSpaceDE w:val="0"/>
        <w:autoSpaceDN w:val="0"/>
        <w:adjustRightInd w:val="0"/>
        <w:spacing w:after="0" w:line="360" w:lineRule="auto"/>
        <w:jc w:val="both"/>
        <w:rPr>
          <w:rFonts w:asciiTheme="majorBidi" w:hAnsiTheme="majorBidi" w:cstheme="majorBidi"/>
          <w:sz w:val="24"/>
          <w:szCs w:val="24"/>
        </w:rPr>
      </w:pPr>
      <w:r w:rsidRPr="00C216DE">
        <w:rPr>
          <w:rFonts w:asciiTheme="majorBidi" w:hAnsiTheme="majorBidi" w:cstheme="majorBidi"/>
          <w:sz w:val="24"/>
          <w:szCs w:val="24"/>
        </w:rPr>
        <w:t>Similar to what has been done to bank of Palestine and AL-quds bank, a consolidated table is also provided for a brief conclusion on the credit risk management techniques and practices at</w:t>
      </w:r>
      <w:r>
        <w:rPr>
          <w:rFonts w:asciiTheme="majorBidi" w:hAnsiTheme="majorBidi" w:cstheme="majorBidi"/>
          <w:sz w:val="24"/>
          <w:szCs w:val="24"/>
        </w:rPr>
        <w:t xml:space="preserve"> Palestinian commercial and Palestinian investment bank</w:t>
      </w:r>
      <w:r w:rsidRPr="00C216DE">
        <w:rPr>
          <w:rFonts w:asciiTheme="majorBidi" w:hAnsiTheme="majorBidi" w:cstheme="majorBidi"/>
          <w:sz w:val="24"/>
          <w:szCs w:val="24"/>
        </w:rPr>
        <w:t>, as shown below.</w:t>
      </w:r>
    </w:p>
    <w:p w:rsidR="008606AB" w:rsidRDefault="008606AB" w:rsidP="00C60FA4">
      <w:pPr>
        <w:autoSpaceDE w:val="0"/>
        <w:autoSpaceDN w:val="0"/>
        <w:adjustRightInd w:val="0"/>
        <w:spacing w:after="0" w:line="360" w:lineRule="auto"/>
        <w:jc w:val="center"/>
        <w:rPr>
          <w:rFonts w:asciiTheme="majorBidi" w:hAnsiTheme="majorBidi" w:cstheme="majorBidi"/>
          <w:b/>
          <w:bCs/>
        </w:rPr>
      </w:pPr>
    </w:p>
    <w:p w:rsidR="00C216DE" w:rsidRPr="00C60FA4" w:rsidRDefault="007B2075" w:rsidP="00C60FA4">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rPr>
        <w:t>Table 4.33</w:t>
      </w:r>
      <w:r w:rsidR="00C216DE" w:rsidRPr="00C60FA4">
        <w:rPr>
          <w:rFonts w:asciiTheme="majorBidi" w:hAnsiTheme="majorBidi" w:cstheme="majorBidi"/>
          <w:b/>
          <w:bCs/>
        </w:rPr>
        <w:t xml:space="preserve">: Summaries of credit risk management techniques and practices at PCB </w:t>
      </w:r>
      <w:r w:rsidR="00F94BAB" w:rsidRPr="00C60FA4">
        <w:rPr>
          <w:rFonts w:asciiTheme="majorBidi" w:hAnsiTheme="majorBidi" w:cstheme="majorBidi"/>
          <w:b/>
          <w:bCs/>
        </w:rPr>
        <w:t>and PIB:</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084"/>
        <w:gridCol w:w="3192"/>
        <w:gridCol w:w="3080"/>
      </w:tblGrid>
      <w:tr w:rsidR="00F94BAB" w:rsidRPr="008C0BF6" w:rsidTr="008A0806">
        <w:tc>
          <w:tcPr>
            <w:tcW w:w="3084"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p>
        </w:tc>
        <w:tc>
          <w:tcPr>
            <w:tcW w:w="3192"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Palestinian Commercial Bank</w:t>
            </w:r>
          </w:p>
        </w:tc>
        <w:tc>
          <w:tcPr>
            <w:tcW w:w="3080"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Palestinian Investment Bank</w:t>
            </w:r>
          </w:p>
        </w:tc>
      </w:tr>
      <w:tr w:rsidR="00F94BAB" w:rsidRPr="008C0BF6" w:rsidTr="008A0806">
        <w:tc>
          <w:tcPr>
            <w:tcW w:w="3084"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Credit risk governance</w:t>
            </w:r>
          </w:p>
        </w:tc>
        <w:tc>
          <w:tcPr>
            <w:tcW w:w="3192" w:type="dxa"/>
          </w:tcPr>
          <w:p w:rsidR="00F94BAB" w:rsidRPr="008C0BF6" w:rsidRDefault="00777CB1"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color w:val="000000" w:themeColor="text1"/>
                <w:sz w:val="20"/>
                <w:szCs w:val="20"/>
              </w:rPr>
              <w:t>Risk Management Committee</w:t>
            </w:r>
            <w:r w:rsidRPr="008C0BF6">
              <w:rPr>
                <w:rFonts w:asciiTheme="majorBidi" w:hAnsiTheme="majorBidi" w:cstheme="majorBidi"/>
                <w:sz w:val="20"/>
                <w:szCs w:val="20"/>
              </w:rPr>
              <w:t xml:space="preserve"> set the policies and strategies of credit risk.</w:t>
            </w:r>
          </w:p>
        </w:tc>
        <w:tc>
          <w:tcPr>
            <w:tcW w:w="3080" w:type="dxa"/>
          </w:tcPr>
          <w:p w:rsidR="00F94BAB" w:rsidRPr="008C0BF6" w:rsidRDefault="00777CB1"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N/A</w:t>
            </w:r>
          </w:p>
        </w:tc>
      </w:tr>
      <w:tr w:rsidR="00F94BAB" w:rsidRPr="008C0BF6" w:rsidTr="008A0806">
        <w:tc>
          <w:tcPr>
            <w:tcW w:w="3084"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Credit approval process</w:t>
            </w:r>
          </w:p>
        </w:tc>
        <w:tc>
          <w:tcPr>
            <w:tcW w:w="3192" w:type="dxa"/>
          </w:tcPr>
          <w:p w:rsidR="00F94BAB" w:rsidRPr="008C0BF6" w:rsidRDefault="00777CB1"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 xml:space="preserve">Lending policies issued by </w:t>
            </w:r>
            <w:r w:rsidRPr="008C0BF6">
              <w:rPr>
                <w:rFonts w:asciiTheme="majorBidi" w:hAnsiTheme="majorBidi" w:cstheme="majorBidi"/>
                <w:color w:val="000000" w:themeColor="text1"/>
                <w:sz w:val="20"/>
                <w:szCs w:val="20"/>
              </w:rPr>
              <w:t>Risk Management Committee</w:t>
            </w:r>
            <w:r w:rsidRPr="008C0BF6">
              <w:rPr>
                <w:rFonts w:asciiTheme="majorBidi" w:hAnsiTheme="majorBidi" w:cstheme="majorBidi"/>
                <w:sz w:val="20"/>
                <w:szCs w:val="20"/>
              </w:rPr>
              <w:t xml:space="preserve"> guiding the process and credit limits are applied to different kind of borrowers</w:t>
            </w:r>
          </w:p>
        </w:tc>
        <w:tc>
          <w:tcPr>
            <w:tcW w:w="3080" w:type="dxa"/>
          </w:tcPr>
          <w:p w:rsidR="00F94BAB" w:rsidRPr="008C0BF6" w:rsidRDefault="00777CB1"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N/A</w:t>
            </w:r>
          </w:p>
        </w:tc>
      </w:tr>
      <w:tr w:rsidR="00F94BAB" w:rsidRPr="008C0BF6" w:rsidTr="008A0806">
        <w:tc>
          <w:tcPr>
            <w:tcW w:w="3084"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Credit risk measurement</w:t>
            </w:r>
          </w:p>
        </w:tc>
        <w:tc>
          <w:tcPr>
            <w:tcW w:w="3192" w:type="dxa"/>
          </w:tcPr>
          <w:p w:rsidR="00F94BAB" w:rsidRPr="008C0BF6" w:rsidRDefault="006D5252"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A five – category internal rating system is adopted.</w:t>
            </w:r>
          </w:p>
        </w:tc>
        <w:tc>
          <w:tcPr>
            <w:tcW w:w="3080" w:type="dxa"/>
          </w:tcPr>
          <w:p w:rsidR="00F94BAB" w:rsidRPr="008C0BF6" w:rsidRDefault="006D5252"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N/A</w:t>
            </w:r>
          </w:p>
        </w:tc>
      </w:tr>
      <w:tr w:rsidR="00F94BAB" w:rsidRPr="008C0BF6" w:rsidTr="008A0806">
        <w:tc>
          <w:tcPr>
            <w:tcW w:w="3084"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Credit exposure and quality management</w:t>
            </w:r>
          </w:p>
        </w:tc>
        <w:tc>
          <w:tcPr>
            <w:tcW w:w="3192" w:type="dxa"/>
          </w:tcPr>
          <w:p w:rsidR="00F94BAB" w:rsidRPr="008C0BF6" w:rsidRDefault="006D5252"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Inadequate identification on credit risk exposure.</w:t>
            </w:r>
          </w:p>
        </w:tc>
        <w:tc>
          <w:tcPr>
            <w:tcW w:w="3080" w:type="dxa"/>
          </w:tcPr>
          <w:p w:rsidR="00F94BAB" w:rsidRPr="008C0BF6" w:rsidRDefault="006D5252"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N/A</w:t>
            </w:r>
          </w:p>
        </w:tc>
      </w:tr>
      <w:tr w:rsidR="00F94BAB" w:rsidRPr="008C0BF6" w:rsidTr="008A0806">
        <w:tc>
          <w:tcPr>
            <w:tcW w:w="3084" w:type="dxa"/>
          </w:tcPr>
          <w:p w:rsidR="00F94BAB" w:rsidRPr="008C0BF6" w:rsidRDefault="00F94BAB"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 xml:space="preserve">Credit risk mitigation </w:t>
            </w:r>
            <w:r w:rsidR="00A449B3" w:rsidRPr="008C0BF6">
              <w:rPr>
                <w:rFonts w:asciiTheme="majorBidi" w:hAnsiTheme="majorBidi" w:cstheme="majorBidi"/>
                <w:sz w:val="20"/>
                <w:szCs w:val="20"/>
              </w:rPr>
              <w:t>techniques</w:t>
            </w:r>
          </w:p>
        </w:tc>
        <w:tc>
          <w:tcPr>
            <w:tcW w:w="3192" w:type="dxa"/>
          </w:tcPr>
          <w:p w:rsidR="00F94BAB" w:rsidRPr="008C0BF6" w:rsidRDefault="006D5252"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Traditional methods for minimizing credit risks are adopted.</w:t>
            </w:r>
          </w:p>
        </w:tc>
        <w:tc>
          <w:tcPr>
            <w:tcW w:w="3080" w:type="dxa"/>
          </w:tcPr>
          <w:p w:rsidR="00F94BAB" w:rsidRPr="008C0BF6" w:rsidRDefault="006D5252" w:rsidP="00DD2A36">
            <w:pPr>
              <w:autoSpaceDE w:val="0"/>
              <w:autoSpaceDN w:val="0"/>
              <w:adjustRightInd w:val="0"/>
              <w:spacing w:line="360" w:lineRule="auto"/>
              <w:rPr>
                <w:rFonts w:asciiTheme="majorBidi" w:hAnsiTheme="majorBidi" w:cstheme="majorBidi"/>
                <w:sz w:val="20"/>
                <w:szCs w:val="20"/>
              </w:rPr>
            </w:pPr>
            <w:r w:rsidRPr="008C0BF6">
              <w:rPr>
                <w:rFonts w:asciiTheme="majorBidi" w:hAnsiTheme="majorBidi" w:cstheme="majorBidi"/>
                <w:sz w:val="20"/>
                <w:szCs w:val="20"/>
              </w:rPr>
              <w:t>Traditional methods for minimizing credit risks are adopted.</w:t>
            </w:r>
          </w:p>
        </w:tc>
      </w:tr>
    </w:tbl>
    <w:p w:rsidR="00625006" w:rsidRDefault="00625006" w:rsidP="00625006">
      <w:pPr>
        <w:autoSpaceDE w:val="0"/>
        <w:autoSpaceDN w:val="0"/>
        <w:adjustRightInd w:val="0"/>
        <w:spacing w:after="0" w:line="360" w:lineRule="auto"/>
        <w:jc w:val="center"/>
        <w:rPr>
          <w:rFonts w:asciiTheme="majorBidi" w:hAnsiTheme="majorBidi" w:cstheme="majorBidi"/>
          <w:sz w:val="20"/>
          <w:szCs w:val="20"/>
        </w:rPr>
      </w:pPr>
    </w:p>
    <w:p w:rsidR="00DA5831" w:rsidRDefault="008A0806" w:rsidP="00625006">
      <w:pPr>
        <w:autoSpaceDE w:val="0"/>
        <w:autoSpaceDN w:val="0"/>
        <w:adjustRightInd w:val="0"/>
        <w:spacing w:after="0" w:line="360" w:lineRule="auto"/>
        <w:jc w:val="center"/>
        <w:rPr>
          <w:rFonts w:asciiTheme="majorBidi" w:hAnsiTheme="majorBidi" w:cstheme="majorBidi"/>
          <w:sz w:val="20"/>
          <w:szCs w:val="20"/>
        </w:rPr>
      </w:pPr>
      <w:r w:rsidRPr="008A0806">
        <w:rPr>
          <w:rFonts w:asciiTheme="majorBidi" w:hAnsiTheme="majorBidi" w:cstheme="majorBidi"/>
          <w:sz w:val="20"/>
          <w:szCs w:val="20"/>
        </w:rPr>
        <w:t>Source: Zidan (the Author), 2013</w:t>
      </w:r>
    </w:p>
    <w:p w:rsidR="002E3E3E" w:rsidRDefault="002E3E3E" w:rsidP="00DD2A36">
      <w:pPr>
        <w:autoSpaceDE w:val="0"/>
        <w:autoSpaceDN w:val="0"/>
        <w:adjustRightInd w:val="0"/>
        <w:spacing w:after="0" w:line="360" w:lineRule="auto"/>
        <w:rPr>
          <w:rFonts w:asciiTheme="majorBidi" w:hAnsiTheme="majorBidi" w:cstheme="majorBidi"/>
          <w:b/>
          <w:bCs/>
          <w:sz w:val="24"/>
          <w:szCs w:val="24"/>
        </w:rPr>
      </w:pPr>
    </w:p>
    <w:p w:rsidR="002E3E3E" w:rsidRDefault="002E3E3E" w:rsidP="00DD2A36">
      <w:pPr>
        <w:autoSpaceDE w:val="0"/>
        <w:autoSpaceDN w:val="0"/>
        <w:adjustRightInd w:val="0"/>
        <w:spacing w:after="0" w:line="360" w:lineRule="auto"/>
        <w:rPr>
          <w:rFonts w:asciiTheme="majorBidi" w:hAnsiTheme="majorBidi" w:cstheme="majorBidi"/>
          <w:b/>
          <w:bCs/>
          <w:sz w:val="24"/>
          <w:szCs w:val="24"/>
        </w:rPr>
      </w:pPr>
    </w:p>
    <w:p w:rsidR="006D5252" w:rsidRDefault="006E4544" w:rsidP="00DD2A36">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sz w:val="24"/>
          <w:szCs w:val="24"/>
        </w:rPr>
        <w:t>4.4.3.1</w:t>
      </w:r>
      <w:r w:rsidR="006D5252" w:rsidRPr="006D5252">
        <w:rPr>
          <w:rFonts w:asciiTheme="majorBidi" w:hAnsiTheme="majorBidi" w:cstheme="majorBidi"/>
          <w:b/>
          <w:bCs/>
          <w:sz w:val="24"/>
          <w:szCs w:val="24"/>
        </w:rPr>
        <w:t xml:space="preserve"> Generali</w:t>
      </w:r>
      <w:r w:rsidR="006A6595">
        <w:rPr>
          <w:rFonts w:asciiTheme="majorBidi" w:hAnsiTheme="majorBidi" w:cstheme="majorBidi"/>
          <w:b/>
          <w:bCs/>
          <w:sz w:val="24"/>
          <w:szCs w:val="24"/>
        </w:rPr>
        <w:t xml:space="preserve">zation and Comparison with </w:t>
      </w:r>
      <w:r w:rsidR="006D5252" w:rsidRPr="006D5252">
        <w:rPr>
          <w:rFonts w:asciiTheme="majorBidi" w:hAnsiTheme="majorBidi" w:cstheme="majorBidi"/>
          <w:b/>
          <w:bCs/>
          <w:sz w:val="24"/>
          <w:szCs w:val="24"/>
        </w:rPr>
        <w:t>Basel Regulations</w:t>
      </w:r>
    </w:p>
    <w:p w:rsidR="006D5252" w:rsidRDefault="00177679" w:rsidP="00DD2A36">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The Establishment of Credit Risk Environment</w:t>
      </w:r>
    </w:p>
    <w:p w:rsidR="00177679" w:rsidRDefault="00582D41" w:rsidP="00CE3E32">
      <w:pPr>
        <w:autoSpaceDE w:val="0"/>
        <w:autoSpaceDN w:val="0"/>
        <w:adjustRightInd w:val="0"/>
        <w:spacing w:after="0" w:line="360" w:lineRule="auto"/>
        <w:jc w:val="both"/>
        <w:rPr>
          <w:rFonts w:asciiTheme="majorBidi" w:hAnsiTheme="majorBidi" w:cstheme="majorBidi"/>
          <w:sz w:val="24"/>
          <w:szCs w:val="24"/>
        </w:rPr>
      </w:pPr>
      <w:r w:rsidRPr="00582D41">
        <w:rPr>
          <w:rFonts w:asciiTheme="majorBidi" w:hAnsiTheme="majorBidi" w:cstheme="majorBidi"/>
          <w:sz w:val="24"/>
          <w:szCs w:val="24"/>
        </w:rPr>
        <w:t>The establishment of an appropriate credit risk environment is the basis in sound credit risk managemen</w:t>
      </w:r>
      <w:r w:rsidR="0084675D">
        <w:rPr>
          <w:rFonts w:asciiTheme="majorBidi" w:hAnsiTheme="majorBidi" w:cstheme="majorBidi"/>
          <w:sz w:val="24"/>
          <w:szCs w:val="24"/>
        </w:rPr>
        <w:t>t, as emphasized by Basel (2000</w:t>
      </w:r>
      <w:r w:rsidRPr="006A6595">
        <w:rPr>
          <w:rFonts w:asciiTheme="majorBidi" w:hAnsiTheme="majorBidi" w:cstheme="majorBidi"/>
          <w:sz w:val="24"/>
          <w:szCs w:val="24"/>
        </w:rPr>
        <w:t>)</w:t>
      </w:r>
      <w:r w:rsidR="00194FB4" w:rsidRPr="006A6595">
        <w:rPr>
          <w:rFonts w:asciiTheme="majorBidi" w:hAnsiTheme="majorBidi" w:cstheme="majorBidi"/>
          <w:sz w:val="24"/>
          <w:szCs w:val="24"/>
        </w:rPr>
        <w:t>, and</w:t>
      </w:r>
      <w:r w:rsidRPr="006A6595">
        <w:rPr>
          <w:rFonts w:asciiTheme="majorBidi" w:hAnsiTheme="majorBidi" w:cstheme="majorBidi"/>
          <w:sz w:val="24"/>
          <w:szCs w:val="24"/>
        </w:rPr>
        <w:t xml:space="preserve"> through the </w:t>
      </w:r>
      <w:r w:rsidR="006A6595">
        <w:rPr>
          <w:rFonts w:asciiTheme="majorBidi" w:hAnsiTheme="majorBidi" w:cstheme="majorBidi"/>
          <w:sz w:val="24"/>
          <w:szCs w:val="24"/>
        </w:rPr>
        <w:t>analysis in the Palestinian</w:t>
      </w:r>
      <w:r w:rsidR="001D2328">
        <w:rPr>
          <w:rFonts w:asciiTheme="majorBidi" w:hAnsiTheme="majorBidi" w:cstheme="majorBidi"/>
          <w:sz w:val="24"/>
          <w:szCs w:val="24"/>
        </w:rPr>
        <w:t xml:space="preserve"> commercial</w:t>
      </w:r>
      <w:r w:rsidR="006A6595">
        <w:rPr>
          <w:rFonts w:asciiTheme="majorBidi" w:hAnsiTheme="majorBidi" w:cstheme="majorBidi"/>
          <w:sz w:val="24"/>
          <w:szCs w:val="24"/>
        </w:rPr>
        <w:t xml:space="preserve"> bank annual reports,</w:t>
      </w:r>
      <w:r w:rsidRPr="006A6595">
        <w:rPr>
          <w:rFonts w:asciiTheme="majorBidi" w:hAnsiTheme="majorBidi" w:cstheme="majorBidi"/>
          <w:sz w:val="24"/>
          <w:szCs w:val="24"/>
        </w:rPr>
        <w:t xml:space="preserve"> credit risk has been</w:t>
      </w:r>
      <w:r w:rsidR="006A6595">
        <w:rPr>
          <w:rFonts w:asciiTheme="majorBidi" w:hAnsiTheme="majorBidi" w:cstheme="majorBidi"/>
          <w:sz w:val="24"/>
          <w:szCs w:val="24"/>
        </w:rPr>
        <w:t xml:space="preserve"> simply</w:t>
      </w:r>
      <w:r w:rsidRPr="006A6595">
        <w:rPr>
          <w:rFonts w:asciiTheme="majorBidi" w:hAnsiTheme="majorBidi" w:cstheme="majorBidi"/>
          <w:sz w:val="24"/>
          <w:szCs w:val="24"/>
        </w:rPr>
        <w:t xml:space="preserve"> defined and identified</w:t>
      </w:r>
      <w:r w:rsidR="006A6595">
        <w:rPr>
          <w:rFonts w:asciiTheme="majorBidi" w:hAnsiTheme="majorBidi" w:cstheme="majorBidi"/>
          <w:b/>
          <w:bCs/>
          <w:sz w:val="24"/>
          <w:szCs w:val="24"/>
        </w:rPr>
        <w:t xml:space="preserve">. </w:t>
      </w:r>
      <w:r w:rsidR="00194FB4">
        <w:rPr>
          <w:rFonts w:asciiTheme="majorBidi" w:hAnsiTheme="majorBidi" w:cstheme="majorBidi"/>
          <w:sz w:val="24"/>
          <w:szCs w:val="24"/>
        </w:rPr>
        <w:t>Based</w:t>
      </w:r>
      <w:r w:rsidR="006A6595">
        <w:rPr>
          <w:rFonts w:asciiTheme="majorBidi" w:hAnsiTheme="majorBidi" w:cstheme="majorBidi"/>
          <w:sz w:val="24"/>
          <w:szCs w:val="24"/>
        </w:rPr>
        <w:t xml:space="preserve"> on that credit exposure limits and ceilings have been set and the responsibilities for different levels are explained and designated. </w:t>
      </w:r>
    </w:p>
    <w:p w:rsidR="00573E56" w:rsidRDefault="006A3F90" w:rsidP="00CE3E3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While at Palestinian investment bank, no relevant information about credit risk management policies or techniques are found in their annual reports. The above findings provide evidence that unsatisfactory levels of credit risk management environment has been established in both PCB and PIB bank, particularly PIB bank. This </w:t>
      </w:r>
      <w:r w:rsidR="00BC6A70">
        <w:rPr>
          <w:rFonts w:asciiTheme="majorBidi" w:hAnsiTheme="majorBidi" w:cstheme="majorBidi"/>
          <w:sz w:val="24"/>
          <w:szCs w:val="24"/>
        </w:rPr>
        <w:t>weakness in credit risk management framework could be attributed their size, business range and unqualified personnel</w:t>
      </w:r>
      <w:r w:rsidR="005E5A21">
        <w:rPr>
          <w:rFonts w:asciiTheme="majorBidi" w:hAnsiTheme="majorBidi" w:cstheme="majorBidi"/>
          <w:sz w:val="24"/>
          <w:szCs w:val="24"/>
        </w:rPr>
        <w:t>.</w:t>
      </w:r>
    </w:p>
    <w:p w:rsidR="006A3F90" w:rsidRPr="005E5A21" w:rsidRDefault="005E5A21" w:rsidP="00573E56">
      <w:pPr>
        <w:autoSpaceDE w:val="0"/>
        <w:autoSpaceDN w:val="0"/>
        <w:adjustRightInd w:val="0"/>
        <w:spacing w:after="0" w:line="360" w:lineRule="auto"/>
        <w:rPr>
          <w:rFonts w:asciiTheme="majorBidi" w:hAnsiTheme="majorBidi" w:cstheme="majorBidi"/>
          <w:sz w:val="24"/>
          <w:szCs w:val="24"/>
        </w:rPr>
      </w:pPr>
      <w:r w:rsidRPr="005E5A21">
        <w:rPr>
          <w:rFonts w:asciiTheme="majorBidi" w:hAnsiTheme="majorBidi" w:cstheme="majorBidi"/>
          <w:b/>
          <w:bCs/>
          <w:sz w:val="24"/>
          <w:szCs w:val="24"/>
        </w:rPr>
        <w:t>Credit Granting Process</w:t>
      </w:r>
    </w:p>
    <w:p w:rsidR="008606AB" w:rsidRDefault="00CC633F" w:rsidP="00CE3E32">
      <w:pPr>
        <w:autoSpaceDE w:val="0"/>
        <w:autoSpaceDN w:val="0"/>
        <w:adjustRightInd w:val="0"/>
        <w:spacing w:after="0" w:line="360" w:lineRule="auto"/>
        <w:jc w:val="both"/>
        <w:rPr>
          <w:rFonts w:asciiTheme="majorBidi" w:hAnsiTheme="majorBidi" w:cstheme="majorBidi"/>
          <w:sz w:val="24"/>
          <w:szCs w:val="24"/>
        </w:rPr>
      </w:pPr>
      <w:r w:rsidRPr="001359AB">
        <w:rPr>
          <w:rFonts w:asciiTheme="majorBidi" w:hAnsiTheme="majorBidi" w:cstheme="majorBidi"/>
          <w:sz w:val="24"/>
          <w:szCs w:val="24"/>
        </w:rPr>
        <w:t>Regarding this</w:t>
      </w:r>
      <w:r w:rsidR="0084675D">
        <w:rPr>
          <w:rFonts w:asciiTheme="majorBidi" w:hAnsiTheme="majorBidi" w:cstheme="majorBidi"/>
          <w:sz w:val="24"/>
          <w:szCs w:val="24"/>
        </w:rPr>
        <w:t xml:space="preserve"> second area of the Basel (200</w:t>
      </w:r>
      <w:r w:rsidR="00A449B3" w:rsidRPr="001359AB">
        <w:rPr>
          <w:rFonts w:asciiTheme="majorBidi" w:hAnsiTheme="majorBidi" w:cstheme="majorBidi"/>
          <w:sz w:val="24"/>
          <w:szCs w:val="24"/>
        </w:rPr>
        <w:t>) requirements</w:t>
      </w:r>
      <w:r w:rsidR="00573E56" w:rsidRPr="001359AB">
        <w:rPr>
          <w:rFonts w:asciiTheme="majorBidi" w:hAnsiTheme="majorBidi" w:cstheme="majorBidi"/>
          <w:sz w:val="24"/>
          <w:szCs w:val="24"/>
        </w:rPr>
        <w:t xml:space="preserve"> on </w:t>
      </w:r>
      <w:r w:rsidRPr="001359AB">
        <w:rPr>
          <w:rFonts w:asciiTheme="majorBidi" w:hAnsiTheme="majorBidi" w:cstheme="majorBidi"/>
          <w:sz w:val="24"/>
          <w:szCs w:val="24"/>
        </w:rPr>
        <w:t>sound credit risk management there is lack of sufficient information at both Palestinian commercial bank (PCB) and Pale</w:t>
      </w:r>
      <w:r w:rsidR="0084675D">
        <w:rPr>
          <w:rFonts w:asciiTheme="majorBidi" w:hAnsiTheme="majorBidi" w:cstheme="majorBidi"/>
          <w:sz w:val="24"/>
          <w:szCs w:val="24"/>
        </w:rPr>
        <w:t>stinian investment bank (PIB) annual reports.</w:t>
      </w:r>
      <w:r w:rsidR="001359AB">
        <w:rPr>
          <w:rFonts w:asciiTheme="majorBidi" w:hAnsiTheme="majorBidi" w:cstheme="majorBidi"/>
          <w:sz w:val="24"/>
          <w:szCs w:val="24"/>
        </w:rPr>
        <w:t xml:space="preserve"> What can be found</w:t>
      </w:r>
      <w:r w:rsidRPr="001359AB">
        <w:rPr>
          <w:rFonts w:asciiTheme="majorBidi" w:hAnsiTheme="majorBidi" w:cstheme="majorBidi"/>
          <w:sz w:val="24"/>
          <w:szCs w:val="24"/>
        </w:rPr>
        <w:t xml:space="preserve"> is </w:t>
      </w:r>
      <w:r w:rsidR="001359AB">
        <w:rPr>
          <w:rFonts w:asciiTheme="majorBidi" w:hAnsiTheme="majorBidi" w:cstheme="majorBidi"/>
          <w:sz w:val="24"/>
          <w:szCs w:val="24"/>
        </w:rPr>
        <w:t>that both</w:t>
      </w:r>
      <w:r w:rsidRPr="001359AB">
        <w:rPr>
          <w:rFonts w:asciiTheme="majorBidi" w:hAnsiTheme="majorBidi" w:cstheme="majorBidi"/>
          <w:sz w:val="24"/>
          <w:szCs w:val="24"/>
        </w:rPr>
        <w:t xml:space="preserve"> banks do have systematic procedure for assessing and granting credit,</w:t>
      </w:r>
      <w:r w:rsidR="001359AB">
        <w:rPr>
          <w:rFonts w:asciiTheme="majorBidi" w:hAnsiTheme="majorBidi" w:cstheme="majorBidi"/>
          <w:sz w:val="24"/>
          <w:szCs w:val="24"/>
        </w:rPr>
        <w:t xml:space="preserve"> putting limits and ceilings on granting credit</w:t>
      </w:r>
      <w:r w:rsidR="004162BF">
        <w:rPr>
          <w:rFonts w:asciiTheme="majorBidi" w:hAnsiTheme="majorBidi" w:cstheme="majorBidi"/>
          <w:sz w:val="24"/>
          <w:szCs w:val="24"/>
        </w:rPr>
        <w:t xml:space="preserve"> to different geographical, sect oral </w:t>
      </w:r>
      <w:r w:rsidR="0084675D">
        <w:rPr>
          <w:rFonts w:asciiTheme="majorBidi" w:hAnsiTheme="majorBidi" w:cstheme="majorBidi"/>
          <w:sz w:val="24"/>
          <w:szCs w:val="24"/>
        </w:rPr>
        <w:t>areas</w:t>
      </w:r>
      <w:r w:rsidR="000B7094">
        <w:rPr>
          <w:rFonts w:asciiTheme="majorBidi" w:hAnsiTheme="majorBidi" w:cstheme="majorBidi"/>
          <w:sz w:val="24"/>
          <w:szCs w:val="24"/>
        </w:rPr>
        <w:t xml:space="preserve"> </w:t>
      </w:r>
      <w:r w:rsidRPr="001359AB">
        <w:rPr>
          <w:rFonts w:asciiTheme="majorBidi" w:hAnsiTheme="majorBidi" w:cstheme="majorBidi"/>
          <w:sz w:val="24"/>
          <w:szCs w:val="24"/>
        </w:rPr>
        <w:t xml:space="preserve">and they do put credit granting in a very important place </w:t>
      </w:r>
    </w:p>
    <w:p w:rsidR="006D5252" w:rsidRDefault="00CC633F" w:rsidP="00CE3E32">
      <w:pPr>
        <w:autoSpaceDE w:val="0"/>
        <w:autoSpaceDN w:val="0"/>
        <w:adjustRightInd w:val="0"/>
        <w:spacing w:after="0" w:line="360" w:lineRule="auto"/>
        <w:jc w:val="both"/>
        <w:rPr>
          <w:rFonts w:asciiTheme="majorBidi" w:hAnsiTheme="majorBidi" w:cstheme="majorBidi"/>
          <w:sz w:val="24"/>
          <w:szCs w:val="24"/>
        </w:rPr>
      </w:pPr>
      <w:r w:rsidRPr="001359AB">
        <w:rPr>
          <w:rFonts w:asciiTheme="majorBidi" w:hAnsiTheme="majorBidi" w:cstheme="majorBidi"/>
          <w:sz w:val="24"/>
          <w:szCs w:val="24"/>
        </w:rPr>
        <w:t>because after all</w:t>
      </w:r>
      <w:r w:rsidR="00906E4B">
        <w:rPr>
          <w:rFonts w:asciiTheme="majorBidi" w:hAnsiTheme="majorBidi" w:cstheme="majorBidi"/>
          <w:sz w:val="24"/>
          <w:szCs w:val="24"/>
        </w:rPr>
        <w:t>,</w:t>
      </w:r>
      <w:r w:rsidRPr="001359AB">
        <w:rPr>
          <w:rFonts w:asciiTheme="majorBidi" w:hAnsiTheme="majorBidi" w:cstheme="majorBidi"/>
          <w:sz w:val="24"/>
          <w:szCs w:val="24"/>
        </w:rPr>
        <w:t xml:space="preserve"> a good practice at this stage can save much efforts in </w:t>
      </w:r>
      <w:r w:rsidR="0084675D">
        <w:rPr>
          <w:rFonts w:asciiTheme="majorBidi" w:hAnsiTheme="majorBidi" w:cstheme="majorBidi"/>
          <w:sz w:val="24"/>
          <w:szCs w:val="24"/>
        </w:rPr>
        <w:t>the future risk control process and avoid such risk.</w:t>
      </w:r>
      <w:r w:rsidRPr="001359AB">
        <w:rPr>
          <w:rFonts w:asciiTheme="majorBidi" w:hAnsiTheme="majorBidi" w:cstheme="majorBidi"/>
          <w:sz w:val="24"/>
          <w:szCs w:val="24"/>
        </w:rPr>
        <w:t xml:space="preserve"> </w:t>
      </w:r>
    </w:p>
    <w:p w:rsidR="0084675D" w:rsidRPr="0084675D" w:rsidRDefault="0084675D" w:rsidP="001359AB">
      <w:pPr>
        <w:autoSpaceDE w:val="0"/>
        <w:autoSpaceDN w:val="0"/>
        <w:adjustRightInd w:val="0"/>
        <w:spacing w:after="0" w:line="360" w:lineRule="auto"/>
        <w:rPr>
          <w:rFonts w:asciiTheme="majorBidi" w:hAnsiTheme="majorBidi" w:cstheme="majorBidi"/>
          <w:sz w:val="24"/>
          <w:szCs w:val="24"/>
        </w:rPr>
      </w:pPr>
      <w:r w:rsidRPr="0084675D">
        <w:rPr>
          <w:rFonts w:asciiTheme="majorBidi" w:hAnsiTheme="majorBidi" w:cstheme="majorBidi"/>
          <w:b/>
          <w:bCs/>
          <w:sz w:val="24"/>
          <w:szCs w:val="24"/>
        </w:rPr>
        <w:t>Credit Measurement and Monitor Process</w:t>
      </w:r>
    </w:p>
    <w:p w:rsidR="00F664A8" w:rsidRPr="0084675D" w:rsidRDefault="0084675D" w:rsidP="0084675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w:t>
      </w:r>
      <w:r w:rsidRPr="0084675D">
        <w:rPr>
          <w:rFonts w:asciiTheme="majorBidi" w:hAnsiTheme="majorBidi" w:cstheme="majorBidi"/>
          <w:sz w:val="24"/>
          <w:szCs w:val="24"/>
        </w:rPr>
        <w:t xml:space="preserve"> Credit Risk Measurement</w:t>
      </w:r>
    </w:p>
    <w:p w:rsidR="0084675D" w:rsidRDefault="0084675D" w:rsidP="00CE3E32">
      <w:pPr>
        <w:autoSpaceDE w:val="0"/>
        <w:autoSpaceDN w:val="0"/>
        <w:adjustRightInd w:val="0"/>
        <w:spacing w:after="0" w:line="360" w:lineRule="auto"/>
        <w:jc w:val="both"/>
        <w:rPr>
          <w:rFonts w:asciiTheme="majorBidi" w:hAnsiTheme="majorBidi" w:cstheme="majorBidi"/>
          <w:sz w:val="24"/>
          <w:szCs w:val="24"/>
        </w:rPr>
      </w:pPr>
      <w:r w:rsidRPr="00C90AD2">
        <w:rPr>
          <w:rFonts w:asciiTheme="majorBidi" w:hAnsiTheme="majorBidi" w:cstheme="majorBidi"/>
          <w:sz w:val="24"/>
          <w:szCs w:val="24"/>
        </w:rPr>
        <w:t>I</w:t>
      </w:r>
      <w:r w:rsidR="00F81FC3" w:rsidRPr="00C90AD2">
        <w:rPr>
          <w:rFonts w:asciiTheme="majorBidi" w:hAnsiTheme="majorBidi" w:cstheme="majorBidi"/>
          <w:sz w:val="24"/>
          <w:szCs w:val="24"/>
        </w:rPr>
        <w:t xml:space="preserve">nternal rating system is </w:t>
      </w:r>
      <w:r w:rsidRPr="00C90AD2">
        <w:rPr>
          <w:rFonts w:asciiTheme="majorBidi" w:hAnsiTheme="majorBidi" w:cstheme="majorBidi"/>
          <w:sz w:val="24"/>
          <w:szCs w:val="24"/>
        </w:rPr>
        <w:t>a common</w:t>
      </w:r>
      <w:r w:rsidR="00E22DA8">
        <w:rPr>
          <w:rFonts w:asciiTheme="majorBidi" w:hAnsiTheme="majorBidi" w:cstheme="majorBidi"/>
          <w:sz w:val="24"/>
          <w:szCs w:val="24"/>
        </w:rPr>
        <w:t xml:space="preserve"> system of measurement used</w:t>
      </w:r>
      <w:r w:rsidR="00F81FC3" w:rsidRPr="00C90AD2">
        <w:rPr>
          <w:rFonts w:asciiTheme="majorBidi" w:hAnsiTheme="majorBidi" w:cstheme="majorBidi"/>
          <w:sz w:val="24"/>
          <w:szCs w:val="24"/>
        </w:rPr>
        <w:t xml:space="preserve"> at</w:t>
      </w:r>
      <w:r w:rsidR="00C90AD2" w:rsidRPr="00C90AD2">
        <w:rPr>
          <w:rFonts w:asciiTheme="majorBidi" w:hAnsiTheme="majorBidi" w:cstheme="majorBidi"/>
          <w:sz w:val="24"/>
          <w:szCs w:val="24"/>
        </w:rPr>
        <w:t xml:space="preserve"> both</w:t>
      </w:r>
      <w:r w:rsidR="00F81FC3" w:rsidRPr="00C90AD2">
        <w:rPr>
          <w:rFonts w:asciiTheme="majorBidi" w:hAnsiTheme="majorBidi" w:cstheme="majorBidi"/>
          <w:sz w:val="24"/>
          <w:szCs w:val="24"/>
        </w:rPr>
        <w:t xml:space="preserve"> PCB and PIB bank</w:t>
      </w:r>
      <w:r w:rsidR="00E22DA8">
        <w:rPr>
          <w:rFonts w:asciiTheme="majorBidi" w:hAnsiTheme="majorBidi" w:cstheme="majorBidi"/>
          <w:sz w:val="24"/>
          <w:szCs w:val="24"/>
        </w:rPr>
        <w:t>, which bases</w:t>
      </w:r>
      <w:r w:rsidRPr="00C90AD2">
        <w:rPr>
          <w:rFonts w:asciiTheme="majorBidi" w:hAnsiTheme="majorBidi" w:cstheme="majorBidi"/>
          <w:sz w:val="24"/>
          <w:szCs w:val="24"/>
        </w:rPr>
        <w:t xml:space="preserve"> on similar principles, but may differ in the scale of the grades and explanation.</w:t>
      </w:r>
      <w:r w:rsidR="00F81FC3" w:rsidRPr="00C90AD2">
        <w:rPr>
          <w:rFonts w:asciiTheme="majorBidi" w:hAnsiTheme="majorBidi" w:cstheme="majorBidi"/>
          <w:sz w:val="24"/>
          <w:szCs w:val="24"/>
        </w:rPr>
        <w:t xml:space="preserve"> So both banks have already given attention to internal rating systems by developing the one that will mostly match their business characteristics. It </w:t>
      </w:r>
      <w:r w:rsidR="00C90AD2" w:rsidRPr="00C90AD2">
        <w:rPr>
          <w:rFonts w:asciiTheme="majorBidi" w:hAnsiTheme="majorBidi" w:cstheme="majorBidi"/>
          <w:sz w:val="24"/>
          <w:szCs w:val="24"/>
        </w:rPr>
        <w:t>is a surprising result</w:t>
      </w:r>
      <w:r w:rsidR="00F81FC3" w:rsidRPr="00C90AD2">
        <w:rPr>
          <w:rFonts w:asciiTheme="majorBidi" w:hAnsiTheme="majorBidi" w:cstheme="majorBidi"/>
          <w:sz w:val="24"/>
          <w:szCs w:val="24"/>
        </w:rPr>
        <w:t xml:space="preserve"> that Palestinian commercial bank (PCB) has not establish or adopt credit rating system for individuals, the internal rating system adopted by the bank concentrated on corporate borrower</w:t>
      </w:r>
      <w:r w:rsidR="00C90AD2" w:rsidRPr="00C90AD2">
        <w:rPr>
          <w:rFonts w:asciiTheme="majorBidi" w:hAnsiTheme="majorBidi" w:cstheme="majorBidi"/>
          <w:sz w:val="24"/>
          <w:szCs w:val="24"/>
        </w:rPr>
        <w:t xml:space="preserve"> measures; howeve</w:t>
      </w:r>
      <w:r w:rsidR="00C90AD2">
        <w:rPr>
          <w:rFonts w:asciiTheme="majorBidi" w:hAnsiTheme="majorBidi" w:cstheme="majorBidi"/>
          <w:sz w:val="24"/>
          <w:szCs w:val="24"/>
        </w:rPr>
        <w:t>r both banks PCB and PIB do not follow</w:t>
      </w:r>
      <w:r w:rsidR="000B7094">
        <w:rPr>
          <w:rFonts w:asciiTheme="majorBidi" w:hAnsiTheme="majorBidi" w:cstheme="majorBidi"/>
          <w:sz w:val="24"/>
          <w:szCs w:val="24"/>
        </w:rPr>
        <w:t xml:space="preserve"> </w:t>
      </w:r>
      <w:r w:rsidR="00C90AD2">
        <w:rPr>
          <w:rFonts w:asciiTheme="majorBidi" w:hAnsiTheme="majorBidi" w:cstheme="majorBidi"/>
          <w:sz w:val="24"/>
          <w:szCs w:val="24"/>
        </w:rPr>
        <w:t xml:space="preserve">any </w:t>
      </w:r>
      <w:r w:rsidR="00C90AD2" w:rsidRPr="00C90AD2">
        <w:rPr>
          <w:rFonts w:asciiTheme="majorBidi" w:hAnsiTheme="majorBidi" w:cstheme="majorBidi"/>
          <w:sz w:val="24"/>
          <w:szCs w:val="24"/>
        </w:rPr>
        <w:t>credit model</w:t>
      </w:r>
      <w:r w:rsidR="00C90AD2">
        <w:rPr>
          <w:rFonts w:asciiTheme="majorBidi" w:hAnsiTheme="majorBidi" w:cstheme="majorBidi"/>
          <w:sz w:val="24"/>
          <w:szCs w:val="24"/>
        </w:rPr>
        <w:t>ing practices as Basel (2000</w:t>
      </w:r>
      <w:r w:rsidR="00C90AD2" w:rsidRPr="00C90AD2">
        <w:rPr>
          <w:rFonts w:asciiTheme="majorBidi" w:hAnsiTheme="majorBidi" w:cstheme="majorBidi"/>
          <w:sz w:val="24"/>
          <w:szCs w:val="24"/>
        </w:rPr>
        <w:t xml:space="preserve">) already has </w:t>
      </w:r>
      <w:r w:rsidR="00C90AD2" w:rsidRPr="00C90AD2">
        <w:rPr>
          <w:rFonts w:asciiTheme="majorBidi" w:hAnsiTheme="majorBidi" w:cstheme="majorBidi"/>
          <w:sz w:val="24"/>
          <w:szCs w:val="24"/>
        </w:rPr>
        <w:lastRenderedPageBreak/>
        <w:t>emphasized the importance of credit risk models in bank risk management and performance measurement process</w:t>
      </w:r>
      <w:r w:rsidR="00C90AD2">
        <w:rPr>
          <w:rFonts w:asciiTheme="majorBidi" w:hAnsiTheme="majorBidi" w:cstheme="majorBidi"/>
          <w:sz w:val="24"/>
          <w:szCs w:val="24"/>
        </w:rPr>
        <w:t>.</w:t>
      </w:r>
      <w:r w:rsidR="000B7094">
        <w:rPr>
          <w:rFonts w:asciiTheme="majorBidi" w:hAnsiTheme="majorBidi" w:cstheme="majorBidi"/>
          <w:sz w:val="24"/>
          <w:szCs w:val="24"/>
        </w:rPr>
        <w:t xml:space="preserve"> </w:t>
      </w:r>
      <w:r w:rsidR="00C90AD2">
        <w:rPr>
          <w:rFonts w:asciiTheme="majorBidi" w:hAnsiTheme="majorBidi" w:cstheme="majorBidi"/>
          <w:sz w:val="24"/>
          <w:szCs w:val="24"/>
        </w:rPr>
        <w:t xml:space="preserve">The </w:t>
      </w:r>
      <w:r w:rsidR="00A449B3">
        <w:rPr>
          <w:rFonts w:asciiTheme="majorBidi" w:hAnsiTheme="majorBidi" w:cstheme="majorBidi"/>
          <w:sz w:val="24"/>
          <w:szCs w:val="24"/>
        </w:rPr>
        <w:t xml:space="preserve">two </w:t>
      </w:r>
      <w:r w:rsidR="00A449B3" w:rsidRPr="00C90AD2">
        <w:rPr>
          <w:rFonts w:asciiTheme="majorBidi" w:hAnsiTheme="majorBidi" w:cstheme="majorBidi"/>
          <w:sz w:val="24"/>
          <w:szCs w:val="24"/>
        </w:rPr>
        <w:t>should</w:t>
      </w:r>
      <w:r w:rsidR="00C90AD2" w:rsidRPr="00C90AD2">
        <w:rPr>
          <w:rFonts w:asciiTheme="majorBidi" w:hAnsiTheme="majorBidi" w:cstheme="majorBidi"/>
          <w:sz w:val="24"/>
          <w:szCs w:val="24"/>
        </w:rPr>
        <w:t xml:space="preserve"> still make better use of credit risk modeling technique.</w:t>
      </w:r>
    </w:p>
    <w:p w:rsidR="00010BE5" w:rsidRPr="00010BE5" w:rsidRDefault="00010BE5" w:rsidP="0084675D">
      <w:pPr>
        <w:autoSpaceDE w:val="0"/>
        <w:autoSpaceDN w:val="0"/>
        <w:adjustRightInd w:val="0"/>
        <w:spacing w:after="0" w:line="360" w:lineRule="auto"/>
        <w:rPr>
          <w:rFonts w:asciiTheme="majorBidi" w:hAnsiTheme="majorBidi" w:cstheme="majorBidi"/>
          <w:sz w:val="24"/>
          <w:szCs w:val="24"/>
        </w:rPr>
      </w:pPr>
      <w:r w:rsidRPr="00010BE5">
        <w:rPr>
          <w:rFonts w:asciiTheme="majorBidi" w:hAnsiTheme="majorBidi" w:cstheme="majorBidi"/>
          <w:sz w:val="24"/>
          <w:szCs w:val="24"/>
        </w:rPr>
        <w:t>b. Credit Monitor</w:t>
      </w:r>
    </w:p>
    <w:p w:rsidR="00F664A8" w:rsidRDefault="00D349CC" w:rsidP="00CE3E32">
      <w:pPr>
        <w:autoSpaceDE w:val="0"/>
        <w:autoSpaceDN w:val="0"/>
        <w:adjustRightInd w:val="0"/>
        <w:spacing w:after="0" w:line="360" w:lineRule="auto"/>
        <w:jc w:val="both"/>
        <w:rPr>
          <w:rFonts w:asciiTheme="majorBidi" w:hAnsiTheme="majorBidi" w:cstheme="majorBidi"/>
          <w:sz w:val="24"/>
          <w:szCs w:val="24"/>
        </w:rPr>
      </w:pPr>
      <w:r w:rsidRPr="007E106A">
        <w:rPr>
          <w:rFonts w:asciiTheme="majorBidi" w:hAnsiTheme="majorBidi" w:cstheme="majorBidi"/>
          <w:sz w:val="24"/>
          <w:szCs w:val="24"/>
        </w:rPr>
        <w:t xml:space="preserve">Regarding this aspect, there is no evidence proving that both banks PCB and PIB have done what Basel (2000) has required. For instance, credit exposure analysis, has not been shown </w:t>
      </w:r>
      <w:r w:rsidR="007E106A" w:rsidRPr="007E106A">
        <w:rPr>
          <w:rFonts w:asciiTheme="majorBidi" w:hAnsiTheme="majorBidi" w:cstheme="majorBidi"/>
          <w:sz w:val="24"/>
          <w:szCs w:val="24"/>
        </w:rPr>
        <w:t>sufficient analysis,</w:t>
      </w:r>
      <w:r w:rsidRPr="007E106A">
        <w:rPr>
          <w:rFonts w:asciiTheme="majorBidi" w:hAnsiTheme="majorBidi" w:cstheme="majorBidi"/>
          <w:sz w:val="24"/>
          <w:szCs w:val="24"/>
        </w:rPr>
        <w:t xml:space="preserve"> leading the doubt on the banks’ credit exposure management performance.</w:t>
      </w:r>
      <w:r w:rsidR="007E106A" w:rsidRPr="007E106A">
        <w:rPr>
          <w:rFonts w:asciiTheme="majorBidi" w:hAnsiTheme="majorBidi" w:cstheme="majorBidi"/>
          <w:sz w:val="24"/>
          <w:szCs w:val="24"/>
        </w:rPr>
        <w:t xml:space="preserve"> Very little information can be generated about their practices related to impaired loans or allowances. Although it is true that the two smaller banks, due to their core business nature, may have smaller scale of loan exposures, it is not reasonable to think that such analysis or effort is unnecessary.</w:t>
      </w:r>
    </w:p>
    <w:p w:rsidR="007E106A" w:rsidRPr="007E106A" w:rsidRDefault="007E106A" w:rsidP="00BA749B">
      <w:pPr>
        <w:autoSpaceDE w:val="0"/>
        <w:autoSpaceDN w:val="0"/>
        <w:adjustRightInd w:val="0"/>
        <w:spacing w:after="0" w:line="360" w:lineRule="auto"/>
        <w:rPr>
          <w:rFonts w:asciiTheme="majorBidi" w:hAnsiTheme="majorBidi" w:cstheme="majorBidi"/>
          <w:sz w:val="24"/>
          <w:szCs w:val="24"/>
        </w:rPr>
      </w:pPr>
      <w:r w:rsidRPr="007E106A">
        <w:rPr>
          <w:rFonts w:asciiTheme="majorBidi" w:hAnsiTheme="majorBidi" w:cstheme="majorBidi"/>
          <w:b/>
          <w:bCs/>
          <w:sz w:val="24"/>
          <w:szCs w:val="24"/>
        </w:rPr>
        <w:t>Controls over Credit Risk</w:t>
      </w:r>
    </w:p>
    <w:p w:rsidR="00114557" w:rsidRDefault="00D07EB0" w:rsidP="00CE3E32">
      <w:pPr>
        <w:autoSpaceDE w:val="0"/>
        <w:autoSpaceDN w:val="0"/>
        <w:adjustRightInd w:val="0"/>
        <w:spacing w:after="0" w:line="360" w:lineRule="auto"/>
        <w:jc w:val="both"/>
        <w:rPr>
          <w:rFonts w:asciiTheme="majorBidi" w:hAnsiTheme="majorBidi" w:cstheme="majorBidi"/>
          <w:sz w:val="24"/>
          <w:szCs w:val="24"/>
        </w:rPr>
      </w:pPr>
      <w:r w:rsidRPr="00D07EB0">
        <w:rPr>
          <w:rFonts w:asciiTheme="majorBidi" w:hAnsiTheme="majorBidi" w:cstheme="majorBidi"/>
          <w:sz w:val="24"/>
          <w:szCs w:val="24"/>
        </w:rPr>
        <w:t>At Palestinian commercial bank (PCB</w:t>
      </w:r>
      <w:r w:rsidR="007602E1" w:rsidRPr="00D07EB0">
        <w:rPr>
          <w:rFonts w:asciiTheme="majorBidi" w:hAnsiTheme="majorBidi" w:cstheme="majorBidi"/>
          <w:sz w:val="24"/>
          <w:szCs w:val="24"/>
        </w:rPr>
        <w:t>) according</w:t>
      </w:r>
      <w:r w:rsidR="00F966A8" w:rsidRPr="00D07EB0">
        <w:rPr>
          <w:rFonts w:asciiTheme="majorBidi" w:hAnsiTheme="majorBidi" w:cstheme="majorBidi"/>
          <w:sz w:val="24"/>
          <w:szCs w:val="24"/>
        </w:rPr>
        <w:t xml:space="preserve"> to the description in the annual reports</w:t>
      </w:r>
      <w:r w:rsidR="00F966A8">
        <w:rPr>
          <w:rFonts w:asciiTheme="majorBidi" w:hAnsiTheme="majorBidi" w:cstheme="majorBidi"/>
          <w:sz w:val="24"/>
          <w:szCs w:val="24"/>
        </w:rPr>
        <w:t>,</w:t>
      </w:r>
      <w:r w:rsidRPr="00D07EB0">
        <w:rPr>
          <w:rFonts w:asciiTheme="majorBidi" w:hAnsiTheme="majorBidi" w:cstheme="majorBidi"/>
          <w:sz w:val="24"/>
          <w:szCs w:val="24"/>
        </w:rPr>
        <w:t xml:space="preserve"> credit risk management </w:t>
      </w:r>
      <w:r w:rsidR="007602E1" w:rsidRPr="00D07EB0">
        <w:rPr>
          <w:rFonts w:asciiTheme="majorBidi" w:hAnsiTheme="majorBidi" w:cstheme="majorBidi"/>
          <w:sz w:val="24"/>
          <w:szCs w:val="24"/>
        </w:rPr>
        <w:t>is</w:t>
      </w:r>
      <w:r w:rsidRPr="00D07EB0">
        <w:rPr>
          <w:rFonts w:asciiTheme="majorBidi" w:hAnsiTheme="majorBidi" w:cstheme="majorBidi"/>
          <w:sz w:val="24"/>
          <w:szCs w:val="24"/>
        </w:rPr>
        <w:t xml:space="preserve"> assessed by different levels of units, and it is certain that som</w:t>
      </w:r>
      <w:r w:rsidR="00F966A8">
        <w:rPr>
          <w:rFonts w:asciiTheme="majorBidi" w:hAnsiTheme="majorBidi" w:cstheme="majorBidi"/>
          <w:sz w:val="24"/>
          <w:szCs w:val="24"/>
        </w:rPr>
        <w:t>e credit reviews are undertaken.</w:t>
      </w:r>
      <w:r w:rsidRPr="00D07EB0">
        <w:rPr>
          <w:rFonts w:asciiTheme="majorBidi" w:hAnsiTheme="majorBidi" w:cstheme="majorBidi"/>
          <w:sz w:val="24"/>
          <w:szCs w:val="24"/>
        </w:rPr>
        <w:t xml:space="preserve"> However, it can never be affirmed that those controls are really made appropriately and timely.</w:t>
      </w:r>
      <w:r>
        <w:rPr>
          <w:rFonts w:asciiTheme="majorBidi" w:hAnsiTheme="majorBidi" w:cstheme="majorBidi"/>
          <w:sz w:val="24"/>
          <w:szCs w:val="24"/>
        </w:rPr>
        <w:t xml:space="preserve"> While for Palestinian investment bank (PIB) no revealed description about credit control in their annual reports as Basel (2000) requirements. </w:t>
      </w:r>
    </w:p>
    <w:p w:rsidR="00F966A8" w:rsidRPr="00F966A8" w:rsidRDefault="00F966A8" w:rsidP="00F966A8">
      <w:pPr>
        <w:autoSpaceDE w:val="0"/>
        <w:autoSpaceDN w:val="0"/>
        <w:adjustRightInd w:val="0"/>
        <w:spacing w:after="0" w:line="360" w:lineRule="auto"/>
        <w:rPr>
          <w:rFonts w:asciiTheme="majorBidi" w:hAnsiTheme="majorBidi" w:cstheme="majorBidi"/>
          <w:sz w:val="24"/>
          <w:szCs w:val="24"/>
        </w:rPr>
      </w:pPr>
      <w:r w:rsidRPr="00F966A8">
        <w:rPr>
          <w:rFonts w:asciiTheme="majorBidi" w:hAnsiTheme="majorBidi" w:cstheme="majorBidi"/>
          <w:b/>
          <w:bCs/>
          <w:sz w:val="24"/>
          <w:szCs w:val="24"/>
        </w:rPr>
        <w:t>Credit Risk Mitigation</w:t>
      </w:r>
    </w:p>
    <w:p w:rsidR="008606AB" w:rsidRDefault="00F966A8" w:rsidP="00773FF0">
      <w:pPr>
        <w:autoSpaceDE w:val="0"/>
        <w:autoSpaceDN w:val="0"/>
        <w:adjustRightInd w:val="0"/>
        <w:spacing w:after="0" w:line="360" w:lineRule="auto"/>
        <w:jc w:val="both"/>
        <w:rPr>
          <w:rFonts w:asciiTheme="majorBidi" w:hAnsiTheme="majorBidi" w:cstheme="majorBidi"/>
          <w:sz w:val="24"/>
          <w:szCs w:val="24"/>
        </w:rPr>
      </w:pPr>
      <w:r w:rsidRPr="00BA6F4B">
        <w:rPr>
          <w:rFonts w:asciiTheme="majorBidi" w:hAnsiTheme="majorBidi" w:cstheme="majorBidi"/>
          <w:sz w:val="24"/>
          <w:szCs w:val="24"/>
        </w:rPr>
        <w:t>Regarding their credit risk mitiga</w:t>
      </w:r>
      <w:r w:rsidR="00E22DA8">
        <w:rPr>
          <w:rFonts w:asciiTheme="majorBidi" w:hAnsiTheme="majorBidi" w:cstheme="majorBidi"/>
          <w:sz w:val="24"/>
          <w:szCs w:val="24"/>
        </w:rPr>
        <w:t>tion techniques, both banks made a</w:t>
      </w:r>
      <w:r w:rsidRPr="00BA6F4B">
        <w:rPr>
          <w:rFonts w:asciiTheme="majorBidi" w:hAnsiTheme="majorBidi" w:cstheme="majorBidi"/>
          <w:sz w:val="24"/>
          <w:szCs w:val="24"/>
        </w:rPr>
        <w:t xml:space="preserve"> good use of traditional approaches for minimizing credit risk, among which, credit limits and collateral as well as </w:t>
      </w:r>
    </w:p>
    <w:p w:rsidR="00114557" w:rsidRDefault="00F966A8" w:rsidP="00773FF0">
      <w:pPr>
        <w:autoSpaceDE w:val="0"/>
        <w:autoSpaceDN w:val="0"/>
        <w:adjustRightInd w:val="0"/>
        <w:spacing w:after="0" w:line="360" w:lineRule="auto"/>
        <w:jc w:val="both"/>
        <w:rPr>
          <w:rFonts w:asciiTheme="majorBidi" w:hAnsiTheme="majorBidi" w:cstheme="majorBidi"/>
          <w:sz w:val="24"/>
          <w:szCs w:val="24"/>
        </w:rPr>
      </w:pPr>
      <w:r w:rsidRPr="00BA6F4B">
        <w:rPr>
          <w:rFonts w:asciiTheme="majorBidi" w:hAnsiTheme="majorBidi" w:cstheme="majorBidi"/>
          <w:sz w:val="24"/>
          <w:szCs w:val="24"/>
        </w:rPr>
        <w:t>security take a leading role. However, both banks did not mention in their annual reports any description about new techniques or practices for minimizing credit risk such as securitization or credit derivatives, so it can be concluded that their practices for credit risk mitigation is still limited. This situation can be explained partly by the reason that most of their credit exposu</w:t>
      </w:r>
      <w:r w:rsidR="00BA6F4B" w:rsidRPr="00BA6F4B">
        <w:rPr>
          <w:rFonts w:asciiTheme="majorBidi" w:hAnsiTheme="majorBidi" w:cstheme="majorBidi"/>
          <w:sz w:val="24"/>
          <w:szCs w:val="24"/>
        </w:rPr>
        <w:t xml:space="preserve">res are coming from the individual, </w:t>
      </w:r>
      <w:r w:rsidRPr="00BA6F4B">
        <w:rPr>
          <w:rFonts w:asciiTheme="majorBidi" w:hAnsiTheme="majorBidi" w:cstheme="majorBidi"/>
          <w:sz w:val="24"/>
          <w:szCs w:val="24"/>
        </w:rPr>
        <w:t>commercial lend</w:t>
      </w:r>
      <w:r w:rsidR="00BA6F4B" w:rsidRPr="00BA6F4B">
        <w:rPr>
          <w:rFonts w:asciiTheme="majorBidi" w:hAnsiTheme="majorBidi" w:cstheme="majorBidi"/>
          <w:sz w:val="24"/>
          <w:szCs w:val="24"/>
        </w:rPr>
        <w:t>ing and public lending,</w:t>
      </w:r>
      <w:r w:rsidRPr="00BA6F4B">
        <w:rPr>
          <w:rFonts w:asciiTheme="majorBidi" w:hAnsiTheme="majorBidi" w:cstheme="majorBidi"/>
          <w:sz w:val="24"/>
          <w:szCs w:val="24"/>
        </w:rPr>
        <w:t xml:space="preserve"> for which the use of ways such as credit limits and collateral may already be sufficient to reduce the risk to an acceptable level.</w:t>
      </w:r>
    </w:p>
    <w:p w:rsidR="00BA6F4B" w:rsidRPr="00BA6F4B" w:rsidRDefault="00BA6F4B" w:rsidP="00F966A8">
      <w:pPr>
        <w:autoSpaceDE w:val="0"/>
        <w:autoSpaceDN w:val="0"/>
        <w:adjustRightInd w:val="0"/>
        <w:spacing w:after="0" w:line="360" w:lineRule="auto"/>
        <w:rPr>
          <w:rFonts w:asciiTheme="majorBidi" w:hAnsiTheme="majorBidi" w:cstheme="majorBidi"/>
          <w:sz w:val="24"/>
          <w:szCs w:val="24"/>
        </w:rPr>
      </w:pPr>
      <w:r w:rsidRPr="00BA6F4B">
        <w:rPr>
          <w:rFonts w:asciiTheme="majorBidi" w:hAnsiTheme="majorBidi" w:cstheme="majorBidi"/>
          <w:b/>
          <w:bCs/>
          <w:sz w:val="24"/>
          <w:szCs w:val="24"/>
        </w:rPr>
        <w:t>Credit Disclosure</w:t>
      </w:r>
    </w:p>
    <w:p w:rsidR="00114557" w:rsidRDefault="00351386" w:rsidP="00CE3E32">
      <w:pPr>
        <w:autoSpaceDE w:val="0"/>
        <w:autoSpaceDN w:val="0"/>
        <w:adjustRightInd w:val="0"/>
        <w:spacing w:after="0" w:line="360" w:lineRule="auto"/>
        <w:jc w:val="both"/>
        <w:rPr>
          <w:rFonts w:asciiTheme="majorBidi" w:hAnsiTheme="majorBidi" w:cstheme="majorBidi"/>
          <w:sz w:val="24"/>
          <w:szCs w:val="24"/>
        </w:rPr>
      </w:pPr>
      <w:r w:rsidRPr="00CE3E32">
        <w:rPr>
          <w:rFonts w:asciiTheme="majorBidi" w:hAnsiTheme="majorBidi" w:cstheme="majorBidi"/>
          <w:sz w:val="24"/>
          <w:szCs w:val="24"/>
        </w:rPr>
        <w:t xml:space="preserve">Credit disclosure has great impact on the completion of this part of study. Both banks PCB and PIB </w:t>
      </w:r>
      <w:r w:rsidR="005A7B24" w:rsidRPr="00CE3E32">
        <w:rPr>
          <w:rFonts w:asciiTheme="majorBidi" w:hAnsiTheme="majorBidi" w:cstheme="majorBidi"/>
          <w:sz w:val="24"/>
          <w:szCs w:val="24"/>
        </w:rPr>
        <w:t>have done obviously</w:t>
      </w:r>
      <w:r w:rsidRPr="00CE3E32">
        <w:rPr>
          <w:rFonts w:asciiTheme="majorBidi" w:hAnsiTheme="majorBidi" w:cstheme="majorBidi"/>
          <w:sz w:val="24"/>
          <w:szCs w:val="24"/>
        </w:rPr>
        <w:t xml:space="preserve"> worse and insufficient description in credit disclosure, and they are far from following the recommendations of Basel (2000). What can be found in</w:t>
      </w:r>
      <w:r w:rsidR="00E22DA8">
        <w:rPr>
          <w:rFonts w:asciiTheme="majorBidi" w:hAnsiTheme="majorBidi" w:cstheme="majorBidi"/>
          <w:sz w:val="24"/>
          <w:szCs w:val="24"/>
        </w:rPr>
        <w:t xml:space="preserve"> the Palestinian C</w:t>
      </w:r>
      <w:r w:rsidRPr="00CE3E32">
        <w:rPr>
          <w:rFonts w:asciiTheme="majorBidi" w:hAnsiTheme="majorBidi" w:cstheme="majorBidi"/>
          <w:sz w:val="24"/>
          <w:szCs w:val="24"/>
        </w:rPr>
        <w:t>ommercial bank (PCB)</w:t>
      </w:r>
      <w:r w:rsidR="00E22DA8">
        <w:rPr>
          <w:rFonts w:asciiTheme="majorBidi" w:hAnsiTheme="majorBidi" w:cstheme="majorBidi"/>
          <w:sz w:val="24"/>
          <w:szCs w:val="24"/>
        </w:rPr>
        <w:t>'s</w:t>
      </w:r>
      <w:r w:rsidRPr="00CE3E32">
        <w:rPr>
          <w:rFonts w:asciiTheme="majorBidi" w:hAnsiTheme="majorBidi" w:cstheme="majorBidi"/>
          <w:sz w:val="24"/>
          <w:szCs w:val="24"/>
        </w:rPr>
        <w:t xml:space="preserve"> annual reports </w:t>
      </w:r>
      <w:r w:rsidR="005A7B24" w:rsidRPr="00CE3E32">
        <w:rPr>
          <w:rFonts w:asciiTheme="majorBidi" w:hAnsiTheme="majorBidi" w:cstheme="majorBidi"/>
          <w:sz w:val="24"/>
          <w:szCs w:val="24"/>
        </w:rPr>
        <w:t xml:space="preserve">is  general description of the management structures, </w:t>
      </w:r>
      <w:r w:rsidR="005A7B24" w:rsidRPr="00CE3E32">
        <w:rPr>
          <w:rFonts w:asciiTheme="majorBidi" w:hAnsiTheme="majorBidi" w:cstheme="majorBidi"/>
          <w:sz w:val="24"/>
          <w:szCs w:val="24"/>
        </w:rPr>
        <w:lastRenderedPageBreak/>
        <w:t>policies and brief information regarding credit exposure and quality, no analysis</w:t>
      </w:r>
      <w:r w:rsidR="00E22DA8">
        <w:rPr>
          <w:rFonts w:asciiTheme="majorBidi" w:hAnsiTheme="majorBidi" w:cstheme="majorBidi"/>
          <w:sz w:val="24"/>
          <w:szCs w:val="24"/>
        </w:rPr>
        <w:t xml:space="preserve"> or</w:t>
      </w:r>
      <w:r w:rsidR="005A7B24" w:rsidRPr="00CE3E32">
        <w:rPr>
          <w:rFonts w:asciiTheme="majorBidi" w:hAnsiTheme="majorBidi" w:cstheme="majorBidi"/>
          <w:sz w:val="24"/>
          <w:szCs w:val="24"/>
        </w:rPr>
        <w:t xml:space="preserve"> explanation and no introduction about the rating or modeling systems have been disclosed. While Palestinian investment bank (PIB) has done </w:t>
      </w:r>
      <w:r w:rsidR="00E22DA8">
        <w:rPr>
          <w:rFonts w:asciiTheme="majorBidi" w:hAnsiTheme="majorBidi" w:cstheme="majorBidi"/>
          <w:sz w:val="24"/>
          <w:szCs w:val="24"/>
        </w:rPr>
        <w:t xml:space="preserve">obviously </w:t>
      </w:r>
      <w:r w:rsidR="005A7B24" w:rsidRPr="00CE3E32">
        <w:rPr>
          <w:rFonts w:asciiTheme="majorBidi" w:hAnsiTheme="majorBidi" w:cstheme="majorBidi"/>
          <w:sz w:val="24"/>
          <w:szCs w:val="24"/>
        </w:rPr>
        <w:t xml:space="preserve">much worse than PCB, since there is </w:t>
      </w:r>
      <w:r w:rsidR="00CE3E32" w:rsidRPr="00CE3E32">
        <w:rPr>
          <w:rFonts w:asciiTheme="majorBidi" w:hAnsiTheme="majorBidi" w:cstheme="majorBidi"/>
          <w:sz w:val="24"/>
          <w:szCs w:val="24"/>
        </w:rPr>
        <w:t>much</w:t>
      </w:r>
      <w:r w:rsidR="005A7B24" w:rsidRPr="00CE3E32">
        <w:rPr>
          <w:rFonts w:asciiTheme="majorBidi" w:hAnsiTheme="majorBidi" w:cstheme="majorBidi"/>
          <w:sz w:val="24"/>
          <w:szCs w:val="24"/>
        </w:rPr>
        <w:t xml:space="preserve"> lack of relevant information disclosed</w:t>
      </w:r>
      <w:r w:rsidR="00CE3E32" w:rsidRPr="00CE3E32">
        <w:rPr>
          <w:rFonts w:asciiTheme="majorBidi" w:hAnsiTheme="majorBidi" w:cstheme="majorBidi"/>
          <w:sz w:val="24"/>
          <w:szCs w:val="24"/>
        </w:rPr>
        <w:t xml:space="preserve"> in its annual reports, will certainly lead outsiders to doubt the soundness of banks’ credit risk management, which may actually be quite wrong and misleading.</w:t>
      </w:r>
    </w:p>
    <w:p w:rsidR="00F748B5" w:rsidRDefault="00F748B5" w:rsidP="00CE3E3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For simplification, we put the four banks into two groups, the first group comprise from the larger banks </w:t>
      </w:r>
      <w:r w:rsidR="00A2127D">
        <w:rPr>
          <w:rFonts w:asciiTheme="majorBidi" w:hAnsiTheme="majorBidi" w:cstheme="majorBidi"/>
          <w:sz w:val="24"/>
          <w:szCs w:val="24"/>
        </w:rPr>
        <w:t>(bank</w:t>
      </w:r>
      <w:r>
        <w:rPr>
          <w:rFonts w:asciiTheme="majorBidi" w:hAnsiTheme="majorBidi" w:cstheme="majorBidi"/>
          <w:sz w:val="24"/>
          <w:szCs w:val="24"/>
        </w:rPr>
        <w:t xml:space="preserve"> of Palestine and AL-quds bank) </w:t>
      </w:r>
      <w:r w:rsidR="00730042">
        <w:rPr>
          <w:rFonts w:asciiTheme="majorBidi" w:hAnsiTheme="majorBidi" w:cstheme="majorBidi"/>
          <w:sz w:val="24"/>
          <w:szCs w:val="24"/>
        </w:rPr>
        <w:t>w</w:t>
      </w:r>
      <w:r>
        <w:rPr>
          <w:rFonts w:asciiTheme="majorBidi" w:hAnsiTheme="majorBidi" w:cstheme="majorBidi"/>
          <w:sz w:val="24"/>
          <w:szCs w:val="24"/>
        </w:rPr>
        <w:t xml:space="preserve">hile the </w:t>
      </w:r>
      <w:r w:rsidR="00730042">
        <w:rPr>
          <w:rFonts w:asciiTheme="majorBidi" w:hAnsiTheme="majorBidi" w:cstheme="majorBidi"/>
          <w:sz w:val="24"/>
          <w:szCs w:val="24"/>
        </w:rPr>
        <w:t>smaller banks (Palestinian commercial bank and</w:t>
      </w:r>
      <w:r w:rsidR="00DD5D28">
        <w:rPr>
          <w:rFonts w:asciiTheme="majorBidi" w:hAnsiTheme="majorBidi" w:cstheme="majorBidi"/>
          <w:sz w:val="24"/>
          <w:szCs w:val="24"/>
        </w:rPr>
        <w:t xml:space="preserve"> Palestinian investment bank) represent</w:t>
      </w:r>
      <w:r w:rsidR="00730042">
        <w:rPr>
          <w:rFonts w:asciiTheme="majorBidi" w:hAnsiTheme="majorBidi" w:cstheme="majorBidi"/>
          <w:sz w:val="24"/>
          <w:szCs w:val="24"/>
        </w:rPr>
        <w:t xml:space="preserve"> the second group.</w:t>
      </w:r>
    </w:p>
    <w:p w:rsidR="004D2397" w:rsidRDefault="000D25AA" w:rsidP="00C60FA4">
      <w:pPr>
        <w:autoSpaceDE w:val="0"/>
        <w:autoSpaceDN w:val="0"/>
        <w:adjustRightInd w:val="0"/>
        <w:spacing w:after="0" w:line="360" w:lineRule="auto"/>
        <w:jc w:val="both"/>
        <w:rPr>
          <w:rFonts w:asciiTheme="majorBidi" w:hAnsiTheme="majorBidi" w:cstheme="majorBidi"/>
          <w:sz w:val="24"/>
          <w:szCs w:val="24"/>
        </w:rPr>
      </w:pPr>
      <w:r w:rsidRPr="00730042">
        <w:rPr>
          <w:rFonts w:asciiTheme="majorBidi" w:hAnsiTheme="majorBidi" w:cstheme="majorBidi"/>
          <w:sz w:val="24"/>
          <w:szCs w:val="24"/>
        </w:rPr>
        <w:t>To sum up the analysis,</w:t>
      </w:r>
      <w:r w:rsidR="00F748B5" w:rsidRPr="00730042">
        <w:rPr>
          <w:rFonts w:asciiTheme="majorBidi" w:hAnsiTheme="majorBidi" w:cstheme="majorBidi"/>
          <w:sz w:val="24"/>
          <w:szCs w:val="24"/>
        </w:rPr>
        <w:t xml:space="preserve"> we construct </w:t>
      </w:r>
      <w:r w:rsidR="00DD5D28">
        <w:rPr>
          <w:rFonts w:asciiTheme="majorBidi" w:hAnsiTheme="majorBidi" w:cstheme="majorBidi"/>
          <w:sz w:val="24"/>
          <w:szCs w:val="24"/>
        </w:rPr>
        <w:t xml:space="preserve">a </w:t>
      </w:r>
      <w:r w:rsidR="00F748B5" w:rsidRPr="00730042">
        <w:rPr>
          <w:rFonts w:asciiTheme="majorBidi" w:hAnsiTheme="majorBidi" w:cstheme="majorBidi"/>
          <w:sz w:val="24"/>
          <w:szCs w:val="24"/>
        </w:rPr>
        <w:t>table for summarizing the comparison results b</w:t>
      </w:r>
      <w:r w:rsidR="00730042" w:rsidRPr="00730042">
        <w:rPr>
          <w:rFonts w:asciiTheme="majorBidi" w:hAnsiTheme="majorBidi" w:cstheme="majorBidi"/>
          <w:sz w:val="24"/>
          <w:szCs w:val="24"/>
        </w:rPr>
        <w:t>e</w:t>
      </w:r>
      <w:r w:rsidR="00F748B5" w:rsidRPr="00730042">
        <w:rPr>
          <w:rFonts w:asciiTheme="majorBidi" w:hAnsiTheme="majorBidi" w:cstheme="majorBidi"/>
          <w:sz w:val="24"/>
          <w:szCs w:val="24"/>
        </w:rPr>
        <w:t>tween</w:t>
      </w:r>
      <w:r w:rsidR="00730042" w:rsidRPr="00730042">
        <w:rPr>
          <w:rFonts w:asciiTheme="majorBidi" w:hAnsiTheme="majorBidi" w:cstheme="majorBidi"/>
          <w:sz w:val="24"/>
          <w:szCs w:val="24"/>
        </w:rPr>
        <w:t xml:space="preserve"> group 1 and group 2</w:t>
      </w:r>
      <w:r w:rsidR="00F748B5" w:rsidRPr="00730042">
        <w:rPr>
          <w:rFonts w:asciiTheme="majorBidi" w:hAnsiTheme="majorBidi" w:cstheme="majorBidi"/>
          <w:sz w:val="24"/>
          <w:szCs w:val="24"/>
        </w:rPr>
        <w:t xml:space="preserve"> and emphasizing certain recommendations, which is displayed as follows.</w:t>
      </w:r>
    </w:p>
    <w:p w:rsidR="004459D4" w:rsidRDefault="004459D4" w:rsidP="00C60FA4">
      <w:pPr>
        <w:autoSpaceDE w:val="0"/>
        <w:autoSpaceDN w:val="0"/>
        <w:adjustRightInd w:val="0"/>
        <w:spacing w:after="0" w:line="360" w:lineRule="auto"/>
        <w:jc w:val="both"/>
        <w:rPr>
          <w:rFonts w:asciiTheme="majorBidi" w:hAnsiTheme="majorBidi" w:cstheme="majorBidi"/>
          <w:sz w:val="24"/>
          <w:szCs w:val="24"/>
        </w:rPr>
      </w:pPr>
    </w:p>
    <w:p w:rsidR="00730042" w:rsidRPr="00C60FA4" w:rsidRDefault="007B2075" w:rsidP="00C60FA4">
      <w:pPr>
        <w:autoSpaceDE w:val="0"/>
        <w:autoSpaceDN w:val="0"/>
        <w:adjustRightInd w:val="0"/>
        <w:spacing w:after="0" w:line="360" w:lineRule="auto"/>
        <w:jc w:val="center"/>
        <w:rPr>
          <w:rFonts w:asciiTheme="majorBidi" w:hAnsiTheme="majorBidi" w:cstheme="majorBidi"/>
          <w:b/>
          <w:bCs/>
        </w:rPr>
      </w:pPr>
      <w:r>
        <w:rPr>
          <w:rFonts w:asciiTheme="majorBidi" w:hAnsiTheme="majorBidi" w:cstheme="majorBidi"/>
          <w:b/>
          <w:bCs/>
        </w:rPr>
        <w:t>Table 4.34</w:t>
      </w:r>
      <w:r w:rsidR="00DD5D28" w:rsidRPr="00C60FA4">
        <w:rPr>
          <w:rFonts w:asciiTheme="majorBidi" w:hAnsiTheme="majorBidi" w:cstheme="majorBidi"/>
          <w:b/>
          <w:bCs/>
        </w:rPr>
        <w:t>: Comparisons and recommendations between the two groups of banks against Basel requirements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94"/>
        <w:gridCol w:w="2394"/>
        <w:gridCol w:w="2394"/>
        <w:gridCol w:w="2394"/>
      </w:tblGrid>
      <w:tr w:rsidR="00730042" w:rsidRPr="001D2328" w:rsidTr="00DD5D28">
        <w:tc>
          <w:tcPr>
            <w:tcW w:w="2394" w:type="dxa"/>
          </w:tcPr>
          <w:p w:rsidR="00730042" w:rsidRPr="001D2328" w:rsidRDefault="00730042" w:rsidP="00CE3E32">
            <w:pPr>
              <w:autoSpaceDE w:val="0"/>
              <w:autoSpaceDN w:val="0"/>
              <w:adjustRightInd w:val="0"/>
              <w:spacing w:line="360" w:lineRule="auto"/>
              <w:jc w:val="both"/>
              <w:rPr>
                <w:rFonts w:asciiTheme="majorBidi" w:hAnsiTheme="majorBidi" w:cstheme="majorBidi"/>
                <w:sz w:val="20"/>
                <w:szCs w:val="20"/>
              </w:rPr>
            </w:pPr>
          </w:p>
        </w:tc>
        <w:tc>
          <w:tcPr>
            <w:tcW w:w="2394" w:type="dxa"/>
          </w:tcPr>
          <w:p w:rsidR="00730042" w:rsidRPr="001D2328" w:rsidRDefault="00730042" w:rsidP="00730042">
            <w:pPr>
              <w:autoSpaceDE w:val="0"/>
              <w:autoSpaceDN w:val="0"/>
              <w:adjustRightInd w:val="0"/>
              <w:spacing w:line="360" w:lineRule="auto"/>
              <w:jc w:val="center"/>
              <w:rPr>
                <w:rFonts w:asciiTheme="majorBidi" w:hAnsiTheme="majorBidi" w:cstheme="majorBidi"/>
                <w:sz w:val="20"/>
                <w:szCs w:val="20"/>
              </w:rPr>
            </w:pPr>
            <w:r w:rsidRPr="001D2328">
              <w:rPr>
                <w:rFonts w:asciiTheme="majorBidi" w:hAnsiTheme="majorBidi" w:cstheme="majorBidi"/>
                <w:sz w:val="20"/>
                <w:szCs w:val="20"/>
              </w:rPr>
              <w:t>Group 1 Banks</w:t>
            </w:r>
          </w:p>
        </w:tc>
        <w:tc>
          <w:tcPr>
            <w:tcW w:w="2394" w:type="dxa"/>
          </w:tcPr>
          <w:p w:rsidR="00730042" w:rsidRPr="001D2328" w:rsidRDefault="00730042" w:rsidP="00730042">
            <w:pPr>
              <w:autoSpaceDE w:val="0"/>
              <w:autoSpaceDN w:val="0"/>
              <w:adjustRightInd w:val="0"/>
              <w:spacing w:line="360" w:lineRule="auto"/>
              <w:jc w:val="center"/>
              <w:rPr>
                <w:rFonts w:asciiTheme="majorBidi" w:hAnsiTheme="majorBidi" w:cstheme="majorBidi"/>
                <w:sz w:val="20"/>
                <w:szCs w:val="20"/>
              </w:rPr>
            </w:pPr>
            <w:r w:rsidRPr="001D2328">
              <w:rPr>
                <w:rFonts w:asciiTheme="majorBidi" w:hAnsiTheme="majorBidi" w:cstheme="majorBidi"/>
                <w:sz w:val="20"/>
                <w:szCs w:val="20"/>
              </w:rPr>
              <w:t>Group 2 Banks</w:t>
            </w:r>
          </w:p>
        </w:tc>
        <w:tc>
          <w:tcPr>
            <w:tcW w:w="2394" w:type="dxa"/>
          </w:tcPr>
          <w:p w:rsidR="00730042" w:rsidRPr="001D2328" w:rsidRDefault="00730042" w:rsidP="00730042">
            <w:pPr>
              <w:autoSpaceDE w:val="0"/>
              <w:autoSpaceDN w:val="0"/>
              <w:adjustRightInd w:val="0"/>
              <w:spacing w:line="360" w:lineRule="auto"/>
              <w:jc w:val="center"/>
              <w:rPr>
                <w:rFonts w:asciiTheme="majorBidi" w:hAnsiTheme="majorBidi" w:cstheme="majorBidi"/>
                <w:sz w:val="20"/>
                <w:szCs w:val="20"/>
              </w:rPr>
            </w:pPr>
            <w:r w:rsidRPr="001D2328">
              <w:rPr>
                <w:rFonts w:asciiTheme="majorBidi" w:hAnsiTheme="majorBidi" w:cstheme="majorBidi"/>
                <w:sz w:val="20"/>
                <w:szCs w:val="20"/>
              </w:rPr>
              <w:t>Analysis and Recommendations</w:t>
            </w:r>
          </w:p>
        </w:tc>
      </w:tr>
      <w:tr w:rsidR="00730042" w:rsidRPr="001D2328" w:rsidTr="00DD5D28">
        <w:tc>
          <w:tcPr>
            <w:tcW w:w="2394" w:type="dxa"/>
          </w:tcPr>
          <w:p w:rsidR="00730042" w:rsidRPr="001D2328" w:rsidRDefault="00DD5D28" w:rsidP="00DD5D28">
            <w:pPr>
              <w:autoSpaceDE w:val="0"/>
              <w:autoSpaceDN w:val="0"/>
              <w:adjustRightInd w:val="0"/>
              <w:spacing w:line="360" w:lineRule="auto"/>
              <w:rPr>
                <w:rFonts w:asciiTheme="majorBidi" w:hAnsiTheme="majorBidi" w:cstheme="majorBidi"/>
                <w:sz w:val="20"/>
                <w:szCs w:val="20"/>
              </w:rPr>
            </w:pPr>
            <w:r w:rsidRPr="001D2328">
              <w:rPr>
                <w:rFonts w:asciiTheme="majorBidi" w:hAnsiTheme="majorBidi" w:cstheme="majorBidi"/>
                <w:sz w:val="20"/>
                <w:szCs w:val="20"/>
              </w:rPr>
              <w:t>Credit risk environment</w:t>
            </w:r>
          </w:p>
        </w:tc>
        <w:tc>
          <w:tcPr>
            <w:tcW w:w="2394" w:type="dxa"/>
          </w:tcPr>
          <w:p w:rsidR="00730042" w:rsidRDefault="00F84A28" w:rsidP="001D23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w:t>
            </w:r>
            <w:r w:rsidR="008B3DD4" w:rsidRPr="001D2328">
              <w:rPr>
                <w:rFonts w:asciiTheme="majorBidi" w:hAnsiTheme="majorBidi" w:cstheme="majorBidi"/>
                <w:sz w:val="20"/>
                <w:szCs w:val="20"/>
              </w:rPr>
              <w:t>lear understanding on maximum credit</w:t>
            </w:r>
            <w:r w:rsidR="001D2328" w:rsidRPr="001D2328">
              <w:rPr>
                <w:rFonts w:asciiTheme="majorBidi" w:hAnsiTheme="majorBidi" w:cstheme="majorBidi"/>
                <w:sz w:val="20"/>
                <w:szCs w:val="20"/>
              </w:rPr>
              <w:t xml:space="preserve"> exposure in the business</w:t>
            </w:r>
          </w:p>
          <w:p w:rsidR="001D2328" w:rsidRPr="001D2328" w:rsidRDefault="00F84A28" w:rsidP="001D23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w:t>
            </w:r>
            <w:r w:rsidR="001D2328">
              <w:rPr>
                <w:rFonts w:asciiTheme="majorBidi" w:hAnsiTheme="majorBidi" w:cstheme="majorBidi"/>
                <w:sz w:val="20"/>
                <w:szCs w:val="20"/>
              </w:rPr>
              <w:t>lear designation of credit risk management responsibilities</w:t>
            </w:r>
          </w:p>
        </w:tc>
        <w:tc>
          <w:tcPr>
            <w:tcW w:w="2394" w:type="dxa"/>
          </w:tcPr>
          <w:p w:rsidR="00730042" w:rsidRDefault="00F84A28"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-u</w:t>
            </w:r>
            <w:r w:rsidR="001D2328">
              <w:rPr>
                <w:rFonts w:asciiTheme="majorBidi" w:hAnsiTheme="majorBidi" w:cstheme="majorBidi"/>
                <w:sz w:val="20"/>
                <w:szCs w:val="20"/>
              </w:rPr>
              <w:t>nsatisfactory levels of governance environment</w:t>
            </w:r>
          </w:p>
          <w:p w:rsidR="001D2328" w:rsidRDefault="00F201DE" w:rsidP="00F201DE">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 xml:space="preserve">-PIB had completely no description about governance structure </w:t>
            </w:r>
          </w:p>
          <w:p w:rsidR="001D2328" w:rsidRPr="001D2328" w:rsidRDefault="001D2328" w:rsidP="00CE3E32">
            <w:pPr>
              <w:autoSpaceDE w:val="0"/>
              <w:autoSpaceDN w:val="0"/>
              <w:adjustRightInd w:val="0"/>
              <w:spacing w:line="360" w:lineRule="auto"/>
              <w:jc w:val="both"/>
              <w:rPr>
                <w:rFonts w:asciiTheme="majorBidi" w:hAnsiTheme="majorBidi" w:cstheme="majorBidi"/>
                <w:sz w:val="20"/>
                <w:szCs w:val="20"/>
              </w:rPr>
            </w:pPr>
          </w:p>
        </w:tc>
        <w:tc>
          <w:tcPr>
            <w:tcW w:w="2394" w:type="dxa"/>
          </w:tcPr>
          <w:p w:rsidR="00730042" w:rsidRDefault="00F84A28" w:rsidP="00F201DE">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g</w:t>
            </w:r>
            <w:r w:rsidR="00F201DE">
              <w:rPr>
                <w:rFonts w:asciiTheme="majorBidi" w:hAnsiTheme="majorBidi" w:cstheme="majorBidi"/>
                <w:sz w:val="20"/>
                <w:szCs w:val="20"/>
              </w:rPr>
              <w:t xml:space="preserve">enerally, the sample banks have not yet met satisfactory levels </w:t>
            </w:r>
            <w:r w:rsidR="00D2349D">
              <w:rPr>
                <w:rFonts w:asciiTheme="majorBidi" w:hAnsiTheme="majorBidi" w:cstheme="majorBidi"/>
                <w:sz w:val="20"/>
                <w:szCs w:val="20"/>
              </w:rPr>
              <w:t xml:space="preserve"> with Basel requirements on establishing appropriate credit environment </w:t>
            </w:r>
          </w:p>
          <w:p w:rsidR="00D2349D" w:rsidRPr="001D2328" w:rsidRDefault="00D2349D" w:rsidP="00F201DE">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-BOP indicate satisfactory levels in this area</w:t>
            </w:r>
          </w:p>
        </w:tc>
      </w:tr>
      <w:tr w:rsidR="00730042" w:rsidRPr="001D2328" w:rsidTr="00DD5D28">
        <w:tc>
          <w:tcPr>
            <w:tcW w:w="2394" w:type="dxa"/>
          </w:tcPr>
          <w:p w:rsidR="00730042" w:rsidRPr="001D2328" w:rsidRDefault="00DD5D28" w:rsidP="00DD5D28">
            <w:pPr>
              <w:autoSpaceDE w:val="0"/>
              <w:autoSpaceDN w:val="0"/>
              <w:adjustRightInd w:val="0"/>
              <w:spacing w:line="360" w:lineRule="auto"/>
              <w:rPr>
                <w:rFonts w:asciiTheme="majorBidi" w:hAnsiTheme="majorBidi" w:cstheme="majorBidi"/>
                <w:sz w:val="20"/>
                <w:szCs w:val="20"/>
              </w:rPr>
            </w:pPr>
            <w:r w:rsidRPr="001D2328">
              <w:rPr>
                <w:rFonts w:asciiTheme="majorBidi" w:hAnsiTheme="majorBidi" w:cstheme="majorBidi"/>
                <w:sz w:val="20"/>
                <w:szCs w:val="20"/>
              </w:rPr>
              <w:t>Credit granting process</w:t>
            </w:r>
          </w:p>
        </w:tc>
        <w:tc>
          <w:tcPr>
            <w:tcW w:w="2394" w:type="dxa"/>
          </w:tcPr>
          <w:p w:rsidR="00730042" w:rsidRDefault="00F84A28" w:rsidP="00F84A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-different assessments are designed to different customer types</w:t>
            </w:r>
          </w:p>
          <w:p w:rsidR="00F84A28" w:rsidRPr="001D2328" w:rsidRDefault="00F84A28" w:rsidP="00F84A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-AL-quds bank lack relevant information</w:t>
            </w:r>
          </w:p>
        </w:tc>
        <w:tc>
          <w:tcPr>
            <w:tcW w:w="2394" w:type="dxa"/>
          </w:tcPr>
          <w:p w:rsidR="00F84A28" w:rsidRDefault="00F84A28" w:rsidP="00F84A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-systematic procedure for credit granting</w:t>
            </w:r>
          </w:p>
          <w:p w:rsidR="00730042" w:rsidRPr="001D2328" w:rsidRDefault="00F84A28" w:rsidP="00F84A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-lacks of relevant information at PIB</w:t>
            </w:r>
          </w:p>
        </w:tc>
        <w:tc>
          <w:tcPr>
            <w:tcW w:w="2394" w:type="dxa"/>
          </w:tcPr>
          <w:p w:rsidR="00730042" w:rsidRDefault="00F84A28" w:rsidP="00F84A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-the sample banks should make efforts to make their credit granting process  more sustainable</w:t>
            </w:r>
          </w:p>
          <w:p w:rsidR="00F84A28" w:rsidRPr="001D2328" w:rsidRDefault="00F84A28" w:rsidP="00F84A28">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w:t>
            </w:r>
            <w:r w:rsidR="003140F0">
              <w:rPr>
                <w:rFonts w:asciiTheme="majorBidi" w:hAnsiTheme="majorBidi" w:cstheme="majorBidi"/>
                <w:sz w:val="20"/>
                <w:szCs w:val="20"/>
              </w:rPr>
              <w:t xml:space="preserve">relevant information should be disclosed </w:t>
            </w:r>
          </w:p>
        </w:tc>
      </w:tr>
      <w:tr w:rsidR="00730042" w:rsidRPr="001D2328" w:rsidTr="00DD5D28">
        <w:tc>
          <w:tcPr>
            <w:tcW w:w="2394" w:type="dxa"/>
          </w:tcPr>
          <w:p w:rsidR="00730042" w:rsidRPr="001D2328" w:rsidRDefault="00C7076B" w:rsidP="00C7076B">
            <w:pPr>
              <w:autoSpaceDE w:val="0"/>
              <w:autoSpaceDN w:val="0"/>
              <w:adjustRightInd w:val="0"/>
              <w:spacing w:line="360" w:lineRule="auto"/>
              <w:rPr>
                <w:rFonts w:asciiTheme="majorBidi" w:hAnsiTheme="majorBidi" w:cstheme="majorBidi"/>
                <w:sz w:val="20"/>
                <w:szCs w:val="20"/>
              </w:rPr>
            </w:pPr>
            <w:r w:rsidRPr="001D2328">
              <w:rPr>
                <w:rFonts w:asciiTheme="majorBidi" w:hAnsiTheme="majorBidi" w:cstheme="majorBidi"/>
                <w:sz w:val="20"/>
                <w:szCs w:val="20"/>
              </w:rPr>
              <w:t>Credit risk measurement</w:t>
            </w:r>
          </w:p>
        </w:tc>
        <w:tc>
          <w:tcPr>
            <w:tcW w:w="2394" w:type="dxa"/>
          </w:tcPr>
          <w:p w:rsidR="00730042" w:rsidRDefault="003140F0"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-internal rating systems are used</w:t>
            </w:r>
          </w:p>
          <w:p w:rsidR="003140F0" w:rsidRPr="001D2328" w:rsidRDefault="003140F0"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 xml:space="preserve">-self developed PD model at BOP </w:t>
            </w:r>
          </w:p>
        </w:tc>
        <w:tc>
          <w:tcPr>
            <w:tcW w:w="2394" w:type="dxa"/>
          </w:tcPr>
          <w:p w:rsidR="00730042" w:rsidRDefault="003140F0"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-lacks of self-developed credit risk models</w:t>
            </w:r>
          </w:p>
          <w:p w:rsidR="003140F0" w:rsidRDefault="003140F0"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-internal rating systems are used</w:t>
            </w:r>
          </w:p>
          <w:p w:rsidR="003140F0" w:rsidRPr="001D2328" w:rsidRDefault="003140F0" w:rsidP="003140F0">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 xml:space="preserve">-lacks of  rating system for </w:t>
            </w:r>
            <w:r>
              <w:rPr>
                <w:rFonts w:asciiTheme="majorBidi" w:hAnsiTheme="majorBidi" w:cstheme="majorBidi"/>
                <w:sz w:val="20"/>
                <w:szCs w:val="20"/>
              </w:rPr>
              <w:lastRenderedPageBreak/>
              <w:t>individuals borrowers at PCB</w:t>
            </w:r>
          </w:p>
        </w:tc>
        <w:tc>
          <w:tcPr>
            <w:tcW w:w="2394" w:type="dxa"/>
          </w:tcPr>
          <w:p w:rsidR="00730042" w:rsidRDefault="003140F0" w:rsidP="005C4E16">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lastRenderedPageBreak/>
              <w:t>-should give more attention to</w:t>
            </w:r>
            <w:r w:rsidR="005C4E16">
              <w:rPr>
                <w:rFonts w:asciiTheme="majorBidi" w:hAnsiTheme="majorBidi" w:cstheme="majorBidi"/>
                <w:sz w:val="20"/>
                <w:szCs w:val="20"/>
              </w:rPr>
              <w:t xml:space="preserve"> the use of</w:t>
            </w:r>
            <w:r>
              <w:rPr>
                <w:rFonts w:asciiTheme="majorBidi" w:hAnsiTheme="majorBidi" w:cstheme="majorBidi"/>
                <w:sz w:val="20"/>
                <w:szCs w:val="20"/>
              </w:rPr>
              <w:t xml:space="preserve"> credit risk models</w:t>
            </w:r>
          </w:p>
          <w:p w:rsidR="003140F0" w:rsidRDefault="003140F0" w:rsidP="005C4E16">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w:t>
            </w:r>
            <w:r w:rsidR="005C4E16">
              <w:rPr>
                <w:rFonts w:asciiTheme="majorBidi" w:hAnsiTheme="majorBidi" w:cstheme="majorBidi"/>
                <w:sz w:val="20"/>
                <w:szCs w:val="20"/>
              </w:rPr>
              <w:t xml:space="preserve">the use of external rating systems should be </w:t>
            </w:r>
            <w:r w:rsidR="005C4E16">
              <w:rPr>
                <w:rFonts w:asciiTheme="majorBidi" w:hAnsiTheme="majorBidi" w:cstheme="majorBidi"/>
                <w:sz w:val="20"/>
                <w:szCs w:val="20"/>
              </w:rPr>
              <w:lastRenderedPageBreak/>
              <w:t>followed</w:t>
            </w:r>
          </w:p>
          <w:p w:rsidR="005C4E16" w:rsidRPr="001D2328" w:rsidRDefault="005C4E16" w:rsidP="005C4E16">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-stress testing should be given more attention</w:t>
            </w:r>
          </w:p>
        </w:tc>
      </w:tr>
      <w:tr w:rsidR="00730042" w:rsidRPr="001D2328" w:rsidTr="00DD5D28">
        <w:tc>
          <w:tcPr>
            <w:tcW w:w="2394" w:type="dxa"/>
          </w:tcPr>
          <w:p w:rsidR="00730042" w:rsidRPr="001D2328" w:rsidRDefault="00C7076B" w:rsidP="00CE3E32">
            <w:pPr>
              <w:autoSpaceDE w:val="0"/>
              <w:autoSpaceDN w:val="0"/>
              <w:adjustRightInd w:val="0"/>
              <w:spacing w:line="360" w:lineRule="auto"/>
              <w:jc w:val="both"/>
              <w:rPr>
                <w:rFonts w:asciiTheme="majorBidi" w:hAnsiTheme="majorBidi" w:cstheme="majorBidi"/>
                <w:sz w:val="20"/>
                <w:szCs w:val="20"/>
              </w:rPr>
            </w:pPr>
            <w:r w:rsidRPr="001D2328">
              <w:rPr>
                <w:rFonts w:asciiTheme="majorBidi" w:hAnsiTheme="majorBidi" w:cstheme="majorBidi"/>
                <w:sz w:val="20"/>
                <w:szCs w:val="20"/>
              </w:rPr>
              <w:lastRenderedPageBreak/>
              <w:t>Credit monitor and control</w:t>
            </w:r>
          </w:p>
        </w:tc>
        <w:tc>
          <w:tcPr>
            <w:tcW w:w="2394" w:type="dxa"/>
          </w:tcPr>
          <w:p w:rsidR="00730042" w:rsidRDefault="00695723" w:rsidP="00695723">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-credit concentration is given attention to</w:t>
            </w:r>
          </w:p>
          <w:p w:rsidR="00695723" w:rsidRDefault="00695723" w:rsidP="00695723">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-credit review is undertaken</w:t>
            </w:r>
          </w:p>
          <w:p w:rsidR="00695723" w:rsidRPr="001D2328" w:rsidRDefault="00695723" w:rsidP="00695723">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-credit quality is made</w:t>
            </w:r>
          </w:p>
        </w:tc>
        <w:tc>
          <w:tcPr>
            <w:tcW w:w="2394" w:type="dxa"/>
          </w:tcPr>
          <w:p w:rsidR="00730042" w:rsidRDefault="00695723" w:rsidP="00695723">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-credit concentration is given attention</w:t>
            </w:r>
          </w:p>
          <w:p w:rsidR="00695723" w:rsidRDefault="00695723" w:rsidP="00695723">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-credit review is undertaken</w:t>
            </w:r>
          </w:p>
          <w:p w:rsidR="00695723" w:rsidRPr="001D2328" w:rsidRDefault="00695723"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-credit quality is made</w:t>
            </w:r>
          </w:p>
        </w:tc>
        <w:tc>
          <w:tcPr>
            <w:tcW w:w="2394" w:type="dxa"/>
          </w:tcPr>
          <w:p w:rsidR="00730042" w:rsidRPr="001D2328" w:rsidRDefault="00695723" w:rsidP="00695723">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-group 1(larger banks) accord better job ) to Basel requirements than group 2 (smaller banks)</w:t>
            </w:r>
          </w:p>
        </w:tc>
      </w:tr>
      <w:tr w:rsidR="00730042" w:rsidRPr="001D2328" w:rsidTr="00DD5D28">
        <w:tc>
          <w:tcPr>
            <w:tcW w:w="2394" w:type="dxa"/>
          </w:tcPr>
          <w:p w:rsidR="00730042" w:rsidRPr="001D2328" w:rsidRDefault="00C7076B" w:rsidP="00695723">
            <w:pPr>
              <w:autoSpaceDE w:val="0"/>
              <w:autoSpaceDN w:val="0"/>
              <w:adjustRightInd w:val="0"/>
              <w:spacing w:line="360" w:lineRule="auto"/>
              <w:rPr>
                <w:rFonts w:asciiTheme="majorBidi" w:hAnsiTheme="majorBidi" w:cstheme="majorBidi"/>
                <w:sz w:val="20"/>
                <w:szCs w:val="20"/>
              </w:rPr>
            </w:pPr>
            <w:r w:rsidRPr="001D2328">
              <w:rPr>
                <w:rFonts w:asciiTheme="majorBidi" w:hAnsiTheme="majorBidi" w:cstheme="majorBidi"/>
                <w:sz w:val="20"/>
                <w:szCs w:val="20"/>
              </w:rPr>
              <w:t>Credit risk mitigation techniques</w:t>
            </w:r>
          </w:p>
        </w:tc>
        <w:tc>
          <w:tcPr>
            <w:tcW w:w="2394" w:type="dxa"/>
          </w:tcPr>
          <w:p w:rsidR="00730042" w:rsidRPr="001D2328" w:rsidRDefault="00695723"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-combination of traditional and newer methods for minimizing credit risk</w:t>
            </w:r>
          </w:p>
        </w:tc>
        <w:tc>
          <w:tcPr>
            <w:tcW w:w="2394" w:type="dxa"/>
          </w:tcPr>
          <w:p w:rsidR="00730042" w:rsidRPr="001D2328" w:rsidRDefault="00AE0D8B" w:rsidP="00AE0D8B">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-reliance on traditional methods for mitigation credit risk</w:t>
            </w:r>
          </w:p>
        </w:tc>
        <w:tc>
          <w:tcPr>
            <w:tcW w:w="2394" w:type="dxa"/>
          </w:tcPr>
          <w:p w:rsidR="00730042" w:rsidRPr="001D2328" w:rsidRDefault="00AE0D8B"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-the bank should choose and adopt the mitigation technique that  match its credit exposure type</w:t>
            </w:r>
          </w:p>
        </w:tc>
      </w:tr>
      <w:tr w:rsidR="00730042" w:rsidRPr="001D2328" w:rsidTr="00DD5D28">
        <w:tc>
          <w:tcPr>
            <w:tcW w:w="2394" w:type="dxa"/>
          </w:tcPr>
          <w:p w:rsidR="00730042" w:rsidRPr="001D2328" w:rsidRDefault="00C7076B" w:rsidP="00CE3E32">
            <w:pPr>
              <w:autoSpaceDE w:val="0"/>
              <w:autoSpaceDN w:val="0"/>
              <w:adjustRightInd w:val="0"/>
              <w:spacing w:line="360" w:lineRule="auto"/>
              <w:jc w:val="both"/>
              <w:rPr>
                <w:rFonts w:asciiTheme="majorBidi" w:hAnsiTheme="majorBidi" w:cstheme="majorBidi"/>
                <w:sz w:val="20"/>
                <w:szCs w:val="20"/>
              </w:rPr>
            </w:pPr>
            <w:r w:rsidRPr="001D2328">
              <w:rPr>
                <w:rFonts w:asciiTheme="majorBidi" w:hAnsiTheme="majorBidi" w:cstheme="majorBidi"/>
                <w:sz w:val="20"/>
                <w:szCs w:val="20"/>
              </w:rPr>
              <w:t xml:space="preserve">Credit </w:t>
            </w:r>
            <w:r w:rsidR="008E25A6" w:rsidRPr="001D2328">
              <w:rPr>
                <w:rFonts w:asciiTheme="majorBidi" w:hAnsiTheme="majorBidi" w:cstheme="majorBidi"/>
                <w:sz w:val="20"/>
                <w:szCs w:val="20"/>
              </w:rPr>
              <w:t>disclosure</w:t>
            </w:r>
          </w:p>
        </w:tc>
        <w:tc>
          <w:tcPr>
            <w:tcW w:w="2394" w:type="dxa"/>
          </w:tcPr>
          <w:p w:rsidR="00730042" w:rsidRPr="00DF2A82" w:rsidRDefault="00DF2A82" w:rsidP="00DF2A82">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-medium satisfactory levels of information disclosure</w:t>
            </w:r>
          </w:p>
          <w:p w:rsidR="00AE0D8B" w:rsidRPr="001D2328" w:rsidRDefault="00AE0D8B" w:rsidP="00CE3E32">
            <w:pPr>
              <w:autoSpaceDE w:val="0"/>
              <w:autoSpaceDN w:val="0"/>
              <w:adjustRightInd w:val="0"/>
              <w:spacing w:line="360" w:lineRule="auto"/>
              <w:jc w:val="both"/>
              <w:rPr>
                <w:rFonts w:asciiTheme="majorBidi" w:hAnsiTheme="majorBidi" w:cstheme="majorBidi"/>
                <w:sz w:val="20"/>
                <w:szCs w:val="20"/>
              </w:rPr>
            </w:pPr>
          </w:p>
        </w:tc>
        <w:tc>
          <w:tcPr>
            <w:tcW w:w="2394" w:type="dxa"/>
          </w:tcPr>
          <w:p w:rsidR="00730042" w:rsidRDefault="00AE0D8B" w:rsidP="00DF2A82">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Limited information disclosed in the annual reports</w:t>
            </w:r>
          </w:p>
          <w:p w:rsidR="00DF2A82" w:rsidRPr="001D2328" w:rsidRDefault="00DF2A82" w:rsidP="00DF2A82">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sz w:val="20"/>
                <w:szCs w:val="20"/>
              </w:rPr>
              <w:t xml:space="preserve">-PIB has very limited information disclosure </w:t>
            </w:r>
          </w:p>
        </w:tc>
        <w:tc>
          <w:tcPr>
            <w:tcW w:w="2394" w:type="dxa"/>
          </w:tcPr>
          <w:p w:rsidR="00730042" w:rsidRPr="001D2328" w:rsidRDefault="00DF2A82" w:rsidP="00CE3E32">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0"/>
                <w:szCs w:val="20"/>
              </w:rPr>
              <w:t xml:space="preserve">-the sample banks should make improvements to meet Basel requirements on credit disclosure </w:t>
            </w:r>
          </w:p>
        </w:tc>
      </w:tr>
    </w:tbl>
    <w:p w:rsidR="002A4D97" w:rsidRDefault="002A4D97" w:rsidP="002A4D97">
      <w:pPr>
        <w:autoSpaceDE w:val="0"/>
        <w:autoSpaceDN w:val="0"/>
        <w:adjustRightInd w:val="0"/>
        <w:spacing w:after="0" w:line="360" w:lineRule="auto"/>
        <w:jc w:val="center"/>
        <w:rPr>
          <w:rFonts w:asciiTheme="majorBidi" w:hAnsiTheme="majorBidi" w:cstheme="majorBidi"/>
          <w:sz w:val="20"/>
          <w:szCs w:val="20"/>
        </w:rPr>
      </w:pPr>
    </w:p>
    <w:p w:rsidR="00114557" w:rsidRPr="008A0806" w:rsidRDefault="008A0806" w:rsidP="002A4D97">
      <w:pPr>
        <w:autoSpaceDE w:val="0"/>
        <w:autoSpaceDN w:val="0"/>
        <w:adjustRightInd w:val="0"/>
        <w:spacing w:after="0" w:line="360" w:lineRule="auto"/>
        <w:jc w:val="center"/>
        <w:rPr>
          <w:rFonts w:asciiTheme="majorBidi" w:hAnsiTheme="majorBidi" w:cstheme="majorBidi"/>
          <w:b/>
          <w:bCs/>
          <w:sz w:val="20"/>
          <w:szCs w:val="20"/>
        </w:rPr>
      </w:pPr>
      <w:r w:rsidRPr="008A0806">
        <w:rPr>
          <w:rFonts w:asciiTheme="majorBidi" w:hAnsiTheme="majorBidi" w:cstheme="majorBidi"/>
          <w:sz w:val="20"/>
          <w:szCs w:val="20"/>
        </w:rPr>
        <w:t>Source: Zidan (The Author), 2013</w:t>
      </w:r>
    </w:p>
    <w:p w:rsidR="00C87322" w:rsidRPr="00CE3E32" w:rsidRDefault="00C87322" w:rsidP="00CE3E32">
      <w:pPr>
        <w:autoSpaceDE w:val="0"/>
        <w:autoSpaceDN w:val="0"/>
        <w:adjustRightInd w:val="0"/>
        <w:spacing w:after="0" w:line="360" w:lineRule="auto"/>
        <w:jc w:val="both"/>
        <w:rPr>
          <w:rFonts w:asciiTheme="majorBidi" w:hAnsiTheme="majorBidi" w:cstheme="majorBidi"/>
          <w:b/>
          <w:bCs/>
          <w:sz w:val="24"/>
          <w:szCs w:val="24"/>
        </w:rPr>
      </w:pPr>
    </w:p>
    <w:p w:rsidR="00C87322" w:rsidRDefault="00C87322" w:rsidP="00C859F6">
      <w:pPr>
        <w:autoSpaceDE w:val="0"/>
        <w:autoSpaceDN w:val="0"/>
        <w:adjustRightInd w:val="0"/>
        <w:spacing w:after="0" w:line="360" w:lineRule="auto"/>
        <w:jc w:val="center"/>
        <w:rPr>
          <w:rFonts w:asciiTheme="majorBidi" w:hAnsiTheme="majorBidi" w:cstheme="majorBidi"/>
          <w:b/>
          <w:bCs/>
          <w:sz w:val="28"/>
          <w:szCs w:val="28"/>
        </w:rPr>
      </w:pPr>
    </w:p>
    <w:p w:rsidR="00C87322" w:rsidRDefault="00C87322" w:rsidP="00C859F6">
      <w:pPr>
        <w:autoSpaceDE w:val="0"/>
        <w:autoSpaceDN w:val="0"/>
        <w:adjustRightInd w:val="0"/>
        <w:spacing w:after="0" w:line="360" w:lineRule="auto"/>
        <w:jc w:val="center"/>
        <w:rPr>
          <w:rFonts w:asciiTheme="majorBidi" w:hAnsiTheme="majorBidi" w:cstheme="majorBidi"/>
          <w:b/>
          <w:bCs/>
          <w:sz w:val="28"/>
          <w:szCs w:val="28"/>
        </w:rPr>
      </w:pPr>
    </w:p>
    <w:p w:rsidR="00F36759" w:rsidRDefault="00F36759" w:rsidP="00F36759">
      <w:pPr>
        <w:autoSpaceDE w:val="0"/>
        <w:autoSpaceDN w:val="0"/>
        <w:adjustRightInd w:val="0"/>
        <w:spacing w:after="0" w:line="360" w:lineRule="auto"/>
        <w:rPr>
          <w:rFonts w:asciiTheme="majorBidi" w:hAnsiTheme="majorBidi" w:cstheme="majorBidi"/>
          <w:b/>
          <w:bCs/>
          <w:sz w:val="28"/>
          <w:szCs w:val="28"/>
        </w:rPr>
      </w:pPr>
    </w:p>
    <w:p w:rsidR="000B7094" w:rsidRDefault="000B7094" w:rsidP="00F36759">
      <w:pPr>
        <w:autoSpaceDE w:val="0"/>
        <w:autoSpaceDN w:val="0"/>
        <w:adjustRightInd w:val="0"/>
        <w:spacing w:after="0" w:line="360" w:lineRule="auto"/>
        <w:jc w:val="center"/>
        <w:rPr>
          <w:rFonts w:asciiTheme="majorBidi" w:hAnsiTheme="majorBidi" w:cstheme="majorBidi"/>
          <w:b/>
          <w:bCs/>
          <w:sz w:val="24"/>
          <w:szCs w:val="24"/>
        </w:rPr>
      </w:pPr>
    </w:p>
    <w:p w:rsidR="00E22DA8" w:rsidRDefault="00E22DA8" w:rsidP="00E22DA8">
      <w:pPr>
        <w:autoSpaceDE w:val="0"/>
        <w:autoSpaceDN w:val="0"/>
        <w:adjustRightInd w:val="0"/>
        <w:spacing w:after="0" w:line="360" w:lineRule="auto"/>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625006" w:rsidRDefault="00625006" w:rsidP="0019221B">
      <w:pPr>
        <w:autoSpaceDE w:val="0"/>
        <w:autoSpaceDN w:val="0"/>
        <w:adjustRightInd w:val="0"/>
        <w:spacing w:after="0" w:line="360" w:lineRule="auto"/>
        <w:rPr>
          <w:rFonts w:asciiTheme="majorBidi" w:hAnsiTheme="majorBidi" w:cstheme="majorBidi"/>
          <w:b/>
          <w:bCs/>
          <w:sz w:val="24"/>
          <w:szCs w:val="24"/>
        </w:rPr>
      </w:pPr>
    </w:p>
    <w:p w:rsidR="00773FF0" w:rsidRDefault="00773FF0" w:rsidP="00E22DA8">
      <w:pPr>
        <w:autoSpaceDE w:val="0"/>
        <w:autoSpaceDN w:val="0"/>
        <w:adjustRightInd w:val="0"/>
        <w:spacing w:after="0" w:line="360" w:lineRule="auto"/>
        <w:jc w:val="center"/>
        <w:rPr>
          <w:rFonts w:asciiTheme="majorBidi" w:hAnsiTheme="majorBidi" w:cstheme="majorBidi"/>
          <w:b/>
          <w:bCs/>
          <w:sz w:val="24"/>
          <w:szCs w:val="24"/>
        </w:rPr>
      </w:pPr>
    </w:p>
    <w:p w:rsidR="00DA3772" w:rsidRPr="00C60FA4" w:rsidRDefault="00DA3772" w:rsidP="00E22DA8">
      <w:pPr>
        <w:autoSpaceDE w:val="0"/>
        <w:autoSpaceDN w:val="0"/>
        <w:adjustRightInd w:val="0"/>
        <w:spacing w:after="0" w:line="360" w:lineRule="auto"/>
        <w:jc w:val="center"/>
        <w:rPr>
          <w:rFonts w:asciiTheme="majorBidi" w:hAnsiTheme="majorBidi" w:cstheme="majorBidi"/>
          <w:b/>
          <w:bCs/>
          <w:sz w:val="24"/>
          <w:szCs w:val="24"/>
        </w:rPr>
      </w:pPr>
      <w:r w:rsidRPr="00C60FA4">
        <w:rPr>
          <w:rFonts w:asciiTheme="majorBidi" w:hAnsiTheme="majorBidi" w:cstheme="majorBidi"/>
          <w:b/>
          <w:bCs/>
          <w:sz w:val="24"/>
          <w:szCs w:val="24"/>
        </w:rPr>
        <w:lastRenderedPageBreak/>
        <w:t>CHAPTER FIVE</w:t>
      </w:r>
    </w:p>
    <w:p w:rsidR="003511F7" w:rsidRPr="00C60FA4" w:rsidRDefault="00576545" w:rsidP="00C60FA4">
      <w:pPr>
        <w:autoSpaceDE w:val="0"/>
        <w:autoSpaceDN w:val="0"/>
        <w:adjustRightInd w:val="0"/>
        <w:spacing w:after="0" w:line="360" w:lineRule="auto"/>
        <w:jc w:val="center"/>
        <w:rPr>
          <w:rFonts w:asciiTheme="majorBidi" w:hAnsiTheme="majorBidi" w:cstheme="majorBidi"/>
          <w:sz w:val="24"/>
          <w:szCs w:val="24"/>
        </w:rPr>
      </w:pPr>
      <w:r w:rsidRPr="00C60FA4">
        <w:rPr>
          <w:rFonts w:asciiTheme="majorBidi" w:hAnsiTheme="majorBidi" w:cstheme="majorBidi"/>
          <w:b/>
          <w:bCs/>
          <w:sz w:val="24"/>
          <w:szCs w:val="24"/>
        </w:rPr>
        <w:t>CONCLUSIONS</w:t>
      </w:r>
      <w:r w:rsidR="005679E1" w:rsidRPr="00C60FA4">
        <w:rPr>
          <w:rFonts w:asciiTheme="majorBidi" w:hAnsiTheme="majorBidi" w:cstheme="majorBidi"/>
          <w:b/>
          <w:bCs/>
          <w:sz w:val="24"/>
          <w:szCs w:val="24"/>
        </w:rPr>
        <w:t xml:space="preserve"> AND</w:t>
      </w:r>
      <w:r w:rsidR="00DA3772" w:rsidRPr="00C60FA4">
        <w:rPr>
          <w:rFonts w:asciiTheme="majorBidi" w:hAnsiTheme="majorBidi" w:cstheme="majorBidi"/>
          <w:b/>
          <w:bCs/>
          <w:sz w:val="24"/>
          <w:szCs w:val="24"/>
        </w:rPr>
        <w:t xml:space="preserve"> RECOMONDATIONS</w:t>
      </w:r>
    </w:p>
    <w:p w:rsidR="00894435" w:rsidRPr="00113BB6" w:rsidRDefault="00894435" w:rsidP="006C4A60">
      <w:pPr>
        <w:autoSpaceDE w:val="0"/>
        <w:autoSpaceDN w:val="0"/>
        <w:adjustRightInd w:val="0"/>
        <w:spacing w:after="0" w:line="360" w:lineRule="auto"/>
        <w:jc w:val="both"/>
        <w:rPr>
          <w:rFonts w:asciiTheme="majorBidi" w:hAnsiTheme="majorBidi" w:cstheme="majorBidi"/>
          <w:b/>
          <w:bCs/>
          <w:sz w:val="24"/>
          <w:szCs w:val="24"/>
        </w:rPr>
      </w:pPr>
    </w:p>
    <w:p w:rsidR="00894435" w:rsidRPr="00D27963" w:rsidRDefault="00894435" w:rsidP="006C4A60">
      <w:pPr>
        <w:autoSpaceDE w:val="0"/>
        <w:autoSpaceDN w:val="0"/>
        <w:adjustRightInd w:val="0"/>
        <w:spacing w:after="0" w:line="360" w:lineRule="auto"/>
        <w:jc w:val="both"/>
        <w:rPr>
          <w:rFonts w:asciiTheme="majorBidi" w:hAnsiTheme="majorBidi" w:cstheme="majorBidi"/>
          <w:b/>
          <w:bCs/>
          <w:sz w:val="24"/>
          <w:szCs w:val="24"/>
        </w:rPr>
      </w:pPr>
    </w:p>
    <w:p w:rsidR="00894435" w:rsidRPr="00D27963" w:rsidRDefault="00894435" w:rsidP="006C4A60">
      <w:pPr>
        <w:autoSpaceDE w:val="0"/>
        <w:autoSpaceDN w:val="0"/>
        <w:adjustRightInd w:val="0"/>
        <w:spacing w:after="0" w:line="360" w:lineRule="auto"/>
        <w:jc w:val="both"/>
        <w:rPr>
          <w:rFonts w:asciiTheme="majorBidi" w:hAnsiTheme="majorBidi" w:cstheme="majorBidi"/>
          <w:b/>
          <w:bCs/>
          <w:sz w:val="24"/>
          <w:szCs w:val="24"/>
        </w:rPr>
      </w:pPr>
    </w:p>
    <w:p w:rsidR="00576545" w:rsidRDefault="00DA3772" w:rsidP="00973932">
      <w:pPr>
        <w:autoSpaceDE w:val="0"/>
        <w:autoSpaceDN w:val="0"/>
        <w:adjustRightInd w:val="0"/>
        <w:spacing w:after="0" w:line="360" w:lineRule="auto"/>
        <w:rPr>
          <w:rFonts w:asciiTheme="majorBidi" w:hAnsiTheme="majorBidi" w:cstheme="majorBidi"/>
          <w:b/>
          <w:bCs/>
          <w:color w:val="000000" w:themeColor="text1"/>
          <w:sz w:val="24"/>
          <w:szCs w:val="24"/>
        </w:rPr>
      </w:pPr>
      <w:r w:rsidRPr="00D27963">
        <w:rPr>
          <w:rFonts w:asciiTheme="majorBidi" w:hAnsiTheme="majorBidi" w:cstheme="majorBidi"/>
          <w:b/>
          <w:bCs/>
          <w:color w:val="000000" w:themeColor="text1"/>
          <w:sz w:val="24"/>
          <w:szCs w:val="24"/>
        </w:rPr>
        <w:t>5.1 Conclusions</w:t>
      </w:r>
    </w:p>
    <w:p w:rsidR="0091035F" w:rsidRDefault="00FA33D6" w:rsidP="0091035F">
      <w:pPr>
        <w:autoSpaceDE w:val="0"/>
        <w:autoSpaceDN w:val="0"/>
        <w:adjustRightInd w:val="0"/>
        <w:spacing w:after="0" w:line="360" w:lineRule="auto"/>
        <w:jc w:val="both"/>
        <w:rPr>
          <w:rFonts w:asciiTheme="majorBidi" w:hAnsiTheme="majorBidi" w:cstheme="majorBidi"/>
          <w:sz w:val="24"/>
          <w:szCs w:val="24"/>
        </w:rPr>
      </w:pPr>
      <w:r w:rsidRPr="00656EF2">
        <w:rPr>
          <w:rFonts w:asciiTheme="majorBidi" w:hAnsiTheme="majorBidi" w:cstheme="majorBidi"/>
          <w:sz w:val="24"/>
          <w:szCs w:val="24"/>
        </w:rPr>
        <w:t>Banks, just like all other forms of businesses</w:t>
      </w:r>
      <w:r w:rsidR="00A449B3">
        <w:rPr>
          <w:rFonts w:asciiTheme="majorBidi" w:hAnsiTheme="majorBidi" w:cstheme="majorBidi"/>
          <w:sz w:val="24"/>
          <w:szCs w:val="24"/>
        </w:rPr>
        <w:t>,</w:t>
      </w:r>
      <w:r w:rsidR="00A449B3" w:rsidRPr="00656EF2">
        <w:rPr>
          <w:rFonts w:asciiTheme="majorBidi" w:hAnsiTheme="majorBidi" w:cstheme="majorBidi"/>
          <w:sz w:val="24"/>
          <w:szCs w:val="24"/>
        </w:rPr>
        <w:t xml:space="preserve"> face many</w:t>
      </w:r>
      <w:r w:rsidRPr="00656EF2">
        <w:rPr>
          <w:rFonts w:asciiTheme="majorBidi" w:hAnsiTheme="majorBidi" w:cstheme="majorBidi"/>
          <w:sz w:val="24"/>
          <w:szCs w:val="24"/>
        </w:rPr>
        <w:t xml:space="preserve"> risks</w:t>
      </w:r>
      <w:r>
        <w:rPr>
          <w:rFonts w:asciiTheme="majorBidi" w:hAnsiTheme="majorBidi" w:cstheme="majorBidi"/>
          <w:sz w:val="24"/>
          <w:szCs w:val="24"/>
        </w:rPr>
        <w:t>.</w:t>
      </w:r>
      <w:r w:rsidRPr="00656EF2">
        <w:rPr>
          <w:rFonts w:asciiTheme="majorBidi" w:hAnsiTheme="majorBidi" w:cstheme="majorBidi"/>
          <w:sz w:val="24"/>
          <w:szCs w:val="24"/>
        </w:rPr>
        <w:t xml:space="preserve"> </w:t>
      </w:r>
      <w:r>
        <w:rPr>
          <w:rFonts w:asciiTheme="majorBidi" w:hAnsiTheme="majorBidi" w:cstheme="majorBidi"/>
          <w:sz w:val="24"/>
          <w:szCs w:val="24"/>
        </w:rPr>
        <w:t>C</w:t>
      </w:r>
      <w:r w:rsidRPr="00656EF2">
        <w:rPr>
          <w:rFonts w:asciiTheme="majorBidi" w:hAnsiTheme="majorBidi" w:cstheme="majorBidi"/>
          <w:sz w:val="24"/>
          <w:szCs w:val="24"/>
        </w:rPr>
        <w:t xml:space="preserve">redit risk is </w:t>
      </w:r>
      <w:r>
        <w:rPr>
          <w:rFonts w:asciiTheme="majorBidi" w:hAnsiTheme="majorBidi" w:cstheme="majorBidi"/>
          <w:sz w:val="24"/>
          <w:szCs w:val="24"/>
        </w:rPr>
        <w:t>one of</w:t>
      </w:r>
      <w:r w:rsidRPr="00656EF2">
        <w:rPr>
          <w:rFonts w:asciiTheme="majorBidi" w:hAnsiTheme="majorBidi" w:cstheme="majorBidi"/>
          <w:sz w:val="24"/>
          <w:szCs w:val="24"/>
        </w:rPr>
        <w:t xml:space="preserve"> the major risk</w:t>
      </w:r>
      <w:r>
        <w:rPr>
          <w:rFonts w:asciiTheme="majorBidi" w:hAnsiTheme="majorBidi" w:cstheme="majorBidi"/>
          <w:sz w:val="24"/>
          <w:szCs w:val="24"/>
        </w:rPr>
        <w:t>s</w:t>
      </w:r>
      <w:r w:rsidRPr="00656EF2">
        <w:rPr>
          <w:rFonts w:asciiTheme="majorBidi" w:hAnsiTheme="majorBidi" w:cstheme="majorBidi"/>
          <w:sz w:val="24"/>
          <w:szCs w:val="24"/>
        </w:rPr>
        <w:t xml:space="preserve"> the banking </w:t>
      </w:r>
      <w:r w:rsidR="00A449B3" w:rsidRPr="00656EF2">
        <w:rPr>
          <w:rFonts w:asciiTheme="majorBidi" w:hAnsiTheme="majorBidi" w:cstheme="majorBidi"/>
          <w:sz w:val="24"/>
          <w:szCs w:val="24"/>
        </w:rPr>
        <w:t>sector faces</w:t>
      </w:r>
      <w:r>
        <w:rPr>
          <w:rFonts w:asciiTheme="majorBidi" w:hAnsiTheme="majorBidi" w:cstheme="majorBidi"/>
          <w:sz w:val="24"/>
          <w:szCs w:val="24"/>
        </w:rPr>
        <w:t>; it is also</w:t>
      </w:r>
      <w:r w:rsidRPr="00451FA8">
        <w:rPr>
          <w:rFonts w:asciiTheme="majorBidi" w:hAnsiTheme="majorBidi" w:cstheme="majorBidi"/>
          <w:sz w:val="24"/>
          <w:szCs w:val="24"/>
        </w:rPr>
        <w:t xml:space="preserve"> the major cause of serious banking problems</w:t>
      </w:r>
      <w:r>
        <w:rPr>
          <w:rFonts w:asciiTheme="majorBidi" w:hAnsiTheme="majorBidi" w:cstheme="majorBidi"/>
          <w:sz w:val="24"/>
          <w:szCs w:val="24"/>
        </w:rPr>
        <w:t xml:space="preserve"> resulting from poor credit risk policies and management of such risks.</w:t>
      </w:r>
    </w:p>
    <w:p w:rsidR="00FA33D6" w:rsidRPr="00FA33D6" w:rsidRDefault="00FA33D6" w:rsidP="0091035F">
      <w:pPr>
        <w:autoSpaceDE w:val="0"/>
        <w:autoSpaceDN w:val="0"/>
        <w:adjustRightInd w:val="0"/>
        <w:spacing w:after="0" w:line="360" w:lineRule="auto"/>
        <w:jc w:val="both"/>
        <w:rPr>
          <w:rFonts w:asciiTheme="majorBidi" w:hAnsiTheme="majorBidi" w:cstheme="majorBidi"/>
          <w:sz w:val="24"/>
          <w:szCs w:val="24"/>
        </w:rPr>
      </w:pPr>
      <w:r w:rsidRPr="00E30619">
        <w:rPr>
          <w:rFonts w:asciiTheme="majorBidi" w:hAnsiTheme="majorBidi" w:cstheme="majorBidi"/>
          <w:sz w:val="24"/>
          <w:szCs w:val="24"/>
        </w:rPr>
        <w:t xml:space="preserve"> </w:t>
      </w:r>
      <w:r w:rsidRPr="00451FA8">
        <w:rPr>
          <w:rFonts w:asciiTheme="majorBidi" w:hAnsiTheme="majorBidi" w:cstheme="majorBidi"/>
          <w:sz w:val="24"/>
          <w:szCs w:val="24"/>
        </w:rPr>
        <w:t xml:space="preserve">The aim of this study </w:t>
      </w:r>
      <w:r>
        <w:rPr>
          <w:rFonts w:asciiTheme="majorBidi" w:hAnsiTheme="majorBidi" w:cstheme="majorBidi"/>
          <w:sz w:val="24"/>
          <w:szCs w:val="24"/>
        </w:rPr>
        <w:t>was</w:t>
      </w:r>
      <w:r w:rsidRPr="00451FA8">
        <w:rPr>
          <w:rFonts w:asciiTheme="majorBidi" w:hAnsiTheme="majorBidi" w:cstheme="majorBidi"/>
          <w:sz w:val="24"/>
          <w:szCs w:val="24"/>
        </w:rPr>
        <w:t xml:space="preserve"> to </w:t>
      </w:r>
      <w:r>
        <w:rPr>
          <w:rFonts w:asciiTheme="majorBidi" w:hAnsiTheme="majorBidi" w:cstheme="majorBidi"/>
          <w:sz w:val="24"/>
          <w:szCs w:val="24"/>
        </w:rPr>
        <w:t xml:space="preserve">find </w:t>
      </w:r>
      <w:r w:rsidR="00A449B3">
        <w:rPr>
          <w:rFonts w:asciiTheme="majorBidi" w:hAnsiTheme="majorBidi" w:cstheme="majorBidi"/>
          <w:sz w:val="24"/>
          <w:szCs w:val="24"/>
        </w:rPr>
        <w:t xml:space="preserve">out </w:t>
      </w:r>
      <w:r w:rsidR="00A449B3" w:rsidRPr="00451FA8">
        <w:rPr>
          <w:rFonts w:asciiTheme="majorBidi" w:hAnsiTheme="majorBidi" w:cstheme="majorBidi"/>
          <w:sz w:val="24"/>
          <w:szCs w:val="24"/>
        </w:rPr>
        <w:t>the</w:t>
      </w:r>
      <w:r w:rsidRPr="00451FA8">
        <w:rPr>
          <w:rFonts w:asciiTheme="majorBidi" w:hAnsiTheme="majorBidi" w:cstheme="majorBidi"/>
          <w:sz w:val="24"/>
          <w:szCs w:val="24"/>
        </w:rPr>
        <w:t xml:space="preserve"> impact of credit risk</w:t>
      </w:r>
      <w:r>
        <w:rPr>
          <w:rFonts w:asciiTheme="majorBidi" w:hAnsiTheme="majorBidi" w:cstheme="majorBidi"/>
          <w:sz w:val="24"/>
          <w:szCs w:val="24"/>
        </w:rPr>
        <w:t xml:space="preserve"> policies adopted by Palestinian commercial banks on their profitability.</w:t>
      </w:r>
      <w:r w:rsidRPr="00451FA8">
        <w:rPr>
          <w:rFonts w:asciiTheme="majorBidi" w:hAnsiTheme="majorBidi" w:cstheme="majorBidi"/>
          <w:sz w:val="24"/>
          <w:szCs w:val="24"/>
        </w:rPr>
        <w:t xml:space="preserve"> Th</w:t>
      </w:r>
      <w:r>
        <w:rPr>
          <w:rFonts w:asciiTheme="majorBidi" w:hAnsiTheme="majorBidi" w:cstheme="majorBidi"/>
          <w:sz w:val="24"/>
          <w:szCs w:val="24"/>
        </w:rPr>
        <w:t xml:space="preserve">is study examined the </w:t>
      </w:r>
      <w:r w:rsidRPr="00451FA8">
        <w:rPr>
          <w:rFonts w:asciiTheme="majorBidi" w:hAnsiTheme="majorBidi" w:cstheme="majorBidi"/>
          <w:sz w:val="24"/>
          <w:szCs w:val="24"/>
        </w:rPr>
        <w:t>relationship between credit risk and profitability of some selected banks in Palestine</w:t>
      </w:r>
      <w:r>
        <w:rPr>
          <w:rFonts w:asciiTheme="majorBidi" w:hAnsiTheme="majorBidi" w:cstheme="majorBidi"/>
          <w:sz w:val="24"/>
          <w:szCs w:val="24"/>
        </w:rPr>
        <w:t xml:space="preserve"> </w:t>
      </w:r>
      <w:r>
        <w:rPr>
          <w:rFonts w:ascii="Times New Roman" w:hAnsi="Times New Roman" w:cs="Times New Roman"/>
          <w:sz w:val="24"/>
          <w:szCs w:val="24"/>
        </w:rPr>
        <w:t>between</w:t>
      </w:r>
      <w:r>
        <w:rPr>
          <w:rFonts w:asciiTheme="majorBidi" w:hAnsiTheme="majorBidi" w:cstheme="majorBidi"/>
          <w:sz w:val="24"/>
          <w:szCs w:val="24"/>
        </w:rPr>
        <w:t xml:space="preserve"> 2005- 2011. The</w:t>
      </w:r>
      <w:r w:rsidRPr="001B0182">
        <w:rPr>
          <w:rFonts w:asciiTheme="majorBidi" w:hAnsiTheme="majorBidi" w:cstheme="majorBidi"/>
          <w:sz w:val="24"/>
          <w:szCs w:val="24"/>
        </w:rPr>
        <w:t xml:space="preserve"> </w:t>
      </w:r>
      <w:r>
        <w:rPr>
          <w:rFonts w:asciiTheme="majorBidi" w:hAnsiTheme="majorBidi" w:cstheme="majorBidi"/>
          <w:sz w:val="24"/>
          <w:szCs w:val="24"/>
        </w:rPr>
        <w:t>study was</w:t>
      </w:r>
      <w:r w:rsidRPr="0050074B">
        <w:rPr>
          <w:rFonts w:asciiTheme="majorBidi" w:hAnsiTheme="majorBidi" w:cstheme="majorBidi"/>
          <w:sz w:val="24"/>
          <w:szCs w:val="24"/>
        </w:rPr>
        <w:t xml:space="preserve"> limited to identif</w:t>
      </w:r>
      <w:r>
        <w:rPr>
          <w:rFonts w:asciiTheme="majorBidi" w:hAnsiTheme="majorBidi" w:cstheme="majorBidi"/>
          <w:sz w:val="24"/>
          <w:szCs w:val="24"/>
        </w:rPr>
        <w:t xml:space="preserve">ication </w:t>
      </w:r>
      <w:r w:rsidR="00A449B3">
        <w:rPr>
          <w:rFonts w:asciiTheme="majorBidi" w:hAnsiTheme="majorBidi" w:cstheme="majorBidi"/>
          <w:sz w:val="24"/>
          <w:szCs w:val="24"/>
        </w:rPr>
        <w:t xml:space="preserve">of </w:t>
      </w:r>
      <w:r w:rsidR="00A449B3" w:rsidRPr="0050074B">
        <w:rPr>
          <w:rFonts w:asciiTheme="majorBidi" w:hAnsiTheme="majorBidi" w:cstheme="majorBidi"/>
          <w:sz w:val="24"/>
          <w:szCs w:val="24"/>
        </w:rPr>
        <w:t>the</w:t>
      </w:r>
      <w:r w:rsidRPr="0050074B">
        <w:rPr>
          <w:rFonts w:asciiTheme="majorBidi" w:hAnsiTheme="majorBidi" w:cstheme="majorBidi"/>
          <w:sz w:val="24"/>
          <w:szCs w:val="24"/>
        </w:rPr>
        <w:t xml:space="preserve"> relationship </w:t>
      </w:r>
      <w:r w:rsidR="007602E1">
        <w:rPr>
          <w:rFonts w:asciiTheme="majorBidi" w:hAnsiTheme="majorBidi" w:cstheme="majorBidi"/>
          <w:sz w:val="24"/>
          <w:szCs w:val="24"/>
        </w:rPr>
        <w:t xml:space="preserve">between </w:t>
      </w:r>
      <w:r w:rsidR="007602E1" w:rsidRPr="0050074B">
        <w:rPr>
          <w:rFonts w:asciiTheme="majorBidi" w:hAnsiTheme="majorBidi" w:cstheme="majorBidi"/>
          <w:sz w:val="24"/>
          <w:szCs w:val="24"/>
        </w:rPr>
        <w:t>credit</w:t>
      </w:r>
      <w:r w:rsidRPr="0050074B">
        <w:rPr>
          <w:rFonts w:asciiTheme="majorBidi" w:hAnsiTheme="majorBidi" w:cstheme="majorBidi"/>
          <w:sz w:val="24"/>
          <w:szCs w:val="24"/>
        </w:rPr>
        <w:t xml:space="preserve"> risk</w:t>
      </w:r>
      <w:r>
        <w:rPr>
          <w:rFonts w:asciiTheme="majorBidi" w:hAnsiTheme="majorBidi" w:cstheme="majorBidi"/>
          <w:sz w:val="24"/>
          <w:szCs w:val="24"/>
        </w:rPr>
        <w:t xml:space="preserve"> management</w:t>
      </w:r>
      <w:r w:rsidRPr="0050074B">
        <w:rPr>
          <w:rFonts w:asciiTheme="majorBidi" w:hAnsiTheme="majorBidi" w:cstheme="majorBidi"/>
          <w:sz w:val="24"/>
          <w:szCs w:val="24"/>
        </w:rPr>
        <w:t xml:space="preserve"> and profitability of </w:t>
      </w:r>
      <w:r>
        <w:rPr>
          <w:rFonts w:asciiTheme="majorBidi" w:hAnsiTheme="majorBidi" w:cstheme="majorBidi"/>
          <w:sz w:val="24"/>
          <w:szCs w:val="24"/>
        </w:rPr>
        <w:t>five Palestinian commercial banks excluding Islamic banks. T</w:t>
      </w:r>
      <w:r w:rsidR="00BB7AB3">
        <w:rPr>
          <w:rFonts w:asciiTheme="majorBidi" w:hAnsiTheme="majorBidi" w:cstheme="majorBidi"/>
          <w:sz w:val="24"/>
          <w:szCs w:val="24"/>
        </w:rPr>
        <w:t xml:space="preserve">herefore, </w:t>
      </w:r>
      <w:r w:rsidRPr="0050074B">
        <w:rPr>
          <w:rFonts w:asciiTheme="majorBidi" w:hAnsiTheme="majorBidi" w:cstheme="majorBidi"/>
          <w:sz w:val="24"/>
          <w:szCs w:val="24"/>
        </w:rPr>
        <w:t xml:space="preserve">the </w:t>
      </w:r>
      <w:r w:rsidR="00BB7AB3" w:rsidRPr="0050074B">
        <w:rPr>
          <w:rFonts w:asciiTheme="majorBidi" w:hAnsiTheme="majorBidi" w:cstheme="majorBidi"/>
          <w:sz w:val="24"/>
          <w:szCs w:val="24"/>
        </w:rPr>
        <w:t>study</w:t>
      </w:r>
      <w:r w:rsidR="00BB7AB3">
        <w:rPr>
          <w:rFonts w:asciiTheme="majorBidi" w:hAnsiTheme="majorBidi" w:cstheme="majorBidi"/>
          <w:sz w:val="24"/>
          <w:szCs w:val="24"/>
        </w:rPr>
        <w:t xml:space="preserve"> was limited to five sample banks and was</w:t>
      </w:r>
      <w:r w:rsidR="00BB7AB3" w:rsidRPr="00AB595F">
        <w:rPr>
          <w:rFonts w:asciiTheme="majorBidi" w:hAnsiTheme="majorBidi" w:cstheme="majorBidi"/>
          <w:sz w:val="24"/>
          <w:szCs w:val="24"/>
        </w:rPr>
        <w:t xml:space="preserve"> not generalized for the all banks operate in Palestine.</w:t>
      </w:r>
      <w:r>
        <w:rPr>
          <w:rFonts w:asciiTheme="majorBidi" w:hAnsiTheme="majorBidi" w:cstheme="majorBidi"/>
          <w:sz w:val="24"/>
          <w:szCs w:val="24"/>
        </w:rPr>
        <w:t xml:space="preserve"> Furthermore, this study </w:t>
      </w:r>
      <w:r w:rsidR="007602E1">
        <w:rPr>
          <w:rFonts w:asciiTheme="majorBidi" w:hAnsiTheme="majorBidi" w:cstheme="majorBidi"/>
          <w:sz w:val="24"/>
          <w:szCs w:val="24"/>
        </w:rPr>
        <w:t>has used</w:t>
      </w:r>
      <w:r>
        <w:rPr>
          <w:rFonts w:asciiTheme="majorBidi" w:hAnsiTheme="majorBidi" w:cstheme="majorBidi"/>
          <w:sz w:val="24"/>
          <w:szCs w:val="24"/>
        </w:rPr>
        <w:t xml:space="preserve"> both the</w:t>
      </w:r>
      <w:r w:rsidRPr="0050074B">
        <w:rPr>
          <w:rFonts w:asciiTheme="majorBidi" w:hAnsiTheme="majorBidi" w:cstheme="majorBidi"/>
          <w:sz w:val="24"/>
          <w:szCs w:val="24"/>
        </w:rPr>
        <w:t xml:space="preserve"> quantitative</w:t>
      </w:r>
      <w:r>
        <w:rPr>
          <w:rFonts w:asciiTheme="majorBidi" w:hAnsiTheme="majorBidi" w:cstheme="majorBidi"/>
          <w:sz w:val="24"/>
          <w:szCs w:val="24"/>
        </w:rPr>
        <w:t xml:space="preserve"> and qualitative</w:t>
      </w:r>
      <w:r w:rsidRPr="0050074B">
        <w:rPr>
          <w:rFonts w:asciiTheme="majorBidi" w:hAnsiTheme="majorBidi" w:cstheme="majorBidi"/>
          <w:sz w:val="24"/>
          <w:szCs w:val="24"/>
        </w:rPr>
        <w:t xml:space="preserve"> approach</w:t>
      </w:r>
      <w:r>
        <w:rPr>
          <w:rFonts w:asciiTheme="majorBidi" w:hAnsiTheme="majorBidi" w:cstheme="majorBidi"/>
          <w:sz w:val="24"/>
          <w:szCs w:val="24"/>
        </w:rPr>
        <w:t>es</w:t>
      </w:r>
      <w:r w:rsidRPr="0050074B">
        <w:rPr>
          <w:rFonts w:asciiTheme="majorBidi" w:hAnsiTheme="majorBidi" w:cstheme="majorBidi"/>
          <w:sz w:val="24"/>
          <w:szCs w:val="24"/>
        </w:rPr>
        <w:t xml:space="preserve"> and focuse</w:t>
      </w:r>
      <w:r>
        <w:rPr>
          <w:rFonts w:asciiTheme="majorBidi" w:hAnsiTheme="majorBidi" w:cstheme="majorBidi"/>
          <w:sz w:val="24"/>
          <w:szCs w:val="24"/>
        </w:rPr>
        <w:t>d</w:t>
      </w:r>
      <w:r w:rsidRPr="0050074B">
        <w:rPr>
          <w:rFonts w:asciiTheme="majorBidi" w:hAnsiTheme="majorBidi" w:cstheme="majorBidi"/>
          <w:sz w:val="24"/>
          <w:szCs w:val="24"/>
        </w:rPr>
        <w:t xml:space="preserve"> on the description of the outputs </w:t>
      </w:r>
      <w:r w:rsidR="007602E1">
        <w:rPr>
          <w:rFonts w:asciiTheme="majorBidi" w:hAnsiTheme="majorBidi" w:cstheme="majorBidi"/>
          <w:sz w:val="24"/>
          <w:szCs w:val="24"/>
        </w:rPr>
        <w:t xml:space="preserve">of </w:t>
      </w:r>
      <w:r w:rsidR="007602E1" w:rsidRPr="0050074B">
        <w:rPr>
          <w:rFonts w:asciiTheme="majorBidi" w:hAnsiTheme="majorBidi" w:cstheme="majorBidi"/>
          <w:sz w:val="24"/>
          <w:szCs w:val="24"/>
        </w:rPr>
        <w:t>SPSS</w:t>
      </w:r>
      <w:r w:rsidRPr="0050074B">
        <w:rPr>
          <w:rFonts w:asciiTheme="majorBidi" w:hAnsiTheme="majorBidi" w:cstheme="majorBidi"/>
          <w:sz w:val="24"/>
          <w:szCs w:val="24"/>
        </w:rPr>
        <w:t>.</w:t>
      </w:r>
      <w:r>
        <w:rPr>
          <w:rFonts w:asciiTheme="majorBidi" w:hAnsiTheme="majorBidi" w:cstheme="majorBidi"/>
          <w:sz w:val="24"/>
          <w:szCs w:val="24"/>
        </w:rPr>
        <w:t xml:space="preserve"> </w:t>
      </w:r>
      <w:r w:rsidRPr="0050074B">
        <w:rPr>
          <w:rFonts w:asciiTheme="majorBidi" w:hAnsiTheme="majorBidi" w:cstheme="majorBidi"/>
          <w:sz w:val="24"/>
          <w:szCs w:val="24"/>
        </w:rPr>
        <w:t xml:space="preserve">The quantitative method </w:t>
      </w:r>
      <w:r>
        <w:rPr>
          <w:rFonts w:asciiTheme="majorBidi" w:hAnsiTheme="majorBidi" w:cstheme="majorBidi"/>
          <w:sz w:val="24"/>
          <w:szCs w:val="24"/>
        </w:rPr>
        <w:t>was</w:t>
      </w:r>
      <w:r w:rsidRPr="0050074B">
        <w:rPr>
          <w:rFonts w:asciiTheme="majorBidi" w:hAnsiTheme="majorBidi" w:cstheme="majorBidi"/>
          <w:sz w:val="24"/>
          <w:szCs w:val="24"/>
        </w:rPr>
        <w:t xml:space="preserve"> used in order to</w:t>
      </w:r>
      <w:r>
        <w:rPr>
          <w:rFonts w:asciiTheme="majorBidi" w:hAnsiTheme="majorBidi" w:cstheme="majorBidi"/>
          <w:sz w:val="24"/>
          <w:szCs w:val="24"/>
        </w:rPr>
        <w:t xml:space="preserve"> fulfill the main purpose of the study. </w:t>
      </w:r>
      <w:r w:rsidR="007602E1">
        <w:rPr>
          <w:rFonts w:asciiTheme="majorBidi" w:hAnsiTheme="majorBidi" w:cstheme="majorBidi"/>
          <w:sz w:val="24"/>
          <w:szCs w:val="24"/>
        </w:rPr>
        <w:t xml:space="preserve">Multiple </w:t>
      </w:r>
      <w:r w:rsidR="007602E1" w:rsidRPr="0050074B">
        <w:rPr>
          <w:rFonts w:asciiTheme="majorBidi" w:hAnsiTheme="majorBidi" w:cstheme="majorBidi"/>
          <w:sz w:val="24"/>
          <w:szCs w:val="24"/>
        </w:rPr>
        <w:t>regression</w:t>
      </w:r>
      <w:r w:rsidRPr="0050074B">
        <w:rPr>
          <w:rFonts w:asciiTheme="majorBidi" w:hAnsiTheme="majorBidi" w:cstheme="majorBidi"/>
          <w:sz w:val="24"/>
          <w:szCs w:val="24"/>
        </w:rPr>
        <w:t xml:space="preserve"> model</w:t>
      </w:r>
      <w:r>
        <w:rPr>
          <w:rFonts w:asciiTheme="majorBidi" w:hAnsiTheme="majorBidi" w:cstheme="majorBidi"/>
          <w:sz w:val="24"/>
          <w:szCs w:val="24"/>
        </w:rPr>
        <w:t>s were used to do the empirical analysis, developing two</w:t>
      </w:r>
      <w:r w:rsidRPr="00253D14">
        <w:rPr>
          <w:rFonts w:asciiTheme="majorBidi" w:hAnsiTheme="majorBidi" w:cstheme="majorBidi"/>
          <w:sz w:val="24"/>
          <w:szCs w:val="24"/>
        </w:rPr>
        <w:t xml:space="preserve"> models; each consists of</w:t>
      </w:r>
      <w:r>
        <w:rPr>
          <w:rFonts w:asciiTheme="majorBidi" w:hAnsiTheme="majorBidi" w:cstheme="majorBidi"/>
          <w:sz w:val="24"/>
          <w:szCs w:val="24"/>
        </w:rPr>
        <w:t xml:space="preserve"> one dependent variable and five independent variables.</w:t>
      </w:r>
      <w:r w:rsidRPr="0050074B">
        <w:rPr>
          <w:rFonts w:asciiTheme="majorBidi" w:hAnsiTheme="majorBidi" w:cstheme="majorBidi"/>
          <w:sz w:val="24"/>
          <w:szCs w:val="24"/>
        </w:rPr>
        <w:t xml:space="preserve"> In the</w:t>
      </w:r>
      <w:r>
        <w:rPr>
          <w:rFonts w:asciiTheme="majorBidi" w:hAnsiTheme="majorBidi" w:cstheme="majorBidi"/>
          <w:sz w:val="24"/>
          <w:szCs w:val="24"/>
        </w:rPr>
        <w:t xml:space="preserve"> first</w:t>
      </w:r>
      <w:r w:rsidRPr="0050074B">
        <w:rPr>
          <w:rFonts w:asciiTheme="majorBidi" w:hAnsiTheme="majorBidi" w:cstheme="majorBidi"/>
          <w:sz w:val="24"/>
          <w:szCs w:val="24"/>
        </w:rPr>
        <w:t xml:space="preserve"> model</w:t>
      </w:r>
      <w:r>
        <w:rPr>
          <w:rFonts w:asciiTheme="majorBidi" w:hAnsiTheme="majorBidi" w:cstheme="majorBidi"/>
          <w:sz w:val="24"/>
          <w:szCs w:val="24"/>
        </w:rPr>
        <w:t xml:space="preserve">, </w:t>
      </w:r>
      <w:r w:rsidRPr="00FA33D6">
        <w:rPr>
          <w:rFonts w:asciiTheme="majorBidi" w:hAnsiTheme="majorBidi" w:cstheme="majorBidi"/>
          <w:sz w:val="24"/>
          <w:szCs w:val="24"/>
        </w:rPr>
        <w:t xml:space="preserve">the </w:t>
      </w:r>
      <w:r w:rsidR="007602E1" w:rsidRPr="00FA33D6">
        <w:rPr>
          <w:rFonts w:asciiTheme="majorBidi" w:hAnsiTheme="majorBidi" w:cstheme="majorBidi"/>
          <w:sz w:val="24"/>
          <w:szCs w:val="24"/>
        </w:rPr>
        <w:t>researcher used Return</w:t>
      </w:r>
      <w:r w:rsidRPr="00FA33D6">
        <w:rPr>
          <w:rFonts w:asciiTheme="majorBidi" w:hAnsiTheme="majorBidi" w:cstheme="majorBidi"/>
          <w:sz w:val="24"/>
          <w:szCs w:val="24"/>
        </w:rPr>
        <w:t xml:space="preserve"> on </w:t>
      </w:r>
      <w:r w:rsidR="007602E1" w:rsidRPr="00FA33D6">
        <w:rPr>
          <w:rFonts w:asciiTheme="majorBidi" w:hAnsiTheme="majorBidi" w:cstheme="majorBidi"/>
          <w:sz w:val="24"/>
          <w:szCs w:val="24"/>
        </w:rPr>
        <w:t>Assets (ROA</w:t>
      </w:r>
      <w:r w:rsidRPr="00FA33D6">
        <w:rPr>
          <w:rFonts w:asciiTheme="majorBidi" w:hAnsiTheme="majorBidi" w:cstheme="majorBidi"/>
          <w:sz w:val="24"/>
          <w:szCs w:val="24"/>
        </w:rPr>
        <w:t>) as profitability indicator and Return on Equity (ROE), in the second model</w:t>
      </w:r>
      <w:r w:rsidR="007602E1" w:rsidRPr="00FA33D6">
        <w:rPr>
          <w:rFonts w:asciiTheme="majorBidi" w:hAnsiTheme="majorBidi" w:cstheme="majorBidi"/>
          <w:sz w:val="24"/>
          <w:szCs w:val="24"/>
        </w:rPr>
        <w:t>, as</w:t>
      </w:r>
      <w:r w:rsidRPr="00FA33D6">
        <w:rPr>
          <w:rFonts w:asciiTheme="majorBidi" w:hAnsiTheme="majorBidi" w:cstheme="majorBidi"/>
          <w:sz w:val="24"/>
          <w:szCs w:val="24"/>
        </w:rPr>
        <w:t xml:space="preserve"> an indicator </w:t>
      </w:r>
      <w:r w:rsidR="00BB7AB3" w:rsidRPr="00FA33D6">
        <w:rPr>
          <w:rFonts w:asciiTheme="majorBidi" w:hAnsiTheme="majorBidi" w:cstheme="majorBidi"/>
          <w:sz w:val="24"/>
          <w:szCs w:val="24"/>
        </w:rPr>
        <w:t>of profitability</w:t>
      </w:r>
      <w:r w:rsidRPr="00FA33D6">
        <w:rPr>
          <w:rFonts w:asciiTheme="majorBidi" w:hAnsiTheme="majorBidi" w:cstheme="majorBidi"/>
          <w:sz w:val="24"/>
          <w:szCs w:val="24"/>
        </w:rPr>
        <w:t xml:space="preserve">. In contrast, good lending principles, credit monitoring, capital adequacy, income diversification and operational efficiency as credit risk management </w:t>
      </w:r>
      <w:r w:rsidR="007602E1" w:rsidRPr="00FA33D6">
        <w:rPr>
          <w:rFonts w:asciiTheme="majorBidi" w:hAnsiTheme="majorBidi" w:cstheme="majorBidi"/>
          <w:sz w:val="24"/>
          <w:szCs w:val="24"/>
        </w:rPr>
        <w:t>indicators were</w:t>
      </w:r>
      <w:r w:rsidRPr="00FA33D6">
        <w:rPr>
          <w:rFonts w:asciiTheme="majorBidi" w:hAnsiTheme="majorBidi" w:cstheme="majorBidi"/>
          <w:sz w:val="24"/>
          <w:szCs w:val="24"/>
        </w:rPr>
        <w:t xml:space="preserve"> measured by five financial ratios</w:t>
      </w:r>
      <w:r w:rsidRPr="00FA33D6">
        <w:rPr>
          <w:rFonts w:asciiTheme="majorBidi" w:hAnsiTheme="majorBidi" w:cstheme="majorBidi"/>
          <w:sz w:val="24"/>
          <w:szCs w:val="24"/>
          <w:lang w:bidi="ar-JO"/>
        </w:rPr>
        <w:t xml:space="preserve"> available in the financial statements of Palestinian commercial</w:t>
      </w:r>
      <w:r>
        <w:rPr>
          <w:rFonts w:asciiTheme="majorBidi" w:hAnsiTheme="majorBidi" w:cstheme="majorBidi"/>
          <w:sz w:val="24"/>
          <w:szCs w:val="24"/>
          <w:lang w:bidi="ar-JO"/>
        </w:rPr>
        <w:t xml:space="preserve"> </w:t>
      </w:r>
      <w:r w:rsidRPr="00FA33D6">
        <w:rPr>
          <w:rFonts w:asciiTheme="majorBidi" w:hAnsiTheme="majorBidi" w:cstheme="majorBidi"/>
          <w:sz w:val="24"/>
          <w:szCs w:val="24"/>
          <w:lang w:bidi="ar-JO"/>
        </w:rPr>
        <w:t>banks. Non-Performing Loans Ratio (NPLR), Capital Adequacy Ratio (EQTA), Loan Loss Provisions Ratio (LLPI), Non-</w:t>
      </w:r>
      <w:r>
        <w:rPr>
          <w:rFonts w:asciiTheme="majorBidi" w:hAnsiTheme="majorBidi" w:cstheme="majorBidi"/>
          <w:sz w:val="24"/>
          <w:szCs w:val="24"/>
          <w:lang w:bidi="ar-JO"/>
        </w:rPr>
        <w:t>in</w:t>
      </w:r>
      <w:r w:rsidRPr="00FA33D6">
        <w:rPr>
          <w:rFonts w:asciiTheme="majorBidi" w:hAnsiTheme="majorBidi" w:cstheme="majorBidi"/>
          <w:sz w:val="24"/>
          <w:szCs w:val="24"/>
          <w:lang w:bidi="ar-JO"/>
        </w:rPr>
        <w:t>terest Income Ratio (NIDR) and Operational</w:t>
      </w:r>
      <w:r>
        <w:rPr>
          <w:rFonts w:asciiTheme="majorBidi" w:hAnsiTheme="majorBidi" w:cstheme="majorBidi"/>
          <w:sz w:val="24"/>
          <w:szCs w:val="24"/>
          <w:lang w:bidi="ar-JO"/>
        </w:rPr>
        <w:t xml:space="preserve"> Cost</w:t>
      </w:r>
      <w:r w:rsidRPr="00FA33D6">
        <w:rPr>
          <w:rFonts w:asciiTheme="majorBidi" w:hAnsiTheme="majorBidi" w:cstheme="majorBidi"/>
          <w:sz w:val="24"/>
          <w:szCs w:val="24"/>
          <w:lang w:bidi="ar-JO"/>
        </w:rPr>
        <w:t xml:space="preserve"> Efficiency Ratio (OPNI) were the ratios that measured the independent variables respectively</w:t>
      </w:r>
      <w:r w:rsidRPr="00FA33D6">
        <w:rPr>
          <w:rFonts w:asciiTheme="majorBidi" w:hAnsiTheme="majorBidi" w:cstheme="majorBidi"/>
          <w:sz w:val="24"/>
          <w:szCs w:val="24"/>
        </w:rPr>
        <w:t xml:space="preserve">. </w:t>
      </w:r>
    </w:p>
    <w:p w:rsidR="008606AB" w:rsidRDefault="00FA33D6" w:rsidP="00FA33D6">
      <w:pPr>
        <w:autoSpaceDE w:val="0"/>
        <w:autoSpaceDN w:val="0"/>
        <w:adjustRightInd w:val="0"/>
        <w:spacing w:after="0" w:line="360" w:lineRule="auto"/>
        <w:jc w:val="both"/>
        <w:rPr>
          <w:rFonts w:asciiTheme="majorBidi" w:hAnsiTheme="majorBidi" w:cstheme="majorBidi"/>
          <w:sz w:val="24"/>
          <w:szCs w:val="24"/>
        </w:rPr>
      </w:pPr>
      <w:r w:rsidRPr="00FA33D6">
        <w:rPr>
          <w:rFonts w:asciiTheme="majorBidi" w:hAnsiTheme="majorBidi" w:cstheme="majorBidi"/>
          <w:sz w:val="24"/>
          <w:szCs w:val="24"/>
        </w:rPr>
        <w:t xml:space="preserve">The results obtained from the regression models show that credit risk management had a significant impact on profitability with 70.6% possibility of NPLR, EQTA, LLPI, NIDR and OPNI, in predicting the variance in ROA, and 40.6% possibility in predicting the variance in </w:t>
      </w:r>
      <w:r w:rsidRPr="00FA33D6">
        <w:rPr>
          <w:rFonts w:asciiTheme="majorBidi" w:hAnsiTheme="majorBidi" w:cstheme="majorBidi"/>
          <w:sz w:val="24"/>
          <w:szCs w:val="24"/>
        </w:rPr>
        <w:lastRenderedPageBreak/>
        <w:t>ROE. In other words, the R square for ROA (0.706) was found to be higher than ROE (0.406),</w:t>
      </w:r>
      <w:r w:rsidRPr="001D03C2">
        <w:rPr>
          <w:rFonts w:asciiTheme="majorBidi" w:hAnsiTheme="majorBidi" w:cstheme="majorBidi"/>
          <w:sz w:val="24"/>
          <w:szCs w:val="24"/>
        </w:rPr>
        <w:t xml:space="preserve"> </w:t>
      </w:r>
      <w:r>
        <w:rPr>
          <w:rFonts w:asciiTheme="majorBidi" w:hAnsiTheme="majorBidi" w:cstheme="majorBidi"/>
          <w:sz w:val="24"/>
          <w:szCs w:val="24"/>
        </w:rPr>
        <w:t>suggesting that the independent variables</w:t>
      </w:r>
      <w:r w:rsidRPr="001D03C2">
        <w:rPr>
          <w:rFonts w:asciiTheme="majorBidi" w:hAnsiTheme="majorBidi" w:cstheme="majorBidi"/>
          <w:sz w:val="24"/>
          <w:szCs w:val="24"/>
        </w:rPr>
        <w:t xml:space="preserve"> appear</w:t>
      </w:r>
      <w:r>
        <w:rPr>
          <w:rFonts w:asciiTheme="majorBidi" w:hAnsiTheme="majorBidi" w:cstheme="majorBidi"/>
          <w:sz w:val="24"/>
          <w:szCs w:val="24"/>
        </w:rPr>
        <w:t>ed</w:t>
      </w:r>
      <w:r w:rsidRPr="001D03C2">
        <w:rPr>
          <w:rFonts w:asciiTheme="majorBidi" w:hAnsiTheme="majorBidi" w:cstheme="majorBidi"/>
          <w:sz w:val="24"/>
          <w:szCs w:val="24"/>
        </w:rPr>
        <w:t xml:space="preserve"> to influence ROA </w:t>
      </w:r>
      <w:r>
        <w:rPr>
          <w:rFonts w:asciiTheme="majorBidi" w:hAnsiTheme="majorBidi" w:cstheme="majorBidi"/>
          <w:sz w:val="24"/>
          <w:szCs w:val="24"/>
        </w:rPr>
        <w:t>much more</w:t>
      </w:r>
      <w:r w:rsidRPr="001D03C2">
        <w:rPr>
          <w:rFonts w:asciiTheme="majorBidi" w:hAnsiTheme="majorBidi" w:cstheme="majorBidi"/>
          <w:sz w:val="24"/>
          <w:szCs w:val="24"/>
        </w:rPr>
        <w:t xml:space="preserve"> than ROE. </w:t>
      </w:r>
    </w:p>
    <w:p w:rsidR="00FA33D6" w:rsidRDefault="00FA33D6" w:rsidP="00FA33D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Therefore, one can say that</w:t>
      </w:r>
      <w:r w:rsidRPr="001D03C2">
        <w:rPr>
          <w:rFonts w:asciiTheme="majorBidi" w:hAnsiTheme="majorBidi" w:cstheme="majorBidi"/>
          <w:sz w:val="24"/>
          <w:szCs w:val="24"/>
        </w:rPr>
        <w:t xml:space="preserve"> the credit risk management strategy </w:t>
      </w:r>
      <w:r>
        <w:rPr>
          <w:rFonts w:asciiTheme="majorBidi" w:hAnsiTheme="majorBidi" w:cstheme="majorBidi"/>
          <w:sz w:val="24"/>
          <w:szCs w:val="24"/>
        </w:rPr>
        <w:t>determines</w:t>
      </w:r>
      <w:r w:rsidRPr="001D03C2">
        <w:rPr>
          <w:rFonts w:asciiTheme="majorBidi" w:hAnsiTheme="majorBidi" w:cstheme="majorBidi"/>
          <w:sz w:val="24"/>
          <w:szCs w:val="24"/>
        </w:rPr>
        <w:t xml:space="preserve"> profitability level to a</w:t>
      </w:r>
      <w:r>
        <w:rPr>
          <w:rFonts w:asciiTheme="majorBidi" w:hAnsiTheme="majorBidi" w:cstheme="majorBidi"/>
          <w:sz w:val="24"/>
          <w:szCs w:val="24"/>
        </w:rPr>
        <w:t xml:space="preserve"> considerable</w:t>
      </w:r>
      <w:r w:rsidRPr="001D03C2">
        <w:rPr>
          <w:rFonts w:asciiTheme="majorBidi" w:hAnsiTheme="majorBidi" w:cstheme="majorBidi"/>
          <w:sz w:val="24"/>
          <w:szCs w:val="24"/>
        </w:rPr>
        <w:t xml:space="preserve"> extent.</w:t>
      </w:r>
    </w:p>
    <w:p w:rsidR="00FA33D6" w:rsidRDefault="00FA33D6" w:rsidP="00FA33D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Despite the positive improvement in ROA and ROE as profitability indicators, still the Palestinian commercial banks (study sample), comparable to industry international standards, were less efficient and had weak performance.</w:t>
      </w:r>
    </w:p>
    <w:p w:rsidR="00FA33D6" w:rsidRDefault="00FA33D6" w:rsidP="00FA33D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4436E">
        <w:rPr>
          <w:rFonts w:asciiTheme="majorBidi" w:hAnsiTheme="majorBidi" w:cstheme="majorBidi"/>
          <w:sz w:val="24"/>
          <w:szCs w:val="24"/>
        </w:rPr>
        <w:t>In</w:t>
      </w:r>
      <w:r w:rsidR="00BD5CED">
        <w:rPr>
          <w:rFonts w:asciiTheme="majorBidi" w:hAnsiTheme="majorBidi" w:cstheme="majorBidi"/>
          <w:sz w:val="24"/>
          <w:szCs w:val="24"/>
        </w:rPr>
        <w:t xml:space="preserve"> the </w:t>
      </w:r>
      <w:r w:rsidRPr="0084436E">
        <w:rPr>
          <w:rFonts w:asciiTheme="majorBidi" w:hAnsiTheme="majorBidi" w:cstheme="majorBidi"/>
          <w:sz w:val="24"/>
          <w:szCs w:val="24"/>
        </w:rPr>
        <w:t>ROA model, the resul</w:t>
      </w:r>
      <w:r>
        <w:rPr>
          <w:rFonts w:asciiTheme="majorBidi" w:hAnsiTheme="majorBidi" w:cstheme="majorBidi"/>
          <w:sz w:val="24"/>
          <w:szCs w:val="24"/>
        </w:rPr>
        <w:t>t</w:t>
      </w:r>
      <w:r w:rsidRPr="0084436E">
        <w:rPr>
          <w:rFonts w:asciiTheme="majorBidi" w:hAnsiTheme="majorBidi" w:cstheme="majorBidi"/>
          <w:sz w:val="24"/>
          <w:szCs w:val="24"/>
        </w:rPr>
        <w:t>s show</w:t>
      </w:r>
      <w:r>
        <w:rPr>
          <w:rFonts w:asciiTheme="majorBidi" w:hAnsiTheme="majorBidi" w:cstheme="majorBidi"/>
          <w:sz w:val="24"/>
          <w:szCs w:val="24"/>
        </w:rPr>
        <w:t>ed</w:t>
      </w:r>
      <w:r w:rsidRPr="0084436E">
        <w:rPr>
          <w:rFonts w:asciiTheme="majorBidi" w:hAnsiTheme="majorBidi" w:cstheme="majorBidi"/>
          <w:sz w:val="24"/>
          <w:szCs w:val="24"/>
        </w:rPr>
        <w:t xml:space="preserve"> that</w:t>
      </w:r>
      <w:r>
        <w:rPr>
          <w:rFonts w:asciiTheme="majorBidi" w:hAnsiTheme="majorBidi" w:cstheme="majorBidi"/>
          <w:sz w:val="24"/>
          <w:szCs w:val="24"/>
        </w:rPr>
        <w:t xml:space="preserve"> NPLR, EQTA</w:t>
      </w:r>
      <w:r w:rsidR="007602E1" w:rsidRPr="0084436E">
        <w:rPr>
          <w:rFonts w:asciiTheme="majorBidi" w:hAnsiTheme="majorBidi" w:cstheme="majorBidi"/>
          <w:sz w:val="24"/>
          <w:szCs w:val="24"/>
        </w:rPr>
        <w:t>,</w:t>
      </w:r>
      <w:r w:rsidR="007602E1">
        <w:rPr>
          <w:rFonts w:asciiTheme="majorBidi" w:hAnsiTheme="majorBidi" w:cstheme="majorBidi"/>
          <w:sz w:val="24"/>
          <w:szCs w:val="24"/>
        </w:rPr>
        <w:t xml:space="preserve"> LLPI</w:t>
      </w:r>
      <w:r>
        <w:rPr>
          <w:rFonts w:asciiTheme="majorBidi" w:hAnsiTheme="majorBidi" w:cstheme="majorBidi"/>
          <w:sz w:val="24"/>
          <w:szCs w:val="24"/>
        </w:rPr>
        <w:t xml:space="preserve"> and OPNI were negatively</w:t>
      </w:r>
      <w:r w:rsidRPr="0084436E">
        <w:rPr>
          <w:rFonts w:asciiTheme="majorBidi" w:hAnsiTheme="majorBidi" w:cstheme="majorBidi"/>
          <w:sz w:val="24"/>
          <w:szCs w:val="24"/>
        </w:rPr>
        <w:t xml:space="preserve"> </w:t>
      </w:r>
      <w:r>
        <w:rPr>
          <w:rFonts w:asciiTheme="majorBidi" w:hAnsiTheme="majorBidi" w:cstheme="majorBidi"/>
          <w:sz w:val="24"/>
          <w:szCs w:val="24"/>
        </w:rPr>
        <w:t xml:space="preserve">significant while non-interest ratio (NIDR) </w:t>
      </w:r>
      <w:r w:rsidR="007602E1">
        <w:rPr>
          <w:rFonts w:asciiTheme="majorBidi" w:hAnsiTheme="majorBidi" w:cstheme="majorBidi"/>
          <w:sz w:val="24"/>
          <w:szCs w:val="24"/>
        </w:rPr>
        <w:t>had no</w:t>
      </w:r>
      <w:r>
        <w:rPr>
          <w:rFonts w:asciiTheme="majorBidi" w:hAnsiTheme="majorBidi" w:cstheme="majorBidi"/>
          <w:sz w:val="24"/>
          <w:szCs w:val="24"/>
        </w:rPr>
        <w:t xml:space="preserve"> significance but had a </w:t>
      </w:r>
      <w:r w:rsidRPr="00FA33D6">
        <w:rPr>
          <w:rFonts w:asciiTheme="majorBidi" w:hAnsiTheme="majorBidi" w:cstheme="majorBidi"/>
          <w:sz w:val="24"/>
          <w:szCs w:val="24"/>
        </w:rPr>
        <w:t>positive effect.</w:t>
      </w:r>
      <w:r w:rsidRPr="0084436E">
        <w:rPr>
          <w:rFonts w:asciiTheme="majorBidi" w:hAnsiTheme="majorBidi" w:cstheme="majorBidi"/>
          <w:sz w:val="24"/>
          <w:szCs w:val="24"/>
        </w:rPr>
        <w:t xml:space="preserve"> For th</w:t>
      </w:r>
      <w:r>
        <w:rPr>
          <w:rFonts w:asciiTheme="majorBidi" w:hAnsiTheme="majorBidi" w:cstheme="majorBidi"/>
          <w:sz w:val="24"/>
          <w:szCs w:val="24"/>
        </w:rPr>
        <w:t>is</w:t>
      </w:r>
      <w:r w:rsidRPr="0084436E">
        <w:rPr>
          <w:rFonts w:asciiTheme="majorBidi" w:hAnsiTheme="majorBidi" w:cstheme="majorBidi"/>
          <w:sz w:val="24"/>
          <w:szCs w:val="24"/>
        </w:rPr>
        <w:t xml:space="preserve"> reason, </w:t>
      </w:r>
      <w:r>
        <w:rPr>
          <w:rFonts w:asciiTheme="majorBidi" w:hAnsiTheme="majorBidi" w:cstheme="majorBidi"/>
          <w:sz w:val="24"/>
          <w:szCs w:val="24"/>
        </w:rPr>
        <w:t>Hypotheses 1, 2, 3 and 5 have been rejected. Therefore</w:t>
      </w:r>
      <w:r w:rsidR="007602E1" w:rsidRPr="00FA33D6">
        <w:rPr>
          <w:rFonts w:asciiTheme="majorBidi" w:hAnsiTheme="majorBidi" w:cstheme="majorBidi"/>
          <w:sz w:val="24"/>
          <w:szCs w:val="24"/>
        </w:rPr>
        <w:t>, the</w:t>
      </w:r>
      <w:r w:rsidRPr="00FA33D6">
        <w:rPr>
          <w:rFonts w:asciiTheme="majorBidi" w:hAnsiTheme="majorBidi" w:cstheme="majorBidi"/>
          <w:sz w:val="24"/>
          <w:szCs w:val="24"/>
        </w:rPr>
        <w:t xml:space="preserve"> alternative Hypothesis has</w:t>
      </w:r>
      <w:r>
        <w:rPr>
          <w:rFonts w:asciiTheme="majorBidi" w:hAnsiTheme="majorBidi" w:cstheme="majorBidi"/>
          <w:sz w:val="24"/>
          <w:szCs w:val="24"/>
        </w:rPr>
        <w:t xml:space="preserve"> been accepted and </w:t>
      </w:r>
      <w:r w:rsidR="007602E1">
        <w:rPr>
          <w:rFonts w:asciiTheme="majorBidi" w:hAnsiTheme="majorBidi" w:cstheme="majorBidi"/>
          <w:sz w:val="24"/>
          <w:szCs w:val="24"/>
        </w:rPr>
        <w:t xml:space="preserve">this </w:t>
      </w:r>
      <w:r w:rsidR="007602E1" w:rsidRPr="0084436E">
        <w:rPr>
          <w:rFonts w:asciiTheme="majorBidi" w:hAnsiTheme="majorBidi" w:cstheme="majorBidi"/>
          <w:sz w:val="24"/>
          <w:szCs w:val="24"/>
        </w:rPr>
        <w:t>had</w:t>
      </w:r>
      <w:r w:rsidRPr="0084436E">
        <w:rPr>
          <w:rFonts w:asciiTheme="majorBidi" w:hAnsiTheme="majorBidi" w:cstheme="majorBidi"/>
          <w:sz w:val="24"/>
          <w:szCs w:val="24"/>
        </w:rPr>
        <w:t xml:space="preserve"> a s</w:t>
      </w:r>
      <w:r>
        <w:rPr>
          <w:rFonts w:asciiTheme="majorBidi" w:hAnsiTheme="majorBidi" w:cstheme="majorBidi"/>
          <w:sz w:val="24"/>
          <w:szCs w:val="24"/>
        </w:rPr>
        <w:t>ignificant impact on profitability</w:t>
      </w:r>
      <w:r w:rsidRPr="0084436E">
        <w:rPr>
          <w:rFonts w:asciiTheme="majorBidi" w:hAnsiTheme="majorBidi" w:cstheme="majorBidi"/>
          <w:sz w:val="24"/>
          <w:szCs w:val="24"/>
        </w:rPr>
        <w:t xml:space="preserve"> of the commercial </w:t>
      </w:r>
      <w:r>
        <w:rPr>
          <w:rFonts w:asciiTheme="majorBidi" w:hAnsiTheme="majorBidi" w:cstheme="majorBidi"/>
          <w:sz w:val="24"/>
          <w:szCs w:val="24"/>
        </w:rPr>
        <w:t xml:space="preserve">banks in Palestine. </w:t>
      </w:r>
      <w:r w:rsidR="007602E1">
        <w:rPr>
          <w:rFonts w:asciiTheme="majorBidi" w:hAnsiTheme="majorBidi" w:cstheme="majorBidi"/>
          <w:sz w:val="24"/>
          <w:szCs w:val="24"/>
        </w:rPr>
        <w:t>The fourth</w:t>
      </w:r>
      <w:r>
        <w:rPr>
          <w:rFonts w:asciiTheme="majorBidi" w:hAnsiTheme="majorBidi" w:cstheme="majorBidi"/>
          <w:sz w:val="24"/>
          <w:szCs w:val="24"/>
        </w:rPr>
        <w:t xml:space="preserve"> null hypothesis </w:t>
      </w:r>
      <w:r w:rsidR="007602E1">
        <w:rPr>
          <w:rFonts w:asciiTheme="majorBidi" w:hAnsiTheme="majorBidi" w:cstheme="majorBidi"/>
          <w:sz w:val="24"/>
          <w:szCs w:val="24"/>
        </w:rPr>
        <w:t>was accepted</w:t>
      </w:r>
      <w:r>
        <w:rPr>
          <w:rFonts w:asciiTheme="majorBidi" w:hAnsiTheme="majorBidi" w:cstheme="majorBidi"/>
          <w:sz w:val="24"/>
          <w:szCs w:val="24"/>
        </w:rPr>
        <w:t>.</w:t>
      </w:r>
      <w:r w:rsidRPr="00A34684">
        <w:rPr>
          <w:rFonts w:asciiTheme="majorBidi" w:hAnsiTheme="majorBidi" w:cstheme="majorBidi"/>
          <w:sz w:val="24"/>
          <w:szCs w:val="24"/>
        </w:rPr>
        <w:t xml:space="preserve"> </w:t>
      </w:r>
    </w:p>
    <w:p w:rsidR="00FA33D6" w:rsidRPr="00A34684" w:rsidRDefault="00FA33D6" w:rsidP="00FA33D6">
      <w:pPr>
        <w:autoSpaceDE w:val="0"/>
        <w:autoSpaceDN w:val="0"/>
        <w:adjustRightInd w:val="0"/>
        <w:spacing w:after="0" w:line="360" w:lineRule="auto"/>
        <w:jc w:val="both"/>
        <w:rPr>
          <w:rFonts w:asciiTheme="majorBidi" w:hAnsiTheme="majorBidi" w:cstheme="majorBidi"/>
          <w:sz w:val="24"/>
          <w:szCs w:val="24"/>
        </w:rPr>
      </w:pPr>
      <w:r w:rsidRPr="00A34684">
        <w:rPr>
          <w:rFonts w:asciiTheme="majorBidi" w:hAnsiTheme="majorBidi" w:cstheme="majorBidi"/>
          <w:sz w:val="24"/>
          <w:szCs w:val="24"/>
        </w:rPr>
        <w:t>Interesting but quite surprising</w:t>
      </w:r>
      <w:r>
        <w:rPr>
          <w:rFonts w:asciiTheme="majorBidi" w:hAnsiTheme="majorBidi" w:cstheme="majorBidi"/>
          <w:sz w:val="24"/>
          <w:szCs w:val="24"/>
        </w:rPr>
        <w:t>,</w:t>
      </w:r>
      <w:r w:rsidRPr="00A34684">
        <w:rPr>
          <w:rFonts w:asciiTheme="majorBidi" w:hAnsiTheme="majorBidi" w:cstheme="majorBidi"/>
          <w:sz w:val="24"/>
          <w:szCs w:val="24"/>
        </w:rPr>
        <w:t xml:space="preserve"> the study</w:t>
      </w:r>
      <w:r>
        <w:rPr>
          <w:rFonts w:asciiTheme="majorBidi" w:hAnsiTheme="majorBidi" w:cstheme="majorBidi"/>
          <w:sz w:val="24"/>
          <w:szCs w:val="24"/>
        </w:rPr>
        <w:t xml:space="preserve"> results</w:t>
      </w:r>
      <w:r w:rsidRPr="00A34684">
        <w:rPr>
          <w:rFonts w:asciiTheme="majorBidi" w:hAnsiTheme="majorBidi" w:cstheme="majorBidi"/>
          <w:sz w:val="24"/>
          <w:szCs w:val="24"/>
        </w:rPr>
        <w:t xml:space="preserve"> showed that </w:t>
      </w:r>
      <w:r>
        <w:rPr>
          <w:rFonts w:asciiTheme="majorBidi" w:hAnsiTheme="majorBidi" w:cstheme="majorBidi"/>
          <w:sz w:val="24"/>
          <w:szCs w:val="24"/>
        </w:rPr>
        <w:t>i</w:t>
      </w:r>
      <w:r w:rsidRPr="00A34684">
        <w:rPr>
          <w:rFonts w:asciiTheme="majorBidi" w:hAnsiTheme="majorBidi" w:cstheme="majorBidi"/>
          <w:sz w:val="24"/>
          <w:szCs w:val="24"/>
        </w:rPr>
        <w:t xml:space="preserve">n ROE model, all variables, </w:t>
      </w:r>
      <w:r>
        <w:rPr>
          <w:rFonts w:asciiTheme="majorBidi" w:hAnsiTheme="majorBidi" w:cstheme="majorBidi"/>
          <w:sz w:val="24"/>
          <w:szCs w:val="24"/>
        </w:rPr>
        <w:t xml:space="preserve"> namely </w:t>
      </w:r>
      <w:r w:rsidRPr="00A34684">
        <w:rPr>
          <w:rFonts w:asciiTheme="majorBidi" w:hAnsiTheme="majorBidi" w:cstheme="majorBidi"/>
          <w:sz w:val="24"/>
          <w:szCs w:val="24"/>
        </w:rPr>
        <w:t>NPLR, EQTA, LLPI,NIDR and</w:t>
      </w:r>
      <w:r>
        <w:rPr>
          <w:rFonts w:asciiTheme="majorBidi" w:hAnsiTheme="majorBidi" w:cstheme="majorBidi"/>
          <w:sz w:val="24"/>
          <w:szCs w:val="24"/>
        </w:rPr>
        <w:t xml:space="preserve"> </w:t>
      </w:r>
      <w:r w:rsidRPr="00A34684">
        <w:rPr>
          <w:rFonts w:asciiTheme="majorBidi" w:hAnsiTheme="majorBidi" w:cstheme="majorBidi"/>
          <w:sz w:val="24"/>
          <w:szCs w:val="24"/>
        </w:rPr>
        <w:t>OPNI</w:t>
      </w:r>
      <w:r>
        <w:rPr>
          <w:rFonts w:asciiTheme="majorBidi" w:hAnsiTheme="majorBidi" w:cstheme="majorBidi"/>
          <w:sz w:val="24"/>
          <w:szCs w:val="24"/>
        </w:rPr>
        <w:t>,</w:t>
      </w:r>
      <w:r w:rsidRPr="00A34684">
        <w:rPr>
          <w:rFonts w:asciiTheme="majorBidi" w:hAnsiTheme="majorBidi" w:cstheme="majorBidi"/>
          <w:sz w:val="24"/>
          <w:szCs w:val="24"/>
        </w:rPr>
        <w:t xml:space="preserve">  were not significant. Therefore, the null hypothes</w:t>
      </w:r>
      <w:r>
        <w:rPr>
          <w:rFonts w:asciiTheme="majorBidi" w:hAnsiTheme="majorBidi" w:cstheme="majorBidi"/>
          <w:sz w:val="24"/>
          <w:szCs w:val="24"/>
        </w:rPr>
        <w:t>e</w:t>
      </w:r>
      <w:r w:rsidRPr="00A34684">
        <w:rPr>
          <w:rFonts w:asciiTheme="majorBidi" w:hAnsiTheme="majorBidi" w:cstheme="majorBidi"/>
          <w:sz w:val="24"/>
          <w:szCs w:val="24"/>
        </w:rPr>
        <w:t xml:space="preserve">s 1, 2, 3, 4 and </w:t>
      </w:r>
      <w:r w:rsidR="007602E1" w:rsidRPr="00A34684">
        <w:rPr>
          <w:rFonts w:asciiTheme="majorBidi" w:hAnsiTheme="majorBidi" w:cstheme="majorBidi"/>
          <w:sz w:val="24"/>
          <w:szCs w:val="24"/>
        </w:rPr>
        <w:t xml:space="preserve">5 </w:t>
      </w:r>
      <w:r w:rsidR="007602E1">
        <w:rPr>
          <w:rFonts w:asciiTheme="majorBidi" w:hAnsiTheme="majorBidi" w:cstheme="majorBidi"/>
          <w:sz w:val="24"/>
          <w:szCs w:val="24"/>
        </w:rPr>
        <w:t xml:space="preserve">were </w:t>
      </w:r>
      <w:r w:rsidR="007602E1" w:rsidRPr="00A34684">
        <w:rPr>
          <w:rFonts w:asciiTheme="majorBidi" w:hAnsiTheme="majorBidi" w:cstheme="majorBidi"/>
          <w:sz w:val="24"/>
          <w:szCs w:val="24"/>
        </w:rPr>
        <w:t>accepted</w:t>
      </w:r>
      <w:r w:rsidRPr="00A34684">
        <w:rPr>
          <w:rFonts w:asciiTheme="majorBidi" w:hAnsiTheme="majorBidi" w:cstheme="majorBidi"/>
          <w:sz w:val="24"/>
          <w:szCs w:val="24"/>
        </w:rPr>
        <w:t>.</w:t>
      </w:r>
    </w:p>
    <w:p w:rsidR="00FA33D6" w:rsidRDefault="00FA33D6" w:rsidP="00FA33D6">
      <w:pPr>
        <w:pStyle w:val="Default"/>
        <w:spacing w:line="360" w:lineRule="auto"/>
        <w:jc w:val="both"/>
        <w:rPr>
          <w:rFonts w:asciiTheme="majorBidi" w:hAnsiTheme="majorBidi" w:cstheme="majorBidi"/>
          <w:color w:val="000000" w:themeColor="text1"/>
        </w:rPr>
      </w:pPr>
      <w:r>
        <w:rPr>
          <w:rFonts w:asciiTheme="majorBidi" w:hAnsiTheme="majorBidi" w:cstheme="majorBidi"/>
        </w:rPr>
        <w:t xml:space="preserve">Concerning the </w:t>
      </w:r>
      <w:r w:rsidR="007602E1">
        <w:rPr>
          <w:rFonts w:asciiTheme="majorBidi" w:hAnsiTheme="majorBidi" w:cstheme="majorBidi"/>
        </w:rPr>
        <w:t>way the major</w:t>
      </w:r>
      <w:r>
        <w:rPr>
          <w:rFonts w:asciiTheme="majorBidi" w:hAnsiTheme="majorBidi" w:cstheme="majorBidi"/>
        </w:rPr>
        <w:t xml:space="preserve"> Palestinian commercial</w:t>
      </w:r>
      <w:r w:rsidRPr="00A34684">
        <w:rPr>
          <w:rFonts w:asciiTheme="majorBidi" w:hAnsiTheme="majorBidi" w:cstheme="majorBidi"/>
        </w:rPr>
        <w:t xml:space="preserve"> banks </w:t>
      </w:r>
      <w:r>
        <w:rPr>
          <w:rFonts w:asciiTheme="majorBidi" w:hAnsiTheme="majorBidi" w:cstheme="majorBidi"/>
        </w:rPr>
        <w:t>practiced</w:t>
      </w:r>
      <w:r w:rsidRPr="00A34684">
        <w:rPr>
          <w:rFonts w:asciiTheme="majorBidi" w:hAnsiTheme="majorBidi" w:cstheme="majorBidi"/>
        </w:rPr>
        <w:t xml:space="preserve"> th</w:t>
      </w:r>
      <w:r>
        <w:rPr>
          <w:rFonts w:asciiTheme="majorBidi" w:hAnsiTheme="majorBidi" w:cstheme="majorBidi"/>
        </w:rPr>
        <w:t xml:space="preserve">eir </w:t>
      </w:r>
      <w:r w:rsidRPr="00FA33D6">
        <w:rPr>
          <w:rFonts w:asciiTheme="majorBidi" w:hAnsiTheme="majorBidi" w:cstheme="majorBidi"/>
          <w:color w:val="auto"/>
        </w:rPr>
        <w:t xml:space="preserve">credit risk </w:t>
      </w:r>
      <w:r w:rsidR="007602E1" w:rsidRPr="00FA33D6">
        <w:rPr>
          <w:rFonts w:asciiTheme="majorBidi" w:hAnsiTheme="majorBidi" w:cstheme="majorBidi"/>
          <w:color w:val="auto"/>
        </w:rPr>
        <w:t>policies,</w:t>
      </w:r>
      <w:r>
        <w:rPr>
          <w:rFonts w:asciiTheme="majorBidi" w:hAnsiTheme="majorBidi" w:cstheme="majorBidi"/>
        </w:rPr>
        <w:t xml:space="preserve"> </w:t>
      </w:r>
      <w:r w:rsidRPr="00A34684">
        <w:rPr>
          <w:rFonts w:asciiTheme="majorBidi" w:hAnsiTheme="majorBidi" w:cstheme="majorBidi"/>
        </w:rPr>
        <w:t>credit risk management techniques and practices</w:t>
      </w:r>
      <w:r>
        <w:rPr>
          <w:rFonts w:asciiTheme="majorBidi" w:hAnsiTheme="majorBidi" w:cstheme="majorBidi"/>
        </w:rPr>
        <w:t xml:space="preserve"> </w:t>
      </w:r>
      <w:r w:rsidR="007602E1">
        <w:rPr>
          <w:rFonts w:asciiTheme="majorBidi" w:hAnsiTheme="majorBidi" w:cstheme="majorBidi"/>
        </w:rPr>
        <w:t xml:space="preserve">were </w:t>
      </w:r>
      <w:r w:rsidR="007602E1" w:rsidRPr="00A34684">
        <w:rPr>
          <w:rFonts w:asciiTheme="majorBidi" w:hAnsiTheme="majorBidi" w:cstheme="majorBidi"/>
        </w:rPr>
        <w:t>compared</w:t>
      </w:r>
      <w:r>
        <w:rPr>
          <w:rFonts w:asciiTheme="majorBidi" w:hAnsiTheme="majorBidi" w:cstheme="majorBidi"/>
        </w:rPr>
        <w:t xml:space="preserve"> from various aspects</w:t>
      </w:r>
      <w:r w:rsidRPr="00A34684">
        <w:rPr>
          <w:rFonts w:asciiTheme="majorBidi" w:hAnsiTheme="majorBidi" w:cstheme="majorBidi"/>
        </w:rPr>
        <w:t xml:space="preserve"> in order to </w:t>
      </w:r>
      <w:r w:rsidR="007602E1" w:rsidRPr="00A34684">
        <w:rPr>
          <w:rFonts w:asciiTheme="majorBidi" w:hAnsiTheme="majorBidi" w:cstheme="majorBidi"/>
        </w:rPr>
        <w:t>draw similarities</w:t>
      </w:r>
      <w:r w:rsidRPr="00A34684">
        <w:rPr>
          <w:rFonts w:asciiTheme="majorBidi" w:hAnsiTheme="majorBidi" w:cstheme="majorBidi"/>
        </w:rPr>
        <w:t xml:space="preserve"> as well as differences.</w:t>
      </w:r>
      <w:r>
        <w:rPr>
          <w:rFonts w:asciiTheme="majorBidi" w:hAnsiTheme="majorBidi" w:cstheme="majorBidi"/>
        </w:rPr>
        <w:t xml:space="preserve"> Generally, i</w:t>
      </w:r>
      <w:r w:rsidRPr="00A34684">
        <w:rPr>
          <w:rFonts w:asciiTheme="majorBidi" w:hAnsiTheme="majorBidi" w:cstheme="majorBidi"/>
        </w:rPr>
        <w:t xml:space="preserve">t </w:t>
      </w:r>
      <w:r>
        <w:rPr>
          <w:rFonts w:asciiTheme="majorBidi" w:hAnsiTheme="majorBidi" w:cstheme="majorBidi"/>
        </w:rPr>
        <w:t xml:space="preserve">was </w:t>
      </w:r>
      <w:r w:rsidRPr="00A34684">
        <w:rPr>
          <w:rFonts w:asciiTheme="majorBidi" w:hAnsiTheme="majorBidi" w:cstheme="majorBidi"/>
        </w:rPr>
        <w:t xml:space="preserve"> found </w:t>
      </w:r>
      <w:r>
        <w:rPr>
          <w:rFonts w:asciiTheme="majorBidi" w:hAnsiTheme="majorBidi" w:cstheme="majorBidi"/>
        </w:rPr>
        <w:t>that the major Palestinian commercial</w:t>
      </w:r>
      <w:r w:rsidRPr="00A34684">
        <w:rPr>
          <w:rFonts w:asciiTheme="majorBidi" w:hAnsiTheme="majorBidi" w:cstheme="majorBidi"/>
        </w:rPr>
        <w:t xml:space="preserve"> banks with larger size</w:t>
      </w:r>
      <w:r>
        <w:rPr>
          <w:rFonts w:asciiTheme="majorBidi" w:hAnsiTheme="majorBidi" w:cstheme="majorBidi"/>
        </w:rPr>
        <w:t xml:space="preserve"> (Bank of Palestine and  somewhat Al-Quds Bank)</w:t>
      </w:r>
      <w:r w:rsidRPr="00A34684">
        <w:rPr>
          <w:rFonts w:asciiTheme="majorBidi" w:hAnsiTheme="majorBidi" w:cstheme="majorBidi"/>
        </w:rPr>
        <w:t xml:space="preserve">  managed credit risk </w:t>
      </w:r>
      <w:r w:rsidRPr="00C76098">
        <w:rPr>
          <w:rFonts w:asciiTheme="majorBidi" w:hAnsiTheme="majorBidi" w:cstheme="majorBidi"/>
        </w:rPr>
        <w:t>inherent in their banking</w:t>
      </w:r>
      <w:r>
        <w:rPr>
          <w:rFonts w:asciiTheme="majorBidi" w:hAnsiTheme="majorBidi" w:cstheme="majorBidi"/>
        </w:rPr>
        <w:t xml:space="preserve"> more suitable</w:t>
      </w:r>
      <w:r w:rsidRPr="00A34684">
        <w:rPr>
          <w:rFonts w:asciiTheme="majorBidi" w:hAnsiTheme="majorBidi" w:cstheme="majorBidi"/>
        </w:rPr>
        <w:t xml:space="preserve"> than the smaller ones</w:t>
      </w:r>
      <w:r>
        <w:rPr>
          <w:rFonts w:asciiTheme="majorBidi" w:hAnsiTheme="majorBidi" w:cstheme="majorBidi"/>
        </w:rPr>
        <w:t xml:space="preserve"> (Palestinian Commercial Bank and Palestinian Investment Bank) and</w:t>
      </w:r>
      <w:r w:rsidRPr="00A34684">
        <w:rPr>
          <w:rFonts w:asciiTheme="majorBidi" w:hAnsiTheme="majorBidi" w:cstheme="majorBidi"/>
        </w:rPr>
        <w:t xml:space="preserve"> follow</w:t>
      </w:r>
      <w:r>
        <w:rPr>
          <w:rFonts w:asciiTheme="majorBidi" w:hAnsiTheme="majorBidi" w:cstheme="majorBidi"/>
        </w:rPr>
        <w:t>ed</w:t>
      </w:r>
      <w:r w:rsidRPr="00A34684">
        <w:rPr>
          <w:rFonts w:asciiTheme="majorBidi" w:hAnsiTheme="majorBidi" w:cstheme="majorBidi"/>
        </w:rPr>
        <w:t xml:space="preserve"> the Basel guidel</w:t>
      </w:r>
      <w:r>
        <w:rPr>
          <w:rFonts w:asciiTheme="majorBidi" w:hAnsiTheme="majorBidi" w:cstheme="majorBidi"/>
        </w:rPr>
        <w:t xml:space="preserve">ines much better. </w:t>
      </w:r>
      <w:r>
        <w:rPr>
          <w:sz w:val="23"/>
          <w:szCs w:val="23"/>
        </w:rPr>
        <w:t xml:space="preserve">However, when compared with the major Basel regulations regarding credit risk management, it should be admitted that none of the large or small Palestinian banks </w:t>
      </w:r>
      <w:r w:rsidR="007602E1">
        <w:rPr>
          <w:sz w:val="23"/>
          <w:szCs w:val="23"/>
        </w:rPr>
        <w:t>had met</w:t>
      </w:r>
      <w:r>
        <w:rPr>
          <w:sz w:val="23"/>
          <w:szCs w:val="23"/>
        </w:rPr>
        <w:t xml:space="preserve"> all the requirements strictly. It was </w:t>
      </w:r>
      <w:r w:rsidR="007602E1">
        <w:rPr>
          <w:sz w:val="23"/>
          <w:szCs w:val="23"/>
        </w:rPr>
        <w:t>found that</w:t>
      </w:r>
      <w:r>
        <w:rPr>
          <w:sz w:val="23"/>
          <w:szCs w:val="23"/>
        </w:rPr>
        <w:t xml:space="preserve"> the largest Palestinian Commercial </w:t>
      </w:r>
      <w:r w:rsidR="007602E1">
        <w:rPr>
          <w:sz w:val="23"/>
          <w:szCs w:val="23"/>
        </w:rPr>
        <w:t>bank in</w:t>
      </w:r>
      <w:r>
        <w:rPr>
          <w:sz w:val="23"/>
          <w:szCs w:val="23"/>
        </w:rPr>
        <w:t xml:space="preserve"> particular followed the general principles to some extent</w:t>
      </w:r>
      <w:r>
        <w:rPr>
          <w:rFonts w:asciiTheme="majorBidi" w:hAnsiTheme="majorBidi" w:cstheme="majorBidi"/>
        </w:rPr>
        <w:t xml:space="preserve"> while the others were still long way from Basel regulations, especially in </w:t>
      </w:r>
      <w:r w:rsidR="007602E1">
        <w:rPr>
          <w:rFonts w:asciiTheme="majorBidi" w:hAnsiTheme="majorBidi" w:cstheme="majorBidi"/>
        </w:rPr>
        <w:t>the area</w:t>
      </w:r>
      <w:r>
        <w:rPr>
          <w:rFonts w:asciiTheme="majorBidi" w:hAnsiTheme="majorBidi" w:cstheme="majorBidi"/>
        </w:rPr>
        <w:t xml:space="preserve"> of credit risk mitigation tools, credit control </w:t>
      </w:r>
      <w:r w:rsidR="007602E1">
        <w:rPr>
          <w:rFonts w:asciiTheme="majorBidi" w:hAnsiTheme="majorBidi" w:cstheme="majorBidi"/>
        </w:rPr>
        <w:t xml:space="preserve">and </w:t>
      </w:r>
      <w:r w:rsidR="007602E1" w:rsidRPr="00334699">
        <w:rPr>
          <w:rFonts w:asciiTheme="majorBidi" w:hAnsiTheme="majorBidi" w:cstheme="majorBidi"/>
          <w:color w:val="000000" w:themeColor="text1"/>
        </w:rPr>
        <w:t>the</w:t>
      </w:r>
      <w:r w:rsidRPr="00334699">
        <w:rPr>
          <w:rFonts w:asciiTheme="majorBidi" w:hAnsiTheme="majorBidi" w:cstheme="majorBidi"/>
          <w:color w:val="000000" w:themeColor="text1"/>
        </w:rPr>
        <w:t xml:space="preserve"> best practice of credit di</w:t>
      </w:r>
      <w:r>
        <w:rPr>
          <w:rFonts w:asciiTheme="majorBidi" w:hAnsiTheme="majorBidi" w:cstheme="majorBidi"/>
          <w:color w:val="000000" w:themeColor="text1"/>
        </w:rPr>
        <w:t>sclosure issued by Basel (2000).</w:t>
      </w:r>
    </w:p>
    <w:p w:rsidR="00623134" w:rsidRDefault="00FA33D6" w:rsidP="00623134">
      <w:pPr>
        <w:pStyle w:val="Default"/>
        <w:spacing w:line="360" w:lineRule="auto"/>
        <w:jc w:val="both"/>
        <w:rPr>
          <w:rFonts w:asciiTheme="majorBidi" w:hAnsiTheme="majorBidi" w:cstheme="majorBidi"/>
          <w:color w:val="000000" w:themeColor="text1"/>
        </w:rPr>
      </w:pPr>
      <w:r w:rsidRPr="001A5827">
        <w:rPr>
          <w:rFonts w:asciiTheme="majorBidi" w:hAnsiTheme="majorBidi" w:cstheme="majorBidi"/>
        </w:rPr>
        <w:t>Therefore</w:t>
      </w:r>
      <w:r>
        <w:rPr>
          <w:rFonts w:asciiTheme="majorBidi" w:hAnsiTheme="majorBidi" w:cstheme="majorBidi"/>
        </w:rPr>
        <w:t xml:space="preserve">, </w:t>
      </w:r>
      <w:r w:rsidR="007602E1">
        <w:rPr>
          <w:rFonts w:asciiTheme="majorBidi" w:hAnsiTheme="majorBidi" w:cstheme="majorBidi"/>
        </w:rPr>
        <w:t>the banks’</w:t>
      </w:r>
      <w:r>
        <w:rPr>
          <w:rFonts w:asciiTheme="majorBidi" w:hAnsiTheme="majorBidi" w:cstheme="majorBidi"/>
        </w:rPr>
        <w:t xml:space="preserve"> managements need to be careful</w:t>
      </w:r>
      <w:r w:rsidRPr="001A5827">
        <w:rPr>
          <w:rFonts w:asciiTheme="majorBidi" w:hAnsiTheme="majorBidi" w:cstheme="majorBidi"/>
        </w:rPr>
        <w:t xml:space="preserve"> in sett</w:t>
      </w:r>
      <w:r>
        <w:rPr>
          <w:rFonts w:asciiTheme="majorBidi" w:hAnsiTheme="majorBidi" w:cstheme="majorBidi"/>
        </w:rPr>
        <w:t xml:space="preserve">ing </w:t>
      </w:r>
      <w:r w:rsidR="007602E1">
        <w:rPr>
          <w:rFonts w:asciiTheme="majorBidi" w:hAnsiTheme="majorBidi" w:cstheme="majorBidi"/>
        </w:rPr>
        <w:t>up credit</w:t>
      </w:r>
      <w:r>
        <w:rPr>
          <w:rFonts w:asciiTheme="majorBidi" w:hAnsiTheme="majorBidi" w:cstheme="majorBidi"/>
        </w:rPr>
        <w:t xml:space="preserve"> policies</w:t>
      </w:r>
      <w:r w:rsidRPr="001A5827">
        <w:rPr>
          <w:rFonts w:asciiTheme="majorBidi" w:hAnsiTheme="majorBidi" w:cstheme="majorBidi"/>
        </w:rPr>
        <w:t xml:space="preserve"> </w:t>
      </w:r>
      <w:r>
        <w:rPr>
          <w:rFonts w:asciiTheme="majorBidi" w:hAnsiTheme="majorBidi" w:cstheme="majorBidi"/>
        </w:rPr>
        <w:t>to make sure they</w:t>
      </w:r>
      <w:r w:rsidRPr="001A5827">
        <w:rPr>
          <w:rFonts w:asciiTheme="majorBidi" w:hAnsiTheme="majorBidi" w:cstheme="majorBidi"/>
        </w:rPr>
        <w:t xml:space="preserve"> </w:t>
      </w:r>
      <w:r w:rsidR="007602E1">
        <w:rPr>
          <w:rFonts w:asciiTheme="majorBidi" w:hAnsiTheme="majorBidi" w:cstheme="majorBidi"/>
        </w:rPr>
        <w:t>would not</w:t>
      </w:r>
      <w:r>
        <w:rPr>
          <w:rFonts w:asciiTheme="majorBidi" w:hAnsiTheme="majorBidi" w:cstheme="majorBidi"/>
        </w:rPr>
        <w:t xml:space="preserve"> negatively affect</w:t>
      </w:r>
      <w:r w:rsidRPr="001A5827">
        <w:rPr>
          <w:rFonts w:asciiTheme="majorBidi" w:hAnsiTheme="majorBidi" w:cstheme="majorBidi"/>
        </w:rPr>
        <w:t xml:space="preserve"> profitability</w:t>
      </w:r>
      <w:r>
        <w:rPr>
          <w:rFonts w:asciiTheme="majorBidi" w:hAnsiTheme="majorBidi" w:cstheme="majorBidi"/>
        </w:rPr>
        <w:t>. They</w:t>
      </w:r>
      <w:r w:rsidRPr="001A5827">
        <w:rPr>
          <w:rFonts w:asciiTheme="majorBidi" w:hAnsiTheme="majorBidi" w:cstheme="majorBidi"/>
        </w:rPr>
        <w:t xml:space="preserve"> </w:t>
      </w:r>
      <w:r w:rsidR="007602E1" w:rsidRPr="001A5827">
        <w:rPr>
          <w:rFonts w:asciiTheme="majorBidi" w:hAnsiTheme="majorBidi" w:cstheme="majorBidi"/>
        </w:rPr>
        <w:t xml:space="preserve">also </w:t>
      </w:r>
      <w:r w:rsidR="007602E1">
        <w:rPr>
          <w:rFonts w:asciiTheme="majorBidi" w:hAnsiTheme="majorBidi" w:cstheme="majorBidi"/>
        </w:rPr>
        <w:t>need</w:t>
      </w:r>
      <w:r>
        <w:rPr>
          <w:rFonts w:asciiTheme="majorBidi" w:hAnsiTheme="majorBidi" w:cstheme="majorBidi"/>
        </w:rPr>
        <w:t xml:space="preserve"> to know how credit policies affect</w:t>
      </w:r>
      <w:r w:rsidRPr="001A5827">
        <w:rPr>
          <w:rFonts w:asciiTheme="majorBidi" w:hAnsiTheme="majorBidi" w:cstheme="majorBidi"/>
        </w:rPr>
        <w:t xml:space="preserve"> the operation of their banks to ensure</w:t>
      </w:r>
      <w:r>
        <w:rPr>
          <w:rFonts w:asciiTheme="majorBidi" w:hAnsiTheme="majorBidi" w:cstheme="majorBidi"/>
        </w:rPr>
        <w:t xml:space="preserve"> prudent utilization of financial resources</w:t>
      </w:r>
      <w:r w:rsidRPr="001A5827">
        <w:rPr>
          <w:rFonts w:asciiTheme="majorBidi" w:hAnsiTheme="majorBidi" w:cstheme="majorBidi"/>
        </w:rPr>
        <w:t xml:space="preserve"> and maximization </w:t>
      </w:r>
      <w:r w:rsidRPr="001A5827">
        <w:rPr>
          <w:rFonts w:asciiTheme="majorBidi" w:hAnsiTheme="majorBidi" w:cstheme="majorBidi"/>
        </w:rPr>
        <w:lastRenderedPageBreak/>
        <w:t>of profit</w:t>
      </w:r>
      <w:r>
        <w:rPr>
          <w:rFonts w:asciiTheme="majorBidi" w:hAnsiTheme="majorBidi" w:cstheme="majorBidi"/>
        </w:rPr>
        <w:t>. Unsound</w:t>
      </w:r>
      <w:r w:rsidRPr="001A5827">
        <w:rPr>
          <w:rFonts w:asciiTheme="majorBidi" w:hAnsiTheme="majorBidi" w:cstheme="majorBidi"/>
        </w:rPr>
        <w:t xml:space="preserve"> credit risk management</w:t>
      </w:r>
      <w:r>
        <w:rPr>
          <w:rFonts w:asciiTheme="majorBidi" w:hAnsiTheme="majorBidi" w:cstheme="majorBidi"/>
        </w:rPr>
        <w:t xml:space="preserve"> affect</w:t>
      </w:r>
      <w:r w:rsidRPr="001A5827">
        <w:rPr>
          <w:rFonts w:asciiTheme="majorBidi" w:hAnsiTheme="majorBidi" w:cstheme="majorBidi"/>
        </w:rPr>
        <w:t xml:space="preserve"> the bank</w:t>
      </w:r>
      <w:r>
        <w:rPr>
          <w:rFonts w:asciiTheme="majorBidi" w:hAnsiTheme="majorBidi" w:cstheme="majorBidi"/>
        </w:rPr>
        <w:t>'s</w:t>
      </w:r>
      <w:r w:rsidRPr="001A5827">
        <w:rPr>
          <w:rFonts w:asciiTheme="majorBidi" w:hAnsiTheme="majorBidi" w:cstheme="majorBidi"/>
        </w:rPr>
        <w:t xml:space="preserve"> profitability</w:t>
      </w:r>
      <w:r>
        <w:rPr>
          <w:rFonts w:asciiTheme="majorBidi" w:hAnsiTheme="majorBidi" w:cstheme="majorBidi"/>
        </w:rPr>
        <w:t xml:space="preserve"> negatively</w:t>
      </w:r>
      <w:r w:rsidR="007602E1" w:rsidRPr="001A5827">
        <w:rPr>
          <w:rFonts w:asciiTheme="majorBidi" w:hAnsiTheme="majorBidi" w:cstheme="majorBidi"/>
        </w:rPr>
        <w:t>, the</w:t>
      </w:r>
      <w:r w:rsidRPr="001A5827">
        <w:rPr>
          <w:rFonts w:asciiTheme="majorBidi" w:hAnsiTheme="majorBidi" w:cstheme="majorBidi"/>
        </w:rPr>
        <w:t xml:space="preserve"> quality of its a</w:t>
      </w:r>
      <w:r>
        <w:rPr>
          <w:rFonts w:asciiTheme="majorBidi" w:hAnsiTheme="majorBidi" w:cstheme="majorBidi"/>
        </w:rPr>
        <w:t xml:space="preserve">ssets </w:t>
      </w:r>
      <w:r w:rsidRPr="001A5827">
        <w:rPr>
          <w:rFonts w:asciiTheme="majorBidi" w:hAnsiTheme="majorBidi" w:cstheme="majorBidi"/>
        </w:rPr>
        <w:t>and non-performing loan</w:t>
      </w:r>
      <w:r>
        <w:rPr>
          <w:rFonts w:asciiTheme="majorBidi" w:hAnsiTheme="majorBidi" w:cstheme="majorBidi"/>
        </w:rPr>
        <w:t>s</w:t>
      </w:r>
      <w:r w:rsidRPr="001A5827">
        <w:rPr>
          <w:rFonts w:asciiTheme="majorBidi" w:hAnsiTheme="majorBidi" w:cstheme="majorBidi"/>
        </w:rPr>
        <w:t xml:space="preserve"> which may eventually lead to financial distress.</w:t>
      </w:r>
    </w:p>
    <w:p w:rsidR="00194FB4" w:rsidRDefault="00194FB4" w:rsidP="00623134">
      <w:pPr>
        <w:pStyle w:val="Default"/>
        <w:spacing w:line="360" w:lineRule="auto"/>
        <w:jc w:val="both"/>
        <w:rPr>
          <w:rFonts w:asciiTheme="majorBidi" w:hAnsiTheme="majorBidi" w:cstheme="majorBidi"/>
          <w:b/>
          <w:bCs/>
          <w:color w:val="000000" w:themeColor="text1"/>
        </w:rPr>
      </w:pPr>
    </w:p>
    <w:p w:rsidR="007765A2" w:rsidRPr="00280E38" w:rsidRDefault="007765A2" w:rsidP="00623134">
      <w:pPr>
        <w:pStyle w:val="Default"/>
        <w:spacing w:line="360" w:lineRule="auto"/>
        <w:jc w:val="both"/>
        <w:rPr>
          <w:rFonts w:asciiTheme="majorBidi" w:hAnsiTheme="majorBidi" w:cstheme="majorBidi"/>
          <w:color w:val="000000" w:themeColor="text1"/>
        </w:rPr>
      </w:pPr>
      <w:r w:rsidRPr="00C60FA4">
        <w:rPr>
          <w:rFonts w:asciiTheme="majorBidi" w:hAnsiTheme="majorBidi" w:cstheme="majorBidi"/>
          <w:b/>
          <w:bCs/>
          <w:color w:val="000000" w:themeColor="text1"/>
        </w:rPr>
        <w:t>5.2 Recommendations</w:t>
      </w:r>
    </w:p>
    <w:p w:rsidR="00C76098" w:rsidRDefault="00C76098" w:rsidP="00C76098">
      <w:pPr>
        <w:pStyle w:val="Defaul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In the light of </w:t>
      </w:r>
      <w:r w:rsidR="007602E1">
        <w:rPr>
          <w:rFonts w:asciiTheme="majorBidi" w:hAnsiTheme="majorBidi" w:cstheme="majorBidi"/>
          <w:color w:val="000000" w:themeColor="text1"/>
        </w:rPr>
        <w:t>study findings</w:t>
      </w:r>
      <w:r>
        <w:rPr>
          <w:rFonts w:asciiTheme="majorBidi" w:hAnsiTheme="majorBidi" w:cstheme="majorBidi"/>
          <w:color w:val="000000" w:themeColor="text1"/>
        </w:rPr>
        <w:t xml:space="preserve">, the researcher offers a number of </w:t>
      </w:r>
      <w:r w:rsidR="007602E1">
        <w:rPr>
          <w:rFonts w:asciiTheme="majorBidi" w:hAnsiTheme="majorBidi" w:cstheme="majorBidi"/>
          <w:color w:val="000000" w:themeColor="text1"/>
        </w:rPr>
        <w:t>recommendations which</w:t>
      </w:r>
      <w:r>
        <w:rPr>
          <w:rFonts w:asciiTheme="majorBidi" w:hAnsiTheme="majorBidi" w:cstheme="majorBidi"/>
          <w:color w:val="000000" w:themeColor="text1"/>
        </w:rPr>
        <w:t xml:space="preserve"> may be useful for banks’ managements and PMA policy makers:</w:t>
      </w:r>
    </w:p>
    <w:p w:rsidR="00C76098" w:rsidRPr="00623145" w:rsidRDefault="00C76098" w:rsidP="00C76098">
      <w:pPr>
        <w:pStyle w:val="Default"/>
        <w:spacing w:line="360" w:lineRule="auto"/>
        <w:jc w:val="both"/>
        <w:rPr>
          <w:rFonts w:asciiTheme="majorBidi" w:hAnsiTheme="majorBidi" w:cstheme="majorBidi"/>
          <w:color w:val="000000" w:themeColor="text1"/>
        </w:rPr>
      </w:pPr>
      <w:r w:rsidRPr="00C76098">
        <w:rPr>
          <w:rFonts w:asciiTheme="majorBidi" w:hAnsiTheme="majorBidi" w:cstheme="majorBidi"/>
          <w:color w:val="000000" w:themeColor="text1"/>
        </w:rPr>
        <w:t>- There is a need for orie</w:t>
      </w:r>
      <w:r>
        <w:rPr>
          <w:rFonts w:asciiTheme="majorBidi" w:hAnsiTheme="majorBidi" w:cstheme="majorBidi"/>
          <w:color w:val="000000" w:themeColor="text1"/>
        </w:rPr>
        <w:t xml:space="preserve">ntation to reduce conservative lending to public sector (government) because </w:t>
      </w:r>
      <w:r w:rsidR="008606AB">
        <w:rPr>
          <w:rFonts w:asciiTheme="majorBidi" w:hAnsiTheme="majorBidi" w:cstheme="majorBidi"/>
          <w:color w:val="000000" w:themeColor="text1"/>
        </w:rPr>
        <w:t>of the</w:t>
      </w:r>
      <w:r>
        <w:t xml:space="preserve"> i</w:t>
      </w:r>
      <w:r w:rsidRPr="009B538D">
        <w:t>ncreasing</w:t>
      </w:r>
      <w:r>
        <w:t xml:space="preserve"> trend of</w:t>
      </w:r>
      <w:r w:rsidRPr="009B538D">
        <w:t xml:space="preserve"> public sector'</w:t>
      </w:r>
      <w:r>
        <w:t>s share of total credit g</w:t>
      </w:r>
      <w:r w:rsidRPr="009B538D">
        <w:t xml:space="preserve">ranted </w:t>
      </w:r>
      <w:r>
        <w:t>by banks operating in Palestine.</w:t>
      </w:r>
      <w:r w:rsidRPr="00A0315B">
        <w:t xml:space="preserve"> This </w:t>
      </w:r>
      <w:r>
        <w:t>involves</w:t>
      </w:r>
      <w:r w:rsidRPr="00A0315B">
        <w:t xml:space="preserve"> a high degree of risk and</w:t>
      </w:r>
      <w:r>
        <w:t xml:space="preserve"> increases banks’</w:t>
      </w:r>
      <w:r w:rsidRPr="00A0315B">
        <w:t xml:space="preserve"> exposure</w:t>
      </w:r>
      <w:r>
        <w:t xml:space="preserve"> to this risk, since</w:t>
      </w:r>
      <w:r w:rsidRPr="00A0315B">
        <w:t xml:space="preserve"> credit granted to the government</w:t>
      </w:r>
      <w:r>
        <w:t xml:space="preserve"> exceeds banks e</w:t>
      </w:r>
      <w:r w:rsidR="001D6A71">
        <w:t>quity to all</w:t>
      </w:r>
      <w:r w:rsidRPr="00A0315B">
        <w:t xml:space="preserve"> banks</w:t>
      </w:r>
      <w:r w:rsidR="001D6A71">
        <w:t xml:space="preserve"> whether its local or foreign banks. </w:t>
      </w:r>
    </w:p>
    <w:p w:rsidR="00C76098" w:rsidRPr="00BF564E" w:rsidRDefault="00C76098" w:rsidP="00C76098">
      <w:pPr>
        <w:pStyle w:val="Default"/>
        <w:spacing w:line="360" w:lineRule="auto"/>
        <w:jc w:val="both"/>
        <w:rPr>
          <w:rFonts w:asciiTheme="majorBidi" w:hAnsiTheme="majorBidi" w:cstheme="majorBidi"/>
          <w:color w:val="000000" w:themeColor="text1"/>
        </w:rPr>
      </w:pPr>
      <w:r>
        <w:rPr>
          <w:rFonts w:asciiTheme="majorBidi" w:hAnsiTheme="majorBidi" w:cstheme="majorBidi"/>
          <w:b/>
          <w:bCs/>
          <w:color w:val="000000" w:themeColor="text1"/>
        </w:rPr>
        <w:t>-</w:t>
      </w:r>
      <w:r>
        <w:rPr>
          <w:rFonts w:asciiTheme="majorBidi" w:hAnsiTheme="majorBidi" w:cstheme="majorBidi"/>
          <w:color w:val="000000" w:themeColor="text1"/>
        </w:rPr>
        <w:t>Since</w:t>
      </w:r>
      <w:r w:rsidRPr="00BE78AD">
        <w:t xml:space="preserve"> banks are the main source of credit in the domestic markets, due to the fact that the capital market is weak and limited, and it lacks the ability to provide adequate sources of financing for investors</w:t>
      </w:r>
      <w:r>
        <w:rPr>
          <w:rFonts w:asciiTheme="majorBidi" w:hAnsiTheme="majorBidi" w:cstheme="majorBidi"/>
          <w:color w:val="000000" w:themeColor="text1"/>
        </w:rPr>
        <w:t xml:space="preserve">, banks need to increase their capital </w:t>
      </w:r>
      <w:r w:rsidR="007602E1">
        <w:rPr>
          <w:rFonts w:asciiTheme="majorBidi" w:hAnsiTheme="majorBidi" w:cstheme="majorBidi"/>
          <w:color w:val="000000" w:themeColor="text1"/>
        </w:rPr>
        <w:t>base</w:t>
      </w:r>
      <w:r>
        <w:rPr>
          <w:rFonts w:asciiTheme="majorBidi" w:hAnsiTheme="majorBidi" w:cstheme="majorBidi"/>
          <w:color w:val="000000" w:themeColor="text1"/>
        </w:rPr>
        <w:t xml:space="preserve"> </w:t>
      </w:r>
      <w:r w:rsidR="007602E1">
        <w:rPr>
          <w:rFonts w:asciiTheme="majorBidi" w:hAnsiTheme="majorBidi" w:cstheme="majorBidi"/>
          <w:color w:val="000000" w:themeColor="text1"/>
        </w:rPr>
        <w:t>and equity</w:t>
      </w:r>
      <w:r>
        <w:rPr>
          <w:rFonts w:asciiTheme="majorBidi" w:hAnsiTheme="majorBidi" w:cstheme="majorBidi"/>
          <w:color w:val="000000" w:themeColor="text1"/>
        </w:rPr>
        <w:t xml:space="preserve"> capital in particular. Although it is the most expensive </w:t>
      </w:r>
      <w:r w:rsidRPr="00BF564E">
        <w:rPr>
          <w:rFonts w:asciiTheme="majorBidi" w:hAnsiTheme="majorBidi" w:cstheme="majorBidi"/>
          <w:color w:val="000000" w:themeColor="text1"/>
        </w:rPr>
        <w:t>source of banks’ funding,</w:t>
      </w:r>
      <w:r>
        <w:rPr>
          <w:rFonts w:asciiTheme="majorBidi" w:hAnsiTheme="majorBidi" w:cstheme="majorBidi"/>
          <w:color w:val="000000" w:themeColor="text1"/>
        </w:rPr>
        <w:t xml:space="preserve"> </w:t>
      </w:r>
      <w:r w:rsidRPr="00BF564E">
        <w:rPr>
          <w:rFonts w:asciiTheme="majorBidi" w:hAnsiTheme="majorBidi" w:cstheme="majorBidi"/>
          <w:color w:val="000000" w:themeColor="text1"/>
        </w:rPr>
        <w:t xml:space="preserve">it provides a loss absorbing cushion </w:t>
      </w:r>
      <w:r w:rsidR="007602E1" w:rsidRPr="00BF564E">
        <w:rPr>
          <w:rFonts w:asciiTheme="majorBidi" w:hAnsiTheme="majorBidi" w:cstheme="majorBidi"/>
          <w:color w:val="000000" w:themeColor="text1"/>
        </w:rPr>
        <w:t xml:space="preserve">for </w:t>
      </w:r>
      <w:r w:rsidR="007602E1">
        <w:rPr>
          <w:rFonts w:asciiTheme="majorBidi" w:hAnsiTheme="majorBidi" w:cstheme="majorBidi"/>
          <w:color w:val="000000" w:themeColor="text1"/>
        </w:rPr>
        <w:t>unexpected</w:t>
      </w:r>
      <w:r w:rsidRPr="00BF564E">
        <w:rPr>
          <w:rFonts w:asciiTheme="majorBidi" w:hAnsiTheme="majorBidi" w:cstheme="majorBidi"/>
          <w:color w:val="000000" w:themeColor="text1"/>
        </w:rPr>
        <w:t xml:space="preserve"> events</w:t>
      </w:r>
      <w:r>
        <w:rPr>
          <w:rFonts w:asciiTheme="majorBidi" w:hAnsiTheme="majorBidi" w:cstheme="majorBidi"/>
          <w:color w:val="000000" w:themeColor="text1"/>
        </w:rPr>
        <w:t xml:space="preserve"> (the first line of defense) and</w:t>
      </w:r>
      <w:r w:rsidRPr="00BF564E">
        <w:rPr>
          <w:rFonts w:asciiTheme="majorBidi" w:hAnsiTheme="majorBidi" w:cstheme="majorBidi"/>
          <w:color w:val="000000" w:themeColor="text1"/>
        </w:rPr>
        <w:t xml:space="preserve"> if properly designed, introduces incentives for banks to limit </w:t>
      </w:r>
      <w:r>
        <w:rPr>
          <w:rFonts w:asciiTheme="majorBidi" w:hAnsiTheme="majorBidi" w:cstheme="majorBidi"/>
          <w:color w:val="000000" w:themeColor="text1"/>
        </w:rPr>
        <w:t xml:space="preserve">the risk of their activities and enhance </w:t>
      </w:r>
      <w:r w:rsidRPr="00BF564E">
        <w:rPr>
          <w:rFonts w:asciiTheme="majorBidi" w:hAnsiTheme="majorBidi" w:cstheme="majorBidi"/>
          <w:color w:val="000000" w:themeColor="text1"/>
        </w:rPr>
        <w:t xml:space="preserve">the competitive </w:t>
      </w:r>
      <w:r>
        <w:rPr>
          <w:rFonts w:asciiTheme="majorBidi" w:hAnsiTheme="majorBidi" w:cstheme="majorBidi"/>
          <w:color w:val="000000" w:themeColor="text1"/>
        </w:rPr>
        <w:t>position</w:t>
      </w:r>
      <w:r w:rsidRPr="00BF564E">
        <w:rPr>
          <w:rFonts w:asciiTheme="majorBidi" w:hAnsiTheme="majorBidi" w:cstheme="majorBidi"/>
          <w:color w:val="000000" w:themeColor="text1"/>
        </w:rPr>
        <w:t xml:space="preserve"> in the financial </w:t>
      </w:r>
      <w:r>
        <w:rPr>
          <w:rFonts w:asciiTheme="majorBidi" w:hAnsiTheme="majorBidi" w:cstheme="majorBidi"/>
          <w:color w:val="000000" w:themeColor="text1"/>
        </w:rPr>
        <w:t>sector.</w:t>
      </w:r>
    </w:p>
    <w:p w:rsidR="00C76098" w:rsidRPr="00C76098" w:rsidRDefault="00C76098" w:rsidP="00C76098">
      <w:pPr>
        <w:pStyle w:val="Default"/>
        <w:spacing w:line="360" w:lineRule="auto"/>
        <w:jc w:val="both"/>
        <w:rPr>
          <w:rFonts w:asciiTheme="majorBidi" w:hAnsiTheme="majorBidi" w:cstheme="majorBidi"/>
          <w:color w:val="000000" w:themeColor="text1"/>
        </w:rPr>
      </w:pPr>
      <w:r>
        <w:rPr>
          <w:rFonts w:asciiTheme="majorBidi" w:hAnsiTheme="majorBidi" w:cstheme="majorBidi"/>
          <w:b/>
          <w:bCs/>
          <w:color w:val="000000" w:themeColor="text1"/>
        </w:rPr>
        <w:t xml:space="preserve">- </w:t>
      </w:r>
      <w:r w:rsidRPr="00C76098">
        <w:rPr>
          <w:rFonts w:asciiTheme="majorBidi" w:hAnsiTheme="majorBidi" w:cstheme="majorBidi"/>
          <w:color w:val="000000" w:themeColor="text1"/>
        </w:rPr>
        <w:t xml:space="preserve">There is also a need for orientation to merge, particularly smaller banks, so that there would  be banking units capable of  competing, providing better service to clients and promoting stability of the banking sector. </w:t>
      </w:r>
    </w:p>
    <w:p w:rsidR="00C76098" w:rsidRPr="00C76098" w:rsidRDefault="00C76098" w:rsidP="00C76098">
      <w:pPr>
        <w:pStyle w:val="Default"/>
        <w:spacing w:line="360" w:lineRule="auto"/>
        <w:jc w:val="both"/>
        <w:rPr>
          <w:rFonts w:asciiTheme="majorBidi" w:hAnsiTheme="majorBidi" w:cstheme="majorBidi"/>
          <w:color w:val="000000" w:themeColor="text1"/>
        </w:rPr>
      </w:pPr>
      <w:r w:rsidRPr="00C76098">
        <w:rPr>
          <w:rFonts w:asciiTheme="majorBidi" w:hAnsiTheme="majorBidi" w:cstheme="majorBidi"/>
          <w:color w:val="000000" w:themeColor="text1"/>
        </w:rPr>
        <w:t>-Since the operational cost efficiency management was found to be negatively significant with bank's profitability and much higher than industry standards, there is a possibility for these banks to improve profitability by focusing attention on proper cost control and operating efficiency.</w:t>
      </w:r>
    </w:p>
    <w:p w:rsidR="00C76098" w:rsidRDefault="00C76098" w:rsidP="00C76098">
      <w:pPr>
        <w:pStyle w:val="Default"/>
        <w:spacing w:line="360" w:lineRule="auto"/>
        <w:jc w:val="both"/>
        <w:rPr>
          <w:rFonts w:asciiTheme="majorBidi" w:hAnsiTheme="majorBidi" w:cstheme="majorBidi"/>
          <w:color w:val="000000" w:themeColor="text1"/>
        </w:rPr>
      </w:pPr>
      <w:r w:rsidRPr="00C76098">
        <w:rPr>
          <w:rFonts w:asciiTheme="majorBidi" w:hAnsiTheme="majorBidi" w:cstheme="majorBidi"/>
          <w:color w:val="000000" w:themeColor="text1"/>
        </w:rPr>
        <w:t>- There is a necessity for the commercial banks to improve their good lending principles, in addition to the supervision and periodic review of the credit portfolio before and after the granting of credit. In other words, these</w:t>
      </w:r>
      <w:r>
        <w:rPr>
          <w:rFonts w:asciiTheme="majorBidi" w:hAnsiTheme="majorBidi" w:cstheme="majorBidi"/>
          <w:color w:val="000000" w:themeColor="text1"/>
        </w:rPr>
        <w:t xml:space="preserve"> banks should have a keen </w:t>
      </w:r>
      <w:r w:rsidRPr="00645154">
        <w:rPr>
          <w:rFonts w:asciiTheme="majorBidi" w:hAnsiTheme="majorBidi" w:cstheme="majorBidi"/>
          <w:color w:val="000000" w:themeColor="text1"/>
        </w:rPr>
        <w:t xml:space="preserve">awareness of the need to </w:t>
      </w:r>
      <w:r w:rsidR="00194FB4" w:rsidRPr="00645154">
        <w:rPr>
          <w:rFonts w:asciiTheme="majorBidi" w:hAnsiTheme="majorBidi" w:cstheme="majorBidi"/>
          <w:color w:val="000000" w:themeColor="text1"/>
        </w:rPr>
        <w:t>identify</w:t>
      </w:r>
      <w:r w:rsidRPr="00645154">
        <w:rPr>
          <w:rFonts w:asciiTheme="majorBidi" w:hAnsiTheme="majorBidi" w:cstheme="majorBidi"/>
          <w:color w:val="000000" w:themeColor="text1"/>
        </w:rPr>
        <w:t xml:space="preserve"> measure,</w:t>
      </w:r>
      <w:r>
        <w:rPr>
          <w:rFonts w:asciiTheme="majorBidi" w:hAnsiTheme="majorBidi" w:cstheme="majorBidi"/>
          <w:color w:val="000000" w:themeColor="text1"/>
        </w:rPr>
        <w:t xml:space="preserve"> </w:t>
      </w:r>
      <w:r w:rsidRPr="00645154">
        <w:rPr>
          <w:rFonts w:asciiTheme="majorBidi" w:hAnsiTheme="majorBidi" w:cstheme="majorBidi"/>
          <w:color w:val="000000" w:themeColor="text1"/>
        </w:rPr>
        <w:t>monitor and control credit risk</w:t>
      </w:r>
      <w:r>
        <w:rPr>
          <w:rFonts w:asciiTheme="majorBidi" w:hAnsiTheme="majorBidi" w:cstheme="majorBidi"/>
          <w:color w:val="000000" w:themeColor="text1"/>
        </w:rPr>
        <w:t xml:space="preserve"> since </w:t>
      </w:r>
      <w:r w:rsidRPr="00512D5A">
        <w:rPr>
          <w:rFonts w:asciiTheme="majorBidi" w:hAnsiTheme="majorBidi" w:cstheme="majorBidi"/>
          <w:color w:val="000000" w:themeColor="text1"/>
        </w:rPr>
        <w:t>loans are the largest and mo</w:t>
      </w:r>
      <w:r>
        <w:rPr>
          <w:rFonts w:asciiTheme="majorBidi" w:hAnsiTheme="majorBidi" w:cstheme="majorBidi"/>
          <w:color w:val="000000" w:themeColor="text1"/>
        </w:rPr>
        <w:t>st obvious source of this risk.</w:t>
      </w:r>
    </w:p>
    <w:p w:rsidR="00C76098" w:rsidRDefault="00C76098" w:rsidP="00C76098">
      <w:pPr>
        <w:pStyle w:val="Default"/>
        <w:spacing w:line="360" w:lineRule="auto"/>
        <w:jc w:val="both"/>
        <w:rPr>
          <w:rFonts w:asciiTheme="majorBidi" w:hAnsiTheme="majorBidi" w:cstheme="majorBidi"/>
          <w:color w:val="000000" w:themeColor="text1"/>
        </w:rPr>
      </w:pPr>
      <w:r>
        <w:rPr>
          <w:rFonts w:asciiTheme="majorBidi" w:hAnsiTheme="majorBidi" w:cstheme="majorBidi"/>
          <w:b/>
          <w:bCs/>
          <w:color w:val="000000" w:themeColor="text1"/>
        </w:rPr>
        <w:t>-</w:t>
      </w:r>
      <w:r>
        <w:rPr>
          <w:rFonts w:asciiTheme="majorBidi" w:hAnsiTheme="majorBidi" w:cstheme="majorBidi"/>
          <w:color w:val="000000" w:themeColor="text1"/>
        </w:rPr>
        <w:t xml:space="preserve">No absolute recommendation can be made on the adoption of newer methods of credit risk mitigation techniques since Palestinian commercial banks rely heavily on traditional methods because </w:t>
      </w:r>
      <w:r w:rsidR="007602E1">
        <w:rPr>
          <w:rFonts w:asciiTheme="majorBidi" w:hAnsiTheme="majorBidi" w:cstheme="majorBidi"/>
          <w:color w:val="000000" w:themeColor="text1"/>
        </w:rPr>
        <w:t>banks choose</w:t>
      </w:r>
      <w:r>
        <w:rPr>
          <w:rFonts w:asciiTheme="majorBidi" w:hAnsiTheme="majorBidi" w:cstheme="majorBidi"/>
          <w:color w:val="000000" w:themeColor="text1"/>
        </w:rPr>
        <w:t xml:space="preserve"> the techniques they </w:t>
      </w:r>
      <w:r w:rsidR="007602E1">
        <w:rPr>
          <w:rFonts w:asciiTheme="majorBidi" w:hAnsiTheme="majorBidi" w:cstheme="majorBidi"/>
          <w:color w:val="000000" w:themeColor="text1"/>
        </w:rPr>
        <w:t>are best</w:t>
      </w:r>
      <w:r>
        <w:rPr>
          <w:rFonts w:asciiTheme="majorBidi" w:hAnsiTheme="majorBidi" w:cstheme="majorBidi"/>
          <w:color w:val="000000" w:themeColor="text1"/>
        </w:rPr>
        <w:t xml:space="preserve"> at and match their operations. </w:t>
      </w:r>
    </w:p>
    <w:p w:rsidR="00C76098" w:rsidRDefault="00C76098" w:rsidP="00C76098">
      <w:pPr>
        <w:pStyle w:val="Default"/>
        <w:spacing w:line="360" w:lineRule="auto"/>
        <w:jc w:val="both"/>
        <w:rPr>
          <w:rFonts w:asciiTheme="majorBidi" w:hAnsiTheme="majorBidi" w:cstheme="majorBidi"/>
          <w:color w:val="000000" w:themeColor="text1"/>
        </w:rPr>
      </w:pPr>
      <w:r>
        <w:rPr>
          <w:rFonts w:asciiTheme="majorBidi" w:hAnsiTheme="majorBidi" w:cstheme="majorBidi"/>
          <w:b/>
          <w:bCs/>
          <w:color w:val="000000" w:themeColor="text1"/>
        </w:rPr>
        <w:lastRenderedPageBreak/>
        <w:t>-</w:t>
      </w:r>
      <w:r>
        <w:rPr>
          <w:rFonts w:asciiTheme="majorBidi" w:hAnsiTheme="majorBidi" w:cstheme="majorBidi"/>
          <w:color w:val="000000" w:themeColor="text1"/>
        </w:rPr>
        <w:t>There is a need for orientation to increase a</w:t>
      </w:r>
      <w:r w:rsidRPr="008C20CB">
        <w:rPr>
          <w:rFonts w:asciiTheme="majorBidi" w:hAnsiTheme="majorBidi" w:cstheme="majorBidi"/>
          <w:color w:val="000000" w:themeColor="text1"/>
        </w:rPr>
        <w:t>dvanced training courses for staff i</w:t>
      </w:r>
      <w:r>
        <w:rPr>
          <w:rFonts w:asciiTheme="majorBidi" w:hAnsiTheme="majorBidi" w:cstheme="majorBidi"/>
          <w:color w:val="000000" w:themeColor="text1"/>
        </w:rPr>
        <w:t xml:space="preserve">n the </w:t>
      </w:r>
      <w:r w:rsidR="007602E1" w:rsidRPr="00C76098">
        <w:rPr>
          <w:rFonts w:asciiTheme="majorBidi" w:hAnsiTheme="majorBidi" w:cstheme="majorBidi"/>
          <w:color w:val="000000" w:themeColor="text1"/>
        </w:rPr>
        <w:t>relevant departments</w:t>
      </w:r>
      <w:r w:rsidRPr="00C76098">
        <w:rPr>
          <w:rFonts w:asciiTheme="majorBidi" w:hAnsiTheme="majorBidi" w:cstheme="majorBidi"/>
          <w:color w:val="000000" w:themeColor="text1"/>
        </w:rPr>
        <w:t xml:space="preserve"> and put the right person in the right position.</w:t>
      </w:r>
    </w:p>
    <w:p w:rsidR="00C76098" w:rsidRPr="00795EBA" w:rsidRDefault="00C76098" w:rsidP="00C76098">
      <w:pPr>
        <w:pStyle w:val="Default"/>
        <w:spacing w:line="360" w:lineRule="auto"/>
        <w:jc w:val="both"/>
        <w:rPr>
          <w:rFonts w:asciiTheme="majorBidi" w:hAnsiTheme="majorBidi" w:cstheme="majorBidi"/>
          <w:color w:val="000000" w:themeColor="text1"/>
        </w:rPr>
      </w:pPr>
      <w:r w:rsidRPr="00795EBA">
        <w:rPr>
          <w:rFonts w:asciiTheme="majorBidi" w:hAnsiTheme="majorBidi" w:cstheme="majorBidi"/>
          <w:b/>
          <w:bCs/>
          <w:color w:val="000000" w:themeColor="text1"/>
        </w:rPr>
        <w:t>-</w:t>
      </w:r>
      <w:r>
        <w:rPr>
          <w:rFonts w:asciiTheme="majorBidi" w:hAnsiTheme="majorBidi" w:cstheme="majorBidi"/>
          <w:color w:val="000000" w:themeColor="text1"/>
        </w:rPr>
        <w:t>There is a necessity for p</w:t>
      </w:r>
      <w:r w:rsidRPr="00795EBA">
        <w:rPr>
          <w:rFonts w:asciiTheme="majorBidi" w:hAnsiTheme="majorBidi" w:cstheme="majorBidi"/>
          <w:color w:val="000000" w:themeColor="text1"/>
        </w:rPr>
        <w:t>romot</w:t>
      </w:r>
      <w:r>
        <w:rPr>
          <w:rFonts w:asciiTheme="majorBidi" w:hAnsiTheme="majorBidi" w:cstheme="majorBidi"/>
          <w:color w:val="000000" w:themeColor="text1"/>
        </w:rPr>
        <w:t xml:space="preserve">ion </w:t>
      </w:r>
      <w:r w:rsidR="007602E1">
        <w:rPr>
          <w:rFonts w:asciiTheme="majorBidi" w:hAnsiTheme="majorBidi" w:cstheme="majorBidi"/>
          <w:color w:val="000000" w:themeColor="text1"/>
        </w:rPr>
        <w:t xml:space="preserve">of </w:t>
      </w:r>
      <w:r w:rsidR="007602E1" w:rsidRPr="00795EBA">
        <w:rPr>
          <w:rFonts w:asciiTheme="majorBidi" w:hAnsiTheme="majorBidi" w:cstheme="majorBidi"/>
          <w:color w:val="000000" w:themeColor="text1"/>
        </w:rPr>
        <w:t>out</w:t>
      </w:r>
      <w:r w:rsidRPr="00795EBA">
        <w:rPr>
          <w:rFonts w:asciiTheme="majorBidi" w:hAnsiTheme="majorBidi" w:cstheme="majorBidi"/>
          <w:color w:val="000000" w:themeColor="text1"/>
        </w:rPr>
        <w:t>-of-court settlement for debt collection.</w:t>
      </w:r>
    </w:p>
    <w:p w:rsidR="005208C9" w:rsidRDefault="00C76098" w:rsidP="005208C9">
      <w:pPr>
        <w:spacing w:after="0" w:line="360" w:lineRule="auto"/>
        <w:jc w:val="both"/>
        <w:rPr>
          <w:rFonts w:ascii="Times New Roman" w:hAnsi="Times New Roman" w:cs="Times New Roman"/>
          <w:bCs/>
          <w:noProof/>
          <w:color w:val="000000"/>
          <w:sz w:val="24"/>
          <w:szCs w:val="24"/>
          <w:lang w:val="cs-CZ" w:eastAsia="cs-CZ"/>
        </w:rPr>
      </w:pPr>
      <w:r w:rsidRPr="00795EBA">
        <w:rPr>
          <w:rFonts w:asciiTheme="majorBidi" w:hAnsiTheme="majorBidi" w:cstheme="majorBidi"/>
          <w:b/>
          <w:bCs/>
          <w:color w:val="000000" w:themeColor="text1"/>
        </w:rPr>
        <w:t>-</w:t>
      </w:r>
      <w:r w:rsidR="005208C9" w:rsidRPr="005208C9">
        <w:rPr>
          <w:rFonts w:ascii="Times New Roman" w:hAnsi="Times New Roman" w:cs="Times New Roman"/>
          <w:bCs/>
          <w:noProof/>
          <w:color w:val="000000"/>
          <w:sz w:val="24"/>
          <w:szCs w:val="24"/>
          <w:lang w:val="cs-CZ" w:eastAsia="cs-CZ"/>
        </w:rPr>
        <w:t xml:space="preserve"> </w:t>
      </w:r>
      <w:r w:rsidR="005208C9">
        <w:rPr>
          <w:rFonts w:ascii="Times New Roman" w:hAnsi="Times New Roman" w:cs="Times New Roman"/>
          <w:bCs/>
          <w:noProof/>
          <w:color w:val="000000"/>
          <w:sz w:val="24"/>
          <w:szCs w:val="24"/>
          <w:lang w:val="cs-CZ" w:eastAsia="cs-CZ"/>
        </w:rPr>
        <w:t>There is also a need to establish a national registry of pledges of movable property to increase the range of collateral is likely to be accepted by banks to secure credit facilities.</w:t>
      </w:r>
    </w:p>
    <w:p w:rsidR="005208C9" w:rsidRDefault="005208C9" w:rsidP="005208C9">
      <w:pPr>
        <w:spacing w:line="360" w:lineRule="auto"/>
        <w:rPr>
          <w:rFonts w:ascii="Times New Roman" w:hAnsi="Times New Roman" w:cs="Times New Roman"/>
          <w:noProof/>
          <w:color w:val="FF0000"/>
          <w:sz w:val="24"/>
          <w:szCs w:val="24"/>
          <w:lang w:val="cs-CZ"/>
        </w:rPr>
      </w:pPr>
    </w:p>
    <w:p w:rsidR="00C76098" w:rsidRPr="005208C9" w:rsidRDefault="00C76098" w:rsidP="005208C9">
      <w:pPr>
        <w:pStyle w:val="Default"/>
        <w:spacing w:line="360" w:lineRule="auto"/>
        <w:jc w:val="both"/>
        <w:rPr>
          <w:rFonts w:asciiTheme="majorBidi" w:hAnsiTheme="majorBidi" w:cstheme="majorBidi"/>
          <w:color w:val="000000" w:themeColor="text1"/>
          <w:lang w:val="cs-CZ"/>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4459D4" w:rsidRDefault="004459D4" w:rsidP="00194FB4">
      <w:pPr>
        <w:pStyle w:val="Default"/>
        <w:spacing w:line="360" w:lineRule="auto"/>
        <w:jc w:val="both"/>
        <w:rPr>
          <w:rFonts w:asciiTheme="majorBidi" w:hAnsiTheme="majorBidi" w:cstheme="majorBidi"/>
          <w:color w:val="000000" w:themeColor="text1"/>
        </w:rPr>
      </w:pPr>
    </w:p>
    <w:p w:rsidR="00973932" w:rsidRPr="00194FB4" w:rsidRDefault="00C76098" w:rsidP="00194FB4">
      <w:pPr>
        <w:pStyle w:val="Default"/>
        <w:spacing w:line="360" w:lineRule="auto"/>
        <w:jc w:val="both"/>
        <w:rPr>
          <w:rFonts w:asciiTheme="majorBidi" w:hAnsiTheme="majorBidi" w:cstheme="majorBidi"/>
          <w:color w:val="000000" w:themeColor="text1"/>
        </w:rPr>
      </w:pPr>
      <w:r w:rsidRPr="00795EBA">
        <w:rPr>
          <w:rFonts w:asciiTheme="majorBidi" w:hAnsiTheme="majorBidi" w:cstheme="majorBidi"/>
          <w:color w:val="000000" w:themeColor="text1"/>
        </w:rPr>
        <w:t xml:space="preserve"> </w:t>
      </w:r>
      <w:r w:rsidRPr="00795EBA">
        <w:rPr>
          <w:rFonts w:asciiTheme="majorBidi" w:hAnsiTheme="majorBidi" w:cstheme="majorBidi"/>
          <w:color w:val="000000" w:themeColor="text1"/>
        </w:rPr>
        <w:cr/>
      </w:r>
      <w:r w:rsidR="00C60FA4">
        <w:rPr>
          <w:rFonts w:asciiTheme="majorBidi" w:hAnsiTheme="majorBidi" w:cstheme="majorBidi"/>
          <w:b/>
          <w:bCs/>
          <w:color w:val="000000" w:themeColor="text1"/>
          <w:sz w:val="28"/>
          <w:szCs w:val="28"/>
        </w:rPr>
        <w:t>References</w:t>
      </w:r>
    </w:p>
    <w:p w:rsidR="007602E1" w:rsidRPr="00FB09BF" w:rsidRDefault="007602E1" w:rsidP="00823E19">
      <w:pPr>
        <w:autoSpaceDE w:val="0"/>
        <w:autoSpaceDN w:val="0"/>
        <w:adjustRightInd w:val="0"/>
        <w:spacing w:after="0" w:line="360" w:lineRule="auto"/>
        <w:rPr>
          <w:rFonts w:asciiTheme="majorBidi" w:hAnsiTheme="majorBidi" w:cstheme="majorBidi"/>
          <w:b/>
          <w:bCs/>
          <w:color w:val="000000" w:themeColor="text1"/>
          <w:sz w:val="28"/>
          <w:szCs w:val="28"/>
        </w:rPr>
      </w:pPr>
    </w:p>
    <w:p w:rsidR="00EA406D"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lang w:val="en-GB"/>
        </w:rPr>
        <w:t xml:space="preserve">Abu Bakar, N. </w:t>
      </w:r>
      <w:r w:rsidR="00C27696" w:rsidRPr="00CB62D2">
        <w:rPr>
          <w:rFonts w:asciiTheme="majorBidi" w:hAnsiTheme="majorBidi" w:cstheme="majorBidi"/>
          <w:sz w:val="24"/>
          <w:szCs w:val="24"/>
          <w:lang w:val="en-GB"/>
        </w:rPr>
        <w:t>And Tahir</w:t>
      </w:r>
      <w:r w:rsidRPr="00CB62D2">
        <w:rPr>
          <w:rFonts w:asciiTheme="majorBidi" w:hAnsiTheme="majorBidi" w:cstheme="majorBidi"/>
          <w:sz w:val="24"/>
          <w:szCs w:val="24"/>
          <w:lang w:val="en-GB"/>
        </w:rPr>
        <w:t xml:space="preserve">, I. M. (2009). Applying Multiple Linear Regression and Neural Network to Predict Bank Performance.  </w:t>
      </w:r>
      <w:r w:rsidRPr="00CB62D2">
        <w:rPr>
          <w:rFonts w:asciiTheme="majorBidi" w:hAnsiTheme="majorBidi" w:cstheme="majorBidi"/>
          <w:i/>
          <w:iCs/>
          <w:sz w:val="24"/>
          <w:szCs w:val="24"/>
          <w:lang w:val="en-GB"/>
        </w:rPr>
        <w:t>International Business</w:t>
      </w:r>
      <w:r w:rsidRPr="00CB62D2">
        <w:rPr>
          <w:rFonts w:asciiTheme="majorBidi" w:hAnsiTheme="majorBidi" w:cstheme="majorBidi"/>
          <w:sz w:val="24"/>
          <w:szCs w:val="24"/>
          <w:lang w:val="en-GB"/>
        </w:rPr>
        <w:t xml:space="preserve"> </w:t>
      </w:r>
      <w:r w:rsidRPr="00CB62D2">
        <w:rPr>
          <w:rFonts w:asciiTheme="majorBidi" w:hAnsiTheme="majorBidi" w:cstheme="majorBidi"/>
          <w:i/>
          <w:iCs/>
          <w:sz w:val="24"/>
          <w:szCs w:val="24"/>
          <w:lang w:val="en-GB"/>
        </w:rPr>
        <w:t>Research</w:t>
      </w:r>
      <w:r w:rsidRPr="00CB62D2">
        <w:rPr>
          <w:rFonts w:asciiTheme="majorBidi" w:hAnsiTheme="majorBidi" w:cstheme="majorBidi"/>
          <w:sz w:val="24"/>
          <w:szCs w:val="24"/>
          <w:lang w:val="en-GB"/>
        </w:rPr>
        <w:t>. [Online]. Vol 2 No (</w:t>
      </w:r>
      <w:r w:rsidR="00A2127D" w:rsidRPr="00CB62D2">
        <w:rPr>
          <w:rFonts w:asciiTheme="majorBidi" w:hAnsiTheme="majorBidi" w:cstheme="majorBidi"/>
          <w:sz w:val="24"/>
          <w:szCs w:val="24"/>
          <w:lang w:val="en-GB"/>
        </w:rPr>
        <w:t>4)</w:t>
      </w:r>
      <w:r w:rsidRPr="00CB62D2">
        <w:rPr>
          <w:rFonts w:asciiTheme="majorBidi" w:hAnsiTheme="majorBidi" w:cstheme="majorBidi"/>
          <w:sz w:val="24"/>
          <w:szCs w:val="24"/>
          <w:lang w:val="en-GB"/>
        </w:rPr>
        <w:t xml:space="preserve">. Available from: </w:t>
      </w:r>
      <w:hyperlink r:id="rId47" w:history="1">
        <w:r w:rsidRPr="00CB62D2">
          <w:rPr>
            <w:rStyle w:val="Hyperlink"/>
            <w:rFonts w:asciiTheme="majorBidi" w:hAnsiTheme="majorBidi" w:cstheme="majorBidi"/>
            <w:sz w:val="24"/>
            <w:szCs w:val="24"/>
            <w:lang w:val="en-GB"/>
          </w:rPr>
          <w:t>www.ccsenet.org/journal.html</w:t>
        </w:r>
      </w:hyperlink>
    </w:p>
    <w:p w:rsidR="00EA406D"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Abu- Moammar, F. (2006). “Assessment of credit facilities from the standpoint of the owners of companies, "Conference of Growth and Development of the Gaza Strip after the Israeli Withdrawal, the Islamic University.</w:t>
      </w:r>
    </w:p>
    <w:p w:rsidR="00EA406D" w:rsidRDefault="00EA406D" w:rsidP="00F873C9">
      <w:pPr>
        <w:pStyle w:val="ListParagraph"/>
        <w:numPr>
          <w:ilvl w:val="0"/>
          <w:numId w:val="29"/>
        </w:numPr>
        <w:autoSpaceDE w:val="0"/>
        <w:autoSpaceDN w:val="0"/>
        <w:adjustRightInd w:val="0"/>
        <w:spacing w:after="0" w:line="360" w:lineRule="auto"/>
        <w:rPr>
          <w:rFonts w:asciiTheme="majorBidi" w:eastAsia="ArialMT" w:hAnsiTheme="majorBidi" w:cstheme="majorBidi"/>
          <w:sz w:val="24"/>
          <w:szCs w:val="24"/>
          <w:lang w:bidi="ar-JO"/>
        </w:rPr>
      </w:pPr>
      <w:r w:rsidRPr="00CB62D2">
        <w:rPr>
          <w:rFonts w:asciiTheme="majorBidi" w:eastAsia="ArialMT" w:hAnsiTheme="majorBidi" w:cstheme="majorBidi"/>
          <w:sz w:val="24"/>
          <w:szCs w:val="24"/>
        </w:rPr>
        <w:t>Al-Hashimi, A. (2007). “Determinants of Bank Spreads in Sub-Saharan Africa,”</w:t>
      </w:r>
      <w:r w:rsidR="005B0CB0">
        <w:rPr>
          <w:rFonts w:asciiTheme="majorBidi" w:eastAsia="ArialMT" w:hAnsiTheme="majorBidi" w:cstheme="majorBidi"/>
          <w:sz w:val="24"/>
          <w:szCs w:val="24"/>
        </w:rPr>
        <w:t xml:space="preserve"> </w:t>
      </w:r>
      <w:hyperlink r:id="rId48" w:history="1">
        <w:r w:rsidRPr="005B0CB0">
          <w:rPr>
            <w:rStyle w:val="Hyperlink"/>
            <w:rFonts w:asciiTheme="majorBidi" w:hAnsiTheme="majorBidi" w:cstheme="majorBidi"/>
            <w:sz w:val="24"/>
            <w:szCs w:val="24"/>
          </w:rPr>
          <w:t>www.scribd.com/doc/36905178/Thesis-Final-Draft</w:t>
        </w:r>
      </w:hyperlink>
    </w:p>
    <w:p w:rsidR="00EA406D" w:rsidRPr="00CB62D2" w:rsidRDefault="00EA406D" w:rsidP="00F873C9">
      <w:pPr>
        <w:pStyle w:val="ListParagraph"/>
        <w:numPr>
          <w:ilvl w:val="0"/>
          <w:numId w:val="29"/>
        </w:numPr>
        <w:autoSpaceDE w:val="0"/>
        <w:autoSpaceDN w:val="0"/>
        <w:adjustRightInd w:val="0"/>
        <w:spacing w:after="0" w:line="360" w:lineRule="auto"/>
        <w:jc w:val="both"/>
        <w:rPr>
          <w:rFonts w:asciiTheme="majorBidi" w:hAnsiTheme="majorBidi" w:cstheme="majorBidi"/>
          <w:sz w:val="24"/>
          <w:szCs w:val="24"/>
        </w:rPr>
      </w:pPr>
      <w:r w:rsidRPr="00CB62D2">
        <w:rPr>
          <w:rFonts w:asciiTheme="majorBidi" w:hAnsiTheme="majorBidi" w:cstheme="majorBidi"/>
          <w:sz w:val="24"/>
          <w:szCs w:val="24"/>
        </w:rPr>
        <w:t>Altman, E.I. (2002), "Managing Credit Risk, A Challenging for the New</w:t>
      </w:r>
    </w:p>
    <w:p w:rsidR="00143BD9" w:rsidRDefault="00A2127D" w:rsidP="00823E19">
      <w:pPr>
        <w:pStyle w:val="ListParagraph"/>
        <w:autoSpaceDE w:val="0"/>
        <w:autoSpaceDN w:val="0"/>
        <w:adjustRightInd w:val="0"/>
        <w:spacing w:after="0" w:line="360" w:lineRule="auto"/>
        <w:ind w:left="927"/>
        <w:rPr>
          <w:rFonts w:asciiTheme="majorBidi" w:hAnsiTheme="majorBidi" w:cstheme="majorBidi"/>
          <w:sz w:val="24"/>
          <w:szCs w:val="24"/>
        </w:rPr>
      </w:pPr>
      <w:r>
        <w:rPr>
          <w:rFonts w:asciiTheme="majorBidi" w:hAnsiTheme="majorBidi" w:cstheme="majorBidi"/>
          <w:sz w:val="24"/>
          <w:szCs w:val="24"/>
        </w:rPr>
        <w:t>Millennium</w:t>
      </w:r>
      <w:r w:rsidR="00C27696" w:rsidRPr="00CB62D2">
        <w:rPr>
          <w:rFonts w:asciiTheme="majorBidi" w:hAnsiTheme="majorBidi" w:cstheme="majorBidi"/>
          <w:sz w:val="24"/>
          <w:szCs w:val="24"/>
        </w:rPr>
        <w:t>”</w:t>
      </w:r>
      <w:r>
        <w:rPr>
          <w:rFonts w:asciiTheme="majorBidi" w:hAnsiTheme="majorBidi" w:cstheme="majorBidi"/>
          <w:sz w:val="24"/>
          <w:szCs w:val="24"/>
        </w:rPr>
        <w:t>.</w:t>
      </w:r>
      <w:r w:rsidR="00EA406D" w:rsidRPr="00CB62D2">
        <w:rPr>
          <w:rFonts w:asciiTheme="majorBidi" w:hAnsiTheme="majorBidi" w:cstheme="majorBidi"/>
          <w:sz w:val="24"/>
          <w:szCs w:val="24"/>
        </w:rPr>
        <w:t xml:space="preserve"> Economics Notes, vol 31, issue 2: 201-214.</w:t>
      </w:r>
    </w:p>
    <w:p w:rsidR="00EA406D" w:rsidRDefault="00EA406D" w:rsidP="00F873C9">
      <w:pPr>
        <w:pStyle w:val="ListParagraph"/>
        <w:widowControl w:val="0"/>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Fonts w:asciiTheme="majorBidi" w:hAnsiTheme="majorBidi" w:cstheme="majorBidi"/>
          <w:sz w:val="24"/>
          <w:szCs w:val="24"/>
        </w:rPr>
        <w:t>A</w:t>
      </w:r>
      <w:r w:rsidRPr="00CB62D2">
        <w:rPr>
          <w:rFonts w:asciiTheme="majorBidi" w:hAnsiTheme="majorBidi" w:cstheme="majorBidi"/>
          <w:spacing w:val="1"/>
          <w:sz w:val="24"/>
          <w:szCs w:val="24"/>
        </w:rPr>
        <w:t>l</w:t>
      </w:r>
      <w:r w:rsidRPr="00CB62D2">
        <w:rPr>
          <w:rFonts w:asciiTheme="majorBidi" w:hAnsiTheme="majorBidi" w:cstheme="majorBidi"/>
          <w:spacing w:val="-1"/>
          <w:sz w:val="24"/>
          <w:szCs w:val="24"/>
        </w:rPr>
        <w:t>-</w:t>
      </w:r>
      <w:r w:rsidRPr="00CB62D2">
        <w:rPr>
          <w:rFonts w:asciiTheme="majorBidi" w:hAnsiTheme="majorBidi" w:cstheme="majorBidi"/>
          <w:spacing w:val="-2"/>
          <w:sz w:val="24"/>
          <w:szCs w:val="24"/>
        </w:rPr>
        <w:t>Z</w:t>
      </w:r>
      <w:r w:rsidRPr="00CB62D2">
        <w:rPr>
          <w:rFonts w:asciiTheme="majorBidi" w:hAnsiTheme="majorBidi" w:cstheme="majorBidi"/>
          <w:sz w:val="24"/>
          <w:szCs w:val="24"/>
        </w:rPr>
        <w:t>u</w:t>
      </w:r>
      <w:r w:rsidRPr="00CB62D2">
        <w:rPr>
          <w:rFonts w:asciiTheme="majorBidi" w:hAnsiTheme="majorBidi" w:cstheme="majorBidi"/>
          <w:spacing w:val="3"/>
          <w:sz w:val="24"/>
          <w:szCs w:val="24"/>
        </w:rPr>
        <w:t>b</w:t>
      </w:r>
      <w:r w:rsidRPr="00CB62D2">
        <w:rPr>
          <w:rFonts w:asciiTheme="majorBidi" w:hAnsiTheme="majorBidi" w:cstheme="majorBidi"/>
          <w:spacing w:val="-1"/>
          <w:sz w:val="24"/>
          <w:szCs w:val="24"/>
        </w:rPr>
        <w:t>e</w:t>
      </w:r>
      <w:r w:rsidRPr="00CB62D2">
        <w:rPr>
          <w:rFonts w:asciiTheme="majorBidi" w:hAnsiTheme="majorBidi" w:cstheme="majorBidi"/>
          <w:spacing w:val="1"/>
          <w:sz w:val="24"/>
          <w:szCs w:val="24"/>
        </w:rPr>
        <w:t>i</w:t>
      </w:r>
      <w:r w:rsidRPr="00CB62D2">
        <w:rPr>
          <w:rFonts w:asciiTheme="majorBidi" w:hAnsiTheme="majorBidi" w:cstheme="majorBidi"/>
          <w:sz w:val="24"/>
          <w:szCs w:val="24"/>
        </w:rPr>
        <w:t>d</w:t>
      </w:r>
      <w:r w:rsidRPr="00CB62D2">
        <w:rPr>
          <w:rFonts w:asciiTheme="majorBidi" w:hAnsiTheme="majorBidi" w:cstheme="majorBidi"/>
          <w:spacing w:val="1"/>
          <w:sz w:val="24"/>
          <w:szCs w:val="24"/>
        </w:rPr>
        <w:t>i</w:t>
      </w:r>
      <w:r w:rsidRPr="00CB62D2">
        <w:rPr>
          <w:rFonts w:asciiTheme="majorBidi" w:hAnsiTheme="majorBidi" w:cstheme="majorBidi"/>
          <w:sz w:val="24"/>
          <w:szCs w:val="24"/>
        </w:rPr>
        <w:t xml:space="preserve">, </w:t>
      </w:r>
      <w:r w:rsidRPr="00CB62D2">
        <w:rPr>
          <w:rFonts w:asciiTheme="majorBidi" w:hAnsiTheme="majorBidi" w:cstheme="majorBidi"/>
          <w:spacing w:val="4"/>
          <w:sz w:val="24"/>
          <w:szCs w:val="24"/>
        </w:rPr>
        <w:t xml:space="preserve"> </w:t>
      </w:r>
      <w:r w:rsidRPr="00CB62D2">
        <w:rPr>
          <w:rFonts w:asciiTheme="majorBidi" w:hAnsiTheme="majorBidi" w:cstheme="majorBidi"/>
          <w:sz w:val="24"/>
          <w:szCs w:val="24"/>
        </w:rPr>
        <w:t>H</w:t>
      </w:r>
      <w:r w:rsidRPr="00CB62D2">
        <w:rPr>
          <w:rFonts w:asciiTheme="majorBidi" w:hAnsiTheme="majorBidi" w:cstheme="majorBidi"/>
          <w:spacing w:val="-1"/>
          <w:sz w:val="24"/>
          <w:szCs w:val="24"/>
        </w:rPr>
        <w:t>a</w:t>
      </w:r>
      <w:r w:rsidRPr="00CB62D2">
        <w:rPr>
          <w:rFonts w:asciiTheme="majorBidi" w:hAnsiTheme="majorBidi" w:cstheme="majorBidi"/>
          <w:spacing w:val="1"/>
          <w:sz w:val="24"/>
          <w:szCs w:val="24"/>
        </w:rPr>
        <w:t>m</w:t>
      </w:r>
      <w:r w:rsidRPr="00CB62D2">
        <w:rPr>
          <w:rFonts w:asciiTheme="majorBidi" w:hAnsiTheme="majorBidi" w:cstheme="majorBidi"/>
          <w:spacing w:val="2"/>
          <w:sz w:val="24"/>
          <w:szCs w:val="24"/>
        </w:rPr>
        <w:t>z</w:t>
      </w:r>
      <w:r w:rsidRPr="00CB62D2">
        <w:rPr>
          <w:rFonts w:asciiTheme="majorBidi" w:hAnsiTheme="majorBidi" w:cstheme="majorBidi"/>
          <w:spacing w:val="-1"/>
          <w:sz w:val="24"/>
          <w:szCs w:val="24"/>
        </w:rPr>
        <w:t>e</w:t>
      </w:r>
      <w:r w:rsidRPr="00CB62D2">
        <w:rPr>
          <w:rFonts w:asciiTheme="majorBidi" w:hAnsiTheme="majorBidi" w:cstheme="majorBidi"/>
          <w:sz w:val="24"/>
          <w:szCs w:val="24"/>
        </w:rPr>
        <w:t xml:space="preserve">h, </w:t>
      </w:r>
      <w:r w:rsidRPr="00CB62D2">
        <w:rPr>
          <w:rFonts w:asciiTheme="majorBidi" w:hAnsiTheme="majorBidi" w:cstheme="majorBidi"/>
          <w:spacing w:val="7"/>
          <w:sz w:val="24"/>
          <w:szCs w:val="24"/>
        </w:rPr>
        <w:t xml:space="preserve"> (</w:t>
      </w:r>
      <w:r w:rsidRPr="00CB62D2">
        <w:rPr>
          <w:rFonts w:asciiTheme="majorBidi" w:hAnsiTheme="majorBidi" w:cstheme="majorBidi"/>
          <w:sz w:val="24"/>
          <w:szCs w:val="24"/>
        </w:rPr>
        <w:t xml:space="preserve">2000), </w:t>
      </w:r>
      <w:r w:rsidRPr="00CB62D2">
        <w:rPr>
          <w:rFonts w:asciiTheme="majorBidi" w:hAnsiTheme="majorBidi" w:cstheme="majorBidi"/>
          <w:spacing w:val="7"/>
          <w:sz w:val="24"/>
          <w:szCs w:val="24"/>
        </w:rPr>
        <w:t xml:space="preserve"> </w:t>
      </w:r>
      <w:r w:rsidRPr="00CB62D2">
        <w:rPr>
          <w:rFonts w:asciiTheme="majorBidi" w:hAnsiTheme="majorBidi" w:cstheme="majorBidi"/>
          <w:i/>
          <w:iCs/>
          <w:sz w:val="24"/>
          <w:szCs w:val="24"/>
        </w:rPr>
        <w:t>F</w:t>
      </w:r>
      <w:r w:rsidRPr="00CB62D2">
        <w:rPr>
          <w:rFonts w:asciiTheme="majorBidi" w:hAnsiTheme="majorBidi" w:cstheme="majorBidi"/>
          <w:i/>
          <w:iCs/>
          <w:spacing w:val="1"/>
          <w:sz w:val="24"/>
          <w:szCs w:val="24"/>
        </w:rPr>
        <w:t>i</w:t>
      </w:r>
      <w:r w:rsidRPr="00CB62D2">
        <w:rPr>
          <w:rFonts w:asciiTheme="majorBidi" w:hAnsiTheme="majorBidi" w:cstheme="majorBidi"/>
          <w:i/>
          <w:iCs/>
          <w:sz w:val="24"/>
          <w:szCs w:val="24"/>
        </w:rPr>
        <w:t>nan</w:t>
      </w:r>
      <w:r w:rsidRPr="00CB62D2">
        <w:rPr>
          <w:rFonts w:asciiTheme="majorBidi" w:hAnsiTheme="majorBidi" w:cstheme="majorBidi"/>
          <w:i/>
          <w:iCs/>
          <w:spacing w:val="-1"/>
          <w:sz w:val="24"/>
          <w:szCs w:val="24"/>
        </w:rPr>
        <w:t>c</w:t>
      </w:r>
      <w:r w:rsidRPr="00CB62D2">
        <w:rPr>
          <w:rFonts w:asciiTheme="majorBidi" w:hAnsiTheme="majorBidi" w:cstheme="majorBidi"/>
          <w:i/>
          <w:iCs/>
          <w:spacing w:val="1"/>
          <w:sz w:val="24"/>
          <w:szCs w:val="24"/>
        </w:rPr>
        <w:t>i</w:t>
      </w:r>
      <w:r w:rsidRPr="00CB62D2">
        <w:rPr>
          <w:rFonts w:asciiTheme="majorBidi" w:hAnsiTheme="majorBidi" w:cstheme="majorBidi"/>
          <w:i/>
          <w:iCs/>
          <w:sz w:val="24"/>
          <w:szCs w:val="24"/>
        </w:rPr>
        <w:t xml:space="preserve">al </w:t>
      </w:r>
      <w:r w:rsidRPr="00CB62D2">
        <w:rPr>
          <w:rFonts w:asciiTheme="majorBidi" w:hAnsiTheme="majorBidi" w:cstheme="majorBidi"/>
          <w:i/>
          <w:iCs/>
          <w:spacing w:val="7"/>
          <w:sz w:val="24"/>
          <w:szCs w:val="24"/>
        </w:rPr>
        <w:t xml:space="preserve"> </w:t>
      </w:r>
      <w:r w:rsidRPr="00CB62D2">
        <w:rPr>
          <w:rFonts w:asciiTheme="majorBidi" w:hAnsiTheme="majorBidi" w:cstheme="majorBidi"/>
          <w:i/>
          <w:iCs/>
          <w:sz w:val="24"/>
          <w:szCs w:val="24"/>
        </w:rPr>
        <w:t>Ana</w:t>
      </w:r>
      <w:r w:rsidRPr="00CB62D2">
        <w:rPr>
          <w:rFonts w:asciiTheme="majorBidi" w:hAnsiTheme="majorBidi" w:cstheme="majorBidi"/>
          <w:i/>
          <w:iCs/>
          <w:spacing w:val="1"/>
          <w:sz w:val="24"/>
          <w:szCs w:val="24"/>
        </w:rPr>
        <w:t>l</w:t>
      </w:r>
      <w:r w:rsidRPr="00CB62D2">
        <w:rPr>
          <w:rFonts w:asciiTheme="majorBidi" w:hAnsiTheme="majorBidi" w:cstheme="majorBidi"/>
          <w:i/>
          <w:iCs/>
          <w:spacing w:val="-1"/>
          <w:sz w:val="24"/>
          <w:szCs w:val="24"/>
        </w:rPr>
        <w:t>y</w:t>
      </w:r>
      <w:r w:rsidRPr="00CB62D2">
        <w:rPr>
          <w:rFonts w:asciiTheme="majorBidi" w:hAnsiTheme="majorBidi" w:cstheme="majorBidi"/>
          <w:i/>
          <w:iCs/>
          <w:sz w:val="24"/>
          <w:szCs w:val="24"/>
        </w:rPr>
        <w:t>s</w:t>
      </w:r>
      <w:r w:rsidRPr="00CB62D2">
        <w:rPr>
          <w:rFonts w:asciiTheme="majorBidi" w:hAnsiTheme="majorBidi" w:cstheme="majorBidi"/>
          <w:i/>
          <w:iCs/>
          <w:spacing w:val="1"/>
          <w:sz w:val="24"/>
          <w:szCs w:val="24"/>
        </w:rPr>
        <w:t>i</w:t>
      </w:r>
      <w:r w:rsidRPr="00CB62D2">
        <w:rPr>
          <w:rFonts w:asciiTheme="majorBidi" w:hAnsiTheme="majorBidi" w:cstheme="majorBidi"/>
          <w:i/>
          <w:iCs/>
          <w:spacing w:val="-2"/>
          <w:sz w:val="24"/>
          <w:szCs w:val="24"/>
        </w:rPr>
        <w:t>s</w:t>
      </w:r>
      <w:r w:rsidRPr="00CB62D2">
        <w:rPr>
          <w:rFonts w:asciiTheme="majorBidi" w:hAnsiTheme="majorBidi" w:cstheme="majorBidi"/>
          <w:i/>
          <w:iCs/>
          <w:sz w:val="24"/>
          <w:szCs w:val="24"/>
        </w:rPr>
        <w:t xml:space="preserve">: </w:t>
      </w:r>
      <w:r w:rsidRPr="00CB62D2">
        <w:rPr>
          <w:rFonts w:asciiTheme="majorBidi" w:hAnsiTheme="majorBidi" w:cstheme="majorBidi"/>
          <w:i/>
          <w:iCs/>
          <w:spacing w:val="4"/>
          <w:sz w:val="24"/>
          <w:szCs w:val="24"/>
        </w:rPr>
        <w:t xml:space="preserve"> </w:t>
      </w:r>
      <w:r w:rsidRPr="00CB62D2">
        <w:rPr>
          <w:rFonts w:asciiTheme="majorBidi" w:hAnsiTheme="majorBidi" w:cstheme="majorBidi"/>
          <w:i/>
          <w:iCs/>
          <w:sz w:val="24"/>
          <w:szCs w:val="24"/>
        </w:rPr>
        <w:t>P</w:t>
      </w:r>
      <w:r w:rsidRPr="00CB62D2">
        <w:rPr>
          <w:rFonts w:asciiTheme="majorBidi" w:hAnsiTheme="majorBidi" w:cstheme="majorBidi"/>
          <w:i/>
          <w:iCs/>
          <w:spacing w:val="-1"/>
          <w:sz w:val="24"/>
          <w:szCs w:val="24"/>
        </w:rPr>
        <w:t>e</w:t>
      </w:r>
      <w:r w:rsidRPr="00CB62D2">
        <w:rPr>
          <w:rFonts w:asciiTheme="majorBidi" w:hAnsiTheme="majorBidi" w:cstheme="majorBidi"/>
          <w:i/>
          <w:iCs/>
          <w:sz w:val="24"/>
          <w:szCs w:val="24"/>
        </w:rPr>
        <w:t>r</w:t>
      </w:r>
      <w:r w:rsidRPr="00CB62D2">
        <w:rPr>
          <w:rFonts w:asciiTheme="majorBidi" w:hAnsiTheme="majorBidi" w:cstheme="majorBidi"/>
          <w:i/>
          <w:iCs/>
          <w:spacing w:val="1"/>
          <w:sz w:val="24"/>
          <w:szCs w:val="24"/>
        </w:rPr>
        <w:t>f</w:t>
      </w:r>
      <w:r w:rsidRPr="00CB62D2">
        <w:rPr>
          <w:rFonts w:asciiTheme="majorBidi" w:hAnsiTheme="majorBidi" w:cstheme="majorBidi"/>
          <w:i/>
          <w:iCs/>
          <w:sz w:val="24"/>
          <w:szCs w:val="24"/>
        </w:rPr>
        <w:t>orman</w:t>
      </w:r>
      <w:r w:rsidRPr="00CB62D2">
        <w:rPr>
          <w:rFonts w:asciiTheme="majorBidi" w:hAnsiTheme="majorBidi" w:cstheme="majorBidi"/>
          <w:i/>
          <w:iCs/>
          <w:spacing w:val="-1"/>
          <w:sz w:val="24"/>
          <w:szCs w:val="24"/>
        </w:rPr>
        <w:t>c</w:t>
      </w:r>
      <w:r w:rsidRPr="00CB62D2">
        <w:rPr>
          <w:rFonts w:asciiTheme="majorBidi" w:hAnsiTheme="majorBidi" w:cstheme="majorBidi"/>
          <w:i/>
          <w:iCs/>
          <w:sz w:val="24"/>
          <w:szCs w:val="24"/>
        </w:rPr>
        <w:t xml:space="preserve">e </w:t>
      </w:r>
      <w:r w:rsidRPr="00CB62D2">
        <w:rPr>
          <w:rFonts w:asciiTheme="majorBidi" w:hAnsiTheme="majorBidi" w:cstheme="majorBidi"/>
          <w:i/>
          <w:iCs/>
          <w:spacing w:val="2"/>
          <w:sz w:val="24"/>
          <w:szCs w:val="24"/>
        </w:rPr>
        <w:t xml:space="preserve"> </w:t>
      </w:r>
      <w:r w:rsidRPr="00CB62D2">
        <w:rPr>
          <w:rFonts w:asciiTheme="majorBidi" w:hAnsiTheme="majorBidi" w:cstheme="majorBidi"/>
          <w:i/>
          <w:iCs/>
          <w:sz w:val="24"/>
          <w:szCs w:val="24"/>
        </w:rPr>
        <w:t>E</w:t>
      </w:r>
      <w:r w:rsidRPr="00CB62D2">
        <w:rPr>
          <w:rFonts w:asciiTheme="majorBidi" w:hAnsiTheme="majorBidi" w:cstheme="majorBidi"/>
          <w:i/>
          <w:iCs/>
          <w:spacing w:val="-1"/>
          <w:sz w:val="24"/>
          <w:szCs w:val="24"/>
        </w:rPr>
        <w:t>v</w:t>
      </w:r>
      <w:r w:rsidRPr="00CB62D2">
        <w:rPr>
          <w:rFonts w:asciiTheme="majorBidi" w:hAnsiTheme="majorBidi" w:cstheme="majorBidi"/>
          <w:i/>
          <w:iCs/>
          <w:sz w:val="24"/>
          <w:szCs w:val="24"/>
        </w:rPr>
        <w:t>a</w:t>
      </w:r>
      <w:r w:rsidRPr="00CB62D2">
        <w:rPr>
          <w:rFonts w:asciiTheme="majorBidi" w:hAnsiTheme="majorBidi" w:cstheme="majorBidi"/>
          <w:i/>
          <w:iCs/>
          <w:spacing w:val="1"/>
          <w:sz w:val="24"/>
          <w:szCs w:val="24"/>
        </w:rPr>
        <w:t>l</w:t>
      </w:r>
      <w:r w:rsidRPr="00CB62D2">
        <w:rPr>
          <w:rFonts w:asciiTheme="majorBidi" w:hAnsiTheme="majorBidi" w:cstheme="majorBidi"/>
          <w:i/>
          <w:iCs/>
          <w:sz w:val="24"/>
          <w:szCs w:val="24"/>
        </w:rPr>
        <w:t>ua</w:t>
      </w:r>
      <w:r w:rsidRPr="00CB62D2">
        <w:rPr>
          <w:rFonts w:asciiTheme="majorBidi" w:hAnsiTheme="majorBidi" w:cstheme="majorBidi"/>
          <w:i/>
          <w:iCs/>
          <w:spacing w:val="1"/>
          <w:sz w:val="24"/>
          <w:szCs w:val="24"/>
        </w:rPr>
        <w:t>t</w:t>
      </w:r>
      <w:r w:rsidRPr="00CB62D2">
        <w:rPr>
          <w:rFonts w:asciiTheme="majorBidi" w:hAnsiTheme="majorBidi" w:cstheme="majorBidi"/>
          <w:i/>
          <w:iCs/>
          <w:spacing w:val="3"/>
          <w:sz w:val="24"/>
          <w:szCs w:val="24"/>
        </w:rPr>
        <w:t>i</w:t>
      </w:r>
      <w:r w:rsidRPr="00CB62D2">
        <w:rPr>
          <w:rFonts w:asciiTheme="majorBidi" w:hAnsiTheme="majorBidi" w:cstheme="majorBidi"/>
          <w:i/>
          <w:iCs/>
          <w:sz w:val="24"/>
          <w:szCs w:val="24"/>
        </w:rPr>
        <w:t xml:space="preserve">on </w:t>
      </w:r>
      <w:r w:rsidRPr="00CB62D2">
        <w:rPr>
          <w:rFonts w:asciiTheme="majorBidi" w:hAnsiTheme="majorBidi" w:cstheme="majorBidi"/>
          <w:i/>
          <w:iCs/>
          <w:spacing w:val="5"/>
          <w:sz w:val="24"/>
          <w:szCs w:val="24"/>
        </w:rPr>
        <w:t xml:space="preserve"> </w:t>
      </w:r>
      <w:r w:rsidRPr="00CB62D2">
        <w:rPr>
          <w:rFonts w:asciiTheme="majorBidi" w:hAnsiTheme="majorBidi" w:cstheme="majorBidi"/>
          <w:i/>
          <w:iCs/>
          <w:sz w:val="24"/>
          <w:szCs w:val="24"/>
        </w:rPr>
        <w:t xml:space="preserve">and </w:t>
      </w:r>
      <w:r w:rsidRPr="00CB62D2">
        <w:rPr>
          <w:rFonts w:asciiTheme="majorBidi" w:hAnsiTheme="majorBidi" w:cstheme="majorBidi"/>
          <w:i/>
          <w:iCs/>
          <w:spacing w:val="8"/>
          <w:sz w:val="24"/>
          <w:szCs w:val="24"/>
        </w:rPr>
        <w:t xml:space="preserve"> </w:t>
      </w:r>
      <w:r w:rsidRPr="00CB62D2">
        <w:rPr>
          <w:rFonts w:asciiTheme="majorBidi" w:hAnsiTheme="majorBidi" w:cstheme="majorBidi"/>
          <w:i/>
          <w:iCs/>
          <w:sz w:val="24"/>
          <w:szCs w:val="24"/>
        </w:rPr>
        <w:t>For</w:t>
      </w:r>
      <w:r w:rsidRPr="00CB62D2">
        <w:rPr>
          <w:rFonts w:asciiTheme="majorBidi" w:hAnsiTheme="majorBidi" w:cstheme="majorBidi"/>
          <w:i/>
          <w:iCs/>
          <w:spacing w:val="-1"/>
          <w:sz w:val="24"/>
          <w:szCs w:val="24"/>
        </w:rPr>
        <w:t>ec</w:t>
      </w:r>
      <w:r w:rsidRPr="00CB62D2">
        <w:rPr>
          <w:rFonts w:asciiTheme="majorBidi" w:hAnsiTheme="majorBidi" w:cstheme="majorBidi"/>
          <w:i/>
          <w:iCs/>
          <w:sz w:val="24"/>
          <w:szCs w:val="24"/>
        </w:rPr>
        <w:t>as</w:t>
      </w:r>
      <w:r w:rsidRPr="00CB62D2">
        <w:rPr>
          <w:rFonts w:asciiTheme="majorBidi" w:hAnsiTheme="majorBidi" w:cstheme="majorBidi"/>
          <w:i/>
          <w:iCs/>
          <w:spacing w:val="1"/>
          <w:sz w:val="24"/>
          <w:szCs w:val="24"/>
        </w:rPr>
        <w:t>ti</w:t>
      </w:r>
      <w:r w:rsidRPr="00CB62D2">
        <w:rPr>
          <w:rFonts w:asciiTheme="majorBidi" w:hAnsiTheme="majorBidi" w:cstheme="majorBidi"/>
          <w:i/>
          <w:iCs/>
          <w:sz w:val="24"/>
          <w:szCs w:val="24"/>
        </w:rPr>
        <w:t xml:space="preserve">ng Failure. </w:t>
      </w:r>
      <w:r w:rsidRPr="00CB62D2">
        <w:rPr>
          <w:rFonts w:asciiTheme="majorBidi" w:hAnsiTheme="majorBidi" w:cstheme="majorBidi"/>
          <w:sz w:val="24"/>
          <w:szCs w:val="24"/>
        </w:rPr>
        <w:t xml:space="preserve">Amman: Al- </w:t>
      </w:r>
      <w:r w:rsidR="00C27696" w:rsidRPr="00CB62D2">
        <w:rPr>
          <w:rFonts w:asciiTheme="majorBidi" w:hAnsiTheme="majorBidi" w:cstheme="majorBidi"/>
          <w:sz w:val="24"/>
          <w:szCs w:val="24"/>
        </w:rPr>
        <w:t>Warraq Establishment</w:t>
      </w:r>
      <w:r w:rsidRPr="00CB62D2">
        <w:rPr>
          <w:rFonts w:asciiTheme="majorBidi" w:hAnsiTheme="majorBidi" w:cstheme="majorBidi"/>
          <w:sz w:val="24"/>
          <w:szCs w:val="24"/>
        </w:rPr>
        <w:t>.</w:t>
      </w:r>
    </w:p>
    <w:p w:rsidR="00143BD9" w:rsidRPr="00143BD9"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Fonts w:asciiTheme="majorBidi" w:hAnsiTheme="majorBidi" w:cstheme="majorBidi"/>
          <w:sz w:val="24"/>
          <w:szCs w:val="24"/>
        </w:rPr>
        <w:t xml:space="preserve">Ambrose, B. W.; Lacour-Little, M. and Sanders, A. B.( 2005). Does regulatory capital arbitrage, reputation, or asymmetric information drive securitization? </w:t>
      </w:r>
      <w:r w:rsidRPr="00CB62D2">
        <w:rPr>
          <w:rFonts w:asciiTheme="majorBidi" w:hAnsiTheme="majorBidi" w:cstheme="majorBidi"/>
          <w:i/>
          <w:iCs/>
          <w:sz w:val="24"/>
          <w:szCs w:val="24"/>
        </w:rPr>
        <w:t>Journal of Financial Servic</w:t>
      </w:r>
      <w:r w:rsidRPr="00CB62D2">
        <w:rPr>
          <w:rFonts w:asciiTheme="majorBidi" w:hAnsiTheme="majorBidi" w:cstheme="majorBidi"/>
          <w:i/>
          <w:iCs/>
          <w:color w:val="000000"/>
          <w:sz w:val="24"/>
          <w:szCs w:val="24"/>
        </w:rPr>
        <w:t>e Research</w:t>
      </w:r>
      <w:r w:rsidRPr="00CB62D2">
        <w:rPr>
          <w:rFonts w:asciiTheme="majorBidi" w:hAnsiTheme="majorBidi" w:cstheme="majorBidi"/>
          <w:color w:val="000000"/>
          <w:sz w:val="24"/>
          <w:szCs w:val="24"/>
        </w:rPr>
        <w:t xml:space="preserve"> No 28: 34-38</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American Society of Appraisers (2006). Collateral &amp; Risk- Based Capital Standards. International Appraisal Conference, Brooklyn, New York.</w:t>
      </w:r>
    </w:p>
    <w:p w:rsidR="00EA406D" w:rsidRDefault="007A78D1"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hyperlink r:id="rId49" w:history="1">
        <w:r w:rsidR="00EA406D" w:rsidRPr="00CB62D2">
          <w:rPr>
            <w:rStyle w:val="Hyperlink"/>
            <w:rFonts w:asciiTheme="majorBidi" w:hAnsiTheme="majorBidi" w:cstheme="majorBidi"/>
            <w:sz w:val="24"/>
            <w:szCs w:val="24"/>
          </w:rPr>
          <w:t>http://www.appraisers.org/Files/Education/ARM/CollateralandRiskBasedCapitalStandardsJC.pdf</w:t>
        </w:r>
      </w:hyperlink>
    </w:p>
    <w:p w:rsidR="00EA406D" w:rsidRDefault="00EA406D" w:rsidP="00F873C9">
      <w:pPr>
        <w:pStyle w:val="Default"/>
        <w:numPr>
          <w:ilvl w:val="0"/>
          <w:numId w:val="29"/>
        </w:numPr>
        <w:spacing w:line="360" w:lineRule="auto"/>
        <w:rPr>
          <w:rFonts w:asciiTheme="majorBidi" w:hAnsiTheme="majorBidi" w:cstheme="majorBidi"/>
        </w:rPr>
      </w:pPr>
      <w:r w:rsidRPr="00694654">
        <w:rPr>
          <w:rFonts w:asciiTheme="majorBidi" w:hAnsiTheme="majorBidi" w:cstheme="majorBidi"/>
        </w:rPr>
        <w:t xml:space="preserve">Angkinand, A. P., Sawangngoenyuang, W. </w:t>
      </w:r>
      <w:r w:rsidR="00C27696" w:rsidRPr="00694654">
        <w:rPr>
          <w:rFonts w:asciiTheme="majorBidi" w:hAnsiTheme="majorBidi" w:cstheme="majorBidi"/>
        </w:rPr>
        <w:t>and Wihlborg</w:t>
      </w:r>
      <w:r w:rsidRPr="00694654">
        <w:rPr>
          <w:rFonts w:asciiTheme="majorBidi" w:hAnsiTheme="majorBidi" w:cstheme="majorBidi"/>
        </w:rPr>
        <w:t xml:space="preserve">, C. (2010). Financial liberalisation and banking crises: a cross-country analysis. </w:t>
      </w:r>
      <w:r w:rsidRPr="00694654">
        <w:rPr>
          <w:rFonts w:asciiTheme="majorBidi" w:hAnsiTheme="majorBidi" w:cstheme="majorBidi"/>
          <w:i/>
          <w:iCs/>
        </w:rPr>
        <w:t xml:space="preserve">International Review of Finance, </w:t>
      </w:r>
      <w:r w:rsidRPr="00694654">
        <w:rPr>
          <w:rFonts w:asciiTheme="majorBidi" w:hAnsiTheme="majorBidi" w:cstheme="majorBidi"/>
        </w:rPr>
        <w:t>10(2).</w:t>
      </w:r>
    </w:p>
    <w:p w:rsidR="00EA406D" w:rsidRDefault="00EA406D" w:rsidP="00F873C9">
      <w:pPr>
        <w:pStyle w:val="Default"/>
        <w:numPr>
          <w:ilvl w:val="0"/>
          <w:numId w:val="29"/>
        </w:numPr>
        <w:spacing w:line="360" w:lineRule="auto"/>
        <w:rPr>
          <w:rFonts w:asciiTheme="majorBidi" w:hAnsiTheme="majorBidi" w:cstheme="majorBidi"/>
        </w:rPr>
      </w:pPr>
      <w:r w:rsidRPr="00694654">
        <w:rPr>
          <w:rFonts w:asciiTheme="majorBidi" w:hAnsiTheme="majorBidi" w:cstheme="majorBidi"/>
        </w:rPr>
        <w:t xml:space="preserve">Ardrey, William; Perryer, Chris; Keane, Michael &amp; Stockport, Gary. (2009). </w:t>
      </w:r>
      <w:r w:rsidRPr="00694654">
        <w:rPr>
          <w:rFonts w:asciiTheme="majorBidi" w:hAnsiTheme="majorBidi" w:cstheme="majorBidi"/>
          <w:i/>
          <w:iCs/>
        </w:rPr>
        <w:t>Prudential Supervision, Banking and Economic Progress: Implementation of Risk Management Procedures</w:t>
      </w:r>
      <w:r w:rsidRPr="00694654">
        <w:rPr>
          <w:rFonts w:asciiTheme="majorBidi" w:hAnsiTheme="majorBidi" w:cstheme="majorBidi"/>
        </w:rPr>
        <w:t xml:space="preserve"> </w:t>
      </w:r>
      <w:r w:rsidRPr="00694654">
        <w:rPr>
          <w:rFonts w:asciiTheme="majorBidi" w:hAnsiTheme="majorBidi" w:cstheme="majorBidi"/>
          <w:i/>
          <w:iCs/>
        </w:rPr>
        <w:t>in Joint Stock Banks in Vietnam</w:t>
      </w:r>
      <w:r w:rsidRPr="00694654">
        <w:rPr>
          <w:rFonts w:asciiTheme="majorBidi" w:hAnsiTheme="majorBidi" w:cstheme="majorBidi"/>
        </w:rPr>
        <w:t xml:space="preserve">. Available in www form </w:t>
      </w:r>
      <w:hyperlink r:id="rId50" w:history="1">
        <w:r w:rsidRPr="00694654">
          <w:rPr>
            <w:rStyle w:val="Hyperlink"/>
            <w:rFonts w:asciiTheme="majorBidi" w:hAnsiTheme="majorBidi" w:cstheme="majorBidi"/>
          </w:rPr>
          <w:t>http://papers.ssrn.com/sol3/papers.cfm?abstract_id=1463168</w:t>
        </w:r>
      </w:hyperlink>
    </w:p>
    <w:p w:rsidR="00143BD9" w:rsidRPr="00694654" w:rsidRDefault="00143BD9" w:rsidP="00823E19">
      <w:pPr>
        <w:pStyle w:val="Default"/>
        <w:spacing w:line="360" w:lineRule="auto"/>
        <w:rPr>
          <w:rFonts w:asciiTheme="majorBidi" w:hAnsiTheme="majorBidi" w:cstheme="majorBidi"/>
        </w:rPr>
      </w:pPr>
    </w:p>
    <w:p w:rsidR="005071E6" w:rsidRPr="00CB62D2" w:rsidRDefault="00EA406D" w:rsidP="00F873C9">
      <w:pPr>
        <w:pStyle w:val="ListParagraph"/>
        <w:numPr>
          <w:ilvl w:val="0"/>
          <w:numId w:val="29"/>
        </w:numPr>
        <w:spacing w:after="0" w:line="360" w:lineRule="auto"/>
        <w:rPr>
          <w:rFonts w:ascii="Times New Roman" w:hAnsi="Times New Roman" w:cs="Times New Roman"/>
          <w:b/>
          <w:sz w:val="24"/>
          <w:szCs w:val="24"/>
        </w:rPr>
      </w:pPr>
      <w:r w:rsidRPr="00CB62D2">
        <w:rPr>
          <w:rFonts w:asciiTheme="majorBidi" w:hAnsiTheme="majorBidi" w:cstheme="majorBidi"/>
          <w:sz w:val="24"/>
          <w:szCs w:val="24"/>
          <w:lang w:val="en-GB"/>
        </w:rPr>
        <w:lastRenderedPageBreak/>
        <w:t xml:space="preserve">Arif, A.,  Abrar, A., Afzal, M. (2012). Credit Risk and Shareholders’ Value in a Developing Economy: Evidence from Pakistani Banking System. </w:t>
      </w:r>
      <w:r w:rsidRPr="00CB62D2">
        <w:rPr>
          <w:rFonts w:asciiTheme="majorBidi" w:hAnsiTheme="majorBidi" w:cstheme="majorBidi"/>
          <w:i/>
          <w:iCs/>
          <w:sz w:val="24"/>
          <w:szCs w:val="24"/>
          <w:lang w:val="en-GB"/>
        </w:rPr>
        <w:t>Journal of</w:t>
      </w:r>
      <w:r w:rsidRPr="00CB62D2">
        <w:rPr>
          <w:rFonts w:asciiTheme="majorBidi" w:hAnsiTheme="majorBidi" w:cstheme="majorBidi"/>
          <w:sz w:val="24"/>
          <w:szCs w:val="24"/>
          <w:lang w:val="en-GB"/>
        </w:rPr>
        <w:t xml:space="preserve"> </w:t>
      </w:r>
      <w:r w:rsidRPr="00CB62D2">
        <w:rPr>
          <w:rFonts w:asciiTheme="majorBidi" w:hAnsiTheme="majorBidi" w:cstheme="majorBidi"/>
          <w:i/>
          <w:iCs/>
          <w:sz w:val="24"/>
          <w:szCs w:val="24"/>
          <w:lang w:val="en-GB"/>
        </w:rPr>
        <w:t xml:space="preserve">Economics and Behavioural </w:t>
      </w:r>
      <w:r w:rsidR="00A2127D" w:rsidRPr="00CB62D2">
        <w:rPr>
          <w:rFonts w:asciiTheme="majorBidi" w:hAnsiTheme="majorBidi" w:cstheme="majorBidi"/>
          <w:i/>
          <w:iCs/>
          <w:sz w:val="24"/>
          <w:szCs w:val="24"/>
          <w:lang w:val="en-GB"/>
        </w:rPr>
        <w:t>Studies</w:t>
      </w:r>
      <w:r w:rsidR="00A2127D" w:rsidRPr="00CB62D2">
        <w:rPr>
          <w:rFonts w:asciiTheme="majorBidi" w:hAnsiTheme="majorBidi" w:cstheme="majorBidi"/>
          <w:sz w:val="24"/>
          <w:szCs w:val="24"/>
          <w:lang w:val="en-GB"/>
        </w:rPr>
        <w:t xml:space="preserve"> 4(2</w:t>
      </w:r>
      <w:r w:rsidRPr="00CB62D2">
        <w:rPr>
          <w:rFonts w:asciiTheme="majorBidi" w:hAnsiTheme="majorBidi" w:cstheme="majorBidi"/>
          <w:sz w:val="24"/>
          <w:szCs w:val="24"/>
          <w:lang w:val="en-GB"/>
        </w:rPr>
        <w:t>) 87-95.</w:t>
      </w:r>
    </w:p>
    <w:p w:rsidR="00EA406D" w:rsidRPr="00BA1B3D" w:rsidRDefault="00EA406D" w:rsidP="00F873C9">
      <w:pPr>
        <w:pStyle w:val="Default"/>
        <w:numPr>
          <w:ilvl w:val="0"/>
          <w:numId w:val="29"/>
        </w:numPr>
        <w:spacing w:line="360" w:lineRule="auto"/>
        <w:rPr>
          <w:rFonts w:cs="Simple Indust Outline"/>
        </w:rPr>
      </w:pPr>
      <w:r w:rsidRPr="00733697">
        <w:rPr>
          <w:rFonts w:asciiTheme="majorBidi" w:hAnsiTheme="majorBidi" w:cstheme="majorBidi"/>
        </w:rPr>
        <w:t xml:space="preserve">Arora, Diksha and  Agarwal, Ravi. (2009). Banking risk management in India and RBI supervision. </w:t>
      </w:r>
      <w:r w:rsidRPr="00733697">
        <w:rPr>
          <w:rFonts w:asciiTheme="majorBidi" w:hAnsiTheme="majorBidi" w:cstheme="majorBidi"/>
          <w:i/>
          <w:iCs/>
        </w:rPr>
        <w:t>Social Science Research Network</w:t>
      </w:r>
      <w:r w:rsidRPr="00733697">
        <w:rPr>
          <w:rFonts w:asciiTheme="majorBidi" w:hAnsiTheme="majorBidi" w:cstheme="majorBidi"/>
        </w:rPr>
        <w:t xml:space="preserve">. Available in www form </w:t>
      </w:r>
      <w:hyperlink r:id="rId51" w:history="1">
        <w:r w:rsidRPr="00733697">
          <w:rPr>
            <w:rStyle w:val="Hyperlink"/>
            <w:rFonts w:asciiTheme="majorBidi" w:hAnsiTheme="majorBidi" w:cstheme="majorBidi"/>
          </w:rPr>
          <w:t>http://papers.ssrn.com/sol3/papers.cfm?abstract_id=1446264</w:t>
        </w:r>
      </w:hyperlink>
    </w:p>
    <w:p w:rsidR="00143BD9" w:rsidRDefault="00EA406D"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lang w:bidi="ar-JO"/>
        </w:rPr>
      </w:pPr>
      <w:r w:rsidRPr="00CB62D2">
        <w:rPr>
          <w:rFonts w:ascii="Times New Roman" w:hAnsi="Times New Roman" w:cs="Simple Indust Outline"/>
          <w:sz w:val="24"/>
          <w:szCs w:val="24"/>
        </w:rPr>
        <w:t>Arif  Almazari, A. (2011). Financial performance evaluation of some selected Jordanian commercial banks</w:t>
      </w:r>
      <w:r w:rsidRPr="00CB62D2">
        <w:rPr>
          <w:rFonts w:ascii="Times New Roman" w:hAnsi="Times New Roman" w:cs="Simple Indust Outline"/>
          <w:b/>
          <w:bCs/>
          <w:sz w:val="24"/>
          <w:szCs w:val="24"/>
        </w:rPr>
        <w:t xml:space="preserve">, </w:t>
      </w:r>
      <w:r w:rsidRPr="00CB62D2">
        <w:rPr>
          <w:rFonts w:ascii="Times New Roman" w:hAnsi="Times New Roman" w:cs="Simple Indust Outline"/>
          <w:i/>
          <w:iCs/>
          <w:sz w:val="24"/>
          <w:szCs w:val="24"/>
        </w:rPr>
        <w:t>International Research Journal of Finance and Economics</w:t>
      </w:r>
      <w:r w:rsidRPr="00CB62D2">
        <w:rPr>
          <w:rFonts w:ascii="Times New Roman" w:hAnsi="Times New Roman" w:cs="Simple Indust Outline"/>
          <w:sz w:val="24"/>
          <w:szCs w:val="24"/>
        </w:rPr>
        <w:t>. No 68: 50- 59</w:t>
      </w:r>
    </w:p>
    <w:p w:rsidR="00143BD9" w:rsidRDefault="00EA406D"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lang w:val="en-GB"/>
        </w:rPr>
      </w:pPr>
      <w:r w:rsidRPr="00CB62D2">
        <w:rPr>
          <w:rFonts w:ascii="Times New Roman" w:hAnsi="Times New Roman" w:cs="Simple Indust Outline"/>
          <w:sz w:val="24"/>
          <w:szCs w:val="24"/>
          <w:lang w:val="en-GB"/>
        </w:rPr>
        <w:t xml:space="preserve">Atikogullari, M., (2009). An analysis of the Northern Cyprus banking sector in the post - 2001 period through the CAMELS approach.  </w:t>
      </w:r>
      <w:r w:rsidRPr="00CB62D2">
        <w:rPr>
          <w:rFonts w:ascii="Times New Roman" w:hAnsi="Times New Roman" w:cs="Simple Indust Outline"/>
          <w:i/>
          <w:iCs/>
          <w:sz w:val="24"/>
          <w:szCs w:val="24"/>
          <w:lang w:val="en-GB"/>
        </w:rPr>
        <w:t xml:space="preserve">International </w:t>
      </w:r>
      <w:r w:rsidR="00C27696" w:rsidRPr="00CB62D2">
        <w:rPr>
          <w:rFonts w:ascii="Times New Roman" w:hAnsi="Times New Roman" w:cs="Simple Indust Outline"/>
          <w:i/>
          <w:iCs/>
          <w:sz w:val="24"/>
          <w:szCs w:val="24"/>
          <w:lang w:val="en-GB"/>
        </w:rPr>
        <w:t>Research</w:t>
      </w:r>
      <w:r w:rsidR="00C27696" w:rsidRPr="00CB62D2">
        <w:rPr>
          <w:rFonts w:ascii="Times New Roman" w:hAnsi="Times New Roman" w:cs="Simple Indust Outline"/>
          <w:sz w:val="24"/>
          <w:szCs w:val="24"/>
          <w:lang w:val="en-GB"/>
        </w:rPr>
        <w:t xml:space="preserve"> Journal</w:t>
      </w:r>
      <w:r w:rsidRPr="00CB62D2">
        <w:rPr>
          <w:rFonts w:ascii="Times New Roman" w:hAnsi="Times New Roman" w:cs="Simple Indust Outline"/>
          <w:i/>
          <w:iCs/>
          <w:sz w:val="24"/>
          <w:szCs w:val="24"/>
          <w:lang w:val="en-GB"/>
        </w:rPr>
        <w:t xml:space="preserve"> of Finance and Economics</w:t>
      </w:r>
      <w:r w:rsidRPr="00CB62D2">
        <w:rPr>
          <w:rFonts w:ascii="Times New Roman" w:hAnsi="Times New Roman" w:cs="Simple Indust Outline"/>
          <w:sz w:val="24"/>
          <w:szCs w:val="24"/>
          <w:lang w:val="en-GB"/>
        </w:rPr>
        <w:t>, 32: 212 – 229.</w:t>
      </w:r>
    </w:p>
    <w:p w:rsidR="00EA406D"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val="en-GB"/>
        </w:rPr>
      </w:pPr>
      <w:r w:rsidRPr="00CB62D2">
        <w:rPr>
          <w:rFonts w:asciiTheme="majorBidi" w:hAnsiTheme="majorBidi" w:cstheme="majorBidi"/>
          <w:sz w:val="24"/>
          <w:szCs w:val="24"/>
          <w:lang w:val="en-GB"/>
        </w:rPr>
        <w:t xml:space="preserve">Athanasoglou, P., Brissimis, S N., and Delis, M D. (2005) ‘‘Bank-specific, industry specific </w:t>
      </w:r>
      <w:r w:rsidRPr="00791EEC">
        <w:rPr>
          <w:rFonts w:asciiTheme="majorBidi" w:hAnsiTheme="majorBidi" w:cstheme="majorBidi"/>
          <w:sz w:val="24"/>
          <w:szCs w:val="24"/>
          <w:lang w:val="en-GB"/>
        </w:rPr>
        <w:t>and macroeconomic determinants of bank profitability’’. MPRA Paper No.153</w:t>
      </w:r>
    </w:p>
    <w:p w:rsidR="00EA406D" w:rsidRPr="00BA1B3D" w:rsidRDefault="00EA406D" w:rsidP="00F873C9">
      <w:pPr>
        <w:pStyle w:val="ListParagraph"/>
        <w:numPr>
          <w:ilvl w:val="0"/>
          <w:numId w:val="29"/>
        </w:numPr>
        <w:autoSpaceDE w:val="0"/>
        <w:autoSpaceDN w:val="0"/>
        <w:adjustRightInd w:val="0"/>
        <w:spacing w:after="0" w:line="360" w:lineRule="auto"/>
        <w:rPr>
          <w:rFonts w:ascii="TimesNewRoman,Italic" w:hAnsi="TimesNewRoman,Italic" w:cs="Simple Indust Outline"/>
          <w:sz w:val="24"/>
          <w:szCs w:val="24"/>
        </w:rPr>
      </w:pPr>
      <w:r w:rsidRPr="00BA1B3D">
        <w:rPr>
          <w:rFonts w:ascii="Times New Roman" w:hAnsi="Times New Roman" w:cs="Simple Indust Outline"/>
          <w:sz w:val="24"/>
          <w:szCs w:val="24"/>
        </w:rPr>
        <w:t xml:space="preserve">Balin, Bryan. (2008). </w:t>
      </w:r>
      <w:r w:rsidRPr="00BA1B3D">
        <w:rPr>
          <w:rFonts w:ascii="TimesNewRoman" w:hAnsi="TimesNewRoman" w:cs="Simple Indust Outline"/>
          <w:sz w:val="24"/>
          <w:szCs w:val="24"/>
        </w:rPr>
        <w:t xml:space="preserve">Basel I, Basel II, and Emerging Markets: A Nontechnical Analysis </w:t>
      </w:r>
      <w:r w:rsidRPr="00BA1B3D">
        <w:rPr>
          <w:rFonts w:ascii="TimesNewRoman,Italic" w:hAnsi="TimesNewRoman,Italic" w:cs="Simple Indust Outline"/>
          <w:i/>
          <w:iCs/>
          <w:sz w:val="24"/>
          <w:szCs w:val="24"/>
        </w:rPr>
        <w:t xml:space="preserve">The Johns Hopkins University School of Advanced International Studies (SAIS), </w:t>
      </w:r>
      <w:r w:rsidRPr="00BA1B3D">
        <w:rPr>
          <w:rFonts w:ascii="TimesNewRoman,Italic" w:hAnsi="TimesNewRoman,Italic" w:cs="Simple Indust Outline"/>
          <w:sz w:val="24"/>
          <w:szCs w:val="24"/>
        </w:rPr>
        <w:t>Washington DC.</w:t>
      </w:r>
    </w:p>
    <w:p w:rsidR="00EA406D" w:rsidRPr="00823E19"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bCs/>
          <w:sz w:val="24"/>
          <w:szCs w:val="24"/>
        </w:rPr>
      </w:pPr>
      <w:r w:rsidRPr="00823E19">
        <w:rPr>
          <w:rFonts w:asciiTheme="majorBidi" w:hAnsiTheme="majorBidi" w:cstheme="majorBidi"/>
          <w:sz w:val="24"/>
          <w:szCs w:val="24"/>
        </w:rPr>
        <w:t xml:space="preserve">Bank of Pakistan, (2008). </w:t>
      </w:r>
      <w:r w:rsidRPr="00823E19">
        <w:rPr>
          <w:rFonts w:asciiTheme="majorBidi" w:hAnsiTheme="majorBidi" w:cstheme="majorBidi"/>
          <w:bCs/>
          <w:sz w:val="24"/>
          <w:szCs w:val="24"/>
        </w:rPr>
        <w:t>Guidelines on Internal Credit Risk Rating Systems.</w:t>
      </w:r>
    </w:p>
    <w:p w:rsidR="00EA406D" w:rsidRPr="00823E19" w:rsidRDefault="00791EEC" w:rsidP="00823E19">
      <w:pPr>
        <w:pStyle w:val="ListParagraph"/>
        <w:autoSpaceDE w:val="0"/>
        <w:autoSpaceDN w:val="0"/>
        <w:adjustRightInd w:val="0"/>
        <w:spacing w:after="0" w:line="360" w:lineRule="auto"/>
        <w:ind w:left="927"/>
        <w:rPr>
          <w:rFonts w:ascii="TTE1528B08t00" w:hAnsi="TTE1528B08t00" w:cs="Simple Indust Outline"/>
          <w:sz w:val="24"/>
          <w:szCs w:val="24"/>
          <w:rtl/>
          <w:lang w:bidi="ar-JO"/>
        </w:rPr>
      </w:pPr>
      <w:r w:rsidRPr="00823E19">
        <w:t xml:space="preserve">    </w:t>
      </w:r>
      <w:hyperlink r:id="rId52" w:history="1">
        <w:r w:rsidR="00EA406D" w:rsidRPr="00823E19">
          <w:rPr>
            <w:rStyle w:val="Hyperlink"/>
            <w:rFonts w:asciiTheme="majorBidi" w:hAnsiTheme="majorBidi" w:cstheme="majorBidi"/>
            <w:sz w:val="24"/>
            <w:szCs w:val="24"/>
          </w:rPr>
          <w:t>http://www.sbp.org.pk/bsrvd/2007/Annex-C8.pdf</w:t>
        </w:r>
      </w:hyperlink>
    </w:p>
    <w:p w:rsidR="00EA406D" w:rsidRDefault="00EA406D" w:rsidP="00F873C9">
      <w:pPr>
        <w:pStyle w:val="Default"/>
        <w:numPr>
          <w:ilvl w:val="0"/>
          <w:numId w:val="29"/>
        </w:numPr>
        <w:spacing w:line="360" w:lineRule="auto"/>
        <w:jc w:val="both"/>
        <w:rPr>
          <w:rFonts w:cs="Simple Indust Outline"/>
        </w:rPr>
      </w:pPr>
      <w:r w:rsidRPr="003D716B">
        <w:rPr>
          <w:rFonts w:cs="Simple Indust Outline"/>
        </w:rPr>
        <w:t>Basel Committee (1986). The Management of Banks’ Off</w:t>
      </w:r>
      <w:r>
        <w:rPr>
          <w:rFonts w:cs="Simple Indust Outline"/>
        </w:rPr>
        <w:t xml:space="preserve">-Balance </w:t>
      </w:r>
      <w:r w:rsidR="00C27696">
        <w:rPr>
          <w:rFonts w:cs="Simple Indust Outline"/>
        </w:rPr>
        <w:t>Sheet Exposures</w:t>
      </w:r>
      <w:r>
        <w:rPr>
          <w:rFonts w:cs="Simple Indust Outline"/>
        </w:rPr>
        <w:t xml:space="preserve">. Basel </w:t>
      </w:r>
      <w:r w:rsidRPr="003D716B">
        <w:rPr>
          <w:rFonts w:cs="Simple Indust Outline"/>
        </w:rPr>
        <w:t>Committee on Banking Supervision.</w:t>
      </w:r>
    </w:p>
    <w:p w:rsidR="00EA406D" w:rsidRDefault="00EA406D" w:rsidP="00F873C9">
      <w:pPr>
        <w:pStyle w:val="Default"/>
        <w:numPr>
          <w:ilvl w:val="0"/>
          <w:numId w:val="29"/>
        </w:numPr>
        <w:spacing w:line="360" w:lineRule="auto"/>
        <w:jc w:val="both"/>
        <w:rPr>
          <w:rFonts w:cs="Simple Indust Outline"/>
        </w:rPr>
      </w:pPr>
      <w:r w:rsidRPr="003D716B">
        <w:rPr>
          <w:rFonts w:cs="Simple Indust Outline"/>
        </w:rPr>
        <w:t xml:space="preserve">Basel Committee (1988). International Convergence of Capital Measurement and Capital Standards. Basel Committee on Banking Supervision. </w:t>
      </w:r>
    </w:p>
    <w:p w:rsidR="00EA406D" w:rsidRDefault="00EA406D" w:rsidP="00F873C9">
      <w:pPr>
        <w:pStyle w:val="Default"/>
        <w:numPr>
          <w:ilvl w:val="0"/>
          <w:numId w:val="29"/>
        </w:numPr>
        <w:spacing w:line="360" w:lineRule="auto"/>
        <w:rPr>
          <w:rFonts w:cs="Simple Indust Outline"/>
        </w:rPr>
      </w:pPr>
      <w:r w:rsidRPr="003D716B">
        <w:rPr>
          <w:rFonts w:cs="Simple Indust Outline"/>
        </w:rPr>
        <w:t>Basel Committee (1998). International Convergence of Capital Measurement and Capital Standards. Basel Committee on Banking Supervision</w:t>
      </w:r>
      <w:r>
        <w:rPr>
          <w:rFonts w:cs="Simple Indust Outline"/>
        </w:rPr>
        <w:t>.</w:t>
      </w:r>
    </w:p>
    <w:p w:rsidR="00EA406D" w:rsidRDefault="00EA406D" w:rsidP="00F873C9">
      <w:pPr>
        <w:pStyle w:val="Default"/>
        <w:numPr>
          <w:ilvl w:val="0"/>
          <w:numId w:val="29"/>
        </w:numPr>
        <w:spacing w:line="360" w:lineRule="auto"/>
        <w:rPr>
          <w:rFonts w:cs="Simple Indust Outline"/>
        </w:rPr>
      </w:pPr>
      <w:r w:rsidRPr="003D716B">
        <w:rPr>
          <w:rFonts w:cs="Simple Indust Outline"/>
        </w:rPr>
        <w:t xml:space="preserve">Basel Committee (1999). Credit Risk </w:t>
      </w:r>
      <w:r w:rsidR="00650CA3" w:rsidRPr="003D716B">
        <w:rPr>
          <w:rFonts w:cs="Simple Indust Outline"/>
        </w:rPr>
        <w:t>Modeling</w:t>
      </w:r>
      <w:r w:rsidRPr="003D716B">
        <w:rPr>
          <w:rFonts w:cs="Simple Indust Outline"/>
        </w:rPr>
        <w:t>: Current Practices and Applications. Basel Committee on Banking Supervision.</w:t>
      </w:r>
    </w:p>
    <w:p w:rsidR="00EA406D" w:rsidRPr="00EA406D" w:rsidRDefault="00EA406D" w:rsidP="00F873C9">
      <w:pPr>
        <w:pStyle w:val="Default"/>
        <w:numPr>
          <w:ilvl w:val="0"/>
          <w:numId w:val="29"/>
        </w:numPr>
        <w:spacing w:line="360" w:lineRule="auto"/>
        <w:rPr>
          <w:rFonts w:asciiTheme="majorBidi" w:hAnsiTheme="majorBidi" w:cstheme="majorBidi"/>
        </w:rPr>
      </w:pPr>
      <w:r w:rsidRPr="00EA406D">
        <w:rPr>
          <w:rFonts w:asciiTheme="majorBidi" w:hAnsiTheme="majorBidi" w:cstheme="majorBidi"/>
        </w:rPr>
        <w:t>Basel Committee (2000). Principles for the Management of Credit Risk. Basel Committee on Banking Supervision.</w:t>
      </w:r>
    </w:p>
    <w:p w:rsidR="00EA406D" w:rsidRPr="00EA406D" w:rsidRDefault="00EA406D" w:rsidP="00F873C9">
      <w:pPr>
        <w:pStyle w:val="Default"/>
        <w:numPr>
          <w:ilvl w:val="0"/>
          <w:numId w:val="29"/>
        </w:numPr>
        <w:spacing w:line="360" w:lineRule="auto"/>
        <w:jc w:val="both"/>
        <w:rPr>
          <w:rFonts w:asciiTheme="majorBidi" w:hAnsiTheme="majorBidi" w:cstheme="majorBidi"/>
        </w:rPr>
      </w:pPr>
      <w:r w:rsidRPr="00EA406D">
        <w:rPr>
          <w:rFonts w:asciiTheme="majorBidi" w:hAnsiTheme="majorBidi" w:cstheme="majorBidi"/>
        </w:rPr>
        <w:lastRenderedPageBreak/>
        <w:t xml:space="preserve">Basel Committee (2001). The Internal Rating- based Approach. Basel Committee on Banking Supervision. </w:t>
      </w:r>
    </w:p>
    <w:p w:rsidR="00EA406D" w:rsidRPr="00EA406D" w:rsidRDefault="00EA406D" w:rsidP="00F873C9">
      <w:pPr>
        <w:pStyle w:val="Default"/>
        <w:numPr>
          <w:ilvl w:val="0"/>
          <w:numId w:val="29"/>
        </w:numPr>
        <w:spacing w:line="360" w:lineRule="auto"/>
        <w:rPr>
          <w:rFonts w:asciiTheme="majorBidi" w:hAnsiTheme="majorBidi" w:cstheme="majorBidi"/>
        </w:rPr>
      </w:pPr>
      <w:r w:rsidRPr="00EA406D">
        <w:rPr>
          <w:rFonts w:asciiTheme="majorBidi" w:hAnsiTheme="majorBidi" w:cstheme="majorBidi"/>
        </w:rPr>
        <w:t>Basel Committee (2006). International Convergence of Capital Measurement and Capital Standards. Basel Committee on Banking Supervision, June.</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Basel Committee (2008). Innovations in credit risk transfer: implications for financial stability. Basel Committee on Banking Supervision.</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Bauer W. &amp; Ryser Marc. (2004), "Risk Management Strategies for Banks",</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rPr>
        <w:t>Journal of Banking &amp; Finance vol 28, issue 2: 331-352.</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eastAsia="ArialMT" w:hAnsiTheme="majorBidi" w:cstheme="majorBidi"/>
          <w:sz w:val="24"/>
          <w:szCs w:val="24"/>
          <w:rtl/>
        </w:rPr>
      </w:pPr>
      <w:r w:rsidRPr="00CB62D2">
        <w:rPr>
          <w:rFonts w:asciiTheme="majorBidi" w:eastAsia="ArialMT" w:hAnsiTheme="majorBidi" w:cstheme="majorBidi"/>
          <w:sz w:val="24"/>
          <w:szCs w:val="24"/>
        </w:rPr>
        <w:t xml:space="preserve">Benzin, A., Truck, S., Rachev, S. (2004) </w:t>
      </w:r>
      <w:r w:rsidRPr="00CB62D2">
        <w:rPr>
          <w:rFonts w:asciiTheme="majorBidi" w:eastAsia="ArialMT" w:hAnsiTheme="majorBidi" w:cstheme="majorBidi"/>
          <w:i/>
          <w:iCs/>
          <w:sz w:val="24"/>
          <w:szCs w:val="24"/>
        </w:rPr>
        <w:t>Approaches to Credit Risk in the New Basel</w:t>
      </w:r>
      <w:r w:rsidRPr="00CB62D2">
        <w:rPr>
          <w:rFonts w:asciiTheme="majorBidi" w:eastAsia="ArialMT" w:hAnsiTheme="majorBidi" w:cstheme="majorBidi"/>
          <w:sz w:val="24"/>
          <w:szCs w:val="24"/>
        </w:rPr>
        <w:t xml:space="preserve">   Accord Capital</w:t>
      </w:r>
      <w:r w:rsidR="00823E19">
        <w:rPr>
          <w:rFonts w:asciiTheme="majorBidi" w:eastAsia="ArialMT" w:hAnsiTheme="majorBidi" w:cstheme="majorBidi"/>
          <w:sz w:val="24"/>
          <w:szCs w:val="24"/>
        </w:rPr>
        <w:t xml:space="preserve"> </w:t>
      </w:r>
      <w:hyperlink r:id="rId53" w:history="1">
        <w:r w:rsidRPr="00CB62D2">
          <w:rPr>
            <w:rStyle w:val="Hyperlink"/>
            <w:rFonts w:asciiTheme="majorBidi" w:eastAsia="ArialMT" w:hAnsiTheme="majorBidi" w:cstheme="majorBidi"/>
            <w:sz w:val="24"/>
            <w:szCs w:val="24"/>
          </w:rPr>
          <w:t>http://www.ams.sunysb.edu/~rachev/publication/benzin_trueck.pdf</w:t>
        </w:r>
      </w:hyperlink>
    </w:p>
    <w:p w:rsidR="00EA406D" w:rsidRDefault="00EA406D" w:rsidP="00F873C9">
      <w:pPr>
        <w:pStyle w:val="Default"/>
        <w:numPr>
          <w:ilvl w:val="0"/>
          <w:numId w:val="29"/>
        </w:numPr>
        <w:spacing w:line="360" w:lineRule="auto"/>
        <w:rPr>
          <w:rFonts w:cs="Simple Indust Outline"/>
        </w:rPr>
      </w:pPr>
      <w:r w:rsidRPr="003D716B">
        <w:rPr>
          <w:rFonts w:cs="Simple Indust Outline"/>
        </w:rPr>
        <w:t>Bessis, Joel</w:t>
      </w:r>
      <w:r w:rsidR="00A2127D">
        <w:rPr>
          <w:rFonts w:cs="Simple Indust Outline"/>
        </w:rPr>
        <w:t>. (2002</w:t>
      </w:r>
      <w:r>
        <w:rPr>
          <w:rFonts w:cs="Simple Indust Outline"/>
        </w:rPr>
        <w:t>)</w:t>
      </w:r>
      <w:r w:rsidRPr="003D716B">
        <w:rPr>
          <w:rFonts w:cs="Simple Indust Outline"/>
        </w:rPr>
        <w:t xml:space="preserve"> Risk Management in Banking</w:t>
      </w:r>
      <w:r>
        <w:rPr>
          <w:rFonts w:cs="Simple Indust Outline"/>
        </w:rPr>
        <w:t>. 2</w:t>
      </w:r>
      <w:r w:rsidRPr="003D716B">
        <w:rPr>
          <w:rFonts w:cs="Simple Indust Outline"/>
          <w:vertAlign w:val="superscript"/>
        </w:rPr>
        <w:t>nd</w:t>
      </w:r>
      <w:r>
        <w:rPr>
          <w:rFonts w:cs="Simple Indust Outline"/>
        </w:rPr>
        <w:t xml:space="preserve"> ed. London: </w:t>
      </w:r>
      <w:r w:rsidRPr="003D716B">
        <w:rPr>
          <w:rFonts w:cs="Simple Indust Outline"/>
        </w:rPr>
        <w:t>Wiley &amp; Sons</w:t>
      </w:r>
      <w:r>
        <w:rPr>
          <w:rFonts w:cs="Simple Indust Outline"/>
        </w:rPr>
        <w:t xml:space="preserve">. </w:t>
      </w:r>
    </w:p>
    <w:p w:rsidR="00EA406D" w:rsidRDefault="00EA406D" w:rsidP="00F873C9">
      <w:pPr>
        <w:pStyle w:val="Default"/>
        <w:numPr>
          <w:ilvl w:val="0"/>
          <w:numId w:val="29"/>
        </w:numPr>
        <w:spacing w:line="360" w:lineRule="auto"/>
        <w:rPr>
          <w:rFonts w:cs="Simple Indust Outline"/>
        </w:rPr>
      </w:pPr>
      <w:r w:rsidRPr="003D716B">
        <w:rPr>
          <w:rFonts w:cs="Simple Indust Outline"/>
        </w:rPr>
        <w:t>Bessis, Joel</w:t>
      </w:r>
      <w:r>
        <w:rPr>
          <w:rFonts w:cs="Simple Indust Outline"/>
        </w:rPr>
        <w:t>( 2010)</w:t>
      </w:r>
      <w:r w:rsidRPr="003D716B">
        <w:rPr>
          <w:rFonts w:cs="Simple Indust Outline"/>
        </w:rPr>
        <w:t xml:space="preserve"> </w:t>
      </w:r>
      <w:r w:rsidRPr="003D716B">
        <w:rPr>
          <w:rFonts w:cs="Simple Indust Outline"/>
          <w:i/>
          <w:iCs/>
        </w:rPr>
        <w:t xml:space="preserve">Risk </w:t>
      </w:r>
      <w:r>
        <w:rPr>
          <w:rFonts w:cs="Simple Indust Outline"/>
          <w:i/>
          <w:iCs/>
        </w:rPr>
        <w:t>m</w:t>
      </w:r>
      <w:r w:rsidRPr="003D716B">
        <w:rPr>
          <w:rFonts w:cs="Simple Indust Outline"/>
          <w:i/>
          <w:iCs/>
        </w:rPr>
        <w:t xml:space="preserve">anagement in </w:t>
      </w:r>
      <w:r>
        <w:rPr>
          <w:rFonts w:cs="Simple Indust Outline"/>
          <w:i/>
          <w:iCs/>
        </w:rPr>
        <w:t>b</w:t>
      </w:r>
      <w:r w:rsidRPr="003D716B">
        <w:rPr>
          <w:rFonts w:cs="Simple Indust Outline"/>
          <w:i/>
          <w:iCs/>
        </w:rPr>
        <w:t>anking</w:t>
      </w:r>
      <w:r>
        <w:rPr>
          <w:rFonts w:cs="Simple Indust Outline"/>
        </w:rPr>
        <w:t>. 3</w:t>
      </w:r>
      <w:r w:rsidRPr="003D716B">
        <w:rPr>
          <w:rFonts w:cs="Simple Indust Outline"/>
          <w:vertAlign w:val="superscript"/>
        </w:rPr>
        <w:t>rd</w:t>
      </w:r>
      <w:r>
        <w:rPr>
          <w:rFonts w:cs="Simple Indust Outline"/>
        </w:rPr>
        <w:t xml:space="preserve"> ed. London: Wiley &amp; Sons.</w:t>
      </w:r>
    </w:p>
    <w:p w:rsidR="00EA406D" w:rsidRPr="00CB62D2" w:rsidRDefault="00EA406D" w:rsidP="00F873C9">
      <w:pPr>
        <w:pStyle w:val="ListParagraph"/>
        <w:numPr>
          <w:ilvl w:val="0"/>
          <w:numId w:val="29"/>
        </w:numPr>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 xml:space="preserve">Bichsel, R., and Blum, J. (2004) The Relationship between Risk and Capital in Swiss Commercial Banks: A Panel Study. </w:t>
      </w:r>
      <w:r w:rsidRPr="00CB62D2">
        <w:rPr>
          <w:rFonts w:ascii="Times New Roman" w:hAnsi="Times New Roman" w:cs="Simple Indust Outline"/>
          <w:i/>
          <w:iCs/>
          <w:sz w:val="24"/>
          <w:szCs w:val="24"/>
        </w:rPr>
        <w:t>Applied Financial</w:t>
      </w:r>
      <w:r w:rsidRPr="00CB62D2">
        <w:rPr>
          <w:rFonts w:ascii="Times New Roman" w:hAnsi="Times New Roman" w:cs="Simple Indust Outline"/>
          <w:sz w:val="24"/>
          <w:szCs w:val="24"/>
        </w:rPr>
        <w:t xml:space="preserve"> </w:t>
      </w:r>
      <w:r w:rsidRPr="00CB62D2">
        <w:rPr>
          <w:rFonts w:ascii="Times New Roman" w:hAnsi="Times New Roman" w:cs="Simple Indust Outline"/>
          <w:i/>
          <w:iCs/>
          <w:sz w:val="24"/>
          <w:szCs w:val="24"/>
        </w:rPr>
        <w:t>Economics</w:t>
      </w:r>
      <w:r w:rsidRPr="00CB62D2">
        <w:rPr>
          <w:rFonts w:ascii="Times New Roman" w:hAnsi="Times New Roman" w:cs="Simple Indust Outline"/>
          <w:sz w:val="24"/>
          <w:szCs w:val="24"/>
        </w:rPr>
        <w:t xml:space="preserve"> 14(8), 591-597.</w:t>
      </w:r>
    </w:p>
    <w:p w:rsidR="00EA406D" w:rsidRPr="00CB62D2" w:rsidRDefault="00EA406D" w:rsidP="00F873C9">
      <w:pPr>
        <w:pStyle w:val="ListParagraph"/>
        <w:numPr>
          <w:ilvl w:val="0"/>
          <w:numId w:val="29"/>
        </w:numPr>
        <w:autoSpaceDE w:val="0"/>
        <w:autoSpaceDN w:val="0"/>
        <w:adjustRightInd w:val="0"/>
        <w:spacing w:after="0" w:line="360" w:lineRule="auto"/>
        <w:rPr>
          <w:rFonts w:ascii="TimesNewRomanPSMT" w:hAnsi="TimesNewRomanPSMT" w:cs="Simple Indust Outline"/>
          <w:sz w:val="24"/>
          <w:szCs w:val="24"/>
        </w:rPr>
      </w:pPr>
      <w:r w:rsidRPr="00CB62D2">
        <w:rPr>
          <w:rFonts w:ascii="TimesNewRomanPSMT" w:hAnsi="TimesNewRomanPSMT" w:cs="Simple Indust Outline"/>
          <w:sz w:val="24"/>
          <w:szCs w:val="24"/>
        </w:rPr>
        <w:t xml:space="preserve">Bielecki, T., Brigo, </w:t>
      </w:r>
      <w:r w:rsidR="00F260EB" w:rsidRPr="00CB62D2">
        <w:rPr>
          <w:rFonts w:ascii="TimesNewRomanPSMT" w:hAnsi="TimesNewRomanPSMT" w:cs="Simple Indust Outline"/>
          <w:sz w:val="24"/>
          <w:szCs w:val="24"/>
        </w:rPr>
        <w:t>D.</w:t>
      </w:r>
      <w:r w:rsidRPr="00CB62D2">
        <w:rPr>
          <w:rFonts w:ascii="TimesNewRomanPSMT" w:hAnsi="TimesNewRomanPSMT" w:cs="Simple Indust Outline"/>
          <w:sz w:val="24"/>
          <w:szCs w:val="24"/>
        </w:rPr>
        <w:t>, Patras, F. (2011). Credit risk Frontiers: Supreme Crisis, Pricing, and Hedging, CVA, MBS, Ratings and Liquidity. London: John Wiley and Sons.</w:t>
      </w:r>
    </w:p>
    <w:p w:rsidR="00EA406D" w:rsidRDefault="00EA406D" w:rsidP="00F873C9">
      <w:pPr>
        <w:pStyle w:val="Default"/>
        <w:numPr>
          <w:ilvl w:val="0"/>
          <w:numId w:val="29"/>
        </w:numPr>
        <w:spacing w:line="360" w:lineRule="auto"/>
        <w:rPr>
          <w:rFonts w:asciiTheme="majorBidi" w:hAnsiTheme="majorBidi" w:cstheme="majorBidi"/>
        </w:rPr>
      </w:pPr>
      <w:r w:rsidRPr="00EA406D">
        <w:rPr>
          <w:rFonts w:asciiTheme="majorBidi" w:hAnsiTheme="majorBidi" w:cstheme="majorBidi"/>
        </w:rPr>
        <w:t>Bikker, J.A. and H. Hu (2002). Cyclical Patterns in profits, provisioning and lending of b</w:t>
      </w:r>
      <w:r>
        <w:rPr>
          <w:rFonts w:asciiTheme="majorBidi" w:hAnsiTheme="majorBidi" w:cstheme="majorBidi"/>
        </w:rPr>
        <w:t xml:space="preserve">anks </w:t>
      </w:r>
      <w:r w:rsidRPr="00EA406D">
        <w:rPr>
          <w:rFonts w:asciiTheme="majorBidi" w:hAnsiTheme="majorBidi" w:cstheme="majorBidi"/>
        </w:rPr>
        <w:t xml:space="preserve">and procyclicality of the New Basel Capital Requirements, </w:t>
      </w:r>
      <w:r w:rsidRPr="00EA406D">
        <w:rPr>
          <w:rFonts w:asciiTheme="majorBidi" w:hAnsiTheme="majorBidi" w:cstheme="majorBidi"/>
          <w:i/>
          <w:iCs/>
        </w:rPr>
        <w:t>BNL Quarterly Review,</w:t>
      </w:r>
      <w:r w:rsidRPr="00EA406D">
        <w:rPr>
          <w:rFonts w:asciiTheme="majorBidi" w:hAnsiTheme="majorBidi" w:cstheme="majorBidi"/>
        </w:rPr>
        <w:t xml:space="preserve"> 221,. 143-175.</w:t>
      </w:r>
    </w:p>
    <w:p w:rsidR="00EA406D" w:rsidRPr="00C318C0" w:rsidRDefault="00EA406D" w:rsidP="00F873C9">
      <w:pPr>
        <w:pStyle w:val="Default"/>
        <w:numPr>
          <w:ilvl w:val="0"/>
          <w:numId w:val="29"/>
        </w:numPr>
        <w:spacing w:line="360" w:lineRule="auto"/>
        <w:rPr>
          <w:rFonts w:cs="Simple Indust Outline"/>
        </w:rPr>
      </w:pPr>
      <w:r w:rsidRPr="003D716B">
        <w:rPr>
          <w:rFonts w:cs="Simple Indust Outline"/>
        </w:rPr>
        <w:t>Blazy, R. Weill, L. (2006). Why Do Banks Ask for Collateral and Which Ones?</w:t>
      </w:r>
    </w:p>
    <w:p w:rsidR="00EA406D" w:rsidRDefault="00791EEC" w:rsidP="00823E19">
      <w:pPr>
        <w:pStyle w:val="ListParagraph"/>
        <w:autoSpaceDE w:val="0"/>
        <w:autoSpaceDN w:val="0"/>
        <w:adjustRightInd w:val="0"/>
        <w:spacing w:after="0" w:line="360" w:lineRule="auto"/>
        <w:ind w:left="927"/>
        <w:rPr>
          <w:rFonts w:asciiTheme="majorBidi" w:hAnsiTheme="majorBidi" w:cstheme="majorBidi"/>
          <w:sz w:val="24"/>
          <w:szCs w:val="24"/>
        </w:rPr>
      </w:pPr>
      <w:r>
        <w:t xml:space="preserve">           </w:t>
      </w:r>
      <w:hyperlink r:id="rId54" w:history="1">
        <w:r w:rsidR="00EA406D" w:rsidRPr="00CB62D2">
          <w:rPr>
            <w:rStyle w:val="Hyperlink"/>
            <w:rFonts w:asciiTheme="majorBidi" w:hAnsiTheme="majorBidi" w:cstheme="majorBidi"/>
            <w:sz w:val="24"/>
            <w:szCs w:val="24"/>
          </w:rPr>
          <w:t>http://ifs.u-strasbg.fr/large/publications/2006/2006-03.pdf</w:t>
        </w:r>
      </w:hyperlink>
    </w:p>
    <w:p w:rsidR="00EA406D" w:rsidRPr="00CB62D2" w:rsidRDefault="00EA406D" w:rsidP="00F873C9">
      <w:pPr>
        <w:pStyle w:val="ListParagraph"/>
        <w:numPr>
          <w:ilvl w:val="0"/>
          <w:numId w:val="29"/>
        </w:numPr>
        <w:autoSpaceDE w:val="0"/>
        <w:autoSpaceDN w:val="0"/>
        <w:adjustRightInd w:val="0"/>
        <w:spacing w:after="0" w:line="360" w:lineRule="auto"/>
        <w:jc w:val="both"/>
        <w:rPr>
          <w:rFonts w:asciiTheme="majorBidi" w:hAnsiTheme="majorBidi" w:cstheme="majorBidi"/>
          <w:sz w:val="24"/>
          <w:szCs w:val="24"/>
        </w:rPr>
      </w:pPr>
      <w:r w:rsidRPr="00CB62D2">
        <w:rPr>
          <w:rFonts w:asciiTheme="majorBidi" w:hAnsiTheme="majorBidi" w:cstheme="majorBidi"/>
          <w:sz w:val="24"/>
          <w:szCs w:val="24"/>
        </w:rPr>
        <w:t>Bodie. Zvi, Kane. Alex, AND Marcus J. Alan. (2005), "Investments", 6th Ed.,</w:t>
      </w:r>
    </w:p>
    <w:p w:rsidR="00E579EB"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Fonts w:asciiTheme="majorBidi" w:hAnsiTheme="majorBidi" w:cstheme="majorBidi"/>
          <w:sz w:val="24"/>
          <w:szCs w:val="24"/>
        </w:rPr>
        <w:t>McGraw-Hill.</w:t>
      </w:r>
    </w:p>
    <w:p w:rsidR="00E579EB" w:rsidRPr="00E579EB" w:rsidRDefault="00EA406D" w:rsidP="00F873C9">
      <w:pPr>
        <w:pStyle w:val="ListParagraph"/>
        <w:numPr>
          <w:ilvl w:val="0"/>
          <w:numId w:val="29"/>
        </w:numPr>
        <w:autoSpaceDE w:val="0"/>
        <w:autoSpaceDN w:val="0"/>
        <w:adjustRightInd w:val="0"/>
        <w:spacing w:after="0" w:line="360" w:lineRule="auto"/>
        <w:jc w:val="both"/>
        <w:rPr>
          <w:rFonts w:ascii="Times New Roman" w:hAnsi="Times New Roman" w:cs="Simple Indust Outline"/>
          <w:sz w:val="24"/>
          <w:szCs w:val="24"/>
          <w:lang w:val="en-GB"/>
        </w:rPr>
      </w:pPr>
      <w:r w:rsidRPr="00CB62D2">
        <w:rPr>
          <w:rFonts w:ascii="Times New Roman" w:hAnsi="Times New Roman" w:cs="Simple Indust Outline"/>
          <w:sz w:val="24"/>
          <w:szCs w:val="24"/>
          <w:lang w:val="en-GB"/>
        </w:rPr>
        <w:t xml:space="preserve">Bouchaud, J., Potters, M. 2003. </w:t>
      </w:r>
      <w:r w:rsidRPr="00CB62D2">
        <w:rPr>
          <w:rFonts w:ascii="Times New Roman" w:hAnsi="Times New Roman" w:cs="Simple Indust Outline"/>
          <w:i/>
          <w:iCs/>
          <w:sz w:val="24"/>
          <w:szCs w:val="24"/>
        </w:rPr>
        <w:t>Theory of Financial Risk and Derivative Pricing: From</w:t>
      </w:r>
      <w:r w:rsidRPr="00CB62D2">
        <w:rPr>
          <w:rFonts w:ascii="Times New Roman" w:hAnsi="Times New Roman" w:cs="Simple Indust Outline"/>
          <w:sz w:val="24"/>
          <w:szCs w:val="24"/>
        </w:rPr>
        <w:t xml:space="preserve"> </w:t>
      </w:r>
      <w:r w:rsidRPr="00CB62D2">
        <w:rPr>
          <w:rFonts w:ascii="Times New Roman" w:hAnsi="Times New Roman" w:cs="Simple Indust Outline"/>
          <w:i/>
          <w:iCs/>
          <w:sz w:val="24"/>
          <w:szCs w:val="24"/>
        </w:rPr>
        <w:t>Statistical Physics to Risk Management</w:t>
      </w:r>
      <w:r w:rsidRPr="00CB62D2">
        <w:rPr>
          <w:rFonts w:ascii="Times New Roman" w:hAnsi="Times New Roman" w:cs="Simple Indust Outline"/>
          <w:sz w:val="24"/>
          <w:szCs w:val="24"/>
        </w:rPr>
        <w:t>. 2nd. ed.. Cambridge: Cambridge University Press.</w:t>
      </w:r>
    </w:p>
    <w:p w:rsidR="00EA406D" w:rsidRDefault="00EA406D"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lang w:val="en-GB"/>
        </w:rPr>
        <w:t>Broll, Udo,  Pausch, Thilo and Welzel, Peter. (2002). Credit Risk and Credit Derivatives in Banking. Discussion Paper No. 228.</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lastRenderedPageBreak/>
        <w:t>Buehler, K. S &amp; Vijay, D &amp; Gunnar, P. (2004), "The Business Case for Basel</w:t>
      </w:r>
    </w:p>
    <w:p w:rsidR="00EA406D" w:rsidRDefault="00EA406D" w:rsidP="00823E19">
      <w:pPr>
        <w:pStyle w:val="ListParagraph"/>
        <w:autoSpaceDE w:val="0"/>
        <w:autoSpaceDN w:val="0"/>
        <w:adjustRightInd w:val="0"/>
        <w:spacing w:after="0" w:line="360" w:lineRule="auto"/>
        <w:ind w:left="927"/>
        <w:rPr>
          <w:rFonts w:asciiTheme="majorBidi" w:hAnsiTheme="majorBidi" w:cstheme="majorBidi"/>
          <w:sz w:val="24"/>
          <w:szCs w:val="24"/>
          <w:lang w:val="en-GB" w:bidi="ar-JO"/>
        </w:rPr>
      </w:pPr>
      <w:r w:rsidRPr="00CB62D2">
        <w:rPr>
          <w:rFonts w:asciiTheme="majorBidi" w:hAnsiTheme="majorBidi" w:cstheme="majorBidi"/>
          <w:sz w:val="24"/>
          <w:szCs w:val="24"/>
        </w:rPr>
        <w:t>II", McKinsey Quarterly, issue 1:82-91.</w:t>
      </w:r>
    </w:p>
    <w:p w:rsidR="00EA406D" w:rsidRPr="00CB62D2" w:rsidRDefault="00EA406D"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lang w:val="en-GB"/>
        </w:rPr>
        <w:t>Buysksalvarci</w:t>
      </w:r>
      <w:r w:rsidRPr="00CB62D2">
        <w:rPr>
          <w:rFonts w:ascii="Times New Roman" w:hAnsi="Times New Roman" w:cs="Simple Indust Outline"/>
          <w:sz w:val="24"/>
          <w:szCs w:val="24"/>
        </w:rPr>
        <w:t xml:space="preserve">, A., </w:t>
      </w:r>
      <w:r w:rsidRPr="00CB62D2">
        <w:rPr>
          <w:rFonts w:ascii="Times New Roman" w:hAnsi="Times New Roman" w:cs="Simple Indust Outline"/>
          <w:sz w:val="24"/>
          <w:szCs w:val="24"/>
          <w:lang w:val="en-GB"/>
        </w:rPr>
        <w:t>Abdioglu</w:t>
      </w:r>
      <w:r w:rsidRPr="00CB62D2">
        <w:rPr>
          <w:rFonts w:ascii="Times New Roman" w:hAnsi="Times New Roman" w:cs="Simple Indust Outline"/>
          <w:sz w:val="24"/>
          <w:szCs w:val="24"/>
        </w:rPr>
        <w:t>, H. (2011). Testing the weak form efficiency of the Turkish stock market. African Journal of Business Management, Vol 5 (34): 13044-13056.</w:t>
      </w:r>
      <w:r w:rsidRPr="00CB62D2">
        <w:rPr>
          <w:rFonts w:ascii="Times New Roman" w:hAnsi="Times New Roman" w:cs="Simple Indust Outline"/>
          <w:sz w:val="24"/>
          <w:szCs w:val="24"/>
          <w:rtl/>
        </w:rPr>
        <w:t xml:space="preserve"> </w:t>
      </w:r>
    </w:p>
    <w:p w:rsidR="00EA406D" w:rsidRDefault="00EA406D" w:rsidP="00F873C9">
      <w:pPr>
        <w:pStyle w:val="ListParagraph"/>
        <w:numPr>
          <w:ilvl w:val="0"/>
          <w:numId w:val="29"/>
        </w:numPr>
        <w:autoSpaceDE w:val="0"/>
        <w:autoSpaceDN w:val="0"/>
        <w:adjustRightInd w:val="0"/>
        <w:spacing w:after="0" w:line="360" w:lineRule="auto"/>
        <w:rPr>
          <w:rFonts w:ascii="Times New Roman" w:hAnsi="Times New Roman" w:cs="Simple Indust Outline"/>
          <w:iCs/>
          <w:sz w:val="24"/>
          <w:szCs w:val="24"/>
        </w:rPr>
      </w:pPr>
      <w:r w:rsidRPr="00CB62D2">
        <w:rPr>
          <w:rFonts w:ascii="Times New Roman" w:hAnsi="Times New Roman" w:cs="Simple Indust Outline"/>
          <w:iCs/>
          <w:sz w:val="24"/>
          <w:szCs w:val="24"/>
        </w:rPr>
        <w:t xml:space="preserve">Cannata, F., and Quagliariello, M. (2006). “Capital and Risk in Italian Banks: A simultaneous Equation Approach. </w:t>
      </w:r>
      <w:r w:rsidRPr="00CB62D2">
        <w:rPr>
          <w:rFonts w:ascii="Times New Roman" w:hAnsi="Times New Roman" w:cs="Simple Indust Outline"/>
          <w:i/>
          <w:sz w:val="24"/>
          <w:szCs w:val="24"/>
        </w:rPr>
        <w:t>Journal of Banking</w:t>
      </w:r>
      <w:r w:rsidRPr="00CB62D2">
        <w:rPr>
          <w:rFonts w:ascii="Times New Roman" w:hAnsi="Times New Roman" w:cs="Simple Indust Outline"/>
          <w:iCs/>
          <w:sz w:val="24"/>
          <w:szCs w:val="24"/>
        </w:rPr>
        <w:t xml:space="preserve"> </w:t>
      </w:r>
      <w:r w:rsidRPr="00CB62D2">
        <w:rPr>
          <w:rFonts w:ascii="Times New Roman" w:hAnsi="Times New Roman" w:cs="Simple Indust Outline"/>
          <w:i/>
          <w:sz w:val="24"/>
          <w:szCs w:val="24"/>
        </w:rPr>
        <w:t>Relation</w:t>
      </w:r>
      <w:r w:rsidRPr="00CB62D2">
        <w:rPr>
          <w:rFonts w:ascii="Times New Roman" w:hAnsi="Times New Roman" w:cs="Simple Indust Outline"/>
          <w:iCs/>
          <w:sz w:val="24"/>
          <w:szCs w:val="24"/>
        </w:rPr>
        <w:t xml:space="preserve"> 7(3/4), 283-297.</w:t>
      </w:r>
    </w:p>
    <w:p w:rsidR="00EA406D" w:rsidRDefault="00EA406D" w:rsidP="00F873C9">
      <w:pPr>
        <w:pStyle w:val="ListParagraph"/>
        <w:numPr>
          <w:ilvl w:val="0"/>
          <w:numId w:val="29"/>
        </w:numPr>
        <w:autoSpaceDE w:val="0"/>
        <w:autoSpaceDN w:val="0"/>
        <w:adjustRightInd w:val="0"/>
        <w:spacing w:after="0" w:line="360" w:lineRule="auto"/>
        <w:rPr>
          <w:rFonts w:ascii="TimesNewRoman" w:hAnsi="TimesNewRoman" w:cs="Simple Indust Outline"/>
          <w:sz w:val="24"/>
          <w:szCs w:val="24"/>
        </w:rPr>
      </w:pPr>
      <w:r w:rsidRPr="00CB62D2">
        <w:rPr>
          <w:rFonts w:ascii="TimesNewRoman" w:hAnsi="TimesNewRoman" w:cs="Simple Indust Outline"/>
          <w:sz w:val="24"/>
          <w:szCs w:val="24"/>
        </w:rPr>
        <w:t>Casu, B., Girardone, C. and P. Molyneyx, (2006), Introduction to Banking. FT Prentice</w:t>
      </w:r>
      <w:r w:rsidR="00E579EB">
        <w:rPr>
          <w:rFonts w:ascii="TimesNewRoman" w:hAnsi="TimesNewRoman" w:cs="Simple Indust Outline"/>
          <w:sz w:val="24"/>
          <w:szCs w:val="24"/>
        </w:rPr>
        <w:t xml:space="preserve"> </w:t>
      </w:r>
      <w:r w:rsidRPr="00E579EB">
        <w:rPr>
          <w:rFonts w:ascii="TimesNewRoman" w:hAnsi="TimesNewRoman" w:cs="Simple Indust Outline"/>
          <w:sz w:val="24"/>
          <w:szCs w:val="24"/>
        </w:rPr>
        <w:t>Hall, Pearson Education (CGM).</w:t>
      </w:r>
      <w:r w:rsidRPr="00E579EB">
        <w:rPr>
          <w:rFonts w:ascii="TimesNewRoman" w:hAnsi="TimesNewRoman" w:cs="Simple Indust Outline"/>
          <w:sz w:val="24"/>
          <w:szCs w:val="24"/>
          <w:rtl/>
        </w:rPr>
        <w:t>.</w:t>
      </w:r>
    </w:p>
    <w:p w:rsidR="00EA406D" w:rsidRDefault="00EA406D" w:rsidP="00F873C9">
      <w:pPr>
        <w:pStyle w:val="Default"/>
        <w:numPr>
          <w:ilvl w:val="0"/>
          <w:numId w:val="29"/>
        </w:numPr>
        <w:spacing w:line="360" w:lineRule="auto"/>
        <w:rPr>
          <w:rFonts w:asciiTheme="majorBidi" w:hAnsiTheme="majorBidi" w:cstheme="majorBidi"/>
        </w:rPr>
      </w:pPr>
      <w:r w:rsidRPr="00334222">
        <w:rPr>
          <w:rFonts w:asciiTheme="majorBidi" w:hAnsiTheme="majorBidi" w:cstheme="majorBidi"/>
        </w:rPr>
        <w:t xml:space="preserve">Caouette, John B., Altman, Edward I., Narayanan, </w:t>
      </w:r>
      <w:r w:rsidR="00A2127D" w:rsidRPr="00334222">
        <w:rPr>
          <w:rFonts w:asciiTheme="majorBidi" w:hAnsiTheme="majorBidi" w:cstheme="majorBidi"/>
        </w:rPr>
        <w:t>Paul and Nimmo</w:t>
      </w:r>
      <w:r w:rsidRPr="00334222">
        <w:rPr>
          <w:rFonts w:asciiTheme="majorBidi" w:hAnsiTheme="majorBidi" w:cstheme="majorBidi"/>
        </w:rPr>
        <w:t>, Robert. (2008). Managing Credit Risk: The Great Challenge for the Global Financial Markets. 2nd ed.. New Jersey: John Wiley and Sons.</w:t>
      </w:r>
    </w:p>
    <w:p w:rsidR="00EA406D" w:rsidRPr="00CB62D2" w:rsidRDefault="00EA406D" w:rsidP="00F873C9">
      <w:pPr>
        <w:pStyle w:val="ListParagraph"/>
        <w:numPr>
          <w:ilvl w:val="0"/>
          <w:numId w:val="29"/>
        </w:numPr>
        <w:spacing w:after="0" w:line="360" w:lineRule="auto"/>
        <w:rPr>
          <w:rFonts w:asciiTheme="majorBidi" w:hAnsiTheme="majorBidi" w:cstheme="majorBidi"/>
          <w:color w:val="000000"/>
          <w:sz w:val="24"/>
          <w:szCs w:val="24"/>
          <w:rtl/>
          <w:lang w:bidi="ar-JO"/>
        </w:rPr>
      </w:pPr>
      <w:r w:rsidRPr="00CB62D2">
        <w:rPr>
          <w:rFonts w:asciiTheme="majorBidi" w:hAnsiTheme="majorBidi" w:cstheme="majorBidi"/>
          <w:bCs/>
          <w:sz w:val="24"/>
          <w:szCs w:val="24"/>
        </w:rPr>
        <w:t xml:space="preserve">Choudhry, M. (2004). </w:t>
      </w:r>
      <w:r w:rsidRPr="00CB62D2">
        <w:rPr>
          <w:rFonts w:asciiTheme="majorBidi" w:hAnsiTheme="majorBidi" w:cstheme="majorBidi"/>
          <w:bCs/>
          <w:i/>
          <w:iCs/>
          <w:sz w:val="24"/>
          <w:szCs w:val="24"/>
        </w:rPr>
        <w:t>An Introduction to Credit Derivatives</w:t>
      </w:r>
      <w:r w:rsidRPr="00CB62D2">
        <w:rPr>
          <w:rFonts w:asciiTheme="majorBidi" w:hAnsiTheme="majorBidi" w:cstheme="majorBidi"/>
          <w:b/>
          <w:sz w:val="24"/>
          <w:szCs w:val="24"/>
        </w:rPr>
        <w:t>.</w:t>
      </w:r>
      <w:r w:rsidRPr="00CB62D2">
        <w:rPr>
          <w:rFonts w:asciiTheme="majorBidi" w:hAnsiTheme="majorBidi" w:cstheme="majorBidi"/>
          <w:bCs/>
          <w:sz w:val="24"/>
          <w:szCs w:val="24"/>
        </w:rPr>
        <w:t xml:space="preserve"> Oxford</w:t>
      </w:r>
      <w:r w:rsidRPr="00CB62D2">
        <w:rPr>
          <w:rFonts w:asciiTheme="majorBidi" w:hAnsiTheme="majorBidi" w:cstheme="majorBidi"/>
          <w:b/>
          <w:sz w:val="24"/>
          <w:szCs w:val="24"/>
        </w:rPr>
        <w:t xml:space="preserve">: </w:t>
      </w:r>
      <w:r w:rsidRPr="00CB62D2">
        <w:rPr>
          <w:rFonts w:asciiTheme="majorBidi" w:hAnsiTheme="majorBidi" w:cstheme="majorBidi"/>
          <w:color w:val="000000"/>
          <w:sz w:val="24"/>
          <w:szCs w:val="24"/>
        </w:rPr>
        <w:t>Butterworth-Heinemann.</w:t>
      </w:r>
    </w:p>
    <w:p w:rsidR="00EA406D" w:rsidRPr="00CB62D2" w:rsidRDefault="00EA406D"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rPr>
        <w:t xml:space="preserve">Croahy, M. &amp; Galal, D&amp; Mark, R. (2001), </w:t>
      </w:r>
      <w:r w:rsidRPr="00CB62D2">
        <w:rPr>
          <w:rFonts w:asciiTheme="majorBidi" w:hAnsiTheme="majorBidi" w:cstheme="majorBidi"/>
          <w:i/>
          <w:iCs/>
          <w:sz w:val="24"/>
          <w:szCs w:val="24"/>
        </w:rPr>
        <w:t>Risk Management, Hedging</w:t>
      </w:r>
    </w:p>
    <w:p w:rsidR="00EA406D" w:rsidRPr="00CB62D2" w:rsidRDefault="00E579EB" w:rsidP="00823E19">
      <w:pPr>
        <w:pStyle w:val="ListParagraph"/>
        <w:autoSpaceDE w:val="0"/>
        <w:autoSpaceDN w:val="0"/>
        <w:adjustRightInd w:val="0"/>
        <w:spacing w:after="0" w:line="360" w:lineRule="auto"/>
        <w:ind w:left="927"/>
        <w:rPr>
          <w:rFonts w:asciiTheme="majorBidi" w:hAnsiTheme="majorBidi" w:cstheme="majorBidi"/>
          <w:sz w:val="24"/>
          <w:szCs w:val="24"/>
        </w:rPr>
      </w:pPr>
      <w:r>
        <w:rPr>
          <w:rFonts w:asciiTheme="majorBidi" w:hAnsiTheme="majorBidi" w:cstheme="majorBidi"/>
          <w:i/>
          <w:iCs/>
          <w:sz w:val="24"/>
          <w:szCs w:val="24"/>
        </w:rPr>
        <w:t xml:space="preserve">        </w:t>
      </w:r>
      <w:r w:rsidR="00EA406D" w:rsidRPr="00CB62D2">
        <w:rPr>
          <w:rFonts w:asciiTheme="majorBidi" w:hAnsiTheme="majorBidi" w:cstheme="majorBidi"/>
          <w:i/>
          <w:iCs/>
          <w:sz w:val="24"/>
          <w:szCs w:val="24"/>
        </w:rPr>
        <w:t>Credit Risk</w:t>
      </w:r>
      <w:r w:rsidR="00EA406D" w:rsidRPr="00CB62D2">
        <w:rPr>
          <w:rFonts w:asciiTheme="majorBidi" w:hAnsiTheme="majorBidi" w:cstheme="majorBidi"/>
          <w:sz w:val="24"/>
          <w:szCs w:val="24"/>
        </w:rPr>
        <w:t xml:space="preserve"> New York: McGraw Hill.</w:t>
      </w:r>
    </w:p>
    <w:p w:rsidR="00334222" w:rsidRDefault="00EA406D" w:rsidP="00F873C9">
      <w:pPr>
        <w:pStyle w:val="Default"/>
        <w:numPr>
          <w:ilvl w:val="0"/>
          <w:numId w:val="29"/>
        </w:numPr>
        <w:spacing w:line="360" w:lineRule="auto"/>
        <w:rPr>
          <w:rFonts w:asciiTheme="majorBidi" w:hAnsiTheme="majorBidi" w:cstheme="majorBidi"/>
        </w:rPr>
      </w:pPr>
      <w:r w:rsidRPr="00334222">
        <w:rPr>
          <w:rFonts w:asciiTheme="majorBidi" w:hAnsiTheme="majorBidi" w:cstheme="majorBidi"/>
          <w:lang w:val="fr-FR"/>
        </w:rPr>
        <w:t>Crouhy, Michel, Galai, Dan and Mark, Robert. (</w:t>
      </w:r>
      <w:r w:rsidRPr="00334222">
        <w:rPr>
          <w:rFonts w:asciiTheme="majorBidi" w:hAnsiTheme="majorBidi" w:cstheme="majorBidi"/>
        </w:rPr>
        <w:t xml:space="preserve">2006). </w:t>
      </w:r>
      <w:r w:rsidRPr="00334222">
        <w:rPr>
          <w:rFonts w:asciiTheme="majorBidi" w:hAnsiTheme="majorBidi" w:cstheme="majorBidi"/>
          <w:i/>
          <w:iCs/>
        </w:rPr>
        <w:t>The Essentials of Risk Management.</w:t>
      </w:r>
      <w:r w:rsidRPr="00334222">
        <w:rPr>
          <w:rFonts w:asciiTheme="majorBidi" w:hAnsiTheme="majorBidi" w:cstheme="majorBidi"/>
        </w:rPr>
        <w:t xml:space="preserve"> New York: </w:t>
      </w:r>
      <w:r w:rsidR="00334222">
        <w:rPr>
          <w:rFonts w:asciiTheme="majorBidi" w:hAnsiTheme="majorBidi" w:cstheme="majorBidi"/>
        </w:rPr>
        <w:t>McGraw-Hill.</w:t>
      </w:r>
      <w:r w:rsidR="00334222" w:rsidRPr="00587201">
        <w:rPr>
          <w:rFonts w:asciiTheme="majorBidi" w:hAnsiTheme="majorBidi" w:cstheme="majorBidi"/>
        </w:rPr>
        <w:t>United Kingdom.</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Fonts w:asciiTheme="majorBidi" w:hAnsiTheme="majorBidi" w:cstheme="majorBidi"/>
          <w:sz w:val="24"/>
          <w:szCs w:val="24"/>
        </w:rPr>
        <w:t xml:space="preserve">Demirguc-Kunt, A., Huizinga, H., (1998). ‘‘Determinants of commercial bank interest </w:t>
      </w:r>
      <w:r w:rsidRPr="00E579EB">
        <w:rPr>
          <w:rFonts w:asciiTheme="majorBidi" w:hAnsiTheme="majorBidi" w:cstheme="majorBidi"/>
          <w:sz w:val="24"/>
          <w:szCs w:val="24"/>
        </w:rPr>
        <w:t xml:space="preserve">margins and profitability: Some international evidence’’. </w:t>
      </w:r>
      <w:r w:rsidRPr="00E579EB">
        <w:rPr>
          <w:rFonts w:asciiTheme="majorBidi" w:hAnsiTheme="majorBidi" w:cstheme="majorBidi"/>
          <w:i/>
          <w:iCs/>
          <w:sz w:val="24"/>
          <w:szCs w:val="24"/>
        </w:rPr>
        <w:t>World Bank Economic</w:t>
      </w:r>
      <w:r w:rsidRPr="00E579EB">
        <w:rPr>
          <w:rFonts w:asciiTheme="majorBidi" w:hAnsiTheme="majorBidi" w:cstheme="majorBidi"/>
          <w:sz w:val="24"/>
          <w:szCs w:val="24"/>
        </w:rPr>
        <w:t xml:space="preserve"> </w:t>
      </w:r>
      <w:r w:rsidRPr="00E579EB">
        <w:rPr>
          <w:rFonts w:asciiTheme="majorBidi" w:hAnsiTheme="majorBidi" w:cstheme="majorBidi"/>
          <w:i/>
          <w:iCs/>
          <w:sz w:val="24"/>
          <w:szCs w:val="24"/>
        </w:rPr>
        <w:t>Review</w:t>
      </w:r>
      <w:r w:rsidRPr="00E579EB">
        <w:rPr>
          <w:rFonts w:asciiTheme="majorBidi" w:hAnsiTheme="majorBidi" w:cstheme="majorBidi"/>
          <w:sz w:val="24"/>
          <w:szCs w:val="24"/>
        </w:rPr>
        <w:t xml:space="preserve"> 13, 379-408.</w:t>
      </w:r>
    </w:p>
    <w:p w:rsidR="00334222" w:rsidRDefault="00334222" w:rsidP="00F873C9">
      <w:pPr>
        <w:pStyle w:val="ListParagraph"/>
        <w:numPr>
          <w:ilvl w:val="0"/>
          <w:numId w:val="29"/>
        </w:numPr>
        <w:autoSpaceDE w:val="0"/>
        <w:autoSpaceDN w:val="0"/>
        <w:adjustRightInd w:val="0"/>
        <w:spacing w:after="0" w:line="360" w:lineRule="auto"/>
        <w:jc w:val="both"/>
        <w:rPr>
          <w:rFonts w:asciiTheme="majorBidi" w:hAnsiTheme="majorBidi" w:cstheme="majorBidi"/>
          <w:sz w:val="24"/>
          <w:szCs w:val="24"/>
        </w:rPr>
      </w:pPr>
      <w:r w:rsidRPr="00CB62D2">
        <w:rPr>
          <w:rFonts w:asciiTheme="majorBidi" w:hAnsiTheme="majorBidi" w:cstheme="majorBidi"/>
          <w:sz w:val="24"/>
          <w:szCs w:val="24"/>
        </w:rPr>
        <w:t>Dorfman, Mark S. (1998), "Introduction to Risk Management &amp; Insurance", 6th Ed., Prentice Hall.</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 xml:space="preserve">Duffie, D. and Singleton, K. J., (2003). </w:t>
      </w:r>
      <w:r w:rsidRPr="00CB62D2">
        <w:rPr>
          <w:rFonts w:asciiTheme="majorBidi" w:hAnsiTheme="majorBidi" w:cstheme="majorBidi"/>
          <w:i/>
          <w:iCs/>
          <w:sz w:val="24"/>
          <w:szCs w:val="24"/>
        </w:rPr>
        <w:t xml:space="preserve">Credit Risk: Pricing, Measurement and Management. </w:t>
      </w:r>
      <w:r w:rsidRPr="00CB62D2">
        <w:rPr>
          <w:rFonts w:asciiTheme="majorBidi" w:hAnsiTheme="majorBidi" w:cstheme="majorBidi"/>
          <w:sz w:val="24"/>
          <w:szCs w:val="24"/>
        </w:rPr>
        <w:t>Oxford: Princeton University Press.</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Ebhodaghe, J.U. (2001). The Causes of Bank Failure and Persistent Distress in the Banking Industry. A Paper presented at the Public Hearing on Developments in the Banking System Organized by House Committee on Banking and Currency, Abuja, Nigeria.</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Fonts w:ascii="Times New Roman" w:hAnsi="Times New Roman" w:cs="Simple Indust Outline"/>
          <w:color w:val="000000"/>
          <w:sz w:val="24"/>
          <w:szCs w:val="24"/>
          <w:shd w:val="clear" w:color="auto" w:fill="FDFDFD"/>
        </w:rPr>
        <w:t>Emslie, S., &amp; Hancock, C. P.,</w:t>
      </w:r>
      <w:r w:rsidRPr="00CB62D2">
        <w:rPr>
          <w:rStyle w:val="apple-converted-space"/>
          <w:rFonts w:ascii="Times New Roman" w:hAnsi="Times New Roman" w:cs="Simple Indust Outline"/>
          <w:color w:val="000000"/>
          <w:sz w:val="24"/>
          <w:szCs w:val="24"/>
          <w:shd w:val="clear" w:color="auto" w:fill="FDFDFD"/>
        </w:rPr>
        <w:t> </w:t>
      </w:r>
      <w:r w:rsidRPr="00CB62D2">
        <w:rPr>
          <w:rStyle w:val="apple-converted-space"/>
          <w:rFonts w:cs="Simple Indust Outline"/>
          <w:shd w:val="clear" w:color="auto" w:fill="FDFDFD"/>
        </w:rPr>
        <w:t>(</w:t>
      </w:r>
      <w:r w:rsidRPr="00CB62D2">
        <w:rPr>
          <w:rStyle w:val="sth2008"/>
          <w:rFonts w:ascii="Times New Roman" w:hAnsi="Times New Roman" w:cs="Simple Indust Outline"/>
          <w:color w:val="000000"/>
          <w:sz w:val="24"/>
          <w:szCs w:val="24"/>
          <w:shd w:val="clear" w:color="auto" w:fill="FDFDFD"/>
        </w:rPr>
        <w:t>2008)</w:t>
      </w:r>
      <w:r w:rsidRPr="00CB62D2">
        <w:rPr>
          <w:rFonts w:ascii="Times New Roman" w:hAnsi="Times New Roman" w:cs="Simple Indust Outline"/>
          <w:color w:val="000000"/>
          <w:sz w:val="24"/>
          <w:szCs w:val="24"/>
          <w:shd w:val="clear" w:color="auto" w:fill="FDFDFD"/>
        </w:rPr>
        <w:t xml:space="preserve">. </w:t>
      </w:r>
      <w:r w:rsidRPr="00CB62D2">
        <w:rPr>
          <w:rFonts w:ascii="Times New Roman" w:hAnsi="Times New Roman" w:cs="Simple Indust Outline"/>
          <w:i/>
          <w:iCs/>
          <w:color w:val="000000"/>
          <w:sz w:val="24"/>
          <w:szCs w:val="24"/>
          <w:shd w:val="clear" w:color="auto" w:fill="FDFDFD"/>
        </w:rPr>
        <w:t>Issues in healthcare risk management</w:t>
      </w:r>
      <w:r w:rsidRPr="00CB62D2">
        <w:rPr>
          <w:rFonts w:ascii="Times New Roman" w:hAnsi="Times New Roman" w:cs="Simple Indust Outline"/>
          <w:color w:val="000000"/>
          <w:sz w:val="24"/>
          <w:szCs w:val="24"/>
          <w:shd w:val="clear" w:color="auto" w:fill="FDFDFD"/>
        </w:rPr>
        <w:t>. Oxford: Healthcare Governance.</w:t>
      </w:r>
    </w:p>
    <w:p w:rsidR="00E579EB"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lastRenderedPageBreak/>
        <w:t xml:space="preserve">Eng, L, L., and Nabar, S. (2007).Loan Loss Provisions by Banks in Hong Kong, Malaysia and Singapore. </w:t>
      </w:r>
      <w:r w:rsidRPr="00CB62D2">
        <w:rPr>
          <w:rFonts w:ascii="Times New Roman" w:hAnsi="Times New Roman" w:cs="Simple Indust Outline"/>
          <w:i/>
          <w:iCs/>
          <w:sz w:val="24"/>
          <w:szCs w:val="24"/>
        </w:rPr>
        <w:t>Journal of International Financial Management and Accounting</w:t>
      </w:r>
      <w:r w:rsidRPr="00CB62D2">
        <w:rPr>
          <w:rFonts w:ascii="Times New Roman" w:hAnsi="Times New Roman" w:cs="Simple Indust Outline"/>
          <w:sz w:val="24"/>
          <w:szCs w:val="24"/>
        </w:rPr>
        <w:t>, 18(1), 18-38.</w:t>
      </w:r>
    </w:p>
    <w:p w:rsidR="00334222" w:rsidRPr="00CB62D2" w:rsidRDefault="00334222" w:rsidP="00F873C9">
      <w:pPr>
        <w:pStyle w:val="ListParagraph"/>
        <w:numPr>
          <w:ilvl w:val="0"/>
          <w:numId w:val="29"/>
        </w:numPr>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rPr>
        <w:t xml:space="preserve">European Federation for Welding, Joining and Cutting (EWF), (2008). Fundamentals of Risk Management, available at: </w:t>
      </w:r>
      <w:hyperlink r:id="rId55" w:history="1">
        <w:r w:rsidRPr="00CB62D2">
          <w:rPr>
            <w:rStyle w:val="Hyperlink"/>
            <w:rFonts w:asciiTheme="majorBidi" w:hAnsiTheme="majorBidi" w:cstheme="majorBidi"/>
            <w:sz w:val="24"/>
            <w:szCs w:val="24"/>
          </w:rPr>
          <w:t>http://www.ewf.be/media/documentosDocs/doc_16_ewf-644-08-fundamentals-of-risk-management.pdf</w:t>
        </w:r>
      </w:hyperlink>
    </w:p>
    <w:p w:rsidR="00334222" w:rsidRPr="00CB62D2" w:rsidRDefault="00334222" w:rsidP="00F873C9">
      <w:pPr>
        <w:pStyle w:val="ListParagraph"/>
        <w:numPr>
          <w:ilvl w:val="0"/>
          <w:numId w:val="29"/>
        </w:numPr>
        <w:autoSpaceDE w:val="0"/>
        <w:autoSpaceDN w:val="0"/>
        <w:adjustRightInd w:val="0"/>
        <w:spacing w:after="0" w:line="360" w:lineRule="auto"/>
        <w:rPr>
          <w:rFonts w:ascii="Times New Roman" w:eastAsia="ArialMT" w:hAnsi="Times New Roman" w:cs="Simple Indust Outline"/>
          <w:sz w:val="24"/>
          <w:szCs w:val="24"/>
        </w:rPr>
      </w:pPr>
      <w:r w:rsidRPr="00CB62D2">
        <w:rPr>
          <w:rFonts w:ascii="Times New Roman" w:eastAsia="ArialMT" w:hAnsi="Times New Roman" w:cs="Simple Indust Outline"/>
          <w:sz w:val="24"/>
          <w:szCs w:val="24"/>
        </w:rPr>
        <w:t>Flamini, V., McDonald C. and Schumacher, L. (2009) “The Determinants of Commercial Bank Profitability in Sub-Saharan Africa”, Working Paper, WP/09/15, International Monetary Fund.</w:t>
      </w:r>
    </w:p>
    <w:p w:rsidR="00334222" w:rsidRPr="00334222" w:rsidRDefault="00334222" w:rsidP="00F873C9">
      <w:pPr>
        <w:pStyle w:val="NoSpacing"/>
        <w:numPr>
          <w:ilvl w:val="0"/>
          <w:numId w:val="29"/>
        </w:numPr>
        <w:spacing w:line="360" w:lineRule="auto"/>
        <w:rPr>
          <w:rFonts w:asciiTheme="majorBidi" w:hAnsiTheme="majorBidi" w:cs="Simple Indust Outline"/>
          <w:sz w:val="24"/>
          <w:szCs w:val="24"/>
        </w:rPr>
      </w:pPr>
      <w:r w:rsidRPr="003D716B">
        <w:rPr>
          <w:rFonts w:asciiTheme="majorBidi" w:hAnsiTheme="majorBidi" w:cs="Simple Indust Outline"/>
          <w:sz w:val="24"/>
          <w:szCs w:val="24"/>
        </w:rPr>
        <w:t>Foong K. K (2008)</w:t>
      </w:r>
      <w:r>
        <w:rPr>
          <w:rFonts w:asciiTheme="majorBidi" w:hAnsiTheme="majorBidi" w:cs="Simple Indust Outline"/>
          <w:sz w:val="24"/>
          <w:szCs w:val="24"/>
        </w:rPr>
        <w:t>.</w:t>
      </w:r>
      <w:r w:rsidRPr="003D716B">
        <w:rPr>
          <w:rFonts w:asciiTheme="majorBidi" w:hAnsiTheme="majorBidi" w:cs="Simple Indust Outline"/>
          <w:sz w:val="24"/>
          <w:szCs w:val="24"/>
        </w:rPr>
        <w:t xml:space="preserve"> </w:t>
      </w:r>
      <w:r w:rsidRPr="003D716B">
        <w:rPr>
          <w:rFonts w:asciiTheme="majorBidi" w:hAnsiTheme="majorBidi" w:cs="Simple Indust Outline"/>
          <w:i/>
          <w:iCs/>
          <w:sz w:val="24"/>
          <w:szCs w:val="24"/>
        </w:rPr>
        <w:t>Return-on-equity ratio can show how efficient banks are</w:t>
      </w:r>
      <w:r>
        <w:rPr>
          <w:rFonts w:asciiTheme="majorBidi" w:hAnsiTheme="majorBidi" w:cs="Simple Indust Outline"/>
          <w:i/>
          <w:iCs/>
          <w:sz w:val="24"/>
          <w:szCs w:val="24"/>
        </w:rPr>
        <w:t xml:space="preserve">. </w:t>
      </w:r>
      <w:r w:rsidRPr="003D716B">
        <w:rPr>
          <w:rFonts w:asciiTheme="majorBidi" w:hAnsiTheme="majorBidi" w:cs="Simple Indust Outline"/>
          <w:sz w:val="24"/>
          <w:szCs w:val="24"/>
        </w:rPr>
        <w:t>Malaysian Institute of Economic Research.</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 xml:space="preserve">Giesecke, Kay (2004), Correlated default with incomplete information, </w:t>
      </w:r>
      <w:r w:rsidRPr="00CB62D2">
        <w:rPr>
          <w:rFonts w:asciiTheme="majorBidi" w:hAnsiTheme="majorBidi" w:cstheme="majorBidi"/>
          <w:i/>
          <w:iCs/>
          <w:sz w:val="24"/>
          <w:szCs w:val="24"/>
        </w:rPr>
        <w:t>Journal of</w:t>
      </w:r>
      <w:r w:rsidRPr="00CB62D2">
        <w:rPr>
          <w:rFonts w:asciiTheme="majorBidi" w:hAnsiTheme="majorBidi" w:cstheme="majorBidi"/>
          <w:sz w:val="24"/>
          <w:szCs w:val="24"/>
        </w:rPr>
        <w:t xml:space="preserve"> </w:t>
      </w:r>
      <w:r w:rsidRPr="00CB62D2">
        <w:rPr>
          <w:rFonts w:asciiTheme="majorBidi" w:hAnsiTheme="majorBidi" w:cstheme="majorBidi"/>
          <w:i/>
          <w:iCs/>
          <w:sz w:val="24"/>
          <w:szCs w:val="24"/>
        </w:rPr>
        <w:t>Banking and Finance</w:t>
      </w:r>
      <w:r w:rsidRPr="00CB62D2">
        <w:rPr>
          <w:rFonts w:asciiTheme="majorBidi" w:hAnsiTheme="majorBidi" w:cstheme="majorBidi"/>
          <w:sz w:val="24"/>
          <w:szCs w:val="24"/>
        </w:rPr>
        <w:t xml:space="preserve"> (28), 1521-1545.</w:t>
      </w:r>
    </w:p>
    <w:p w:rsidR="00334222" w:rsidRPr="00CB62D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color w:val="333333"/>
          <w:sz w:val="24"/>
          <w:szCs w:val="24"/>
          <w:rtl/>
        </w:rPr>
      </w:pPr>
      <w:r w:rsidRPr="00CB62D2">
        <w:rPr>
          <w:rFonts w:ascii="Times New Roman" w:eastAsia="ArialMT" w:hAnsi="Times New Roman" w:cs="Simple Indust Outline"/>
          <w:sz w:val="24"/>
          <w:szCs w:val="24"/>
        </w:rPr>
        <w:t xml:space="preserve">Ghosh, A. (2012). </w:t>
      </w:r>
      <w:r w:rsidRPr="00CB62D2">
        <w:rPr>
          <w:rFonts w:ascii="Times New Roman" w:hAnsi="Times New Roman" w:cs="Simple Indust Outline"/>
          <w:i/>
          <w:iCs/>
          <w:color w:val="333333"/>
          <w:sz w:val="24"/>
          <w:szCs w:val="24"/>
        </w:rPr>
        <w:t>Managing Risks in Commercial and Retail Banking</w:t>
      </w:r>
      <w:r w:rsidRPr="00CB62D2">
        <w:rPr>
          <w:rFonts w:ascii="Times New Roman" w:hAnsi="Times New Roman" w:cs="Simple Indust Outline"/>
          <w:color w:val="333333"/>
          <w:sz w:val="24"/>
          <w:szCs w:val="24"/>
        </w:rPr>
        <w:t xml:space="preserve">. </w:t>
      </w:r>
      <w:r w:rsidR="00A2127D" w:rsidRPr="00CB62D2">
        <w:rPr>
          <w:rFonts w:ascii="Times New Roman" w:hAnsi="Times New Roman" w:cs="Simple Indust Outline"/>
          <w:color w:val="333333"/>
          <w:sz w:val="24"/>
          <w:szCs w:val="24"/>
        </w:rPr>
        <w:t>London: John</w:t>
      </w:r>
      <w:r w:rsidRPr="00CB62D2">
        <w:rPr>
          <w:rFonts w:ascii="Times New Roman" w:hAnsi="Times New Roman" w:cs="Simple Indust Outline"/>
          <w:color w:val="333333"/>
          <w:sz w:val="24"/>
          <w:szCs w:val="24"/>
        </w:rPr>
        <w:t xml:space="preserve"> Wiley &amp; Sons.</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 xml:space="preserve">Goddard, J., Molyneux, P. </w:t>
      </w:r>
      <w:r w:rsidR="00650CA3" w:rsidRPr="00CB62D2">
        <w:rPr>
          <w:rFonts w:asciiTheme="majorBidi" w:hAnsiTheme="majorBidi" w:cstheme="majorBidi"/>
          <w:sz w:val="24"/>
          <w:szCs w:val="24"/>
        </w:rPr>
        <w:t>and Wilson</w:t>
      </w:r>
      <w:r w:rsidRPr="00CB62D2">
        <w:rPr>
          <w:rFonts w:asciiTheme="majorBidi" w:hAnsiTheme="majorBidi" w:cstheme="majorBidi"/>
          <w:sz w:val="24"/>
          <w:szCs w:val="24"/>
        </w:rPr>
        <w:t xml:space="preserve">, J.O.S. (2004). Dynamics of growth and profitability in banking, </w:t>
      </w:r>
      <w:r w:rsidRPr="00CB62D2">
        <w:rPr>
          <w:rFonts w:asciiTheme="majorBidi" w:hAnsiTheme="majorBidi" w:cstheme="majorBidi"/>
          <w:i/>
          <w:iCs/>
          <w:sz w:val="24"/>
          <w:szCs w:val="24"/>
        </w:rPr>
        <w:t>Journal of Money, Credit and Banking</w:t>
      </w:r>
      <w:r w:rsidRPr="00CB62D2">
        <w:rPr>
          <w:rFonts w:asciiTheme="majorBidi" w:hAnsiTheme="majorBidi" w:cstheme="majorBidi"/>
          <w:sz w:val="24"/>
          <w:szCs w:val="24"/>
        </w:rPr>
        <w:t xml:space="preserve"> 36, 1069-1090.</w:t>
      </w:r>
    </w:p>
    <w:p w:rsidR="00334222" w:rsidRPr="00CB62D2" w:rsidRDefault="00334222" w:rsidP="00F873C9">
      <w:pPr>
        <w:pStyle w:val="ListParagraph"/>
        <w:numPr>
          <w:ilvl w:val="0"/>
          <w:numId w:val="29"/>
        </w:numPr>
        <w:spacing w:after="0" w:line="360" w:lineRule="auto"/>
        <w:outlineLvl w:val="0"/>
        <w:rPr>
          <w:rFonts w:asciiTheme="majorBidi" w:eastAsia="Times New Roman" w:hAnsiTheme="majorBidi" w:cstheme="majorBidi"/>
          <w:kern w:val="36"/>
          <w:sz w:val="24"/>
          <w:szCs w:val="24"/>
        </w:rPr>
      </w:pPr>
      <w:r w:rsidRPr="00CB62D2">
        <w:rPr>
          <w:rFonts w:asciiTheme="majorBidi" w:eastAsia="Times New Roman" w:hAnsiTheme="majorBidi" w:cstheme="majorBidi"/>
          <w:kern w:val="36"/>
          <w:sz w:val="24"/>
          <w:szCs w:val="24"/>
        </w:rPr>
        <w:t xml:space="preserve">Goetta, Colquitt </w:t>
      </w:r>
      <w:r w:rsidR="00650CA3" w:rsidRPr="00CB62D2">
        <w:rPr>
          <w:rFonts w:asciiTheme="majorBidi" w:eastAsia="Times New Roman" w:hAnsiTheme="majorBidi" w:cstheme="majorBidi"/>
          <w:kern w:val="36"/>
          <w:sz w:val="24"/>
          <w:szCs w:val="24"/>
        </w:rPr>
        <w:t>(2007</w:t>
      </w:r>
      <w:r w:rsidRPr="00CB62D2">
        <w:rPr>
          <w:rFonts w:asciiTheme="majorBidi" w:eastAsia="Times New Roman" w:hAnsiTheme="majorBidi" w:cstheme="majorBidi"/>
          <w:kern w:val="36"/>
          <w:sz w:val="24"/>
          <w:szCs w:val="24"/>
        </w:rPr>
        <w:t xml:space="preserve">). </w:t>
      </w:r>
      <w:r w:rsidRPr="00CB62D2">
        <w:rPr>
          <w:rFonts w:asciiTheme="majorBidi" w:eastAsia="Times New Roman" w:hAnsiTheme="majorBidi" w:cstheme="majorBidi"/>
          <w:i/>
          <w:iCs/>
          <w:kern w:val="36"/>
          <w:sz w:val="24"/>
          <w:szCs w:val="24"/>
        </w:rPr>
        <w:t>Credit Risk Management: How to Avoid Lending Disasters and Maximize</w:t>
      </w:r>
      <w:r w:rsidRPr="00CB62D2">
        <w:rPr>
          <w:rFonts w:asciiTheme="majorBidi" w:eastAsia="Times New Roman" w:hAnsiTheme="majorBidi" w:cstheme="majorBidi"/>
          <w:kern w:val="36"/>
          <w:sz w:val="24"/>
          <w:szCs w:val="24"/>
        </w:rPr>
        <w:t xml:space="preserve"> </w:t>
      </w:r>
      <w:r w:rsidRPr="00CB62D2">
        <w:rPr>
          <w:rFonts w:asciiTheme="majorBidi" w:eastAsia="Times New Roman" w:hAnsiTheme="majorBidi" w:cstheme="majorBidi"/>
          <w:i/>
          <w:iCs/>
          <w:kern w:val="36"/>
          <w:sz w:val="24"/>
          <w:szCs w:val="24"/>
        </w:rPr>
        <w:t>Earnings.</w:t>
      </w:r>
      <w:r w:rsidRPr="00CB62D2">
        <w:rPr>
          <w:rFonts w:asciiTheme="majorBidi" w:eastAsia="Times New Roman" w:hAnsiTheme="majorBidi" w:cstheme="majorBidi"/>
          <w:kern w:val="36"/>
          <w:sz w:val="24"/>
          <w:szCs w:val="24"/>
        </w:rPr>
        <w:t xml:space="preserve"> New York: McGraw Hill.</w:t>
      </w:r>
    </w:p>
    <w:p w:rsidR="00334222" w:rsidRPr="00EC76DB" w:rsidRDefault="00334222" w:rsidP="00F873C9">
      <w:pPr>
        <w:pStyle w:val="ListParagraph"/>
        <w:numPr>
          <w:ilvl w:val="0"/>
          <w:numId w:val="29"/>
        </w:numPr>
        <w:spacing w:after="0" w:line="360" w:lineRule="auto"/>
        <w:rPr>
          <w:rFonts w:asciiTheme="majorBidi" w:hAnsiTheme="majorBidi" w:cstheme="majorBidi"/>
          <w:b/>
          <w:sz w:val="24"/>
          <w:szCs w:val="24"/>
        </w:rPr>
      </w:pPr>
      <w:r w:rsidRPr="00CB62D2">
        <w:rPr>
          <w:rFonts w:asciiTheme="majorBidi" w:hAnsiTheme="majorBidi" w:cstheme="majorBidi"/>
          <w:sz w:val="24"/>
          <w:szCs w:val="24"/>
        </w:rPr>
        <w:t xml:space="preserve">Goodhart, C. E. (2005). Financial regulation, credit risk and financial stability. </w:t>
      </w:r>
      <w:r w:rsidRPr="00CB62D2">
        <w:rPr>
          <w:rFonts w:asciiTheme="majorBidi" w:hAnsiTheme="majorBidi" w:cstheme="majorBidi"/>
          <w:i/>
          <w:iCs/>
          <w:sz w:val="24"/>
          <w:szCs w:val="24"/>
        </w:rPr>
        <w:t xml:space="preserve">National Institute Economic Review, </w:t>
      </w:r>
      <w:r w:rsidRPr="00CB62D2">
        <w:rPr>
          <w:rFonts w:asciiTheme="majorBidi" w:hAnsiTheme="majorBidi" w:cstheme="majorBidi"/>
          <w:sz w:val="24"/>
          <w:szCs w:val="24"/>
        </w:rPr>
        <w:t>192: 118-129.</w:t>
      </w:r>
    </w:p>
    <w:p w:rsidR="00EC76DB" w:rsidRPr="00823E19"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 xml:space="preserve">Gregory, J. (2010). </w:t>
      </w:r>
      <w:r w:rsidRPr="00CB62D2">
        <w:rPr>
          <w:rFonts w:ascii="Times New Roman" w:hAnsi="Times New Roman" w:cs="Simple Indust Outline"/>
          <w:i/>
          <w:iCs/>
          <w:sz w:val="24"/>
          <w:szCs w:val="24"/>
        </w:rPr>
        <w:t>Counterparty Credit Risk: The New Challenge for Global Financial Markets.</w:t>
      </w:r>
      <w:r w:rsidRPr="00CB62D2">
        <w:rPr>
          <w:rFonts w:ascii="Times New Roman" w:hAnsi="Times New Roman" w:cs="Simple Indust Outline"/>
          <w:sz w:val="24"/>
          <w:szCs w:val="24"/>
        </w:rPr>
        <w:t xml:space="preserve"> London: John Wiley and Sons.</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 xml:space="preserve">Greuing H., and  Bratanovic, B.  (2003). </w:t>
      </w:r>
      <w:r w:rsidRPr="00CB62D2">
        <w:rPr>
          <w:rFonts w:asciiTheme="majorBidi" w:hAnsiTheme="majorBidi" w:cstheme="majorBidi"/>
          <w:i/>
          <w:iCs/>
          <w:sz w:val="24"/>
          <w:szCs w:val="24"/>
        </w:rPr>
        <w:t>Analyzing and Managing Banking Risk: A Framework for Assessing Corporate Governance and Financial Risk</w:t>
      </w:r>
      <w:r w:rsidRPr="00CB62D2">
        <w:rPr>
          <w:rFonts w:asciiTheme="majorBidi" w:hAnsiTheme="majorBidi" w:cstheme="majorBidi"/>
          <w:sz w:val="24"/>
          <w:szCs w:val="24"/>
        </w:rPr>
        <w:t>, 2</w:t>
      </w:r>
      <w:r w:rsidRPr="00CB62D2">
        <w:rPr>
          <w:rFonts w:asciiTheme="majorBidi" w:hAnsiTheme="majorBidi" w:cstheme="majorBidi"/>
          <w:sz w:val="24"/>
          <w:szCs w:val="24"/>
          <w:vertAlign w:val="superscript"/>
        </w:rPr>
        <w:t>nd</w:t>
      </w:r>
      <w:r w:rsidRPr="00CB62D2">
        <w:rPr>
          <w:rFonts w:asciiTheme="majorBidi" w:hAnsiTheme="majorBidi" w:cstheme="majorBidi"/>
          <w:sz w:val="24"/>
          <w:szCs w:val="24"/>
        </w:rPr>
        <w:t xml:space="preserve"> ed.. Washington DC: World Bank Publications.</w:t>
      </w:r>
    </w:p>
    <w:p w:rsidR="00334222" w:rsidRPr="003964C4" w:rsidRDefault="00334222" w:rsidP="00F873C9">
      <w:pPr>
        <w:pStyle w:val="Default"/>
        <w:numPr>
          <w:ilvl w:val="0"/>
          <w:numId w:val="29"/>
        </w:numPr>
        <w:spacing w:line="360" w:lineRule="auto"/>
        <w:rPr>
          <w:rFonts w:cs="Simple Indust Outline"/>
          <w:rtl/>
        </w:rPr>
      </w:pPr>
      <w:r w:rsidRPr="003D716B">
        <w:rPr>
          <w:rFonts w:cs="Simple Indust Outline"/>
        </w:rPr>
        <w:t xml:space="preserve">Greuning, Hennie van &amp; Bratanovic, Sonja Brajovic. </w:t>
      </w:r>
      <w:r>
        <w:rPr>
          <w:rFonts w:cs="Simple Indust Outline"/>
        </w:rPr>
        <w:t>(</w:t>
      </w:r>
      <w:r w:rsidRPr="003D716B">
        <w:rPr>
          <w:rFonts w:cs="Simple Indust Outline"/>
        </w:rPr>
        <w:t>2009</w:t>
      </w:r>
      <w:r>
        <w:rPr>
          <w:rFonts w:cs="Simple Indust Outline"/>
        </w:rPr>
        <w:t>)</w:t>
      </w:r>
      <w:r w:rsidRPr="003D716B">
        <w:rPr>
          <w:rFonts w:cs="Simple Indust Outline"/>
        </w:rPr>
        <w:t xml:space="preserve">. </w:t>
      </w:r>
      <w:r w:rsidRPr="003D716B">
        <w:rPr>
          <w:rFonts w:cs="Simple Indust Outline"/>
          <w:i/>
          <w:iCs/>
        </w:rPr>
        <w:t>Analyzing Banking Risk: A</w:t>
      </w:r>
      <w:r w:rsidRPr="003D716B">
        <w:rPr>
          <w:rFonts w:cs="Simple Indust Outline"/>
        </w:rPr>
        <w:t xml:space="preserve"> </w:t>
      </w:r>
      <w:r w:rsidRPr="003D716B">
        <w:rPr>
          <w:rFonts w:cs="Simple Indust Outline"/>
          <w:i/>
          <w:iCs/>
        </w:rPr>
        <w:t>Framework for Assessing Corporate Governance and Risk Management</w:t>
      </w:r>
      <w:r w:rsidRPr="003D716B">
        <w:rPr>
          <w:rFonts w:cs="Simple Indust Outline"/>
        </w:rPr>
        <w:t>. 3</w:t>
      </w:r>
      <w:r>
        <w:rPr>
          <w:rFonts w:cs="Simple Indust Outline"/>
        </w:rPr>
        <w:t xml:space="preserve">rd ed. </w:t>
      </w:r>
      <w:r w:rsidRPr="003D716B">
        <w:rPr>
          <w:rFonts w:cs="Simple Indust Outline"/>
        </w:rPr>
        <w:t>Washington</w:t>
      </w:r>
      <w:r>
        <w:rPr>
          <w:rFonts w:cs="Simple Indust Outline"/>
        </w:rPr>
        <w:t>: The World Bank.</w:t>
      </w:r>
      <w:r w:rsidRPr="003D716B">
        <w:rPr>
          <w:rFonts w:cs="Simple Indust Outline"/>
        </w:rPr>
        <w:t xml:space="preserve"> </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Simple Indust Outline"/>
          <w:sz w:val="24"/>
          <w:szCs w:val="24"/>
        </w:rPr>
      </w:pPr>
      <w:r w:rsidRPr="00CB62D2">
        <w:rPr>
          <w:rFonts w:asciiTheme="majorBidi" w:hAnsiTheme="majorBidi" w:cs="Simple Indust Outline"/>
          <w:sz w:val="24"/>
          <w:szCs w:val="24"/>
        </w:rPr>
        <w:t xml:space="preserve">Gujarati, D. N. (2003). </w:t>
      </w:r>
      <w:r w:rsidRPr="00CB62D2">
        <w:rPr>
          <w:rFonts w:asciiTheme="majorBidi" w:hAnsiTheme="majorBidi" w:cs="Simple Indust Outline"/>
          <w:i/>
          <w:iCs/>
          <w:sz w:val="24"/>
          <w:szCs w:val="24"/>
        </w:rPr>
        <w:t>Basic Econometrics</w:t>
      </w:r>
      <w:r w:rsidRPr="00CB62D2">
        <w:rPr>
          <w:rFonts w:asciiTheme="majorBidi" w:hAnsiTheme="majorBidi" w:cs="Simple Indust Outline"/>
          <w:sz w:val="24"/>
          <w:szCs w:val="24"/>
        </w:rPr>
        <w:t>, (4th ed.) New York: McGraw Hill.</w:t>
      </w:r>
      <w:r w:rsidRPr="00CB62D2">
        <w:rPr>
          <w:rFonts w:asciiTheme="majorBidi" w:hAnsiTheme="majorBidi" w:cs="Simple Indust Outline"/>
          <w:iCs/>
          <w:sz w:val="24"/>
          <w:szCs w:val="24"/>
        </w:rPr>
        <w:t xml:space="preserve"> </w:t>
      </w:r>
    </w:p>
    <w:p w:rsidR="00334222" w:rsidRPr="00CB62D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lang w:val="en-GB"/>
        </w:rPr>
      </w:pPr>
      <w:r w:rsidRPr="00CB62D2">
        <w:rPr>
          <w:rFonts w:ascii="Times New Roman" w:hAnsi="Times New Roman" w:cs="Simple Indust Outline"/>
          <w:sz w:val="24"/>
          <w:szCs w:val="24"/>
          <w:lang w:val="en-GB"/>
        </w:rPr>
        <w:lastRenderedPageBreak/>
        <w:t>Hanhon, P ., and Klingeiel, D. (2000). Controlling fiscal cost of bank crisis: World Bank working paper No. 2441.</w:t>
      </w:r>
    </w:p>
    <w:p w:rsidR="00334222" w:rsidRDefault="00334222" w:rsidP="00F873C9">
      <w:pPr>
        <w:pStyle w:val="Default"/>
        <w:numPr>
          <w:ilvl w:val="0"/>
          <w:numId w:val="29"/>
        </w:numPr>
        <w:spacing w:line="360" w:lineRule="auto"/>
      </w:pPr>
      <w:r w:rsidRPr="00587201">
        <w:rPr>
          <w:rFonts w:cs="Simple Indust Outline"/>
          <w:lang w:val="fr-FR"/>
        </w:rPr>
        <w:t>Haubrich, J and Thomson, J. (1993). Loan  sales,  implicit  contracts and bank structure</w:t>
      </w:r>
      <w:r w:rsidRPr="00587201">
        <w:rPr>
          <w:rFonts w:cs="Simple Indust Outline"/>
        </w:rPr>
        <w:t>, Working paper 9307</w:t>
      </w:r>
      <w:r w:rsidRPr="008514D7">
        <w:rPr>
          <w:rFonts w:cs="Simple Indust Outline"/>
          <w:b/>
          <w:bCs/>
        </w:rPr>
        <w:t xml:space="preserve"> </w:t>
      </w:r>
      <w:hyperlink r:id="rId56" w:history="1">
        <w:r w:rsidRPr="007247C1">
          <w:rPr>
            <w:rStyle w:val="Hyperlink"/>
            <w:rFonts w:ascii="Arial" w:hAnsi="Arial" w:cs="Simple Indust Outline"/>
          </w:rPr>
          <w:t>http://www.clevelandfed.org/Research/Workpaper/Index.cfm</w:t>
        </w:r>
      </w:hyperlink>
    </w:p>
    <w:p w:rsidR="00334222" w:rsidRPr="00CB62D2" w:rsidRDefault="00334222" w:rsidP="00F873C9">
      <w:pPr>
        <w:pStyle w:val="ListParagraph"/>
        <w:numPr>
          <w:ilvl w:val="0"/>
          <w:numId w:val="29"/>
        </w:numPr>
        <w:autoSpaceDE w:val="0"/>
        <w:autoSpaceDN w:val="0"/>
        <w:adjustRightInd w:val="0"/>
        <w:spacing w:after="0" w:line="360" w:lineRule="auto"/>
        <w:rPr>
          <w:rFonts w:ascii="TimesNewRoman" w:hAnsi="TimesNewRoman" w:cs="Simple Indust Outline"/>
          <w:sz w:val="24"/>
          <w:szCs w:val="24"/>
        </w:rPr>
      </w:pPr>
      <w:r w:rsidRPr="00CB62D2">
        <w:rPr>
          <w:rFonts w:ascii="TimesNewRoman" w:hAnsi="TimesNewRoman" w:cs="Simple Indust Outline"/>
          <w:sz w:val="24"/>
          <w:szCs w:val="24"/>
        </w:rPr>
        <w:t>Hayden, E. Porath, D and Westernhagen, N.( 2006). Does diversification improve the performance of German banks? Evidence from individual bank portfolio.</w:t>
      </w:r>
    </w:p>
    <w:p w:rsidR="00334222" w:rsidRPr="00CB62D2" w:rsidRDefault="007A78D1"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lang w:bidi="ar-JO"/>
        </w:rPr>
      </w:pPr>
      <w:hyperlink r:id="rId57" w:history="1">
        <w:r w:rsidR="00334222" w:rsidRPr="00CB62D2">
          <w:rPr>
            <w:rStyle w:val="Hyperlink"/>
            <w:rFonts w:asciiTheme="majorBidi" w:hAnsiTheme="majorBidi" w:cstheme="majorBidi"/>
            <w:sz w:val="24"/>
            <w:szCs w:val="24"/>
          </w:rPr>
          <w:t>http://89.96.248.67/credit/credit2006/poster/8_Hayden_Porath_vWesternhagen.pdf</w:t>
        </w:r>
      </w:hyperlink>
    </w:p>
    <w:p w:rsidR="00334222" w:rsidRPr="00BA1B3D"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 xml:space="preserve">Huang, L </w:t>
      </w:r>
      <w:r w:rsidR="00F260EB" w:rsidRPr="00CB62D2">
        <w:rPr>
          <w:rFonts w:asciiTheme="majorBidi" w:hAnsiTheme="majorBidi" w:cstheme="majorBidi"/>
          <w:sz w:val="24"/>
          <w:szCs w:val="24"/>
        </w:rPr>
        <w:t>and Chen</w:t>
      </w:r>
      <w:r w:rsidRPr="00CB62D2">
        <w:rPr>
          <w:rFonts w:asciiTheme="majorBidi" w:hAnsiTheme="majorBidi" w:cstheme="majorBidi"/>
          <w:sz w:val="24"/>
          <w:szCs w:val="24"/>
        </w:rPr>
        <w:t xml:space="preserve">, L.( 2006). Does bank performance benefit from non-traditional activities? A case of non-interest incomes in Taiwan commercial banks. </w:t>
      </w:r>
      <w:r w:rsidRPr="00CB62D2">
        <w:rPr>
          <w:rFonts w:asciiTheme="majorBidi" w:hAnsiTheme="majorBidi" w:cstheme="majorBidi"/>
          <w:i/>
          <w:iCs/>
          <w:sz w:val="24"/>
          <w:szCs w:val="24"/>
        </w:rPr>
        <w:t>Asian Journal of Management and Humanity Sciences, 1,( 3)359-378</w:t>
      </w:r>
    </w:p>
    <w:p w:rsidR="00334222" w:rsidRPr="00CB62D2" w:rsidRDefault="00334222" w:rsidP="00F873C9">
      <w:pPr>
        <w:pStyle w:val="ListParagraph"/>
        <w:numPr>
          <w:ilvl w:val="0"/>
          <w:numId w:val="29"/>
        </w:numPr>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shd w:val="clear" w:color="auto" w:fill="FFFFFF"/>
        </w:rPr>
        <w:t>Imad Z. Ramadan, Qais A. Kilani, Thair A. Kaddumi</w:t>
      </w:r>
      <w:r w:rsidRPr="00CB62D2">
        <w:rPr>
          <w:rFonts w:asciiTheme="majorBidi" w:hAnsiTheme="majorBidi" w:cstheme="majorBidi"/>
          <w:noProof/>
          <w:sz w:val="24"/>
          <w:szCs w:val="24"/>
        </w:rPr>
        <w:t>.</w:t>
      </w:r>
      <w:r w:rsidRPr="00CB62D2">
        <w:rPr>
          <w:rFonts w:asciiTheme="majorBidi" w:hAnsiTheme="majorBidi" w:cstheme="majorBidi"/>
          <w:sz w:val="24"/>
          <w:szCs w:val="24"/>
          <w:shd w:val="clear" w:color="auto" w:fill="FFFFFF"/>
        </w:rPr>
        <w:t xml:space="preserve"> (2011). </w:t>
      </w:r>
      <w:hyperlink r:id="rId58" w:history="1">
        <w:r w:rsidRPr="00CB62D2">
          <w:rPr>
            <w:rStyle w:val="Hyperlink"/>
            <w:rFonts w:asciiTheme="majorBidi" w:hAnsiTheme="majorBidi" w:cstheme="majorBidi"/>
            <w:sz w:val="24"/>
            <w:szCs w:val="24"/>
            <w:shd w:val="clear" w:color="auto" w:fill="FFFFFF"/>
          </w:rPr>
          <w:t>Determinants of bank profitability: Evidence from Jordan</w:t>
        </w:r>
        <w:r w:rsidRPr="00CB62D2">
          <w:rPr>
            <w:rStyle w:val="apple-converted-space"/>
            <w:rFonts w:asciiTheme="majorBidi" w:hAnsiTheme="majorBidi" w:cstheme="majorBidi"/>
            <w:sz w:val="24"/>
            <w:szCs w:val="24"/>
            <w:shd w:val="clear" w:color="auto" w:fill="FFFFFF"/>
          </w:rPr>
          <w:t> </w:t>
        </w:r>
      </w:hyperlink>
      <w:r w:rsidRPr="00CB62D2">
        <w:rPr>
          <w:rFonts w:asciiTheme="majorBidi" w:hAnsiTheme="majorBidi" w:cstheme="majorBidi"/>
          <w:i/>
          <w:iCs/>
          <w:sz w:val="24"/>
          <w:szCs w:val="24"/>
        </w:rPr>
        <w:t>International Journal</w:t>
      </w:r>
      <w:r w:rsidRPr="00CB62D2">
        <w:rPr>
          <w:rStyle w:val="apple-converted-space"/>
          <w:rFonts w:asciiTheme="majorBidi" w:hAnsiTheme="majorBidi" w:cstheme="majorBidi"/>
          <w:i/>
          <w:iCs/>
          <w:sz w:val="24"/>
          <w:szCs w:val="24"/>
        </w:rPr>
        <w:t> </w:t>
      </w:r>
      <w:r w:rsidRPr="00CB62D2">
        <w:rPr>
          <w:rFonts w:asciiTheme="majorBidi" w:hAnsiTheme="majorBidi" w:cstheme="majorBidi"/>
          <w:i/>
          <w:iCs/>
          <w:sz w:val="24"/>
          <w:szCs w:val="24"/>
        </w:rPr>
        <w:t>of Academic Research</w:t>
      </w:r>
      <w:r w:rsidRPr="00CB62D2">
        <w:rPr>
          <w:rFonts w:asciiTheme="majorBidi" w:hAnsiTheme="majorBidi" w:cstheme="majorBidi"/>
          <w:sz w:val="24"/>
          <w:szCs w:val="24"/>
          <w:shd w:val="clear" w:color="auto" w:fill="FFFFFF"/>
        </w:rPr>
        <w:t>, issue (4): 180-191</w:t>
      </w:r>
    </w:p>
    <w:p w:rsidR="00334222" w:rsidRPr="00CB62D2" w:rsidRDefault="00334222" w:rsidP="00F873C9">
      <w:pPr>
        <w:pStyle w:val="ListParagraph"/>
        <w:numPr>
          <w:ilvl w:val="0"/>
          <w:numId w:val="29"/>
        </w:numPr>
        <w:spacing w:after="0" w:line="360" w:lineRule="auto"/>
        <w:rPr>
          <w:rFonts w:ascii="Times New Roman" w:hAnsi="Times New Roman" w:cs="Simple Indust Outline"/>
          <w:b/>
          <w:sz w:val="24"/>
          <w:szCs w:val="24"/>
          <w:rtl/>
          <w:lang w:bidi="ar-JO"/>
        </w:rPr>
      </w:pPr>
      <w:r w:rsidRPr="00CB62D2">
        <w:rPr>
          <w:rFonts w:ascii="Times New Roman" w:hAnsi="Times New Roman" w:cs="Simple Indust Outline"/>
          <w:sz w:val="24"/>
          <w:szCs w:val="24"/>
        </w:rPr>
        <w:t xml:space="preserve">IMF. (2011). </w:t>
      </w:r>
      <w:r w:rsidRPr="00CB62D2">
        <w:rPr>
          <w:rFonts w:ascii="Times New Roman" w:hAnsi="Times New Roman" w:cs="Simple Indust Outline"/>
          <w:i/>
          <w:iCs/>
          <w:sz w:val="24"/>
          <w:szCs w:val="24"/>
        </w:rPr>
        <w:t>Macroeconomic and Fiscal Framework for the West Bank and Gaza:</w:t>
      </w:r>
      <w:r w:rsidRPr="00CB62D2">
        <w:rPr>
          <w:rFonts w:ascii="Times New Roman" w:hAnsi="Times New Roman" w:cs="Simple Indust Outline"/>
          <w:sz w:val="24"/>
          <w:szCs w:val="24"/>
        </w:rPr>
        <w:t xml:space="preserve"> </w:t>
      </w:r>
      <w:r w:rsidRPr="00CB62D2">
        <w:rPr>
          <w:rFonts w:ascii="Times New Roman" w:hAnsi="Times New Roman" w:cs="Simple Indust Outline"/>
          <w:i/>
          <w:iCs/>
          <w:sz w:val="24"/>
          <w:szCs w:val="24"/>
        </w:rPr>
        <w:t>Seventh Review of Progress</w:t>
      </w:r>
      <w:r w:rsidRPr="00CB62D2">
        <w:rPr>
          <w:rFonts w:ascii="Times New Roman" w:hAnsi="Times New Roman" w:cs="Simple Indust Outline"/>
          <w:sz w:val="24"/>
          <w:szCs w:val="24"/>
        </w:rPr>
        <w:t xml:space="preserve"> Staff Report for the Meeting of the Ad Hoc Liaison Committee.</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 xml:space="preserve">International Standards Organization. (2008). </w:t>
      </w:r>
      <w:r w:rsidRPr="00CB62D2">
        <w:rPr>
          <w:rFonts w:asciiTheme="majorBidi" w:hAnsiTheme="majorBidi" w:cstheme="majorBidi"/>
          <w:i/>
          <w:iCs/>
          <w:sz w:val="24"/>
          <w:szCs w:val="24"/>
        </w:rPr>
        <w:t>Draft International Standard ISO/DIS 31000.</w:t>
      </w:r>
      <w:r w:rsidRPr="00CB62D2">
        <w:rPr>
          <w:rFonts w:asciiTheme="majorBidi" w:hAnsiTheme="majorBidi" w:cstheme="majorBidi"/>
          <w:sz w:val="24"/>
          <w:szCs w:val="24"/>
        </w:rPr>
        <w:t xml:space="preserve"> Available in www form &lt; </w:t>
      </w:r>
      <w:hyperlink r:id="rId59" w:history="1">
        <w:r w:rsidRPr="00CB62D2">
          <w:rPr>
            <w:rStyle w:val="Hyperlink"/>
            <w:rFonts w:asciiTheme="majorBidi" w:hAnsiTheme="majorBidi" w:cstheme="majorBidi"/>
            <w:sz w:val="24"/>
            <w:szCs w:val="24"/>
          </w:rPr>
          <w:t>http://www.rmia.org.au/LinkClick.aspx?fileticket=AWkZuS%2BB6Wc%3D&amp;tabid=85&amp;mid=634</w:t>
        </w:r>
      </w:hyperlink>
    </w:p>
    <w:p w:rsidR="00334222" w:rsidRPr="00CB62D2" w:rsidRDefault="00334222" w:rsidP="00F873C9">
      <w:pPr>
        <w:pStyle w:val="ListParagraph"/>
        <w:numPr>
          <w:ilvl w:val="0"/>
          <w:numId w:val="29"/>
        </w:numPr>
        <w:autoSpaceDE w:val="0"/>
        <w:autoSpaceDN w:val="0"/>
        <w:adjustRightInd w:val="0"/>
        <w:spacing w:after="0" w:line="360" w:lineRule="auto"/>
        <w:rPr>
          <w:rFonts w:ascii="TimesNewRoman" w:hAnsi="TimesNewRoman" w:cs="Simple Indust Outline"/>
          <w:sz w:val="24"/>
          <w:szCs w:val="24"/>
          <w:rtl/>
        </w:rPr>
      </w:pPr>
      <w:r w:rsidRPr="00CB62D2">
        <w:rPr>
          <w:rFonts w:ascii="TimesNewRoman" w:hAnsi="TimesNewRoman" w:cs="Simple Indust Outline"/>
          <w:sz w:val="24"/>
          <w:szCs w:val="24"/>
        </w:rPr>
        <w:t>Ja’afari, Mohammed.( 2003) Palestinian Services  Sector and Its Role in the Economic Development Process. Ramallah: Mass</w:t>
      </w:r>
    </w:p>
    <w:p w:rsidR="00334222" w:rsidRPr="00E579EB" w:rsidRDefault="00334222" w:rsidP="00F873C9">
      <w:pPr>
        <w:pStyle w:val="ListParagraph"/>
        <w:numPr>
          <w:ilvl w:val="0"/>
          <w:numId w:val="29"/>
        </w:numPr>
        <w:autoSpaceDE w:val="0"/>
        <w:autoSpaceDN w:val="0"/>
        <w:adjustRightInd w:val="0"/>
        <w:spacing w:after="0" w:line="360" w:lineRule="auto"/>
        <w:rPr>
          <w:rFonts w:ascii="TimesNewRoman" w:hAnsi="TimesNewRoman" w:cs="Simple Indust Outline"/>
          <w:color w:val="000000"/>
          <w:sz w:val="24"/>
          <w:szCs w:val="24"/>
        </w:rPr>
      </w:pPr>
      <w:r w:rsidRPr="00CB62D2">
        <w:rPr>
          <w:rFonts w:ascii="TimesNewRoman" w:hAnsi="TimesNewRoman" w:cs="Simple Indust Outline"/>
          <w:color w:val="000000"/>
          <w:sz w:val="24"/>
          <w:szCs w:val="24"/>
        </w:rPr>
        <w:t>Keegan, Mary. (2004)  Management of Risk: Principles and Concepts, H M</w:t>
      </w:r>
      <w:r w:rsidR="00E579EB">
        <w:rPr>
          <w:rFonts w:ascii="TimesNewRoman" w:hAnsi="TimesNewRoman" w:cs="Simple Indust Outline"/>
          <w:color w:val="000000"/>
          <w:sz w:val="24"/>
          <w:szCs w:val="24"/>
        </w:rPr>
        <w:t xml:space="preserve"> </w:t>
      </w:r>
      <w:r w:rsidRPr="00E579EB">
        <w:rPr>
          <w:rFonts w:ascii="TimesNewRoman" w:hAnsi="TimesNewRoman" w:cs="Simple Indust Outline"/>
          <w:color w:val="000000"/>
          <w:sz w:val="24"/>
          <w:szCs w:val="24"/>
        </w:rPr>
        <w:t xml:space="preserve">Treasury, </w:t>
      </w:r>
      <w:r w:rsidR="00A2127D" w:rsidRPr="00E579EB">
        <w:rPr>
          <w:rFonts w:ascii="TimesNewRoman" w:hAnsi="TimesNewRoman" w:cs="Simple Indust Outline"/>
          <w:color w:val="000000"/>
          <w:sz w:val="24"/>
          <w:szCs w:val="24"/>
        </w:rPr>
        <w:t>the</w:t>
      </w:r>
      <w:r w:rsidRPr="00E579EB">
        <w:rPr>
          <w:rFonts w:ascii="TimesNewRoman" w:hAnsi="TimesNewRoman" w:cs="Simple Indust Outline"/>
          <w:color w:val="000000"/>
          <w:sz w:val="24"/>
          <w:szCs w:val="24"/>
        </w:rPr>
        <w:t xml:space="preserve"> Orange Book, Working Papers.</w:t>
      </w:r>
    </w:p>
    <w:p w:rsidR="00334222" w:rsidRPr="00CB62D2" w:rsidRDefault="00334222" w:rsidP="00823E19">
      <w:pPr>
        <w:pStyle w:val="ListParagraph"/>
        <w:autoSpaceDE w:val="0"/>
        <w:autoSpaceDN w:val="0"/>
        <w:adjustRightInd w:val="0"/>
        <w:spacing w:after="0" w:line="360" w:lineRule="auto"/>
        <w:ind w:left="927"/>
        <w:rPr>
          <w:rFonts w:ascii="TimesNewRoman" w:hAnsi="TimesNewRoman" w:cs="Simple Indust Outline"/>
          <w:color w:val="0000FF"/>
          <w:sz w:val="24"/>
          <w:szCs w:val="24"/>
        </w:rPr>
      </w:pPr>
      <w:r w:rsidRPr="00CB62D2">
        <w:rPr>
          <w:rFonts w:ascii="TimesNewRoman" w:hAnsi="TimesNewRoman" w:cs="Simple Indust Outline"/>
          <w:color w:val="000000"/>
          <w:sz w:val="24"/>
          <w:szCs w:val="24"/>
        </w:rPr>
        <w:t xml:space="preserve"> </w:t>
      </w:r>
      <w:hyperlink r:id="rId60" w:history="1">
        <w:r w:rsidRPr="00CB62D2">
          <w:rPr>
            <w:rStyle w:val="Hyperlink"/>
            <w:rFonts w:ascii="TimesNewRoman" w:hAnsi="TimesNewRoman" w:cs="Simple Indust Outline"/>
            <w:sz w:val="24"/>
            <w:szCs w:val="24"/>
          </w:rPr>
          <w:t>Www. hmtreasury</w:t>
        </w:r>
      </w:hyperlink>
      <w:r w:rsidRPr="00CB62D2">
        <w:rPr>
          <w:rFonts w:ascii="TimesNewRoman" w:hAnsi="TimesNewRoman" w:cs="Simple Indust Outline"/>
          <w:color w:val="0000FF"/>
          <w:sz w:val="24"/>
          <w:szCs w:val="24"/>
        </w:rPr>
        <w:t>. gov.uk</w:t>
      </w:r>
    </w:p>
    <w:p w:rsidR="0033422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 xml:space="preserve">Keasey, K. &amp; Veronesi, G. (2008). Lessons from the Northern Rock affair. </w:t>
      </w:r>
      <w:r w:rsidRPr="00CB62D2">
        <w:rPr>
          <w:rFonts w:ascii="Times New Roman" w:hAnsi="Times New Roman" w:cs="Simple Indust Outline"/>
          <w:i/>
          <w:iCs/>
          <w:sz w:val="24"/>
          <w:szCs w:val="24"/>
        </w:rPr>
        <w:t xml:space="preserve">Journal of Financial Regulation and Compliance, </w:t>
      </w:r>
      <w:r w:rsidRPr="00CB62D2">
        <w:rPr>
          <w:rFonts w:ascii="Times New Roman" w:hAnsi="Times New Roman" w:cs="Simple Indust Outline"/>
          <w:sz w:val="24"/>
          <w:szCs w:val="24"/>
        </w:rPr>
        <w:t>16(1), 8-18.</w:t>
      </w:r>
    </w:p>
    <w:p w:rsidR="00E579EB" w:rsidRDefault="00334222" w:rsidP="00F873C9">
      <w:pPr>
        <w:pStyle w:val="ListParagraph"/>
        <w:numPr>
          <w:ilvl w:val="0"/>
          <w:numId w:val="29"/>
        </w:numPr>
        <w:autoSpaceDE w:val="0"/>
        <w:autoSpaceDN w:val="0"/>
        <w:adjustRightInd w:val="0"/>
        <w:spacing w:after="0" w:line="360" w:lineRule="auto"/>
        <w:jc w:val="both"/>
        <w:rPr>
          <w:rFonts w:asciiTheme="majorBidi" w:hAnsiTheme="majorBidi" w:cstheme="majorBidi"/>
          <w:sz w:val="24"/>
          <w:szCs w:val="24"/>
        </w:rPr>
      </w:pPr>
      <w:r w:rsidRPr="00CB62D2">
        <w:rPr>
          <w:rFonts w:asciiTheme="majorBidi" w:hAnsiTheme="majorBidi" w:cstheme="majorBidi"/>
          <w:sz w:val="24"/>
          <w:szCs w:val="24"/>
        </w:rPr>
        <w:lastRenderedPageBreak/>
        <w:t>Kristiansen, G. E. (2006). "Strategic Bank Monitoring &amp; Firms' Debt Structure", Department of Economics, Norwegian School of Economics &amp; Business Administration, Norway, D82, G32, G21, L14.</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rPr>
        <w:t>Koch, T.W &amp; Scott, M.S. (2005), "Bank Management, Analyzing Bank Performance", 5</w:t>
      </w:r>
      <w:r w:rsidRPr="00CB62D2">
        <w:rPr>
          <w:rFonts w:asciiTheme="majorBidi" w:hAnsiTheme="majorBidi" w:cstheme="majorBidi"/>
          <w:sz w:val="16"/>
          <w:szCs w:val="16"/>
        </w:rPr>
        <w:t xml:space="preserve">th </w:t>
      </w:r>
      <w:r w:rsidRPr="00CB62D2">
        <w:rPr>
          <w:rFonts w:asciiTheme="majorBidi" w:hAnsiTheme="majorBidi" w:cstheme="majorBidi"/>
          <w:sz w:val="24"/>
          <w:szCs w:val="24"/>
        </w:rPr>
        <w:t>Ed., Mc Graw-Hill, New York.</w:t>
      </w:r>
    </w:p>
    <w:p w:rsidR="00334222" w:rsidRPr="00143BD9" w:rsidRDefault="00334222" w:rsidP="00F873C9">
      <w:pPr>
        <w:pStyle w:val="Default"/>
        <w:numPr>
          <w:ilvl w:val="0"/>
          <w:numId w:val="29"/>
        </w:numPr>
        <w:spacing w:line="360" w:lineRule="auto"/>
        <w:jc w:val="both"/>
        <w:rPr>
          <w:rFonts w:asciiTheme="majorBidi" w:hAnsiTheme="majorBidi" w:cs="Simple Indust Outline"/>
        </w:rPr>
      </w:pPr>
      <w:r w:rsidRPr="008514D7">
        <w:rPr>
          <w:rFonts w:asciiTheme="majorBidi" w:hAnsiTheme="majorBidi" w:cs="Simple Indust Outline"/>
        </w:rPr>
        <w:t>Kosmidou, K. (2008). The determinants of banks</w:t>
      </w:r>
      <w:r>
        <w:rPr>
          <w:rFonts w:asciiTheme="majorBidi" w:hAnsiTheme="majorBidi" w:cs="Simple Indust Outline"/>
        </w:rPr>
        <w:t>,</w:t>
      </w:r>
      <w:r w:rsidRPr="008514D7">
        <w:rPr>
          <w:rFonts w:asciiTheme="majorBidi" w:hAnsiTheme="majorBidi" w:cs="Simple Indust Outline"/>
        </w:rPr>
        <w:t xml:space="preserve">profits in Greece during the period of </w:t>
      </w:r>
      <w:r w:rsidRPr="00E579EB">
        <w:rPr>
          <w:rFonts w:asciiTheme="majorBidi" w:hAnsiTheme="majorBidi" w:cs="Simple Indust Outline"/>
        </w:rPr>
        <w:t xml:space="preserve">EU financial integration. </w:t>
      </w:r>
      <w:r w:rsidRPr="00E579EB">
        <w:rPr>
          <w:rFonts w:asciiTheme="majorBidi" w:hAnsiTheme="majorBidi" w:cs="Simple Indust Outline"/>
          <w:i/>
          <w:iCs/>
        </w:rPr>
        <w:t xml:space="preserve">Journal of Managerial Finance. </w:t>
      </w:r>
      <w:r w:rsidRPr="00E579EB">
        <w:rPr>
          <w:rFonts w:asciiTheme="majorBidi" w:hAnsiTheme="majorBidi" w:cs="Simple Indust Outline"/>
        </w:rPr>
        <w:t xml:space="preserve">[Online] 34 (3). Available from: </w:t>
      </w:r>
      <w:hyperlink r:id="rId61" w:history="1">
        <w:r w:rsidRPr="00E579EB">
          <w:rPr>
            <w:rStyle w:val="Hyperlink"/>
            <w:rFonts w:asciiTheme="majorBidi" w:hAnsiTheme="majorBidi" w:cs="Simple Indust Outline"/>
          </w:rPr>
          <w:t>http://www.emeraldinsight.com</w:t>
        </w:r>
      </w:hyperlink>
    </w:p>
    <w:p w:rsidR="00334222" w:rsidRPr="005B0CB0" w:rsidRDefault="00334222" w:rsidP="00F873C9">
      <w:pPr>
        <w:pStyle w:val="Default"/>
        <w:numPr>
          <w:ilvl w:val="0"/>
          <w:numId w:val="29"/>
        </w:numPr>
        <w:spacing w:line="360" w:lineRule="auto"/>
        <w:rPr>
          <w:rFonts w:cs="Simple Indust Outline"/>
        </w:rPr>
      </w:pPr>
      <w:r w:rsidRPr="003D716B">
        <w:rPr>
          <w:rFonts w:cs="Simple Indust Outline"/>
        </w:rPr>
        <w:t xml:space="preserve">Li, Y. (2003). “The Asian Financial Crisis and Non-performing Loans: Evidence from Commercial Banks in Taiwan”. </w:t>
      </w:r>
      <w:r w:rsidRPr="003D716B">
        <w:rPr>
          <w:rFonts w:cs="Simple Indust Outline"/>
          <w:i/>
          <w:iCs/>
        </w:rPr>
        <w:t>International Journal of Management</w:t>
      </w:r>
      <w:r w:rsidRPr="003D716B">
        <w:rPr>
          <w:rFonts w:cs="Simple Indust Outline"/>
        </w:rPr>
        <w:t>, 20(1), 60-73.</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Longenecker,  G., Justin, Moore W. Carlos and Petty J. William. (2006).</w:t>
      </w:r>
      <w:r w:rsidRPr="00CB62D2">
        <w:rPr>
          <w:rFonts w:asciiTheme="majorBidi" w:hAnsiTheme="majorBidi" w:cstheme="majorBidi"/>
          <w:i/>
          <w:iCs/>
          <w:sz w:val="24"/>
          <w:szCs w:val="24"/>
        </w:rPr>
        <w:t>Credit</w:t>
      </w:r>
    </w:p>
    <w:p w:rsidR="00334222" w:rsidRPr="00E579EB"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i/>
          <w:iCs/>
          <w:sz w:val="24"/>
          <w:szCs w:val="24"/>
        </w:rPr>
        <w:t>Scoring and Small Business: A Review and the need for Research</w:t>
      </w:r>
      <w:r w:rsidRPr="00CB62D2">
        <w:rPr>
          <w:rFonts w:asciiTheme="majorBidi" w:hAnsiTheme="majorBidi" w:cstheme="majorBidi"/>
          <w:sz w:val="24"/>
          <w:szCs w:val="24"/>
        </w:rPr>
        <w:t>, Hankamer</w:t>
      </w:r>
      <w:r w:rsidR="00E579EB">
        <w:rPr>
          <w:rFonts w:asciiTheme="majorBidi" w:hAnsiTheme="majorBidi" w:cstheme="majorBidi"/>
          <w:sz w:val="24"/>
          <w:szCs w:val="24"/>
        </w:rPr>
        <w:t xml:space="preserve"> </w:t>
      </w:r>
      <w:r w:rsidRPr="00E579EB">
        <w:rPr>
          <w:rFonts w:asciiTheme="majorBidi" w:hAnsiTheme="majorBidi" w:cstheme="majorBidi"/>
          <w:sz w:val="24"/>
          <w:szCs w:val="24"/>
        </w:rPr>
        <w:t>School of Business, Buylor University</w:t>
      </w:r>
    </w:p>
    <w:p w:rsidR="00334222" w:rsidRPr="00CB62D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lang w:val="en-GB" w:bidi="ar-JO"/>
        </w:rPr>
      </w:pPr>
      <w:r w:rsidRPr="00CB62D2">
        <w:rPr>
          <w:rFonts w:asciiTheme="majorBidi" w:hAnsiTheme="majorBidi" w:cstheme="majorBidi"/>
          <w:sz w:val="24"/>
          <w:szCs w:val="24"/>
        </w:rPr>
        <w:t xml:space="preserve">Lowe, P. (2002). Credit Risk Measurement and Procyclicality. </w:t>
      </w:r>
      <w:r w:rsidRPr="00CB62D2">
        <w:rPr>
          <w:rFonts w:asciiTheme="majorBidi" w:hAnsiTheme="majorBidi" w:cstheme="majorBidi"/>
          <w:i/>
          <w:iCs/>
          <w:sz w:val="24"/>
          <w:szCs w:val="24"/>
        </w:rPr>
        <w:t>BIS Working Paper No 116</w:t>
      </w:r>
      <w:r w:rsidRPr="00CB62D2">
        <w:rPr>
          <w:rFonts w:asciiTheme="majorBidi" w:hAnsiTheme="majorBidi" w:cstheme="majorBidi"/>
          <w:sz w:val="24"/>
          <w:szCs w:val="24"/>
        </w:rPr>
        <w:t>.</w:t>
      </w:r>
    </w:p>
    <w:p w:rsidR="00334222" w:rsidRPr="00C57DFB" w:rsidRDefault="00334222" w:rsidP="00F873C9">
      <w:pPr>
        <w:pStyle w:val="Default"/>
        <w:numPr>
          <w:ilvl w:val="0"/>
          <w:numId w:val="29"/>
        </w:numPr>
        <w:spacing w:line="360" w:lineRule="auto"/>
        <w:rPr>
          <w:rFonts w:asciiTheme="majorBidi" w:hAnsiTheme="majorBidi" w:cstheme="majorBidi"/>
        </w:rPr>
      </w:pPr>
      <w:r w:rsidRPr="006A5E38">
        <w:rPr>
          <w:rFonts w:asciiTheme="majorBidi" w:hAnsiTheme="majorBidi" w:cstheme="majorBidi"/>
        </w:rPr>
        <w:t>Marquez, Javier.( 2008).  An Introduction to Credit Scoring for Small and Medium Size Enterprises</w:t>
      </w:r>
      <w:r w:rsidRPr="006A5E38">
        <w:rPr>
          <w:rFonts w:asciiTheme="majorBidi" w:hAnsiTheme="majorBidi" w:cstheme="majorBidi"/>
          <w:b/>
          <w:bCs/>
        </w:rPr>
        <w:t>.</w:t>
      </w:r>
      <w:r w:rsidRPr="006A5E38">
        <w:rPr>
          <w:rFonts w:asciiTheme="majorBidi" w:hAnsiTheme="majorBidi" w:cstheme="majorBidi"/>
        </w:rPr>
        <w:t xml:space="preserve"> </w:t>
      </w:r>
      <w:hyperlink r:id="rId62" w:history="1">
        <w:r w:rsidRPr="00C57DFB">
          <w:rPr>
            <w:rStyle w:val="Hyperlink"/>
            <w:rFonts w:asciiTheme="majorBidi" w:hAnsiTheme="majorBidi" w:cstheme="majorBidi"/>
          </w:rPr>
          <w:t>http://siteresources.worldbank.org/EXTLACOFFICEOFCE/Resources/870892-1206537144004/MarquezIntroductionCreditScoring.pdf</w:t>
        </w:r>
      </w:hyperlink>
    </w:p>
    <w:p w:rsidR="00334222" w:rsidRPr="00C57DFB"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57DFB">
        <w:rPr>
          <w:rFonts w:asciiTheme="majorBidi" w:hAnsiTheme="majorBidi" w:cstheme="majorBidi"/>
          <w:sz w:val="24"/>
          <w:szCs w:val="24"/>
          <w:lang w:val="en-GB"/>
        </w:rPr>
        <w:t xml:space="preserve">Mengle, D. (2007). “Credit Derivatives: Where’s the Risk,”  a working Paper presented  at </w:t>
      </w:r>
      <w:r w:rsidRPr="00C57DFB">
        <w:rPr>
          <w:rFonts w:asciiTheme="majorBidi" w:hAnsiTheme="majorBidi" w:cstheme="majorBidi"/>
          <w:color w:val="231F20"/>
          <w:sz w:val="24"/>
          <w:szCs w:val="24"/>
        </w:rPr>
        <w:t>Atlanta Fed’s 2007 Financial Markets Conferenc</w:t>
      </w:r>
      <w:r w:rsidR="00D948DA" w:rsidRPr="00C57DFB">
        <w:rPr>
          <w:rFonts w:asciiTheme="majorBidi" w:hAnsiTheme="majorBidi" w:cstheme="majorBidi"/>
          <w:color w:val="231F20"/>
          <w:sz w:val="24"/>
          <w:szCs w:val="24"/>
        </w:rPr>
        <w:t xml:space="preserve"> </w:t>
      </w:r>
      <w:r w:rsidRPr="00C57DFB">
        <w:rPr>
          <w:rFonts w:asciiTheme="majorBidi" w:hAnsiTheme="majorBidi" w:cstheme="majorBidi"/>
          <w:sz w:val="24"/>
          <w:szCs w:val="24"/>
        </w:rPr>
        <w:t>ehttp://www.frbatlanta.org/filelegacydocs/erq407_mengle.pdf</w:t>
      </w:r>
    </w:p>
    <w:p w:rsidR="00143BD9" w:rsidRPr="00143BD9" w:rsidRDefault="00334222" w:rsidP="00F873C9">
      <w:pPr>
        <w:pStyle w:val="ListParagraph"/>
        <w:numPr>
          <w:ilvl w:val="0"/>
          <w:numId w:val="29"/>
        </w:numPr>
        <w:autoSpaceDE w:val="0"/>
        <w:autoSpaceDN w:val="0"/>
        <w:adjustRightInd w:val="0"/>
        <w:spacing w:after="0" w:line="360" w:lineRule="auto"/>
        <w:jc w:val="both"/>
        <w:rPr>
          <w:rFonts w:cs="Simple Indust Outline"/>
          <w:sz w:val="24"/>
          <w:szCs w:val="24"/>
        </w:rPr>
      </w:pPr>
      <w:r w:rsidRPr="00CB62D2">
        <w:rPr>
          <w:rFonts w:ascii="Times New Roman" w:hAnsi="Times New Roman" w:cs="Simple Indust Outline"/>
          <w:sz w:val="24"/>
          <w:szCs w:val="24"/>
        </w:rPr>
        <w:t xml:space="preserve">Miller, S.M. and A.G. Noulas (1997). Portfolio mix and large-ban </w:t>
      </w:r>
      <w:r w:rsidRPr="00CB62D2">
        <w:rPr>
          <w:rFonts w:cs="Simple Indust Outline"/>
          <w:sz w:val="24"/>
          <w:szCs w:val="24"/>
        </w:rPr>
        <w:t>profitability in the USA.</w:t>
      </w:r>
      <w:r w:rsidRPr="00CB62D2">
        <w:rPr>
          <w:rFonts w:cs="Simple Indust Outline"/>
          <w:i/>
          <w:iCs/>
          <w:sz w:val="24"/>
          <w:szCs w:val="24"/>
        </w:rPr>
        <w:t xml:space="preserve"> </w:t>
      </w:r>
      <w:r w:rsidRPr="00CB62D2">
        <w:rPr>
          <w:rFonts w:asciiTheme="majorBidi" w:hAnsiTheme="majorBidi" w:cstheme="majorBidi"/>
          <w:i/>
          <w:iCs/>
          <w:sz w:val="24"/>
          <w:szCs w:val="24"/>
        </w:rPr>
        <w:t>Applied Economics</w:t>
      </w:r>
      <w:r w:rsidRPr="00CB62D2">
        <w:rPr>
          <w:rFonts w:asciiTheme="majorBidi" w:hAnsiTheme="majorBidi" w:cstheme="majorBidi"/>
          <w:sz w:val="24"/>
          <w:szCs w:val="24"/>
        </w:rPr>
        <w:t xml:space="preserve"> 29 (4), 505-512.</w:t>
      </w:r>
    </w:p>
    <w:p w:rsidR="00334222" w:rsidRDefault="00334222" w:rsidP="00F873C9">
      <w:pPr>
        <w:pStyle w:val="ListParagraph"/>
        <w:numPr>
          <w:ilvl w:val="0"/>
          <w:numId w:val="29"/>
        </w:numPr>
        <w:autoSpaceDE w:val="0"/>
        <w:autoSpaceDN w:val="0"/>
        <w:adjustRightInd w:val="0"/>
        <w:spacing w:after="0" w:line="360" w:lineRule="auto"/>
        <w:jc w:val="both"/>
        <w:rPr>
          <w:rFonts w:asciiTheme="majorBidi" w:hAnsiTheme="majorBidi" w:cstheme="majorBidi"/>
          <w:sz w:val="24"/>
          <w:szCs w:val="24"/>
        </w:rPr>
      </w:pPr>
      <w:r w:rsidRPr="00CB62D2">
        <w:rPr>
          <w:rFonts w:asciiTheme="majorBidi" w:hAnsiTheme="majorBidi" w:cstheme="majorBidi"/>
          <w:sz w:val="24"/>
          <w:szCs w:val="24"/>
        </w:rPr>
        <w:t>Mishkin, F. S. &amp; Eakins, S. G. (2006), "Financial Markets &amp; Institutions", 5</w:t>
      </w:r>
      <w:r w:rsidRPr="00E579EB">
        <w:rPr>
          <w:rFonts w:asciiTheme="majorBidi" w:hAnsiTheme="majorBidi" w:cstheme="majorBidi"/>
          <w:sz w:val="24"/>
          <w:szCs w:val="24"/>
          <w:vertAlign w:val="superscript"/>
        </w:rPr>
        <w:t>th</w:t>
      </w:r>
      <w:r w:rsidR="00E579EB">
        <w:rPr>
          <w:rFonts w:asciiTheme="majorBidi" w:hAnsiTheme="majorBidi" w:cstheme="majorBidi"/>
          <w:sz w:val="24"/>
          <w:szCs w:val="24"/>
        </w:rPr>
        <w:t xml:space="preserve"> </w:t>
      </w:r>
      <w:r w:rsidRPr="00E579EB">
        <w:rPr>
          <w:rFonts w:asciiTheme="majorBidi" w:hAnsiTheme="majorBidi" w:cstheme="majorBidi"/>
          <w:sz w:val="24"/>
          <w:szCs w:val="24"/>
        </w:rPr>
        <w:t>Ed., Addisson &amp; Wisley.</w:t>
      </w:r>
    </w:p>
    <w:p w:rsidR="00334222" w:rsidRPr="00CB62D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tl/>
          <w:lang w:bidi="ar-JO"/>
        </w:rPr>
      </w:pPr>
      <w:r w:rsidRPr="00CB62D2">
        <w:rPr>
          <w:rFonts w:ascii="Times New Roman" w:hAnsi="Times New Roman" w:cs="Simple Indust Outline"/>
          <w:color w:val="000000"/>
          <w:sz w:val="24"/>
          <w:szCs w:val="24"/>
        </w:rPr>
        <w:t xml:space="preserve">Monetary Authority of Singapore </w:t>
      </w:r>
      <w:r w:rsidRPr="00CB62D2">
        <w:rPr>
          <w:rFonts w:cs="Simple Indust Outline"/>
        </w:rPr>
        <w:t>(</w:t>
      </w:r>
      <w:r w:rsidRPr="00CB62D2">
        <w:rPr>
          <w:rFonts w:ascii="Times New Roman" w:hAnsi="Times New Roman" w:cs="Simple Indust Outline"/>
          <w:color w:val="000000"/>
          <w:sz w:val="24"/>
          <w:szCs w:val="24"/>
        </w:rPr>
        <w:t>2006</w:t>
      </w:r>
      <w:r w:rsidRPr="00CB62D2">
        <w:rPr>
          <w:rFonts w:cs="Simple Indust Outline"/>
        </w:rPr>
        <w:t>)</w:t>
      </w:r>
      <w:r w:rsidRPr="00CB62D2">
        <w:rPr>
          <w:rFonts w:ascii="Times New Roman" w:hAnsi="Times New Roman" w:cs="Simple Indust Outline"/>
          <w:color w:val="000000"/>
          <w:sz w:val="24"/>
          <w:szCs w:val="24"/>
        </w:rPr>
        <w:t xml:space="preserve">. </w:t>
      </w:r>
      <w:r w:rsidRPr="00CB62D2">
        <w:rPr>
          <w:rFonts w:ascii="Times New Roman" w:hAnsi="Times New Roman" w:cs="Simple Indust Outline"/>
          <w:i/>
          <w:iCs/>
          <w:color w:val="000000"/>
          <w:sz w:val="24"/>
          <w:szCs w:val="24"/>
        </w:rPr>
        <w:t>Credit Risk</w:t>
      </w:r>
      <w:r w:rsidRPr="00CB62D2">
        <w:rPr>
          <w:rFonts w:ascii="Times New Roman" w:hAnsi="Times New Roman" w:cs="Simple Indust Outline"/>
          <w:color w:val="000000"/>
          <w:sz w:val="24"/>
          <w:szCs w:val="24"/>
        </w:rPr>
        <w:t>. Monetary Authority of Singapore</w:t>
      </w:r>
    </w:p>
    <w:p w:rsidR="00334222" w:rsidRPr="00C57DFB" w:rsidRDefault="00334222" w:rsidP="00F873C9">
      <w:pPr>
        <w:pStyle w:val="Heading1"/>
        <w:numPr>
          <w:ilvl w:val="0"/>
          <w:numId w:val="29"/>
        </w:numPr>
        <w:shd w:val="clear" w:color="auto" w:fill="FFFFFF"/>
        <w:spacing w:before="0" w:beforeAutospacing="0" w:after="0" w:afterAutospacing="0" w:line="360" w:lineRule="auto"/>
        <w:textAlignment w:val="baseline"/>
        <w:rPr>
          <w:rFonts w:asciiTheme="majorBidi" w:hAnsiTheme="majorBidi" w:cstheme="majorBidi"/>
          <w:b w:val="0"/>
          <w:bCs w:val="0"/>
          <w:color w:val="000000"/>
          <w:sz w:val="24"/>
          <w:szCs w:val="24"/>
        </w:rPr>
      </w:pPr>
      <w:r w:rsidRPr="00D948DA">
        <w:rPr>
          <w:rFonts w:asciiTheme="majorBidi" w:hAnsiTheme="majorBidi" w:cstheme="majorBidi"/>
          <w:b w:val="0"/>
          <w:bCs w:val="0"/>
          <w:sz w:val="24"/>
          <w:szCs w:val="24"/>
        </w:rPr>
        <w:lastRenderedPageBreak/>
        <w:t xml:space="preserve">National Audit </w:t>
      </w:r>
      <w:r w:rsidR="00F260EB" w:rsidRPr="00D948DA">
        <w:rPr>
          <w:rFonts w:asciiTheme="majorBidi" w:hAnsiTheme="majorBidi" w:cstheme="majorBidi"/>
          <w:b w:val="0"/>
          <w:bCs w:val="0"/>
          <w:sz w:val="24"/>
          <w:szCs w:val="24"/>
        </w:rPr>
        <w:t>Office (2000</w:t>
      </w:r>
      <w:r w:rsidRPr="00D948DA">
        <w:rPr>
          <w:rFonts w:asciiTheme="majorBidi" w:hAnsiTheme="majorBidi" w:cstheme="majorBidi"/>
          <w:b w:val="0"/>
          <w:bCs w:val="0"/>
          <w:sz w:val="24"/>
          <w:szCs w:val="24"/>
        </w:rPr>
        <w:t xml:space="preserve">) </w:t>
      </w:r>
      <w:r w:rsidRPr="00D948DA">
        <w:rPr>
          <w:rFonts w:asciiTheme="majorBidi" w:hAnsiTheme="majorBidi" w:cstheme="majorBidi"/>
          <w:b w:val="0"/>
          <w:bCs w:val="0"/>
          <w:color w:val="000000"/>
          <w:sz w:val="24"/>
          <w:szCs w:val="24"/>
        </w:rPr>
        <w:t>Supporting Innovation</w:t>
      </w:r>
      <w:r w:rsidRPr="00D948DA">
        <w:rPr>
          <w:rFonts w:asciiTheme="majorBidi" w:hAnsiTheme="majorBidi" w:cstheme="majorBidi"/>
          <w:color w:val="000000"/>
          <w:sz w:val="24"/>
          <w:szCs w:val="24"/>
        </w:rPr>
        <w:t xml:space="preserve">: </w:t>
      </w:r>
      <w:r w:rsidRPr="00D948DA">
        <w:rPr>
          <w:rFonts w:asciiTheme="majorBidi" w:hAnsiTheme="majorBidi" w:cstheme="majorBidi"/>
          <w:b w:val="0"/>
          <w:bCs w:val="0"/>
          <w:color w:val="000000"/>
          <w:sz w:val="24"/>
          <w:szCs w:val="24"/>
        </w:rPr>
        <w:t>Managing Risk in Government Departments, available at:</w:t>
      </w:r>
      <w:r w:rsidRPr="00E579EB">
        <w:rPr>
          <w:rFonts w:asciiTheme="majorBidi" w:hAnsiTheme="majorBidi" w:cstheme="majorBidi"/>
          <w:sz w:val="24"/>
          <w:szCs w:val="24"/>
        </w:rPr>
        <w:t xml:space="preserve"> </w:t>
      </w:r>
      <w:hyperlink r:id="rId63" w:history="1">
        <w:r w:rsidRPr="00C57DFB">
          <w:rPr>
            <w:rStyle w:val="Hyperlink"/>
            <w:rFonts w:asciiTheme="majorBidi" w:hAnsiTheme="majorBidi" w:cstheme="majorBidi"/>
            <w:b w:val="0"/>
            <w:bCs w:val="0"/>
            <w:sz w:val="24"/>
            <w:szCs w:val="24"/>
          </w:rPr>
          <w:t>http://www.nao.org.uk/publications/9900/managing_risk_in_gov_depts.aspx</w:t>
        </w:r>
      </w:hyperlink>
    </w:p>
    <w:p w:rsidR="00334222" w:rsidRPr="00CB62D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heme="majorBidi" w:hAnsiTheme="majorBidi" w:cstheme="majorBidi"/>
          <w:sz w:val="24"/>
          <w:szCs w:val="24"/>
        </w:rPr>
        <w:t xml:space="preserve">Neal, R. S. (1996). Credit Derivatives: New Financial Instruments for Controlling Credit Risk. </w:t>
      </w:r>
      <w:r w:rsidRPr="00CB62D2">
        <w:rPr>
          <w:rFonts w:asciiTheme="majorBidi" w:hAnsiTheme="majorBidi" w:cstheme="majorBidi"/>
          <w:i/>
          <w:iCs/>
          <w:sz w:val="24"/>
          <w:szCs w:val="24"/>
        </w:rPr>
        <w:t>Economic Revie</w:t>
      </w:r>
      <w:r w:rsidRPr="00CB62D2">
        <w:rPr>
          <w:rFonts w:cs="Simple Indust Outline"/>
          <w:i/>
          <w:iCs/>
          <w:sz w:val="24"/>
          <w:szCs w:val="24"/>
        </w:rPr>
        <w:t>w</w:t>
      </w:r>
    </w:p>
    <w:p w:rsidR="00334222" w:rsidRDefault="00334222" w:rsidP="00F873C9">
      <w:pPr>
        <w:pStyle w:val="Default"/>
        <w:numPr>
          <w:ilvl w:val="0"/>
          <w:numId w:val="29"/>
        </w:numPr>
        <w:spacing w:line="360" w:lineRule="auto"/>
        <w:rPr>
          <w:rFonts w:asciiTheme="majorBidi" w:hAnsiTheme="majorBidi" w:cs="Simple Indust Outline"/>
        </w:rPr>
      </w:pPr>
      <w:r w:rsidRPr="008514D7">
        <w:rPr>
          <w:rFonts w:asciiTheme="majorBidi" w:hAnsiTheme="majorBidi" w:cs="Simple Indust Outline"/>
        </w:rPr>
        <w:t xml:space="preserve">Olweny and Shipho, </w:t>
      </w:r>
      <w:r>
        <w:rPr>
          <w:rFonts w:asciiTheme="majorBidi" w:hAnsiTheme="majorBidi" w:cs="Simple Indust Outline"/>
        </w:rPr>
        <w:t>(</w:t>
      </w:r>
      <w:r w:rsidRPr="008514D7">
        <w:rPr>
          <w:rFonts w:asciiTheme="majorBidi" w:hAnsiTheme="majorBidi" w:cs="Simple Indust Outline"/>
        </w:rPr>
        <w:t>2011</w:t>
      </w:r>
      <w:r>
        <w:rPr>
          <w:rFonts w:asciiTheme="majorBidi" w:hAnsiTheme="majorBidi" w:cs="Simple Indust Outline"/>
        </w:rPr>
        <w:t>). Effects of banking sectoral factors on the profitability of commercial banks in Kenya</w:t>
      </w:r>
      <w:r w:rsidRPr="008514D7">
        <w:rPr>
          <w:rFonts w:asciiTheme="majorBidi" w:hAnsiTheme="majorBidi" w:cs="Simple Indust Outline"/>
        </w:rPr>
        <w:t xml:space="preserve">, </w:t>
      </w:r>
      <w:r w:rsidRPr="008514D7">
        <w:rPr>
          <w:rFonts w:asciiTheme="majorBidi" w:hAnsiTheme="majorBidi" w:cs="Simple Indust Outline"/>
          <w:i/>
          <w:iCs/>
        </w:rPr>
        <w:t xml:space="preserve">Journal </w:t>
      </w:r>
      <w:r w:rsidR="00C27696" w:rsidRPr="008514D7">
        <w:rPr>
          <w:rFonts w:asciiTheme="majorBidi" w:hAnsiTheme="majorBidi" w:cs="Simple Indust Outline"/>
          <w:i/>
          <w:iCs/>
        </w:rPr>
        <w:t>of</w:t>
      </w:r>
      <w:r w:rsidR="00C27696" w:rsidRPr="008514D7">
        <w:rPr>
          <w:rFonts w:asciiTheme="majorBidi" w:hAnsiTheme="majorBidi" w:cs="Simple Indust Outline"/>
        </w:rPr>
        <w:t xml:space="preserve"> Economics</w:t>
      </w:r>
      <w:r w:rsidRPr="008514D7">
        <w:rPr>
          <w:rFonts w:asciiTheme="majorBidi" w:hAnsiTheme="majorBidi" w:cs="Simple Indust Outline"/>
          <w:i/>
          <w:iCs/>
        </w:rPr>
        <w:t xml:space="preserve"> and Finance Review</w:t>
      </w:r>
      <w:r w:rsidRPr="008514D7">
        <w:rPr>
          <w:rFonts w:asciiTheme="majorBidi" w:hAnsiTheme="majorBidi" w:cs="Simple Indust Outline"/>
        </w:rPr>
        <w:t xml:space="preserve"> 1(5) 01 – 30</w:t>
      </w:r>
      <w:r>
        <w:rPr>
          <w:rFonts w:asciiTheme="majorBidi" w:hAnsiTheme="majorBidi" w:cs="Simple Indust Outline"/>
        </w:rPr>
        <w:t>.</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Palesti</w:t>
      </w:r>
      <w:r w:rsidR="00CD0EE5" w:rsidRPr="00CB62D2">
        <w:rPr>
          <w:rFonts w:asciiTheme="majorBidi" w:hAnsiTheme="majorBidi" w:cstheme="majorBidi"/>
          <w:sz w:val="24"/>
          <w:szCs w:val="24"/>
        </w:rPr>
        <w:t>nian Monetary Authority, (2012).</w:t>
      </w:r>
      <w:r w:rsidRPr="00CB62D2">
        <w:rPr>
          <w:rFonts w:asciiTheme="majorBidi" w:hAnsiTheme="majorBidi" w:cstheme="majorBidi"/>
          <w:sz w:val="24"/>
          <w:szCs w:val="24"/>
        </w:rPr>
        <w:t xml:space="preserve"> Financial stability Report.</w:t>
      </w:r>
      <w:r w:rsidR="00E579EB">
        <w:rPr>
          <w:rFonts w:asciiTheme="majorBidi" w:hAnsiTheme="majorBidi" w:cstheme="majorBidi"/>
          <w:sz w:val="24"/>
          <w:szCs w:val="24"/>
        </w:rPr>
        <w:t xml:space="preserve"> </w:t>
      </w:r>
    </w:p>
    <w:p w:rsidR="00CD0EE5" w:rsidRPr="00CB62D2" w:rsidRDefault="00CD0EE5"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Palestinian Monetary Authority. (2011). Financial stability Report</w:t>
      </w:r>
      <w:r w:rsidR="002E4FCB" w:rsidRPr="00CB62D2">
        <w:rPr>
          <w:rFonts w:asciiTheme="majorBidi" w:hAnsiTheme="majorBidi" w:cstheme="majorBidi"/>
          <w:sz w:val="24"/>
          <w:szCs w:val="24"/>
        </w:rPr>
        <w:t>, a</w:t>
      </w:r>
      <w:r w:rsidRPr="00CB62D2">
        <w:rPr>
          <w:rFonts w:asciiTheme="majorBidi" w:hAnsiTheme="majorBidi" w:cstheme="majorBidi"/>
          <w:sz w:val="24"/>
          <w:szCs w:val="24"/>
        </w:rPr>
        <w:t>vailable at:</w:t>
      </w:r>
    </w:p>
    <w:p w:rsidR="00CD0EE5" w:rsidRPr="00CB62D2" w:rsidRDefault="007A78D1" w:rsidP="00823E19">
      <w:pPr>
        <w:pStyle w:val="ListParagraph"/>
        <w:autoSpaceDE w:val="0"/>
        <w:autoSpaceDN w:val="0"/>
        <w:adjustRightInd w:val="0"/>
        <w:spacing w:after="0" w:line="360" w:lineRule="auto"/>
        <w:ind w:left="927"/>
        <w:rPr>
          <w:rFonts w:asciiTheme="majorBidi" w:hAnsiTheme="majorBidi" w:cstheme="majorBidi"/>
          <w:sz w:val="24"/>
          <w:szCs w:val="24"/>
        </w:rPr>
      </w:pPr>
      <w:hyperlink r:id="rId64" w:history="1">
        <w:r w:rsidR="00823E19" w:rsidRPr="00142BEC">
          <w:rPr>
            <w:rStyle w:val="Hyperlink"/>
            <w:rFonts w:asciiTheme="majorBidi" w:hAnsiTheme="majorBidi" w:cstheme="majorBidi"/>
            <w:sz w:val="24"/>
            <w:szCs w:val="24"/>
          </w:rPr>
          <w:t>http://www.pma.ps/Portals/1/Users/002/02/2/Publications/English/Annual%20Reports/Financial%20Stability%20Reports/FSR_2011_English.pdf</w:t>
        </w:r>
      </w:hyperlink>
    </w:p>
    <w:p w:rsidR="00334222" w:rsidRPr="00CB62D2" w:rsidRDefault="00334222" w:rsidP="00F873C9">
      <w:pPr>
        <w:pStyle w:val="ListParagraph"/>
        <w:numPr>
          <w:ilvl w:val="0"/>
          <w:numId w:val="29"/>
        </w:numPr>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rPr>
        <w:t xml:space="preserve">Price Waterhouse </w:t>
      </w:r>
      <w:r w:rsidR="00A2127D" w:rsidRPr="00CB62D2">
        <w:rPr>
          <w:rFonts w:asciiTheme="majorBidi" w:hAnsiTheme="majorBidi" w:cstheme="majorBidi"/>
          <w:sz w:val="24"/>
          <w:szCs w:val="24"/>
        </w:rPr>
        <w:t>Coopers (2005</w:t>
      </w:r>
      <w:r w:rsidRPr="00CB62D2">
        <w:rPr>
          <w:rFonts w:asciiTheme="majorBidi" w:hAnsiTheme="majorBidi" w:cstheme="majorBidi"/>
          <w:sz w:val="24"/>
          <w:szCs w:val="24"/>
        </w:rPr>
        <w:t>). "Challenges of the New Basel Accord: Action, for Senior Management"</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Pyle, D. H. (1997), "Bank Risk Management: Theory", Hass School of</w:t>
      </w:r>
      <w:r w:rsidR="00D948DA" w:rsidRPr="00CB62D2">
        <w:rPr>
          <w:rFonts w:asciiTheme="majorBidi" w:hAnsiTheme="majorBidi" w:cstheme="majorBidi"/>
          <w:sz w:val="24"/>
          <w:szCs w:val="24"/>
        </w:rPr>
        <w:t xml:space="preserve"> </w:t>
      </w:r>
      <w:r w:rsidRPr="00CB62D2">
        <w:rPr>
          <w:rFonts w:asciiTheme="majorBidi" w:hAnsiTheme="majorBidi" w:cstheme="majorBidi"/>
          <w:sz w:val="24"/>
          <w:szCs w:val="24"/>
        </w:rPr>
        <w:t>Business University of California, Berkely.</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Pr>
      </w:pPr>
      <w:r w:rsidRPr="00CB62D2">
        <w:rPr>
          <w:rFonts w:asciiTheme="majorBidi" w:hAnsiTheme="majorBidi" w:cstheme="majorBidi"/>
          <w:sz w:val="24"/>
          <w:szCs w:val="24"/>
        </w:rPr>
        <w:t>Raspanti, T. M &amp; Szakal, E. (2002), "Creating Value through Credit Risk</w:t>
      </w:r>
      <w:r w:rsidR="00D948DA" w:rsidRPr="00CB62D2">
        <w:rPr>
          <w:rFonts w:asciiTheme="majorBidi" w:hAnsiTheme="majorBidi" w:cstheme="majorBidi"/>
          <w:sz w:val="24"/>
          <w:szCs w:val="24"/>
        </w:rPr>
        <w:t xml:space="preserve"> </w:t>
      </w:r>
      <w:r w:rsidRPr="00CB62D2">
        <w:rPr>
          <w:rFonts w:asciiTheme="majorBidi" w:hAnsiTheme="majorBidi" w:cstheme="majorBidi"/>
          <w:sz w:val="24"/>
          <w:szCs w:val="24"/>
        </w:rPr>
        <w:t>Mitigation", Business Credit, vol 104, issue 3, p (1-4).</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Fonts w:asciiTheme="majorBidi" w:hAnsiTheme="majorBidi" w:cstheme="majorBidi"/>
          <w:sz w:val="24"/>
          <w:szCs w:val="24"/>
        </w:rPr>
        <w:t xml:space="preserve">Rose, P. Sylvia, &amp; Hudging, S.C. (2005), </w:t>
      </w:r>
      <w:r w:rsidRPr="00CB62D2">
        <w:rPr>
          <w:rFonts w:asciiTheme="majorBidi" w:hAnsiTheme="majorBidi" w:cstheme="majorBidi"/>
          <w:i/>
          <w:iCs/>
          <w:sz w:val="24"/>
          <w:szCs w:val="24"/>
        </w:rPr>
        <w:t>Bank Management &amp; Financial</w:t>
      </w:r>
      <w:r w:rsidR="00D948DA" w:rsidRPr="00CB62D2">
        <w:rPr>
          <w:rFonts w:asciiTheme="majorBidi" w:hAnsiTheme="majorBidi" w:cstheme="majorBidi"/>
          <w:sz w:val="24"/>
          <w:szCs w:val="24"/>
          <w:lang w:bidi="ar-JO"/>
        </w:rPr>
        <w:t xml:space="preserve"> </w:t>
      </w:r>
      <w:r w:rsidRPr="00CB62D2">
        <w:rPr>
          <w:rFonts w:asciiTheme="majorBidi" w:hAnsiTheme="majorBidi" w:cstheme="majorBidi"/>
          <w:i/>
          <w:iCs/>
          <w:sz w:val="24"/>
          <w:szCs w:val="24"/>
        </w:rPr>
        <w:t>Services</w:t>
      </w:r>
      <w:r w:rsidRPr="00CB62D2">
        <w:rPr>
          <w:rFonts w:asciiTheme="majorBidi" w:hAnsiTheme="majorBidi" w:cstheme="majorBidi"/>
          <w:sz w:val="24"/>
          <w:szCs w:val="24"/>
        </w:rPr>
        <w:t>, 6th ed. New York: McGraw Hill.</w:t>
      </w:r>
    </w:p>
    <w:p w:rsidR="0033422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lang w:val="en-GB"/>
        </w:rPr>
      </w:pPr>
      <w:r w:rsidRPr="00CB62D2">
        <w:rPr>
          <w:rFonts w:ascii="Times New Roman" w:hAnsi="Times New Roman" w:cs="Simple Indust Outline"/>
          <w:sz w:val="24"/>
          <w:szCs w:val="24"/>
          <w:lang w:val="en-GB"/>
        </w:rPr>
        <w:t xml:space="preserve">Saci, K., Giorgioni, G., Holden, K. (2009). Does financial development affect growth? </w:t>
      </w:r>
      <w:r w:rsidRPr="00CB62D2">
        <w:rPr>
          <w:rFonts w:ascii="Times New Roman" w:hAnsi="Times New Roman" w:cs="Simple Indust Outline"/>
          <w:i/>
          <w:iCs/>
          <w:sz w:val="24"/>
          <w:szCs w:val="24"/>
          <w:lang w:val="en-GB"/>
        </w:rPr>
        <w:t>Applied Economics</w:t>
      </w:r>
      <w:r w:rsidRPr="00CB62D2">
        <w:rPr>
          <w:rFonts w:ascii="Times New Roman" w:hAnsi="Times New Roman" w:cs="Simple Indust Outline"/>
          <w:sz w:val="24"/>
          <w:szCs w:val="24"/>
          <w:lang w:val="en-GB"/>
        </w:rPr>
        <w:t xml:space="preserve"> 41 (13), 1701-1707.</w:t>
      </w:r>
    </w:p>
    <w:p w:rsidR="0033422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Santomero, Anthony and  Babbel, David. (2004).</w:t>
      </w:r>
      <w:r w:rsidRPr="00CB62D2">
        <w:rPr>
          <w:rFonts w:ascii="Times New Roman" w:hAnsi="Times New Roman" w:cs="Simple Indust Outline"/>
          <w:i/>
          <w:iCs/>
          <w:sz w:val="24"/>
          <w:szCs w:val="24"/>
        </w:rPr>
        <w:t>Financial Markets, Instruments and Institutions</w:t>
      </w:r>
      <w:r w:rsidRPr="00CB62D2">
        <w:rPr>
          <w:rFonts w:ascii="Times New Roman" w:hAnsi="Times New Roman" w:cs="Simple Indust Outline"/>
          <w:sz w:val="24"/>
          <w:szCs w:val="24"/>
        </w:rPr>
        <w:t xml:space="preserve"> </w:t>
      </w:r>
      <w:r w:rsidRPr="00CB62D2">
        <w:rPr>
          <w:rFonts w:cs="Simple Indust Outline"/>
          <w:sz w:val="24"/>
          <w:szCs w:val="24"/>
        </w:rPr>
        <w:t>3rd ed. : New York: Mc Graw-Hill.</w:t>
      </w:r>
    </w:p>
    <w:p w:rsidR="00E579EB" w:rsidRDefault="00334222" w:rsidP="00F873C9">
      <w:pPr>
        <w:pStyle w:val="ListParagraph"/>
        <w:numPr>
          <w:ilvl w:val="0"/>
          <w:numId w:val="29"/>
        </w:numPr>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Saunders, A., Allen, L. (2002). Credit Risk Measurement: New Approaches to Value at Risk and Other Paradigms</w:t>
      </w:r>
      <w:r w:rsidR="00A2127D" w:rsidRPr="00CB62D2">
        <w:rPr>
          <w:rFonts w:ascii="Times New Roman" w:hAnsi="Times New Roman" w:cs="Simple Indust Outline"/>
          <w:sz w:val="24"/>
          <w:szCs w:val="24"/>
        </w:rPr>
        <w:t>. (</w:t>
      </w:r>
      <w:r w:rsidRPr="00CB62D2">
        <w:rPr>
          <w:rFonts w:ascii="Times New Roman" w:hAnsi="Times New Roman" w:cs="Simple Indust Outline"/>
          <w:sz w:val="24"/>
          <w:szCs w:val="24"/>
        </w:rPr>
        <w:t xml:space="preserve"> 2</w:t>
      </w:r>
      <w:r w:rsidRPr="00CB62D2">
        <w:rPr>
          <w:rFonts w:ascii="Times New Roman" w:hAnsi="Times New Roman" w:cs="Simple Indust Outline"/>
          <w:sz w:val="24"/>
          <w:szCs w:val="24"/>
          <w:vertAlign w:val="superscript"/>
        </w:rPr>
        <w:t>nd</w:t>
      </w:r>
      <w:r w:rsidRPr="00CB62D2">
        <w:rPr>
          <w:rFonts w:ascii="Times New Roman" w:hAnsi="Times New Roman" w:cs="Simple Indust Outline"/>
          <w:sz w:val="24"/>
          <w:szCs w:val="24"/>
        </w:rPr>
        <w:t xml:space="preserve"> ed.). London: John Wiley and Sons.</w:t>
      </w:r>
    </w:p>
    <w:p w:rsidR="00334222" w:rsidRDefault="00334222" w:rsidP="00F873C9">
      <w:pPr>
        <w:pStyle w:val="ListParagraph"/>
        <w:numPr>
          <w:ilvl w:val="0"/>
          <w:numId w:val="29"/>
        </w:numPr>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Saunders, Anthony and Cornett, Marcia Millon (2007).</w:t>
      </w:r>
      <w:r w:rsidRPr="00CB62D2">
        <w:rPr>
          <w:rFonts w:ascii="Times New Roman" w:hAnsi="Times New Roman" w:cs="Simple Indust Outline"/>
          <w:i/>
          <w:iCs/>
          <w:sz w:val="24"/>
          <w:szCs w:val="24"/>
        </w:rPr>
        <w:t xml:space="preserve"> Financial Institutions Management: A</w:t>
      </w:r>
      <w:r w:rsidRPr="00CB62D2">
        <w:rPr>
          <w:rFonts w:ascii="Times New Roman" w:hAnsi="Times New Roman" w:cs="Simple Indust Outline"/>
          <w:sz w:val="24"/>
          <w:szCs w:val="24"/>
        </w:rPr>
        <w:t xml:space="preserve"> </w:t>
      </w:r>
      <w:r w:rsidRPr="00CB62D2">
        <w:rPr>
          <w:rFonts w:ascii="Times New Roman" w:hAnsi="Times New Roman" w:cs="Simple Indust Outline"/>
          <w:i/>
          <w:iCs/>
          <w:sz w:val="24"/>
          <w:szCs w:val="24"/>
        </w:rPr>
        <w:t>Risk Management Approach</w:t>
      </w:r>
      <w:r w:rsidRPr="00CB62D2">
        <w:rPr>
          <w:rFonts w:ascii="Times New Roman" w:hAnsi="Times New Roman" w:cs="Simple Indust Outline"/>
          <w:sz w:val="24"/>
          <w:szCs w:val="24"/>
        </w:rPr>
        <w:t xml:space="preserve"> 5th </w:t>
      </w:r>
      <w:r w:rsidR="00A2127D" w:rsidRPr="00CB62D2">
        <w:rPr>
          <w:rFonts w:ascii="Times New Roman" w:hAnsi="Times New Roman" w:cs="Simple Indust Outline"/>
          <w:sz w:val="24"/>
          <w:szCs w:val="24"/>
        </w:rPr>
        <w:t>Ed</w:t>
      </w:r>
      <w:r w:rsidRPr="00CB62D2">
        <w:rPr>
          <w:rFonts w:ascii="Times New Roman" w:hAnsi="Times New Roman" w:cs="Simple Indust Outline"/>
          <w:sz w:val="24"/>
          <w:szCs w:val="24"/>
        </w:rPr>
        <w:t>. New York: McGraw-Hill.</w:t>
      </w:r>
    </w:p>
    <w:p w:rsidR="00334222"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Saunders, Anthony and Cornett, Marcia Millon (2008), F</w:t>
      </w:r>
      <w:r w:rsidRPr="00CB62D2">
        <w:rPr>
          <w:rFonts w:ascii="Times New Roman" w:hAnsi="Times New Roman" w:cs="Simple Indust Outline"/>
          <w:i/>
          <w:iCs/>
          <w:sz w:val="24"/>
          <w:szCs w:val="24"/>
        </w:rPr>
        <w:t>inancial Institutions Management: A</w:t>
      </w:r>
      <w:r w:rsidRPr="00CB62D2">
        <w:rPr>
          <w:rFonts w:ascii="Times New Roman" w:hAnsi="Times New Roman" w:cs="Simple Indust Outline"/>
          <w:sz w:val="24"/>
          <w:szCs w:val="24"/>
        </w:rPr>
        <w:t xml:space="preserve"> </w:t>
      </w:r>
      <w:r w:rsidRPr="00CB62D2">
        <w:rPr>
          <w:rFonts w:ascii="Times New Roman" w:hAnsi="Times New Roman" w:cs="Simple Indust Outline"/>
          <w:i/>
          <w:iCs/>
          <w:sz w:val="24"/>
          <w:szCs w:val="24"/>
        </w:rPr>
        <w:t>Risk Management Approach</w:t>
      </w:r>
      <w:r w:rsidRPr="00CB62D2">
        <w:rPr>
          <w:rFonts w:ascii="Times New Roman" w:hAnsi="Times New Roman" w:cs="Simple Indust Outline"/>
          <w:sz w:val="24"/>
          <w:szCs w:val="24"/>
        </w:rPr>
        <w:t xml:space="preserve"> 6th </w:t>
      </w:r>
      <w:r w:rsidR="00A2127D" w:rsidRPr="00CB62D2">
        <w:rPr>
          <w:rFonts w:ascii="Times New Roman" w:hAnsi="Times New Roman" w:cs="Simple Indust Outline"/>
          <w:sz w:val="24"/>
          <w:szCs w:val="24"/>
        </w:rPr>
        <w:t>Ed</w:t>
      </w:r>
      <w:r w:rsidRPr="00CB62D2">
        <w:rPr>
          <w:rFonts w:ascii="Times New Roman" w:hAnsi="Times New Roman" w:cs="Simple Indust Outline"/>
          <w:sz w:val="24"/>
          <w:szCs w:val="24"/>
        </w:rPr>
        <w:t>.  New York: McGraw-Hill.</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Simple Indust Outline"/>
          <w:sz w:val="24"/>
          <w:szCs w:val="24"/>
        </w:rPr>
      </w:pPr>
      <w:r w:rsidRPr="00CB62D2">
        <w:rPr>
          <w:rFonts w:asciiTheme="majorBidi" w:hAnsiTheme="majorBidi" w:cs="Simple Indust Outline"/>
          <w:sz w:val="24"/>
          <w:szCs w:val="24"/>
        </w:rPr>
        <w:lastRenderedPageBreak/>
        <w:t xml:space="preserve">Sinkey, Jr </w:t>
      </w:r>
      <w:r w:rsidR="00C27696" w:rsidRPr="00CB62D2">
        <w:rPr>
          <w:rFonts w:asciiTheme="majorBidi" w:hAnsiTheme="majorBidi" w:cs="Simple Indust Outline"/>
          <w:sz w:val="24"/>
          <w:szCs w:val="24"/>
        </w:rPr>
        <w:t>and Joseph</w:t>
      </w:r>
      <w:r w:rsidRPr="00CB62D2">
        <w:rPr>
          <w:rFonts w:asciiTheme="majorBidi" w:hAnsiTheme="majorBidi" w:cs="Simple Indust Outline"/>
          <w:sz w:val="24"/>
          <w:szCs w:val="24"/>
        </w:rPr>
        <w:t xml:space="preserve">, F. (1992). Commercial bank financial management. In: </w:t>
      </w:r>
      <w:r w:rsidRPr="00CB62D2">
        <w:rPr>
          <w:rFonts w:asciiTheme="majorBidi" w:hAnsiTheme="majorBidi" w:cs="Simple Indust Outline"/>
          <w:i/>
          <w:iCs/>
          <w:sz w:val="24"/>
          <w:szCs w:val="24"/>
        </w:rPr>
        <w:t>Financial</w:t>
      </w:r>
      <w:r w:rsidR="002E4FCB" w:rsidRPr="00CB62D2">
        <w:rPr>
          <w:rFonts w:asciiTheme="majorBidi" w:hAnsiTheme="majorBidi" w:cs="Simple Indust Outline"/>
          <w:i/>
          <w:iCs/>
          <w:sz w:val="24"/>
          <w:szCs w:val="24"/>
        </w:rPr>
        <w:t xml:space="preserve"> </w:t>
      </w:r>
      <w:r w:rsidRPr="00CB62D2">
        <w:rPr>
          <w:rFonts w:asciiTheme="majorBidi" w:hAnsiTheme="majorBidi" w:cs="Simple Indust Outline"/>
          <w:i/>
          <w:iCs/>
          <w:sz w:val="24"/>
          <w:szCs w:val="24"/>
        </w:rPr>
        <w:t xml:space="preserve">Service Industry, </w:t>
      </w:r>
      <w:r w:rsidR="002E4FCB" w:rsidRPr="00CB62D2">
        <w:rPr>
          <w:rFonts w:asciiTheme="majorBidi" w:hAnsiTheme="majorBidi" w:cs="Simple Indust Outline"/>
          <w:sz w:val="24"/>
          <w:szCs w:val="24"/>
        </w:rPr>
        <w:t>4</w:t>
      </w:r>
      <w:r w:rsidR="002E4FCB" w:rsidRPr="00CB62D2">
        <w:rPr>
          <w:rFonts w:asciiTheme="majorBidi" w:hAnsiTheme="majorBidi" w:cs="Simple Indust Outline"/>
          <w:sz w:val="24"/>
          <w:szCs w:val="24"/>
          <w:vertAlign w:val="superscript"/>
        </w:rPr>
        <w:t>th</w:t>
      </w:r>
      <w:r w:rsidR="002E4FCB" w:rsidRPr="00CB62D2">
        <w:rPr>
          <w:rFonts w:asciiTheme="majorBidi" w:hAnsiTheme="majorBidi" w:cs="Simple Indust Outline"/>
          <w:sz w:val="24"/>
          <w:szCs w:val="24"/>
        </w:rPr>
        <w:t xml:space="preserve"> </w:t>
      </w:r>
      <w:r w:rsidRPr="00CB62D2">
        <w:rPr>
          <w:rFonts w:asciiTheme="majorBidi" w:hAnsiTheme="majorBidi" w:cs="Simple Indust Outline"/>
          <w:sz w:val="24"/>
          <w:szCs w:val="24"/>
        </w:rPr>
        <w:t>ed. Ontario: Macmillan.</w:t>
      </w:r>
    </w:p>
    <w:p w:rsidR="00334222"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lang w:bidi="ar-JO"/>
        </w:rPr>
      </w:pPr>
      <w:r w:rsidRPr="00CB62D2">
        <w:rPr>
          <w:rStyle w:val="sthspedding"/>
          <w:rFonts w:asciiTheme="majorBidi" w:hAnsiTheme="majorBidi" w:cstheme="majorBidi"/>
          <w:color w:val="000000"/>
          <w:sz w:val="24"/>
          <w:szCs w:val="24"/>
          <w:shd w:val="clear" w:color="auto" w:fill="FDFDFD"/>
        </w:rPr>
        <w:t>Spedding</w:t>
      </w:r>
      <w:r w:rsidRPr="00CB62D2">
        <w:rPr>
          <w:rFonts w:asciiTheme="majorBidi" w:hAnsiTheme="majorBidi" w:cstheme="majorBidi"/>
          <w:color w:val="000000"/>
          <w:sz w:val="24"/>
          <w:szCs w:val="24"/>
          <w:shd w:val="clear" w:color="auto" w:fill="FDFDFD"/>
        </w:rPr>
        <w:t>, L., &amp;</w:t>
      </w:r>
      <w:r w:rsidRPr="00CB62D2">
        <w:rPr>
          <w:rStyle w:val="apple-converted-space"/>
          <w:rFonts w:asciiTheme="majorBidi" w:hAnsiTheme="majorBidi" w:cstheme="majorBidi"/>
          <w:color w:val="000000"/>
          <w:sz w:val="24"/>
          <w:szCs w:val="24"/>
          <w:shd w:val="clear" w:color="auto" w:fill="FDFDFD"/>
        </w:rPr>
        <w:t> </w:t>
      </w:r>
      <w:r w:rsidRPr="00CB62D2">
        <w:rPr>
          <w:rStyle w:val="sthrose"/>
          <w:rFonts w:asciiTheme="majorBidi" w:hAnsiTheme="majorBidi" w:cstheme="majorBidi"/>
          <w:color w:val="000000"/>
          <w:sz w:val="24"/>
          <w:szCs w:val="24"/>
          <w:shd w:val="clear" w:color="auto" w:fill="FDFDFD"/>
        </w:rPr>
        <w:t>Rose</w:t>
      </w:r>
      <w:r w:rsidRPr="00CB62D2">
        <w:rPr>
          <w:rFonts w:asciiTheme="majorBidi" w:hAnsiTheme="majorBidi" w:cstheme="majorBidi"/>
          <w:color w:val="000000"/>
          <w:sz w:val="24"/>
          <w:szCs w:val="24"/>
          <w:shd w:val="clear" w:color="auto" w:fill="FDFDFD"/>
        </w:rPr>
        <w:t>, A.,</w:t>
      </w:r>
      <w:r w:rsidRPr="00CB62D2">
        <w:rPr>
          <w:rStyle w:val="apple-converted-space"/>
          <w:rFonts w:asciiTheme="majorBidi" w:hAnsiTheme="majorBidi" w:cstheme="majorBidi"/>
          <w:color w:val="000000"/>
          <w:sz w:val="24"/>
          <w:szCs w:val="24"/>
          <w:shd w:val="clear" w:color="auto" w:fill="FDFDFD"/>
        </w:rPr>
        <w:t> (</w:t>
      </w:r>
      <w:r w:rsidRPr="00CB62D2">
        <w:rPr>
          <w:rStyle w:val="sth2008"/>
          <w:rFonts w:asciiTheme="majorBidi" w:hAnsiTheme="majorBidi" w:cstheme="majorBidi"/>
          <w:color w:val="000000"/>
          <w:sz w:val="24"/>
          <w:szCs w:val="24"/>
          <w:shd w:val="clear" w:color="auto" w:fill="FDFDFD"/>
        </w:rPr>
        <w:t>2008)</w:t>
      </w:r>
      <w:r w:rsidRPr="00CB62D2">
        <w:rPr>
          <w:rFonts w:asciiTheme="majorBidi" w:hAnsiTheme="majorBidi" w:cstheme="majorBidi"/>
          <w:color w:val="000000"/>
          <w:sz w:val="24"/>
          <w:szCs w:val="24"/>
          <w:shd w:val="clear" w:color="auto" w:fill="FDFDFD"/>
        </w:rPr>
        <w:t xml:space="preserve">. Business risk management handbook: </w:t>
      </w:r>
      <w:r w:rsidRPr="00CB62D2">
        <w:rPr>
          <w:rFonts w:asciiTheme="majorBidi" w:hAnsiTheme="majorBidi" w:cstheme="majorBidi"/>
          <w:sz w:val="24"/>
          <w:szCs w:val="24"/>
          <w:shd w:val="clear" w:color="auto" w:fill="FDFDFD"/>
        </w:rPr>
        <w:t>A</w:t>
      </w:r>
      <w:r w:rsidRPr="00CB62D2">
        <w:rPr>
          <w:rFonts w:asciiTheme="majorBidi" w:hAnsiTheme="majorBidi" w:cstheme="majorBidi"/>
          <w:color w:val="000000"/>
          <w:sz w:val="24"/>
          <w:szCs w:val="24"/>
          <w:shd w:val="clear" w:color="auto" w:fill="FDFDFD"/>
        </w:rPr>
        <w:t xml:space="preserve"> </w:t>
      </w:r>
      <w:r w:rsidRPr="00CB62D2">
        <w:rPr>
          <w:rFonts w:asciiTheme="majorBidi" w:hAnsiTheme="majorBidi" w:cstheme="majorBidi"/>
          <w:sz w:val="24"/>
          <w:szCs w:val="24"/>
          <w:shd w:val="clear" w:color="auto" w:fill="FDFDFD"/>
        </w:rPr>
        <w:t>S</w:t>
      </w:r>
      <w:r w:rsidRPr="00CB62D2">
        <w:rPr>
          <w:rFonts w:asciiTheme="majorBidi" w:hAnsiTheme="majorBidi" w:cstheme="majorBidi"/>
          <w:color w:val="000000"/>
          <w:sz w:val="24"/>
          <w:szCs w:val="24"/>
          <w:shd w:val="clear" w:color="auto" w:fill="FDFDFD"/>
        </w:rPr>
        <w:t>ustainable approach. Amsterdam: CIMA Publishers.</w:t>
      </w:r>
    </w:p>
    <w:p w:rsidR="00E579EB"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rPr>
      </w:pPr>
      <w:r w:rsidRPr="00CB62D2">
        <w:rPr>
          <w:rFonts w:ascii="Times New Roman" w:hAnsi="Times New Roman" w:cs="Simple Indust Outline"/>
          <w:sz w:val="24"/>
          <w:szCs w:val="24"/>
        </w:rPr>
        <w:t xml:space="preserve">Staikouras, C. </w:t>
      </w:r>
      <w:r w:rsidR="00C27696" w:rsidRPr="00CB62D2">
        <w:rPr>
          <w:rFonts w:ascii="Times New Roman" w:hAnsi="Times New Roman" w:cs="Simple Indust Outline"/>
          <w:sz w:val="24"/>
          <w:szCs w:val="24"/>
        </w:rPr>
        <w:t>and Wood</w:t>
      </w:r>
      <w:r w:rsidRPr="00CB62D2">
        <w:rPr>
          <w:rFonts w:ascii="Times New Roman" w:hAnsi="Times New Roman" w:cs="Simple Indust Outline"/>
          <w:sz w:val="24"/>
          <w:szCs w:val="24"/>
        </w:rPr>
        <w:t>, G. (2003). The Determinants of bank profitability in Europe, Paper presented at the European Applied Business Research Conference.</w:t>
      </w:r>
    </w:p>
    <w:p w:rsidR="00334222" w:rsidRPr="00CB62D2" w:rsidRDefault="00334222" w:rsidP="00F873C9">
      <w:pPr>
        <w:pStyle w:val="ListParagraph"/>
        <w:numPr>
          <w:ilvl w:val="0"/>
          <w:numId w:val="29"/>
        </w:numPr>
        <w:spacing w:after="0" w:line="360" w:lineRule="auto"/>
        <w:rPr>
          <w:rFonts w:asciiTheme="majorBidi" w:hAnsiTheme="majorBidi" w:cstheme="majorBidi"/>
          <w:sz w:val="24"/>
          <w:szCs w:val="24"/>
          <w:lang w:bidi="ar-JO"/>
        </w:rPr>
      </w:pPr>
      <w:r w:rsidRPr="00CB62D2">
        <w:rPr>
          <w:rFonts w:asciiTheme="majorBidi" w:hAnsiTheme="majorBidi" w:cstheme="majorBidi"/>
          <w:sz w:val="24"/>
          <w:szCs w:val="24"/>
        </w:rPr>
        <w:t xml:space="preserve">Strischek, D. (2002). 'Credit Culture Part 2: Types of credit Culture." </w:t>
      </w:r>
      <w:r w:rsidRPr="00CB62D2">
        <w:rPr>
          <w:rFonts w:asciiTheme="majorBidi" w:hAnsiTheme="majorBidi" w:cstheme="majorBidi"/>
          <w:i/>
          <w:iCs/>
          <w:sz w:val="24"/>
          <w:szCs w:val="24"/>
        </w:rPr>
        <w:t>RMA Journal</w:t>
      </w:r>
    </w:p>
    <w:p w:rsidR="00334222" w:rsidRPr="00EC76DB"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lang w:val="en-GB"/>
        </w:rPr>
      </w:pPr>
      <w:r w:rsidRPr="00CB62D2">
        <w:rPr>
          <w:rFonts w:ascii="Times New Roman" w:hAnsi="Times New Roman" w:cs="Simple Indust Outline"/>
          <w:sz w:val="24"/>
          <w:szCs w:val="24"/>
          <w:lang w:val="en-GB"/>
        </w:rPr>
        <w:t>Tarawneh, M. (2006). A Comparison of Financial Performa</w:t>
      </w:r>
      <w:r w:rsidR="00C969DD" w:rsidRPr="00CB62D2">
        <w:rPr>
          <w:rFonts w:ascii="Times New Roman" w:hAnsi="Times New Roman" w:cs="Simple Indust Outline"/>
          <w:sz w:val="24"/>
          <w:szCs w:val="24"/>
          <w:lang w:val="en-GB"/>
        </w:rPr>
        <w:t xml:space="preserve">nce in the Banking Sector: Some </w:t>
      </w:r>
      <w:r w:rsidRPr="00CB62D2">
        <w:rPr>
          <w:rFonts w:ascii="Times New Roman" w:hAnsi="Times New Roman" w:cs="Simple Indust Outline"/>
          <w:sz w:val="24"/>
          <w:szCs w:val="24"/>
          <w:lang w:val="en-GB"/>
        </w:rPr>
        <w:t xml:space="preserve">Evidence from Omani Commercial Banks. </w:t>
      </w:r>
      <w:r w:rsidRPr="00CB62D2">
        <w:rPr>
          <w:rFonts w:ascii="Times New Roman" w:hAnsi="Times New Roman" w:cs="Simple Indust Outline"/>
          <w:i/>
          <w:iCs/>
          <w:sz w:val="24"/>
          <w:szCs w:val="24"/>
          <w:lang w:val="en-GB"/>
        </w:rPr>
        <w:t>International</w:t>
      </w:r>
      <w:r w:rsidRPr="00CB62D2">
        <w:rPr>
          <w:rFonts w:ascii="Times New Roman" w:hAnsi="Times New Roman" w:cs="Simple Indust Outline"/>
          <w:sz w:val="24"/>
          <w:szCs w:val="24"/>
          <w:lang w:val="en-GB"/>
        </w:rPr>
        <w:t xml:space="preserve"> </w:t>
      </w:r>
      <w:r w:rsidRPr="00CB62D2">
        <w:rPr>
          <w:rFonts w:ascii="Times New Roman" w:hAnsi="Times New Roman" w:cs="Simple Indust Outline"/>
          <w:i/>
          <w:iCs/>
          <w:sz w:val="24"/>
          <w:szCs w:val="24"/>
          <w:lang w:val="en-GB"/>
        </w:rPr>
        <w:t>Research Journal of Finance and Economics</w:t>
      </w:r>
      <w:r w:rsidRPr="00CB62D2">
        <w:rPr>
          <w:rFonts w:ascii="Times New Roman" w:hAnsi="Times New Roman" w:cs="Simple Indust Outline"/>
          <w:sz w:val="24"/>
          <w:szCs w:val="24"/>
          <w:lang w:val="en-GB"/>
        </w:rPr>
        <w:t xml:space="preserve"> No (3), 101-112.</w:t>
      </w:r>
    </w:p>
    <w:p w:rsidR="00334222" w:rsidRPr="00E579EB"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rPr>
      </w:pPr>
      <w:r w:rsidRPr="00CB62D2">
        <w:rPr>
          <w:rFonts w:asciiTheme="majorBidi" w:hAnsiTheme="majorBidi" w:cstheme="majorBidi"/>
          <w:sz w:val="24"/>
          <w:szCs w:val="24"/>
        </w:rPr>
        <w:t xml:space="preserve">The Financial Service </w:t>
      </w:r>
      <w:r w:rsidR="00C27696" w:rsidRPr="00CB62D2">
        <w:rPr>
          <w:rFonts w:asciiTheme="majorBidi" w:hAnsiTheme="majorBidi" w:cstheme="majorBidi"/>
          <w:sz w:val="24"/>
          <w:szCs w:val="24"/>
        </w:rPr>
        <w:t>Roundtable (1999</w:t>
      </w:r>
      <w:r w:rsidRPr="00CB62D2">
        <w:rPr>
          <w:rFonts w:asciiTheme="majorBidi" w:hAnsiTheme="majorBidi" w:cstheme="majorBidi"/>
          <w:sz w:val="24"/>
          <w:szCs w:val="24"/>
        </w:rPr>
        <w:t>), "Guiding Principles in Risk Management</w:t>
      </w:r>
      <w:r w:rsidR="00E579EB">
        <w:rPr>
          <w:rFonts w:asciiTheme="majorBidi" w:hAnsiTheme="majorBidi" w:cstheme="majorBidi"/>
          <w:sz w:val="24"/>
          <w:szCs w:val="24"/>
        </w:rPr>
        <w:t xml:space="preserve"> </w:t>
      </w:r>
      <w:r w:rsidRPr="00E579EB">
        <w:rPr>
          <w:rFonts w:asciiTheme="majorBidi" w:hAnsiTheme="majorBidi" w:cstheme="majorBidi"/>
          <w:sz w:val="24"/>
          <w:szCs w:val="24"/>
        </w:rPr>
        <w:t>for U.S Commercial Banks", Report of the Subcomm</w:t>
      </w:r>
      <w:r w:rsidR="00C969DD" w:rsidRPr="00E579EB">
        <w:rPr>
          <w:rFonts w:asciiTheme="majorBidi" w:hAnsiTheme="majorBidi" w:cstheme="majorBidi"/>
          <w:sz w:val="24"/>
          <w:szCs w:val="24"/>
        </w:rPr>
        <w:t xml:space="preserve">ittee and Working Group on Risk </w:t>
      </w:r>
      <w:r w:rsidRPr="00E579EB">
        <w:rPr>
          <w:rFonts w:asciiTheme="majorBidi" w:hAnsiTheme="majorBidi" w:cstheme="majorBidi"/>
          <w:sz w:val="24"/>
          <w:szCs w:val="24"/>
        </w:rPr>
        <w:t>Management Principles.</w:t>
      </w:r>
    </w:p>
    <w:p w:rsidR="00334222" w:rsidRPr="00143BD9"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rPr>
      </w:pPr>
      <w:r w:rsidRPr="00CB62D2">
        <w:rPr>
          <w:rFonts w:asciiTheme="majorBidi" w:hAnsiTheme="majorBidi" w:cstheme="majorBidi"/>
          <w:sz w:val="24"/>
          <w:szCs w:val="24"/>
        </w:rPr>
        <w:t>Tracy, W. F &amp; Carey, M. S. (1998), "Credit Risk Rating at Large U.S Banks",</w:t>
      </w:r>
      <w:r w:rsidRPr="00143BD9">
        <w:rPr>
          <w:rFonts w:asciiTheme="majorBidi" w:hAnsiTheme="majorBidi" w:cstheme="majorBidi"/>
          <w:sz w:val="24"/>
          <w:szCs w:val="24"/>
        </w:rPr>
        <w:t>Journal of Bank &amp; Finance, Federal Reserve Board, Washington DC, vol. 24,</w:t>
      </w:r>
      <w:r w:rsidR="00C969DD" w:rsidRPr="00143BD9">
        <w:rPr>
          <w:rFonts w:asciiTheme="majorBidi" w:hAnsiTheme="majorBidi" w:cstheme="majorBidi"/>
          <w:sz w:val="24"/>
          <w:szCs w:val="24"/>
        </w:rPr>
        <w:t xml:space="preserve"> </w:t>
      </w:r>
      <w:r w:rsidRPr="00143BD9">
        <w:rPr>
          <w:rFonts w:asciiTheme="majorBidi" w:hAnsiTheme="majorBidi" w:cstheme="majorBidi"/>
          <w:sz w:val="24"/>
          <w:szCs w:val="24"/>
        </w:rPr>
        <w:t>pp. (167-201).</w:t>
      </w:r>
    </w:p>
    <w:p w:rsidR="00334222" w:rsidRDefault="00334222" w:rsidP="00F873C9">
      <w:pPr>
        <w:pStyle w:val="Default"/>
        <w:numPr>
          <w:ilvl w:val="0"/>
          <w:numId w:val="29"/>
        </w:numPr>
        <w:spacing w:line="360" w:lineRule="auto"/>
        <w:rPr>
          <w:rFonts w:cs="Simple Indust Outline"/>
        </w:rPr>
      </w:pPr>
      <w:r w:rsidRPr="00DB15A7">
        <w:rPr>
          <w:rFonts w:asciiTheme="majorBidi" w:hAnsiTheme="majorBidi" w:cstheme="majorBidi"/>
        </w:rPr>
        <w:t xml:space="preserve">Utrecht University. (2010). </w:t>
      </w:r>
      <w:r w:rsidRPr="00DB15A7">
        <w:rPr>
          <w:rFonts w:asciiTheme="majorBidi" w:hAnsiTheme="majorBidi" w:cstheme="majorBidi"/>
          <w:i/>
          <w:iCs/>
        </w:rPr>
        <w:t>International Financial Economics Program</w:t>
      </w:r>
      <w:r w:rsidRPr="00DB15A7">
        <w:rPr>
          <w:rFonts w:asciiTheme="majorBidi" w:hAnsiTheme="majorBidi" w:cstheme="majorBidi"/>
        </w:rPr>
        <w:t>. The Netherlands. Available in www form</w:t>
      </w:r>
      <w:r>
        <w:rPr>
          <w:rFonts w:asciiTheme="majorBidi" w:hAnsiTheme="majorBidi" w:cstheme="majorBidi"/>
        </w:rPr>
        <w:t xml:space="preserve"> </w:t>
      </w:r>
      <w:hyperlink r:id="rId65" w:history="1">
        <w:r w:rsidRPr="002D0FDF">
          <w:rPr>
            <w:rStyle w:val="Hyperlink"/>
            <w:rFonts w:cs="Simple Indust Outline"/>
          </w:rPr>
          <w:t>http://www.uu.nl/EN/informationfor/internationalstudents/inteconomics/studyprogramme/track2/Pages/default.aspx</w:t>
        </w:r>
      </w:hyperlink>
    </w:p>
    <w:p w:rsidR="00334222" w:rsidRPr="00143BD9" w:rsidRDefault="00334222" w:rsidP="00F873C9">
      <w:pPr>
        <w:pStyle w:val="ListParagraph"/>
        <w:numPr>
          <w:ilvl w:val="0"/>
          <w:numId w:val="29"/>
        </w:numPr>
        <w:autoSpaceDE w:val="0"/>
        <w:autoSpaceDN w:val="0"/>
        <w:adjustRightInd w:val="0"/>
        <w:spacing w:after="0" w:line="360" w:lineRule="auto"/>
        <w:rPr>
          <w:rFonts w:asciiTheme="majorBidi" w:hAnsiTheme="majorBidi" w:cstheme="majorBidi"/>
          <w:sz w:val="24"/>
          <w:szCs w:val="24"/>
          <w:rtl/>
          <w:lang w:bidi="ar-JO"/>
        </w:rPr>
      </w:pPr>
      <w:r w:rsidRPr="00CB62D2">
        <w:rPr>
          <w:rFonts w:asciiTheme="majorBidi" w:hAnsiTheme="majorBidi" w:cstheme="majorBidi"/>
          <w:sz w:val="24"/>
          <w:szCs w:val="24"/>
        </w:rPr>
        <w:t xml:space="preserve">Weill, L. (2004). Measuring cost efficiency in European banking: A </w:t>
      </w:r>
      <w:r w:rsidRPr="00143BD9">
        <w:rPr>
          <w:rFonts w:asciiTheme="majorBidi" w:hAnsiTheme="majorBidi" w:cstheme="majorBidi"/>
          <w:sz w:val="24"/>
          <w:szCs w:val="24"/>
        </w:rPr>
        <w:t xml:space="preserve">comparison of frontier techniques. </w:t>
      </w:r>
      <w:r w:rsidRPr="00143BD9">
        <w:rPr>
          <w:rFonts w:asciiTheme="majorBidi" w:hAnsiTheme="majorBidi" w:cstheme="majorBidi"/>
          <w:i/>
          <w:iCs/>
          <w:sz w:val="24"/>
          <w:szCs w:val="24"/>
        </w:rPr>
        <w:t>Journal of Productivity Analysis</w:t>
      </w:r>
      <w:r w:rsidRPr="00143BD9">
        <w:rPr>
          <w:rFonts w:asciiTheme="majorBidi" w:hAnsiTheme="majorBidi" w:cstheme="majorBidi"/>
          <w:sz w:val="24"/>
          <w:szCs w:val="24"/>
        </w:rPr>
        <w:t xml:space="preserve"> 21,  133–152</w:t>
      </w:r>
    </w:p>
    <w:p w:rsidR="00334222" w:rsidRPr="00C969DD" w:rsidRDefault="00334222" w:rsidP="00F873C9">
      <w:pPr>
        <w:pStyle w:val="Default"/>
        <w:numPr>
          <w:ilvl w:val="0"/>
          <w:numId w:val="29"/>
        </w:numPr>
        <w:spacing w:line="360" w:lineRule="auto"/>
        <w:rPr>
          <w:rFonts w:cs="Simple Indust Outline"/>
        </w:rPr>
      </w:pPr>
      <w:r w:rsidRPr="003D716B">
        <w:rPr>
          <w:rFonts w:cs="Simple Indust Outline"/>
          <w:lang w:val="en-GB"/>
        </w:rPr>
        <w:t xml:space="preserve">Woo, S. </w:t>
      </w:r>
      <w:r w:rsidR="00F260EB" w:rsidRPr="003D716B">
        <w:rPr>
          <w:rFonts w:cs="Simple Indust Outline"/>
          <w:lang w:val="en-GB"/>
        </w:rPr>
        <w:t>(2011</w:t>
      </w:r>
      <w:r w:rsidRPr="003D716B">
        <w:rPr>
          <w:rFonts w:cs="Simple Indust Outline"/>
          <w:lang w:val="en-GB"/>
        </w:rPr>
        <w:t xml:space="preserve">). </w:t>
      </w:r>
      <w:r w:rsidRPr="003D716B">
        <w:rPr>
          <w:rFonts w:cs="Simple Indust Outline"/>
          <w:i/>
          <w:iCs/>
          <w:lang w:val="en-GB"/>
        </w:rPr>
        <w:t>Super Disclosure: The Flawed Credit Rating Regulatory Regime</w:t>
      </w:r>
      <w:r w:rsidR="00143BD9">
        <w:rPr>
          <w:rFonts w:cs="Simple Indust Outline"/>
        </w:rPr>
        <w:t>.</w:t>
      </w:r>
    </w:p>
    <w:p w:rsidR="00334222" w:rsidRPr="00CB62D2" w:rsidRDefault="00C27696" w:rsidP="00823E19">
      <w:pPr>
        <w:pStyle w:val="ListParagraph"/>
        <w:autoSpaceDE w:val="0"/>
        <w:autoSpaceDN w:val="0"/>
        <w:adjustRightInd w:val="0"/>
        <w:spacing w:after="0" w:line="360" w:lineRule="auto"/>
        <w:ind w:left="927"/>
        <w:rPr>
          <w:rFonts w:ascii="Times New Roman" w:hAnsi="Times New Roman" w:cs="Simple Indust Outline"/>
          <w:sz w:val="24"/>
          <w:szCs w:val="24"/>
          <w:rtl/>
          <w:lang w:bidi="ar-JO"/>
        </w:rPr>
      </w:pPr>
      <w:r w:rsidRPr="00CB62D2">
        <w:rPr>
          <w:rFonts w:ascii="Times New Roman" w:hAnsi="Times New Roman" w:cs="Simple Indust Outline"/>
          <w:sz w:val="24"/>
          <w:szCs w:val="24"/>
        </w:rPr>
        <w:t>Available</w:t>
      </w:r>
      <w:r w:rsidR="00334222" w:rsidRPr="00CB62D2">
        <w:rPr>
          <w:rFonts w:ascii="Times New Roman" w:hAnsi="Times New Roman" w:cs="Simple Indust Outline"/>
          <w:sz w:val="24"/>
          <w:szCs w:val="24"/>
        </w:rPr>
        <w:t xml:space="preserve"> at </w:t>
      </w:r>
      <w:hyperlink r:id="rId66" w:history="1">
        <w:r w:rsidR="00334222" w:rsidRPr="00CB62D2">
          <w:rPr>
            <w:rStyle w:val="Hyperlink"/>
            <w:rFonts w:ascii="Times New Roman" w:hAnsi="Times New Roman" w:cs="Simple Indust Outline"/>
            <w:sz w:val="24"/>
            <w:szCs w:val="24"/>
          </w:rPr>
          <w:t>http://www.hertig.ethz.ch/Woo_Super_Disclosure_Mar11.pdf</w:t>
        </w:r>
      </w:hyperlink>
    </w:p>
    <w:p w:rsidR="00334222" w:rsidRPr="00E579EB" w:rsidRDefault="00334222" w:rsidP="00F873C9">
      <w:pPr>
        <w:pStyle w:val="ListParagraph"/>
        <w:numPr>
          <w:ilvl w:val="0"/>
          <w:numId w:val="29"/>
        </w:numPr>
        <w:spacing w:after="0" w:line="360" w:lineRule="auto"/>
        <w:rPr>
          <w:rFonts w:asciiTheme="majorBidi" w:hAnsiTheme="majorBidi" w:cs="Simple Indust Outline"/>
          <w:sz w:val="24"/>
          <w:szCs w:val="24"/>
        </w:rPr>
      </w:pPr>
      <w:r w:rsidRPr="00CB62D2">
        <w:rPr>
          <w:rFonts w:asciiTheme="majorBidi" w:hAnsiTheme="majorBidi" w:cs="Simple Indust Outline"/>
          <w:sz w:val="24"/>
          <w:szCs w:val="24"/>
        </w:rPr>
        <w:t>Twinn, C. I., (1994). Asset-backed Securitization in the United Kingdom. Bank of England, Available at</w:t>
      </w:r>
      <w:r w:rsidR="00E579EB">
        <w:rPr>
          <w:rFonts w:asciiTheme="majorBidi" w:hAnsiTheme="majorBidi" w:cs="Simple Indust Outline"/>
          <w:sz w:val="24"/>
          <w:szCs w:val="24"/>
        </w:rPr>
        <w:t xml:space="preserve"> </w:t>
      </w:r>
      <w:hyperlink r:id="rId67" w:history="1">
        <w:r w:rsidRPr="00CB62D2">
          <w:rPr>
            <w:rStyle w:val="Hyperlink"/>
            <w:rFonts w:asciiTheme="majorBidi" w:hAnsiTheme="majorBidi" w:cs="Simple Indust Outline"/>
            <w:sz w:val="24"/>
            <w:szCs w:val="24"/>
          </w:rPr>
          <w:t>http://www.bankofengland.co.uk/publications/quarterlybulletin/qb940204.pdf</w:t>
        </w:r>
      </w:hyperlink>
    </w:p>
    <w:p w:rsidR="00F260EB" w:rsidRPr="00F260EB" w:rsidRDefault="00334222" w:rsidP="00F873C9">
      <w:pPr>
        <w:pStyle w:val="ListParagraph"/>
        <w:numPr>
          <w:ilvl w:val="0"/>
          <w:numId w:val="29"/>
        </w:numPr>
        <w:autoSpaceDE w:val="0"/>
        <w:autoSpaceDN w:val="0"/>
        <w:adjustRightInd w:val="0"/>
        <w:spacing w:after="0" w:line="360" w:lineRule="auto"/>
        <w:rPr>
          <w:rFonts w:ascii="Times New Roman" w:hAnsi="Times New Roman" w:cs="Simple Indust Outline"/>
          <w:sz w:val="24"/>
          <w:szCs w:val="24"/>
          <w:lang w:val="en-GB"/>
        </w:rPr>
      </w:pPr>
      <w:r w:rsidRPr="00CB62D2">
        <w:rPr>
          <w:rFonts w:ascii="Times New Roman" w:hAnsi="Times New Roman" w:cs="Simple Indust Outline"/>
          <w:sz w:val="24"/>
          <w:szCs w:val="24"/>
          <w:lang w:val="en-GB"/>
        </w:rPr>
        <w:t xml:space="preserve">Vong, P. I. and Chan, H. S., (2006), Determinants of Bank Profitability in Macau, </w:t>
      </w:r>
      <w:r w:rsidRPr="00CB62D2">
        <w:rPr>
          <w:rFonts w:ascii="Times New Roman" w:hAnsi="Times New Roman" w:cs="Simple Indust Outline"/>
          <w:i/>
          <w:iCs/>
          <w:sz w:val="24"/>
          <w:szCs w:val="24"/>
          <w:lang w:val="en-GB"/>
        </w:rPr>
        <w:t xml:space="preserve">Journal </w:t>
      </w:r>
      <w:r w:rsidR="00C27696" w:rsidRPr="00CB62D2">
        <w:rPr>
          <w:rFonts w:ascii="Times New Roman" w:hAnsi="Times New Roman" w:cs="Simple Indust Outline"/>
          <w:i/>
          <w:iCs/>
          <w:sz w:val="24"/>
          <w:szCs w:val="24"/>
          <w:lang w:val="en-GB"/>
        </w:rPr>
        <w:t>of Banking</w:t>
      </w:r>
      <w:r w:rsidRPr="00CB62D2">
        <w:rPr>
          <w:rFonts w:ascii="Times New Roman" w:hAnsi="Times New Roman" w:cs="Simple Indust Outline"/>
          <w:i/>
          <w:iCs/>
          <w:sz w:val="24"/>
          <w:szCs w:val="24"/>
          <w:lang w:val="en-GB"/>
        </w:rPr>
        <w:t xml:space="preserve"> and Finance</w:t>
      </w:r>
      <w:r w:rsidRPr="00CB62D2">
        <w:rPr>
          <w:rFonts w:ascii="Times New Roman" w:hAnsi="Times New Roman" w:cs="Simple Indust Outline"/>
          <w:sz w:val="24"/>
          <w:szCs w:val="24"/>
          <w:lang w:val="en-GB"/>
        </w:rPr>
        <w:t xml:space="preserve">. Available at: </w:t>
      </w:r>
      <w:hyperlink r:id="rId68" w:history="1">
        <w:r w:rsidRPr="00CB62D2">
          <w:rPr>
            <w:rStyle w:val="Hyperlink"/>
            <w:rFonts w:ascii="Times New Roman" w:hAnsi="Times New Roman" w:cs="Simple Indust Outline"/>
            <w:sz w:val="24"/>
            <w:szCs w:val="24"/>
            <w:lang w:val="en-GB"/>
          </w:rPr>
          <w:t>www.amcm.gov.mo/publication/quarterly/July2009/macaoprof_en.pdf</w:t>
        </w:r>
      </w:hyperlink>
      <w:r w:rsidRPr="00CB62D2">
        <w:rPr>
          <w:rFonts w:ascii="Times New Roman" w:hAnsi="Times New Roman" w:cs="Simple Indust Outline"/>
          <w:color w:val="1F497D" w:themeColor="text2"/>
          <w:sz w:val="24"/>
          <w:szCs w:val="24"/>
          <w:lang w:val="en-GB"/>
        </w:rPr>
        <w:t>.</w:t>
      </w:r>
    </w:p>
    <w:p w:rsidR="00AF565A" w:rsidRPr="00F260EB" w:rsidRDefault="0007275A" w:rsidP="00F260EB">
      <w:pPr>
        <w:pStyle w:val="ListParagraph"/>
        <w:autoSpaceDE w:val="0"/>
        <w:autoSpaceDN w:val="0"/>
        <w:adjustRightInd w:val="0"/>
        <w:spacing w:after="0" w:line="360" w:lineRule="auto"/>
        <w:ind w:left="927"/>
        <w:jc w:val="center"/>
        <w:rPr>
          <w:rFonts w:ascii="Times New Roman" w:hAnsi="Times New Roman" w:cs="Simple Indust Outline"/>
          <w:sz w:val="24"/>
          <w:szCs w:val="24"/>
          <w:lang w:val="en-GB"/>
        </w:rPr>
      </w:pPr>
      <w:r w:rsidRPr="00F260EB">
        <w:rPr>
          <w:rFonts w:ascii="Times New Roman" w:hAnsi="Times New Roman" w:cs="Times New Roman"/>
          <w:b/>
          <w:sz w:val="24"/>
          <w:szCs w:val="24"/>
        </w:rPr>
        <w:lastRenderedPageBreak/>
        <w:t>A</w:t>
      </w:r>
      <w:r w:rsidR="00D10A2E" w:rsidRPr="00F260EB">
        <w:rPr>
          <w:rFonts w:ascii="Times New Roman" w:hAnsi="Times New Roman" w:cs="Times New Roman"/>
          <w:b/>
          <w:sz w:val="24"/>
          <w:szCs w:val="24"/>
        </w:rPr>
        <w:t>PPENDIXES</w:t>
      </w:r>
    </w:p>
    <w:p w:rsidR="00355D69" w:rsidRPr="00773FF0" w:rsidRDefault="00A0633E" w:rsidP="00F260EB">
      <w:pPr>
        <w:pStyle w:val="ListParagraph"/>
        <w:spacing w:after="240" w:line="360" w:lineRule="auto"/>
        <w:jc w:val="center"/>
        <w:rPr>
          <w:rFonts w:asciiTheme="majorBidi" w:hAnsiTheme="majorBidi" w:cstheme="majorBidi"/>
          <w:sz w:val="24"/>
          <w:szCs w:val="24"/>
        </w:rPr>
      </w:pPr>
      <w:r>
        <w:rPr>
          <w:rFonts w:asciiTheme="majorBidi" w:hAnsiTheme="majorBidi" w:cstheme="majorBidi"/>
          <w:b/>
          <w:sz w:val="24"/>
          <w:szCs w:val="24"/>
        </w:rPr>
        <w:t>Appendix 1</w:t>
      </w:r>
      <w:r w:rsidR="007278AA" w:rsidRPr="00773FF0">
        <w:rPr>
          <w:rFonts w:asciiTheme="majorBidi" w:hAnsiTheme="majorBidi" w:cstheme="majorBidi"/>
          <w:b/>
          <w:sz w:val="24"/>
          <w:szCs w:val="24"/>
        </w:rPr>
        <w:t>: Timeline for New Capital Standards</w:t>
      </w:r>
    </w:p>
    <w:p w:rsidR="007278AA" w:rsidRDefault="007278AA" w:rsidP="00CF13A7">
      <w:pPr>
        <w:spacing w:line="360" w:lineRule="auto"/>
        <w:jc w:val="center"/>
        <w:rPr>
          <w:b/>
          <w:sz w:val="32"/>
          <w:szCs w:val="32"/>
        </w:rPr>
      </w:pPr>
      <w:r>
        <w:rPr>
          <w:b/>
          <w:noProof/>
          <w:sz w:val="32"/>
          <w:szCs w:val="32"/>
        </w:rPr>
        <w:drawing>
          <wp:inline distT="0" distB="0" distL="0" distR="0">
            <wp:extent cx="6168039" cy="3978479"/>
            <wp:effectExtent l="19050" t="0" r="416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168605" cy="3978844"/>
                    </a:xfrm>
                    <a:prstGeom prst="rect">
                      <a:avLst/>
                    </a:prstGeom>
                    <a:noFill/>
                    <a:ln w="9525">
                      <a:noFill/>
                      <a:miter lim="800000"/>
                      <a:headEnd/>
                      <a:tailEnd/>
                    </a:ln>
                  </pic:spPr>
                </pic:pic>
              </a:graphicData>
            </a:graphic>
          </wp:inline>
        </w:drawing>
      </w:r>
    </w:p>
    <w:p w:rsidR="007278AA" w:rsidRPr="00F260EB" w:rsidRDefault="007278AA" w:rsidP="00F260EB">
      <w:pPr>
        <w:spacing w:line="360" w:lineRule="auto"/>
        <w:jc w:val="center"/>
        <w:rPr>
          <w:rFonts w:asciiTheme="majorBidi" w:hAnsiTheme="majorBidi" w:cstheme="majorBidi"/>
          <w:bCs/>
          <w:sz w:val="20"/>
          <w:szCs w:val="20"/>
        </w:rPr>
      </w:pPr>
      <w:r w:rsidRPr="00F260EB">
        <w:rPr>
          <w:rFonts w:asciiTheme="majorBidi" w:hAnsiTheme="majorBidi" w:cstheme="majorBidi"/>
          <w:bCs/>
          <w:sz w:val="20"/>
          <w:szCs w:val="20"/>
        </w:rPr>
        <w:t>Source: Sherman &amp; Sterling llp, 2001</w:t>
      </w:r>
    </w:p>
    <w:p w:rsidR="007602E1" w:rsidRDefault="007602E1" w:rsidP="002309C8">
      <w:pPr>
        <w:autoSpaceDE w:val="0"/>
        <w:autoSpaceDN w:val="0"/>
        <w:adjustRightInd w:val="0"/>
        <w:spacing w:after="0" w:line="360" w:lineRule="auto"/>
        <w:rPr>
          <w:rFonts w:asciiTheme="majorBidi" w:hAnsiTheme="majorBidi" w:cstheme="majorBidi"/>
          <w:b/>
          <w:bCs/>
          <w:sz w:val="24"/>
          <w:szCs w:val="24"/>
        </w:rPr>
      </w:pPr>
    </w:p>
    <w:p w:rsidR="007602E1" w:rsidRDefault="007602E1" w:rsidP="002309C8">
      <w:pPr>
        <w:autoSpaceDE w:val="0"/>
        <w:autoSpaceDN w:val="0"/>
        <w:adjustRightInd w:val="0"/>
        <w:spacing w:after="0" w:line="360" w:lineRule="auto"/>
        <w:rPr>
          <w:rFonts w:asciiTheme="majorBidi" w:hAnsiTheme="majorBidi" w:cstheme="majorBidi"/>
          <w:b/>
          <w:bCs/>
          <w:sz w:val="24"/>
          <w:szCs w:val="24"/>
        </w:rPr>
      </w:pPr>
    </w:p>
    <w:p w:rsidR="007602E1" w:rsidRDefault="007602E1"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4459D4" w:rsidRDefault="004459D4" w:rsidP="002309C8">
      <w:pPr>
        <w:autoSpaceDE w:val="0"/>
        <w:autoSpaceDN w:val="0"/>
        <w:adjustRightInd w:val="0"/>
        <w:spacing w:after="0" w:line="360" w:lineRule="auto"/>
        <w:rPr>
          <w:rFonts w:asciiTheme="majorBidi" w:hAnsiTheme="majorBidi" w:cstheme="majorBidi"/>
          <w:b/>
          <w:bCs/>
          <w:sz w:val="24"/>
          <w:szCs w:val="24"/>
        </w:rPr>
      </w:pPr>
    </w:p>
    <w:p w:rsidR="00F260EB" w:rsidRDefault="00F260EB" w:rsidP="00A0633E">
      <w:pPr>
        <w:rPr>
          <w:rFonts w:asciiTheme="majorBidi" w:hAnsiTheme="majorBidi" w:cstheme="majorBidi"/>
          <w:b/>
        </w:rPr>
      </w:pPr>
    </w:p>
    <w:p w:rsidR="00BC586E" w:rsidRPr="008F2C57" w:rsidRDefault="00A0633E" w:rsidP="00CA1AD2">
      <w:pPr>
        <w:jc w:val="center"/>
        <w:rPr>
          <w:rFonts w:asciiTheme="majorBidi" w:hAnsiTheme="majorBidi" w:cstheme="majorBidi"/>
        </w:rPr>
      </w:pPr>
      <w:r>
        <w:rPr>
          <w:rFonts w:asciiTheme="majorBidi" w:hAnsiTheme="majorBidi" w:cstheme="majorBidi"/>
          <w:b/>
        </w:rPr>
        <w:lastRenderedPageBreak/>
        <w:t>Appendix 2</w:t>
      </w:r>
      <w:r w:rsidR="00BC586E" w:rsidRPr="008F2C57">
        <w:rPr>
          <w:rFonts w:asciiTheme="majorBidi" w:hAnsiTheme="majorBidi" w:cstheme="majorBidi"/>
          <w:b/>
        </w:rPr>
        <w:t xml:space="preserve">: </w:t>
      </w:r>
      <w:r w:rsidR="00BC586E" w:rsidRPr="008F2C57">
        <w:rPr>
          <w:rFonts w:asciiTheme="majorBidi" w:hAnsiTheme="majorBidi" w:cstheme="majorBidi"/>
          <w:b/>
          <w:bCs/>
        </w:rPr>
        <w:t>The ratios (%) of the sample banks for the period 2005-2011</w:t>
      </w:r>
    </w:p>
    <w:tbl>
      <w:tblPr>
        <w:tblStyle w:val="TableGrid"/>
        <w:tblW w:w="0" w:type="auto"/>
        <w:jc w:val="center"/>
        <w:tblInd w:w="108" w:type="dxa"/>
        <w:tblLayout w:type="fixed"/>
        <w:tblLook w:val="04A0"/>
      </w:tblPr>
      <w:tblGrid>
        <w:gridCol w:w="1791"/>
        <w:gridCol w:w="709"/>
        <w:gridCol w:w="851"/>
        <w:gridCol w:w="708"/>
        <w:gridCol w:w="851"/>
        <w:gridCol w:w="847"/>
        <w:gridCol w:w="940"/>
      </w:tblGrid>
      <w:tr w:rsidR="004E38AF" w:rsidTr="00012797">
        <w:trPr>
          <w:trHeight w:val="350"/>
          <w:jc w:val="center"/>
        </w:trPr>
        <w:tc>
          <w:tcPr>
            <w:tcW w:w="1791" w:type="dxa"/>
            <w:tcBorders>
              <w:right w:val="single" w:sz="4" w:space="0" w:color="auto"/>
            </w:tcBorders>
            <w:shd w:val="clear" w:color="auto" w:fill="0070C0"/>
          </w:tcPr>
          <w:p w:rsidR="004E38AF" w:rsidRPr="001F65FB" w:rsidRDefault="004E38AF" w:rsidP="001C759D">
            <w:pPr>
              <w:jc w:val="center"/>
              <w:rPr>
                <w:b/>
                <w:bCs/>
              </w:rPr>
            </w:pPr>
            <w:r w:rsidRPr="001F65FB">
              <w:rPr>
                <w:b/>
                <w:bCs/>
              </w:rPr>
              <w:t>BANK</w:t>
            </w:r>
          </w:p>
        </w:tc>
        <w:tc>
          <w:tcPr>
            <w:tcW w:w="709" w:type="dxa"/>
            <w:tcBorders>
              <w:left w:val="single" w:sz="4" w:space="0" w:color="auto"/>
            </w:tcBorders>
            <w:shd w:val="clear" w:color="auto" w:fill="0070C0"/>
          </w:tcPr>
          <w:p w:rsidR="004E38AF" w:rsidRPr="001F65FB" w:rsidRDefault="004E38AF" w:rsidP="00D51282">
            <w:pPr>
              <w:jc w:val="center"/>
              <w:rPr>
                <w:b/>
                <w:bCs/>
              </w:rPr>
            </w:pPr>
            <w:r>
              <w:rPr>
                <w:b/>
                <w:bCs/>
              </w:rPr>
              <w:t>NIDR</w:t>
            </w:r>
          </w:p>
        </w:tc>
        <w:tc>
          <w:tcPr>
            <w:tcW w:w="851" w:type="dxa"/>
            <w:shd w:val="clear" w:color="auto" w:fill="0070C0"/>
          </w:tcPr>
          <w:p w:rsidR="004E38AF" w:rsidRPr="001F65FB" w:rsidRDefault="004E38AF" w:rsidP="001C759D">
            <w:pPr>
              <w:jc w:val="center"/>
              <w:rPr>
                <w:b/>
                <w:bCs/>
              </w:rPr>
            </w:pPr>
            <w:r w:rsidRPr="001F65FB">
              <w:rPr>
                <w:b/>
                <w:bCs/>
              </w:rPr>
              <w:t>NPLR</w:t>
            </w:r>
          </w:p>
        </w:tc>
        <w:tc>
          <w:tcPr>
            <w:tcW w:w="708" w:type="dxa"/>
            <w:tcBorders>
              <w:left w:val="single" w:sz="4" w:space="0" w:color="auto"/>
            </w:tcBorders>
            <w:shd w:val="clear" w:color="auto" w:fill="0070C0"/>
          </w:tcPr>
          <w:p w:rsidR="004E38AF" w:rsidRPr="001F65FB" w:rsidRDefault="004E38AF" w:rsidP="001C759D">
            <w:pPr>
              <w:jc w:val="center"/>
              <w:rPr>
                <w:b/>
                <w:bCs/>
              </w:rPr>
            </w:pPr>
            <w:r w:rsidRPr="001F65FB">
              <w:rPr>
                <w:b/>
                <w:bCs/>
              </w:rPr>
              <w:t>LLPI</w:t>
            </w:r>
          </w:p>
        </w:tc>
        <w:tc>
          <w:tcPr>
            <w:tcW w:w="851" w:type="dxa"/>
            <w:tcBorders>
              <w:right w:val="single" w:sz="4" w:space="0" w:color="auto"/>
            </w:tcBorders>
            <w:shd w:val="clear" w:color="auto" w:fill="0070C0"/>
          </w:tcPr>
          <w:p w:rsidR="004E38AF" w:rsidRPr="001F65FB" w:rsidRDefault="004E38AF" w:rsidP="001C759D">
            <w:pPr>
              <w:jc w:val="center"/>
              <w:rPr>
                <w:b/>
                <w:bCs/>
              </w:rPr>
            </w:pPr>
            <w:r>
              <w:rPr>
                <w:b/>
                <w:bCs/>
              </w:rPr>
              <w:t xml:space="preserve">EQTA      </w:t>
            </w:r>
          </w:p>
        </w:tc>
        <w:tc>
          <w:tcPr>
            <w:tcW w:w="847" w:type="dxa"/>
            <w:tcBorders>
              <w:left w:val="single" w:sz="4" w:space="0" w:color="auto"/>
            </w:tcBorders>
            <w:shd w:val="clear" w:color="auto" w:fill="0070C0"/>
          </w:tcPr>
          <w:p w:rsidR="004E38AF" w:rsidRPr="001F65FB" w:rsidRDefault="004E38AF" w:rsidP="00261E49">
            <w:pPr>
              <w:rPr>
                <w:b/>
                <w:bCs/>
              </w:rPr>
            </w:pPr>
            <w:r>
              <w:rPr>
                <w:b/>
                <w:bCs/>
              </w:rPr>
              <w:t>OPNI</w:t>
            </w:r>
          </w:p>
        </w:tc>
        <w:tc>
          <w:tcPr>
            <w:tcW w:w="940" w:type="dxa"/>
            <w:tcBorders>
              <w:top w:val="single" w:sz="4" w:space="0" w:color="auto"/>
              <w:bottom w:val="single" w:sz="4" w:space="0" w:color="auto"/>
              <w:right w:val="single" w:sz="4" w:space="0" w:color="auto"/>
            </w:tcBorders>
            <w:shd w:val="clear" w:color="auto" w:fill="0070C0"/>
          </w:tcPr>
          <w:p w:rsidR="004E38AF" w:rsidRDefault="004E38AF" w:rsidP="00012797">
            <w:pPr>
              <w:jc w:val="center"/>
            </w:pPr>
            <w:r w:rsidRPr="001F65FB">
              <w:rPr>
                <w:b/>
                <w:bCs/>
              </w:rPr>
              <w:t>YEAR</w:t>
            </w:r>
          </w:p>
        </w:tc>
      </w:tr>
      <w:tr w:rsidR="004E38AF" w:rsidTr="00012797">
        <w:trPr>
          <w:jc w:val="center"/>
        </w:trPr>
        <w:tc>
          <w:tcPr>
            <w:tcW w:w="1791" w:type="dxa"/>
            <w:tcBorders>
              <w:right w:val="single" w:sz="4" w:space="0" w:color="auto"/>
            </w:tcBorders>
            <w:shd w:val="clear" w:color="auto" w:fill="FFFF00"/>
          </w:tcPr>
          <w:p w:rsidR="004E38AF" w:rsidRPr="001F65FB" w:rsidRDefault="004E38AF" w:rsidP="00D51282">
            <w:pPr>
              <w:rPr>
                <w:b/>
                <w:bCs/>
              </w:rPr>
            </w:pPr>
            <w:r w:rsidRPr="001F65FB">
              <w:rPr>
                <w:b/>
                <w:bCs/>
              </w:rPr>
              <w:t>Bank of Palestine</w:t>
            </w:r>
          </w:p>
        </w:tc>
        <w:tc>
          <w:tcPr>
            <w:tcW w:w="709" w:type="dxa"/>
            <w:tcBorders>
              <w:left w:val="single" w:sz="4" w:space="0" w:color="auto"/>
            </w:tcBorders>
            <w:shd w:val="clear" w:color="auto" w:fill="FFFF00"/>
          </w:tcPr>
          <w:p w:rsidR="004E38AF" w:rsidRDefault="004E38AF" w:rsidP="00D51282">
            <w:pPr>
              <w:rPr>
                <w:b/>
                <w:bCs/>
              </w:rPr>
            </w:pPr>
            <w:r>
              <w:rPr>
                <w:b/>
                <w:bCs/>
              </w:rPr>
              <w:t>35.7</w:t>
            </w:r>
          </w:p>
          <w:p w:rsidR="004E38AF" w:rsidRDefault="004E38AF" w:rsidP="00D51282">
            <w:pPr>
              <w:rPr>
                <w:b/>
                <w:bCs/>
              </w:rPr>
            </w:pPr>
            <w:r>
              <w:rPr>
                <w:b/>
                <w:bCs/>
              </w:rPr>
              <w:t>32</w:t>
            </w:r>
          </w:p>
          <w:p w:rsidR="004E38AF" w:rsidRDefault="004E38AF" w:rsidP="00D51282">
            <w:pPr>
              <w:rPr>
                <w:b/>
                <w:bCs/>
              </w:rPr>
            </w:pPr>
            <w:r>
              <w:rPr>
                <w:b/>
                <w:bCs/>
              </w:rPr>
              <w:t>22.5</w:t>
            </w:r>
          </w:p>
          <w:p w:rsidR="004E38AF" w:rsidRDefault="004E38AF" w:rsidP="00D51282">
            <w:pPr>
              <w:rPr>
                <w:b/>
                <w:bCs/>
              </w:rPr>
            </w:pPr>
            <w:r>
              <w:rPr>
                <w:b/>
                <w:bCs/>
              </w:rPr>
              <w:t>34.2</w:t>
            </w:r>
          </w:p>
          <w:p w:rsidR="004E38AF" w:rsidRDefault="004E38AF" w:rsidP="00D51282">
            <w:pPr>
              <w:rPr>
                <w:b/>
                <w:bCs/>
              </w:rPr>
            </w:pPr>
            <w:r>
              <w:rPr>
                <w:b/>
                <w:bCs/>
              </w:rPr>
              <w:t>38.4</w:t>
            </w:r>
          </w:p>
          <w:p w:rsidR="004E38AF" w:rsidRDefault="004E38AF" w:rsidP="00D51282">
            <w:pPr>
              <w:rPr>
                <w:b/>
                <w:bCs/>
              </w:rPr>
            </w:pPr>
            <w:r>
              <w:rPr>
                <w:b/>
                <w:bCs/>
              </w:rPr>
              <w:t>45.3</w:t>
            </w:r>
          </w:p>
          <w:p w:rsidR="004E38AF" w:rsidRPr="001F65FB" w:rsidRDefault="004E38AF" w:rsidP="00D51282">
            <w:pPr>
              <w:rPr>
                <w:b/>
                <w:bCs/>
              </w:rPr>
            </w:pPr>
            <w:r>
              <w:rPr>
                <w:b/>
                <w:bCs/>
              </w:rPr>
              <w:t>58</w:t>
            </w:r>
          </w:p>
        </w:tc>
        <w:tc>
          <w:tcPr>
            <w:tcW w:w="851" w:type="dxa"/>
            <w:shd w:val="clear" w:color="auto" w:fill="FFFF00"/>
          </w:tcPr>
          <w:p w:rsidR="004E38AF" w:rsidRPr="008320C5" w:rsidRDefault="004E38AF" w:rsidP="001C759D">
            <w:pPr>
              <w:jc w:val="center"/>
              <w:rPr>
                <w:b/>
                <w:bCs/>
              </w:rPr>
            </w:pPr>
            <w:r w:rsidRPr="008320C5">
              <w:rPr>
                <w:b/>
                <w:bCs/>
              </w:rPr>
              <w:t>2.56</w:t>
            </w:r>
          </w:p>
          <w:p w:rsidR="004E38AF" w:rsidRPr="008320C5" w:rsidRDefault="004E38AF" w:rsidP="001C759D">
            <w:pPr>
              <w:jc w:val="center"/>
              <w:rPr>
                <w:b/>
                <w:bCs/>
              </w:rPr>
            </w:pPr>
            <w:r w:rsidRPr="008320C5">
              <w:rPr>
                <w:b/>
                <w:bCs/>
              </w:rPr>
              <w:t>2.53</w:t>
            </w:r>
          </w:p>
          <w:p w:rsidR="004E38AF" w:rsidRPr="008320C5" w:rsidRDefault="004E38AF" w:rsidP="001C759D">
            <w:pPr>
              <w:jc w:val="center"/>
              <w:rPr>
                <w:b/>
                <w:bCs/>
              </w:rPr>
            </w:pPr>
            <w:r w:rsidRPr="008320C5">
              <w:rPr>
                <w:b/>
                <w:bCs/>
              </w:rPr>
              <w:t>2.48</w:t>
            </w:r>
          </w:p>
          <w:p w:rsidR="004E38AF" w:rsidRPr="008320C5" w:rsidRDefault="004E38AF" w:rsidP="001C759D">
            <w:pPr>
              <w:jc w:val="center"/>
              <w:rPr>
                <w:b/>
                <w:bCs/>
              </w:rPr>
            </w:pPr>
            <w:r w:rsidRPr="008320C5">
              <w:rPr>
                <w:b/>
                <w:bCs/>
              </w:rPr>
              <w:t>2.36</w:t>
            </w:r>
          </w:p>
          <w:p w:rsidR="004E38AF" w:rsidRPr="008320C5" w:rsidRDefault="004E38AF" w:rsidP="001C759D">
            <w:pPr>
              <w:jc w:val="center"/>
              <w:rPr>
                <w:b/>
                <w:bCs/>
              </w:rPr>
            </w:pPr>
            <w:r w:rsidRPr="008320C5">
              <w:rPr>
                <w:b/>
                <w:bCs/>
              </w:rPr>
              <w:t>1.16</w:t>
            </w:r>
          </w:p>
          <w:p w:rsidR="004E38AF" w:rsidRPr="008320C5" w:rsidRDefault="004E38AF" w:rsidP="001C759D">
            <w:pPr>
              <w:jc w:val="center"/>
              <w:rPr>
                <w:b/>
                <w:bCs/>
              </w:rPr>
            </w:pPr>
            <w:r w:rsidRPr="008320C5">
              <w:rPr>
                <w:b/>
                <w:bCs/>
              </w:rPr>
              <w:t>1.13</w:t>
            </w:r>
          </w:p>
          <w:p w:rsidR="004E38AF" w:rsidRDefault="004E38AF" w:rsidP="001C759D">
            <w:pPr>
              <w:jc w:val="center"/>
            </w:pPr>
            <w:r w:rsidRPr="008320C5">
              <w:rPr>
                <w:b/>
                <w:bCs/>
              </w:rPr>
              <w:t>1.72</w:t>
            </w:r>
          </w:p>
        </w:tc>
        <w:tc>
          <w:tcPr>
            <w:tcW w:w="708" w:type="dxa"/>
            <w:tcBorders>
              <w:left w:val="single" w:sz="4" w:space="0" w:color="auto"/>
            </w:tcBorders>
            <w:shd w:val="clear" w:color="auto" w:fill="FFFF00"/>
          </w:tcPr>
          <w:p w:rsidR="004E38AF" w:rsidRPr="000E0F25" w:rsidRDefault="004E38AF" w:rsidP="001C759D">
            <w:pPr>
              <w:jc w:val="center"/>
              <w:rPr>
                <w:b/>
                <w:bCs/>
              </w:rPr>
            </w:pPr>
            <w:r>
              <w:rPr>
                <w:b/>
                <w:bCs/>
              </w:rPr>
              <w:t>8</w:t>
            </w:r>
          </w:p>
          <w:p w:rsidR="004E38AF" w:rsidRPr="000E0F25" w:rsidRDefault="004E38AF" w:rsidP="001C759D">
            <w:pPr>
              <w:jc w:val="center"/>
              <w:rPr>
                <w:b/>
                <w:bCs/>
              </w:rPr>
            </w:pPr>
            <w:r w:rsidRPr="000E0F25">
              <w:rPr>
                <w:b/>
                <w:bCs/>
              </w:rPr>
              <w:t>2.06</w:t>
            </w:r>
          </w:p>
          <w:p w:rsidR="004E38AF" w:rsidRPr="000E0F25" w:rsidRDefault="004E38AF" w:rsidP="001C759D">
            <w:pPr>
              <w:jc w:val="center"/>
              <w:rPr>
                <w:b/>
                <w:bCs/>
              </w:rPr>
            </w:pPr>
            <w:r w:rsidRPr="000E0F25">
              <w:rPr>
                <w:b/>
                <w:bCs/>
              </w:rPr>
              <w:t>8.06</w:t>
            </w:r>
          </w:p>
          <w:p w:rsidR="004E38AF" w:rsidRPr="000E0F25" w:rsidRDefault="004E38AF" w:rsidP="001C759D">
            <w:pPr>
              <w:jc w:val="center"/>
              <w:rPr>
                <w:b/>
                <w:bCs/>
              </w:rPr>
            </w:pPr>
            <w:r w:rsidRPr="000E0F25">
              <w:rPr>
                <w:b/>
                <w:bCs/>
              </w:rPr>
              <w:t>8.02</w:t>
            </w:r>
          </w:p>
          <w:p w:rsidR="004E38AF" w:rsidRPr="000E0F25" w:rsidRDefault="004E38AF" w:rsidP="001C759D">
            <w:pPr>
              <w:jc w:val="center"/>
              <w:rPr>
                <w:b/>
                <w:bCs/>
              </w:rPr>
            </w:pPr>
            <w:r w:rsidRPr="000E0F25">
              <w:rPr>
                <w:b/>
                <w:bCs/>
              </w:rPr>
              <w:t>1.03</w:t>
            </w:r>
          </w:p>
          <w:p w:rsidR="004E38AF" w:rsidRPr="000E0F25" w:rsidRDefault="004E38AF" w:rsidP="001C759D">
            <w:pPr>
              <w:jc w:val="center"/>
              <w:rPr>
                <w:b/>
                <w:bCs/>
              </w:rPr>
            </w:pPr>
            <w:r w:rsidRPr="000E0F25">
              <w:rPr>
                <w:b/>
                <w:bCs/>
              </w:rPr>
              <w:t>1</w:t>
            </w:r>
          </w:p>
          <w:p w:rsidR="004E38AF" w:rsidRPr="000E0F25" w:rsidRDefault="004E38AF" w:rsidP="001C759D">
            <w:pPr>
              <w:jc w:val="center"/>
              <w:rPr>
                <w:b/>
                <w:bCs/>
              </w:rPr>
            </w:pPr>
            <w:r w:rsidRPr="000E0F25">
              <w:rPr>
                <w:b/>
                <w:bCs/>
              </w:rPr>
              <w:t>0.5</w:t>
            </w:r>
          </w:p>
        </w:tc>
        <w:tc>
          <w:tcPr>
            <w:tcW w:w="851" w:type="dxa"/>
            <w:tcBorders>
              <w:right w:val="single" w:sz="4" w:space="0" w:color="auto"/>
            </w:tcBorders>
            <w:shd w:val="clear" w:color="auto" w:fill="FFFF00"/>
          </w:tcPr>
          <w:p w:rsidR="004E38AF" w:rsidRDefault="004E38AF" w:rsidP="001C759D">
            <w:pPr>
              <w:jc w:val="center"/>
              <w:rPr>
                <w:b/>
                <w:bCs/>
              </w:rPr>
            </w:pPr>
            <w:r>
              <w:rPr>
                <w:b/>
                <w:bCs/>
              </w:rPr>
              <w:t>8.76</w:t>
            </w:r>
          </w:p>
          <w:p w:rsidR="004E38AF" w:rsidRDefault="004E38AF" w:rsidP="001C759D">
            <w:pPr>
              <w:jc w:val="center"/>
              <w:rPr>
                <w:b/>
                <w:bCs/>
              </w:rPr>
            </w:pPr>
            <w:r>
              <w:rPr>
                <w:b/>
                <w:bCs/>
              </w:rPr>
              <w:t>9.33</w:t>
            </w:r>
          </w:p>
          <w:p w:rsidR="004E38AF" w:rsidRDefault="004E38AF" w:rsidP="001C759D">
            <w:pPr>
              <w:jc w:val="center"/>
              <w:rPr>
                <w:b/>
                <w:bCs/>
              </w:rPr>
            </w:pPr>
            <w:r>
              <w:rPr>
                <w:b/>
                <w:bCs/>
              </w:rPr>
              <w:t>10.64</w:t>
            </w:r>
          </w:p>
          <w:p w:rsidR="004E38AF" w:rsidRDefault="004E38AF" w:rsidP="001C759D">
            <w:pPr>
              <w:jc w:val="center"/>
              <w:rPr>
                <w:b/>
                <w:bCs/>
              </w:rPr>
            </w:pPr>
            <w:r>
              <w:rPr>
                <w:b/>
                <w:bCs/>
              </w:rPr>
              <w:t>11.76</w:t>
            </w:r>
          </w:p>
          <w:p w:rsidR="004E38AF" w:rsidRDefault="004E38AF" w:rsidP="001C759D">
            <w:pPr>
              <w:jc w:val="center"/>
              <w:rPr>
                <w:b/>
                <w:bCs/>
              </w:rPr>
            </w:pPr>
            <w:r>
              <w:rPr>
                <w:b/>
                <w:bCs/>
              </w:rPr>
              <w:t>11.6</w:t>
            </w:r>
          </w:p>
          <w:p w:rsidR="004E38AF" w:rsidRDefault="004E38AF" w:rsidP="001C759D">
            <w:pPr>
              <w:jc w:val="center"/>
              <w:rPr>
                <w:b/>
                <w:bCs/>
              </w:rPr>
            </w:pPr>
            <w:r>
              <w:rPr>
                <w:b/>
                <w:bCs/>
              </w:rPr>
              <w:t>11.2</w:t>
            </w:r>
          </w:p>
          <w:p w:rsidR="004E38AF" w:rsidRPr="0001464C" w:rsidRDefault="004E38AF" w:rsidP="001C759D">
            <w:pPr>
              <w:jc w:val="center"/>
              <w:rPr>
                <w:b/>
                <w:bCs/>
              </w:rPr>
            </w:pPr>
            <w:r>
              <w:rPr>
                <w:b/>
                <w:bCs/>
              </w:rPr>
              <w:t>11.7</w:t>
            </w:r>
          </w:p>
        </w:tc>
        <w:tc>
          <w:tcPr>
            <w:tcW w:w="847" w:type="dxa"/>
            <w:tcBorders>
              <w:left w:val="single" w:sz="4" w:space="0" w:color="auto"/>
            </w:tcBorders>
            <w:shd w:val="clear" w:color="auto" w:fill="FFFF00"/>
          </w:tcPr>
          <w:p w:rsidR="00747934" w:rsidRDefault="00747934" w:rsidP="001C759D">
            <w:pPr>
              <w:jc w:val="center"/>
              <w:rPr>
                <w:b/>
                <w:bCs/>
              </w:rPr>
            </w:pPr>
            <w:r>
              <w:rPr>
                <w:b/>
                <w:bCs/>
              </w:rPr>
              <w:t>63.20</w:t>
            </w:r>
          </w:p>
          <w:p w:rsidR="00747934" w:rsidRDefault="00747934" w:rsidP="001C759D">
            <w:pPr>
              <w:jc w:val="center"/>
              <w:rPr>
                <w:b/>
                <w:bCs/>
              </w:rPr>
            </w:pPr>
            <w:r>
              <w:rPr>
                <w:b/>
                <w:bCs/>
              </w:rPr>
              <w:t>144</w:t>
            </w:r>
          </w:p>
          <w:p w:rsidR="00747934" w:rsidRDefault="00747934" w:rsidP="001C759D">
            <w:pPr>
              <w:jc w:val="center"/>
              <w:rPr>
                <w:b/>
                <w:bCs/>
              </w:rPr>
            </w:pPr>
            <w:r>
              <w:rPr>
                <w:b/>
                <w:bCs/>
              </w:rPr>
              <w:t>71.70</w:t>
            </w:r>
          </w:p>
          <w:p w:rsidR="00747934" w:rsidRDefault="00747934" w:rsidP="001C759D">
            <w:pPr>
              <w:jc w:val="center"/>
              <w:rPr>
                <w:b/>
                <w:bCs/>
              </w:rPr>
            </w:pPr>
            <w:r>
              <w:rPr>
                <w:b/>
                <w:bCs/>
              </w:rPr>
              <w:t>89.80</w:t>
            </w:r>
          </w:p>
          <w:p w:rsidR="00747934" w:rsidRDefault="00747934" w:rsidP="001C759D">
            <w:pPr>
              <w:jc w:val="center"/>
              <w:rPr>
                <w:b/>
                <w:bCs/>
              </w:rPr>
            </w:pPr>
            <w:r>
              <w:rPr>
                <w:b/>
                <w:bCs/>
              </w:rPr>
              <w:t>189</w:t>
            </w:r>
          </w:p>
          <w:p w:rsidR="00747934" w:rsidRDefault="00747934" w:rsidP="001C759D">
            <w:pPr>
              <w:jc w:val="center"/>
              <w:rPr>
                <w:b/>
                <w:bCs/>
              </w:rPr>
            </w:pPr>
            <w:r>
              <w:rPr>
                <w:b/>
                <w:bCs/>
              </w:rPr>
              <w:t>52</w:t>
            </w:r>
          </w:p>
          <w:p w:rsidR="00747934" w:rsidRPr="0001464C" w:rsidRDefault="00747934" w:rsidP="001C759D">
            <w:pPr>
              <w:jc w:val="center"/>
              <w:rPr>
                <w:b/>
                <w:bCs/>
              </w:rPr>
            </w:pPr>
            <w:r>
              <w:rPr>
                <w:b/>
                <w:bCs/>
              </w:rPr>
              <w:t>182</w:t>
            </w:r>
          </w:p>
        </w:tc>
        <w:tc>
          <w:tcPr>
            <w:tcW w:w="940" w:type="dxa"/>
            <w:tcBorders>
              <w:top w:val="single" w:sz="4" w:space="0" w:color="auto"/>
              <w:bottom w:val="single" w:sz="4" w:space="0" w:color="auto"/>
              <w:right w:val="single" w:sz="4" w:space="0" w:color="auto"/>
            </w:tcBorders>
            <w:shd w:val="clear" w:color="auto" w:fill="FFFF00"/>
          </w:tcPr>
          <w:p w:rsidR="004E38AF" w:rsidRPr="0001464C" w:rsidRDefault="004E38AF" w:rsidP="00012797">
            <w:pPr>
              <w:jc w:val="center"/>
              <w:rPr>
                <w:b/>
                <w:bCs/>
              </w:rPr>
            </w:pPr>
            <w:r w:rsidRPr="0001464C">
              <w:rPr>
                <w:b/>
                <w:bCs/>
              </w:rPr>
              <w:t>2005</w:t>
            </w:r>
          </w:p>
          <w:p w:rsidR="004E38AF" w:rsidRPr="0001464C" w:rsidRDefault="004E38AF" w:rsidP="00012797">
            <w:pPr>
              <w:jc w:val="center"/>
              <w:rPr>
                <w:b/>
                <w:bCs/>
              </w:rPr>
            </w:pPr>
            <w:r w:rsidRPr="0001464C">
              <w:rPr>
                <w:b/>
                <w:bCs/>
              </w:rPr>
              <w:t>2006</w:t>
            </w:r>
          </w:p>
          <w:p w:rsidR="004E38AF" w:rsidRPr="0001464C" w:rsidRDefault="004E38AF" w:rsidP="00012797">
            <w:pPr>
              <w:jc w:val="center"/>
              <w:rPr>
                <w:b/>
                <w:bCs/>
              </w:rPr>
            </w:pPr>
            <w:r w:rsidRPr="0001464C">
              <w:rPr>
                <w:b/>
                <w:bCs/>
              </w:rPr>
              <w:t>2007</w:t>
            </w:r>
          </w:p>
          <w:p w:rsidR="004E38AF" w:rsidRPr="0001464C" w:rsidRDefault="004E38AF" w:rsidP="00012797">
            <w:pPr>
              <w:jc w:val="center"/>
              <w:rPr>
                <w:b/>
                <w:bCs/>
              </w:rPr>
            </w:pPr>
            <w:r w:rsidRPr="0001464C">
              <w:rPr>
                <w:b/>
                <w:bCs/>
              </w:rPr>
              <w:t>2008</w:t>
            </w:r>
          </w:p>
          <w:p w:rsidR="004E38AF" w:rsidRPr="0001464C" w:rsidRDefault="004E38AF" w:rsidP="00012797">
            <w:pPr>
              <w:jc w:val="center"/>
              <w:rPr>
                <w:b/>
                <w:bCs/>
              </w:rPr>
            </w:pPr>
            <w:r w:rsidRPr="0001464C">
              <w:rPr>
                <w:b/>
                <w:bCs/>
              </w:rPr>
              <w:t>2009</w:t>
            </w:r>
          </w:p>
          <w:p w:rsidR="004E38AF" w:rsidRPr="0001464C" w:rsidRDefault="004E38AF" w:rsidP="00012797">
            <w:pPr>
              <w:jc w:val="center"/>
              <w:rPr>
                <w:b/>
                <w:bCs/>
              </w:rPr>
            </w:pPr>
            <w:r w:rsidRPr="0001464C">
              <w:rPr>
                <w:b/>
                <w:bCs/>
              </w:rPr>
              <w:t>2010</w:t>
            </w:r>
          </w:p>
          <w:p w:rsidR="004E38AF" w:rsidRDefault="004E38AF" w:rsidP="00012797">
            <w:pPr>
              <w:jc w:val="center"/>
            </w:pPr>
            <w:r w:rsidRPr="0001464C">
              <w:rPr>
                <w:b/>
                <w:bCs/>
              </w:rPr>
              <w:t>2011</w:t>
            </w:r>
          </w:p>
        </w:tc>
      </w:tr>
      <w:tr w:rsidR="004E38AF" w:rsidTr="00012797">
        <w:trPr>
          <w:jc w:val="center"/>
        </w:trPr>
        <w:tc>
          <w:tcPr>
            <w:tcW w:w="1791" w:type="dxa"/>
            <w:tcBorders>
              <w:right w:val="single" w:sz="4" w:space="0" w:color="auto"/>
            </w:tcBorders>
            <w:shd w:val="clear" w:color="auto" w:fill="C00000"/>
          </w:tcPr>
          <w:p w:rsidR="004E38AF" w:rsidRPr="001F65FB" w:rsidRDefault="004E38AF" w:rsidP="00D51282">
            <w:pPr>
              <w:rPr>
                <w:b/>
                <w:bCs/>
              </w:rPr>
            </w:pPr>
            <w:r w:rsidRPr="001F65FB">
              <w:rPr>
                <w:b/>
                <w:bCs/>
              </w:rPr>
              <w:t>Al-quds bank</w:t>
            </w:r>
          </w:p>
        </w:tc>
        <w:tc>
          <w:tcPr>
            <w:tcW w:w="709" w:type="dxa"/>
            <w:tcBorders>
              <w:left w:val="single" w:sz="4" w:space="0" w:color="auto"/>
            </w:tcBorders>
            <w:shd w:val="clear" w:color="auto" w:fill="C00000"/>
          </w:tcPr>
          <w:p w:rsidR="004E38AF" w:rsidRDefault="004E38AF" w:rsidP="00D51282">
            <w:pPr>
              <w:rPr>
                <w:b/>
                <w:bCs/>
              </w:rPr>
            </w:pPr>
            <w:r>
              <w:rPr>
                <w:b/>
                <w:bCs/>
              </w:rPr>
              <w:t>56</w:t>
            </w:r>
          </w:p>
          <w:p w:rsidR="004E38AF" w:rsidRDefault="004E38AF" w:rsidP="00D51282">
            <w:pPr>
              <w:rPr>
                <w:b/>
                <w:bCs/>
              </w:rPr>
            </w:pPr>
            <w:r>
              <w:rPr>
                <w:b/>
                <w:bCs/>
              </w:rPr>
              <w:t>23.1</w:t>
            </w:r>
          </w:p>
          <w:p w:rsidR="004E38AF" w:rsidRDefault="004E38AF" w:rsidP="00D51282">
            <w:pPr>
              <w:rPr>
                <w:b/>
                <w:bCs/>
              </w:rPr>
            </w:pPr>
            <w:r>
              <w:rPr>
                <w:b/>
                <w:bCs/>
              </w:rPr>
              <w:t>23.1</w:t>
            </w:r>
          </w:p>
          <w:p w:rsidR="004E38AF" w:rsidRDefault="004E38AF" w:rsidP="00D51282">
            <w:pPr>
              <w:rPr>
                <w:b/>
                <w:bCs/>
              </w:rPr>
            </w:pPr>
            <w:r>
              <w:rPr>
                <w:b/>
                <w:bCs/>
              </w:rPr>
              <w:t>28.5</w:t>
            </w:r>
          </w:p>
          <w:p w:rsidR="004E38AF" w:rsidRDefault="004E38AF" w:rsidP="00D51282">
            <w:pPr>
              <w:rPr>
                <w:b/>
                <w:bCs/>
              </w:rPr>
            </w:pPr>
            <w:r>
              <w:rPr>
                <w:b/>
                <w:bCs/>
              </w:rPr>
              <w:t>43.9</w:t>
            </w:r>
          </w:p>
          <w:p w:rsidR="004E38AF" w:rsidRDefault="004E38AF" w:rsidP="00D51282">
            <w:pPr>
              <w:rPr>
                <w:b/>
                <w:bCs/>
              </w:rPr>
            </w:pPr>
            <w:r>
              <w:rPr>
                <w:b/>
                <w:bCs/>
              </w:rPr>
              <w:t>38.8</w:t>
            </w:r>
          </w:p>
          <w:p w:rsidR="004E38AF" w:rsidRPr="001F65FB" w:rsidRDefault="004E38AF" w:rsidP="00D51282">
            <w:pPr>
              <w:rPr>
                <w:b/>
                <w:bCs/>
              </w:rPr>
            </w:pPr>
            <w:r>
              <w:rPr>
                <w:b/>
                <w:bCs/>
              </w:rPr>
              <w:t>37.8</w:t>
            </w:r>
          </w:p>
        </w:tc>
        <w:tc>
          <w:tcPr>
            <w:tcW w:w="851" w:type="dxa"/>
            <w:shd w:val="clear" w:color="auto" w:fill="C00000"/>
          </w:tcPr>
          <w:p w:rsidR="004E38AF" w:rsidRPr="008320C5" w:rsidRDefault="004E38AF" w:rsidP="001C759D">
            <w:pPr>
              <w:jc w:val="center"/>
              <w:rPr>
                <w:b/>
                <w:bCs/>
              </w:rPr>
            </w:pPr>
            <w:r w:rsidRPr="008320C5">
              <w:rPr>
                <w:b/>
                <w:bCs/>
              </w:rPr>
              <w:t>31.19</w:t>
            </w:r>
          </w:p>
          <w:p w:rsidR="004E38AF" w:rsidRPr="008320C5" w:rsidRDefault="004E38AF" w:rsidP="001C759D">
            <w:pPr>
              <w:jc w:val="center"/>
              <w:rPr>
                <w:b/>
                <w:bCs/>
              </w:rPr>
            </w:pPr>
            <w:r w:rsidRPr="008320C5">
              <w:rPr>
                <w:b/>
                <w:bCs/>
              </w:rPr>
              <w:t>23.59</w:t>
            </w:r>
          </w:p>
          <w:p w:rsidR="004E38AF" w:rsidRPr="008320C5" w:rsidRDefault="004E38AF" w:rsidP="001C759D">
            <w:pPr>
              <w:jc w:val="center"/>
              <w:rPr>
                <w:b/>
                <w:bCs/>
              </w:rPr>
            </w:pPr>
            <w:r w:rsidRPr="008320C5">
              <w:rPr>
                <w:b/>
                <w:bCs/>
              </w:rPr>
              <w:t>29.14</w:t>
            </w:r>
          </w:p>
          <w:p w:rsidR="004E38AF" w:rsidRPr="008320C5" w:rsidRDefault="004E38AF" w:rsidP="001C759D">
            <w:pPr>
              <w:jc w:val="center"/>
              <w:rPr>
                <w:b/>
                <w:bCs/>
              </w:rPr>
            </w:pPr>
            <w:r w:rsidRPr="008320C5">
              <w:rPr>
                <w:b/>
                <w:bCs/>
              </w:rPr>
              <w:t>7.72</w:t>
            </w:r>
          </w:p>
          <w:p w:rsidR="004E38AF" w:rsidRPr="008320C5" w:rsidRDefault="004E38AF" w:rsidP="001C759D">
            <w:pPr>
              <w:jc w:val="center"/>
              <w:rPr>
                <w:b/>
                <w:bCs/>
              </w:rPr>
            </w:pPr>
            <w:r w:rsidRPr="008320C5">
              <w:rPr>
                <w:b/>
                <w:bCs/>
              </w:rPr>
              <w:t>8.26</w:t>
            </w:r>
          </w:p>
          <w:p w:rsidR="004E38AF" w:rsidRPr="008320C5" w:rsidRDefault="004E38AF" w:rsidP="001C759D">
            <w:pPr>
              <w:jc w:val="center"/>
              <w:rPr>
                <w:b/>
                <w:bCs/>
              </w:rPr>
            </w:pPr>
            <w:r w:rsidRPr="008320C5">
              <w:rPr>
                <w:b/>
                <w:bCs/>
              </w:rPr>
              <w:t>2.06</w:t>
            </w:r>
          </w:p>
          <w:p w:rsidR="004E38AF" w:rsidRDefault="004E38AF" w:rsidP="001C759D">
            <w:pPr>
              <w:jc w:val="center"/>
            </w:pPr>
            <w:r w:rsidRPr="008320C5">
              <w:rPr>
                <w:b/>
                <w:bCs/>
              </w:rPr>
              <w:t>3.92</w:t>
            </w:r>
          </w:p>
        </w:tc>
        <w:tc>
          <w:tcPr>
            <w:tcW w:w="708" w:type="dxa"/>
            <w:tcBorders>
              <w:left w:val="single" w:sz="4" w:space="0" w:color="auto"/>
            </w:tcBorders>
            <w:shd w:val="clear" w:color="auto" w:fill="C00000"/>
          </w:tcPr>
          <w:p w:rsidR="004E38AF" w:rsidRPr="000E0F25" w:rsidRDefault="004E38AF" w:rsidP="001C759D">
            <w:pPr>
              <w:jc w:val="center"/>
              <w:rPr>
                <w:b/>
                <w:bCs/>
              </w:rPr>
            </w:pPr>
            <w:r>
              <w:rPr>
                <w:b/>
                <w:bCs/>
              </w:rPr>
              <w:t>31</w:t>
            </w:r>
          </w:p>
          <w:p w:rsidR="004E38AF" w:rsidRPr="000E0F25" w:rsidRDefault="004E38AF" w:rsidP="001C759D">
            <w:pPr>
              <w:jc w:val="center"/>
              <w:rPr>
                <w:b/>
                <w:bCs/>
              </w:rPr>
            </w:pPr>
            <w:r>
              <w:rPr>
                <w:b/>
                <w:bCs/>
              </w:rPr>
              <w:t>60</w:t>
            </w:r>
          </w:p>
          <w:p w:rsidR="004E38AF" w:rsidRPr="000E0F25" w:rsidRDefault="004E38AF" w:rsidP="001C759D">
            <w:pPr>
              <w:jc w:val="center"/>
              <w:rPr>
                <w:b/>
                <w:bCs/>
              </w:rPr>
            </w:pPr>
            <w:r w:rsidRPr="000E0F25">
              <w:rPr>
                <w:b/>
                <w:bCs/>
              </w:rPr>
              <w:t>7.07</w:t>
            </w:r>
          </w:p>
          <w:p w:rsidR="004E38AF" w:rsidRPr="000E0F25" w:rsidRDefault="004E38AF" w:rsidP="001C759D">
            <w:pPr>
              <w:jc w:val="center"/>
              <w:rPr>
                <w:b/>
                <w:bCs/>
              </w:rPr>
            </w:pPr>
            <w:r>
              <w:rPr>
                <w:b/>
                <w:bCs/>
              </w:rPr>
              <w:t>50</w:t>
            </w:r>
          </w:p>
          <w:p w:rsidR="004E38AF" w:rsidRPr="000E0F25" w:rsidRDefault="004E38AF" w:rsidP="001C759D">
            <w:pPr>
              <w:jc w:val="center"/>
              <w:rPr>
                <w:b/>
                <w:bCs/>
              </w:rPr>
            </w:pPr>
            <w:r w:rsidRPr="000E0F25">
              <w:rPr>
                <w:b/>
                <w:bCs/>
              </w:rPr>
              <w:t>31</w:t>
            </w:r>
          </w:p>
          <w:p w:rsidR="004E38AF" w:rsidRPr="000E0F25" w:rsidRDefault="004E38AF" w:rsidP="001C759D">
            <w:pPr>
              <w:jc w:val="center"/>
              <w:rPr>
                <w:b/>
                <w:bCs/>
              </w:rPr>
            </w:pPr>
            <w:r w:rsidRPr="000E0F25">
              <w:rPr>
                <w:b/>
                <w:bCs/>
              </w:rPr>
              <w:t>7.1</w:t>
            </w:r>
          </w:p>
          <w:p w:rsidR="004E38AF" w:rsidRPr="000E0F25" w:rsidRDefault="004E38AF" w:rsidP="001C759D">
            <w:pPr>
              <w:jc w:val="center"/>
              <w:rPr>
                <w:b/>
                <w:bCs/>
              </w:rPr>
            </w:pPr>
            <w:r w:rsidRPr="000E0F25">
              <w:rPr>
                <w:b/>
                <w:bCs/>
              </w:rPr>
              <w:t>11.5</w:t>
            </w:r>
          </w:p>
          <w:p w:rsidR="004E38AF" w:rsidRPr="000E0F25" w:rsidRDefault="004E38AF" w:rsidP="001C759D">
            <w:pPr>
              <w:jc w:val="center"/>
              <w:rPr>
                <w:b/>
                <w:bCs/>
              </w:rPr>
            </w:pPr>
          </w:p>
        </w:tc>
        <w:tc>
          <w:tcPr>
            <w:tcW w:w="851" w:type="dxa"/>
            <w:tcBorders>
              <w:right w:val="single" w:sz="4" w:space="0" w:color="auto"/>
            </w:tcBorders>
            <w:shd w:val="clear" w:color="auto" w:fill="C00000"/>
          </w:tcPr>
          <w:p w:rsidR="004E38AF" w:rsidRDefault="004E38AF" w:rsidP="001C759D">
            <w:pPr>
              <w:jc w:val="center"/>
              <w:rPr>
                <w:b/>
                <w:bCs/>
              </w:rPr>
            </w:pPr>
            <w:r>
              <w:rPr>
                <w:b/>
                <w:bCs/>
              </w:rPr>
              <w:t>23.43</w:t>
            </w:r>
          </w:p>
          <w:p w:rsidR="004E38AF" w:rsidRDefault="004E38AF" w:rsidP="001C759D">
            <w:pPr>
              <w:jc w:val="center"/>
              <w:rPr>
                <w:b/>
                <w:bCs/>
              </w:rPr>
            </w:pPr>
            <w:r>
              <w:rPr>
                <w:b/>
                <w:bCs/>
              </w:rPr>
              <w:t>32.14</w:t>
            </w:r>
          </w:p>
          <w:p w:rsidR="004E38AF" w:rsidRDefault="004E38AF" w:rsidP="001C759D">
            <w:pPr>
              <w:jc w:val="center"/>
              <w:rPr>
                <w:b/>
                <w:bCs/>
              </w:rPr>
            </w:pPr>
            <w:r>
              <w:rPr>
                <w:b/>
                <w:bCs/>
              </w:rPr>
              <w:t>19.2</w:t>
            </w:r>
          </w:p>
          <w:p w:rsidR="004E38AF" w:rsidRDefault="004E38AF" w:rsidP="001C759D">
            <w:pPr>
              <w:jc w:val="center"/>
              <w:rPr>
                <w:b/>
                <w:bCs/>
              </w:rPr>
            </w:pPr>
            <w:r>
              <w:rPr>
                <w:b/>
                <w:bCs/>
              </w:rPr>
              <w:t>17</w:t>
            </w:r>
          </w:p>
          <w:p w:rsidR="004E38AF" w:rsidRDefault="004E38AF" w:rsidP="001C759D">
            <w:pPr>
              <w:jc w:val="center"/>
              <w:rPr>
                <w:b/>
                <w:bCs/>
              </w:rPr>
            </w:pPr>
            <w:r>
              <w:rPr>
                <w:b/>
                <w:bCs/>
              </w:rPr>
              <w:t>14.16</w:t>
            </w:r>
          </w:p>
          <w:p w:rsidR="004E38AF" w:rsidRDefault="004E38AF" w:rsidP="001C759D">
            <w:pPr>
              <w:jc w:val="center"/>
              <w:rPr>
                <w:b/>
                <w:bCs/>
              </w:rPr>
            </w:pPr>
            <w:r>
              <w:rPr>
                <w:b/>
                <w:bCs/>
              </w:rPr>
              <w:t>11.8</w:t>
            </w:r>
          </w:p>
          <w:p w:rsidR="004E38AF" w:rsidRPr="0001464C" w:rsidRDefault="004E38AF" w:rsidP="001C759D">
            <w:pPr>
              <w:jc w:val="center"/>
              <w:rPr>
                <w:b/>
                <w:bCs/>
              </w:rPr>
            </w:pPr>
            <w:r>
              <w:rPr>
                <w:b/>
                <w:bCs/>
              </w:rPr>
              <w:t>11.66</w:t>
            </w:r>
          </w:p>
        </w:tc>
        <w:tc>
          <w:tcPr>
            <w:tcW w:w="847" w:type="dxa"/>
            <w:tcBorders>
              <w:left w:val="single" w:sz="4" w:space="0" w:color="auto"/>
              <w:bottom w:val="single" w:sz="4" w:space="0" w:color="auto"/>
            </w:tcBorders>
            <w:shd w:val="clear" w:color="auto" w:fill="C00000"/>
          </w:tcPr>
          <w:p w:rsidR="00747934" w:rsidRDefault="00747934" w:rsidP="001C759D">
            <w:pPr>
              <w:jc w:val="center"/>
              <w:rPr>
                <w:b/>
                <w:bCs/>
              </w:rPr>
            </w:pPr>
            <w:r>
              <w:rPr>
                <w:b/>
                <w:bCs/>
              </w:rPr>
              <w:t>43</w:t>
            </w:r>
          </w:p>
          <w:p w:rsidR="00747934" w:rsidRDefault="00747934" w:rsidP="001C759D">
            <w:pPr>
              <w:jc w:val="center"/>
              <w:rPr>
                <w:b/>
                <w:bCs/>
              </w:rPr>
            </w:pPr>
            <w:r>
              <w:rPr>
                <w:b/>
                <w:bCs/>
              </w:rPr>
              <w:t>97.50</w:t>
            </w:r>
          </w:p>
          <w:p w:rsidR="00747934" w:rsidRDefault="00747934" w:rsidP="001C759D">
            <w:pPr>
              <w:jc w:val="center"/>
              <w:rPr>
                <w:b/>
                <w:bCs/>
              </w:rPr>
            </w:pPr>
            <w:r>
              <w:rPr>
                <w:b/>
                <w:bCs/>
              </w:rPr>
              <w:t>120</w:t>
            </w:r>
          </w:p>
          <w:p w:rsidR="00747934" w:rsidRDefault="00747934" w:rsidP="001C759D">
            <w:pPr>
              <w:jc w:val="center"/>
              <w:rPr>
                <w:b/>
                <w:bCs/>
              </w:rPr>
            </w:pPr>
            <w:r>
              <w:rPr>
                <w:b/>
                <w:bCs/>
              </w:rPr>
              <w:t>58.70</w:t>
            </w:r>
          </w:p>
          <w:p w:rsidR="00747934" w:rsidRDefault="00747934" w:rsidP="001C759D">
            <w:pPr>
              <w:jc w:val="center"/>
              <w:rPr>
                <w:b/>
                <w:bCs/>
              </w:rPr>
            </w:pPr>
            <w:r>
              <w:rPr>
                <w:b/>
                <w:bCs/>
              </w:rPr>
              <w:t>96</w:t>
            </w:r>
          </w:p>
          <w:p w:rsidR="00747934" w:rsidRDefault="00747934" w:rsidP="001C759D">
            <w:pPr>
              <w:jc w:val="center"/>
              <w:rPr>
                <w:b/>
                <w:bCs/>
              </w:rPr>
            </w:pPr>
            <w:r>
              <w:rPr>
                <w:b/>
                <w:bCs/>
              </w:rPr>
              <w:t>50</w:t>
            </w:r>
          </w:p>
          <w:p w:rsidR="00747934" w:rsidRPr="0001464C" w:rsidRDefault="00747934" w:rsidP="001C759D">
            <w:pPr>
              <w:jc w:val="center"/>
              <w:rPr>
                <w:b/>
                <w:bCs/>
              </w:rPr>
            </w:pPr>
            <w:r>
              <w:rPr>
                <w:b/>
                <w:bCs/>
              </w:rPr>
              <w:t>121.7</w:t>
            </w:r>
          </w:p>
        </w:tc>
        <w:tc>
          <w:tcPr>
            <w:tcW w:w="940" w:type="dxa"/>
            <w:tcBorders>
              <w:top w:val="single" w:sz="4" w:space="0" w:color="auto"/>
              <w:bottom w:val="single" w:sz="4" w:space="0" w:color="auto"/>
              <w:right w:val="single" w:sz="4" w:space="0" w:color="auto"/>
            </w:tcBorders>
            <w:shd w:val="clear" w:color="auto" w:fill="C00000"/>
          </w:tcPr>
          <w:p w:rsidR="004E38AF" w:rsidRPr="0001464C" w:rsidRDefault="004E38AF" w:rsidP="00012797">
            <w:pPr>
              <w:jc w:val="center"/>
              <w:rPr>
                <w:b/>
                <w:bCs/>
              </w:rPr>
            </w:pPr>
            <w:r w:rsidRPr="0001464C">
              <w:rPr>
                <w:b/>
                <w:bCs/>
              </w:rPr>
              <w:t>2005</w:t>
            </w:r>
          </w:p>
          <w:p w:rsidR="004E38AF" w:rsidRPr="0001464C" w:rsidRDefault="004E38AF" w:rsidP="00012797">
            <w:pPr>
              <w:jc w:val="center"/>
              <w:rPr>
                <w:b/>
                <w:bCs/>
              </w:rPr>
            </w:pPr>
            <w:r w:rsidRPr="0001464C">
              <w:rPr>
                <w:b/>
                <w:bCs/>
              </w:rPr>
              <w:t>2006</w:t>
            </w:r>
          </w:p>
          <w:p w:rsidR="004E38AF" w:rsidRPr="0001464C" w:rsidRDefault="004E38AF" w:rsidP="00012797">
            <w:pPr>
              <w:jc w:val="center"/>
              <w:rPr>
                <w:b/>
                <w:bCs/>
              </w:rPr>
            </w:pPr>
            <w:r w:rsidRPr="0001464C">
              <w:rPr>
                <w:b/>
                <w:bCs/>
              </w:rPr>
              <w:t>2007</w:t>
            </w:r>
          </w:p>
          <w:p w:rsidR="004E38AF" w:rsidRPr="0001464C" w:rsidRDefault="004E38AF" w:rsidP="00012797">
            <w:pPr>
              <w:jc w:val="center"/>
              <w:rPr>
                <w:b/>
                <w:bCs/>
              </w:rPr>
            </w:pPr>
            <w:r w:rsidRPr="0001464C">
              <w:rPr>
                <w:b/>
                <w:bCs/>
              </w:rPr>
              <w:t>2008</w:t>
            </w:r>
          </w:p>
          <w:p w:rsidR="004E38AF" w:rsidRPr="0001464C" w:rsidRDefault="004E38AF" w:rsidP="00012797">
            <w:pPr>
              <w:jc w:val="center"/>
              <w:rPr>
                <w:b/>
                <w:bCs/>
              </w:rPr>
            </w:pPr>
            <w:r w:rsidRPr="0001464C">
              <w:rPr>
                <w:b/>
                <w:bCs/>
              </w:rPr>
              <w:t>2009</w:t>
            </w:r>
          </w:p>
          <w:p w:rsidR="004E38AF" w:rsidRPr="0001464C" w:rsidRDefault="004E38AF" w:rsidP="00012797">
            <w:pPr>
              <w:jc w:val="center"/>
              <w:rPr>
                <w:b/>
                <w:bCs/>
              </w:rPr>
            </w:pPr>
            <w:r w:rsidRPr="0001464C">
              <w:rPr>
                <w:b/>
                <w:bCs/>
              </w:rPr>
              <w:t>2010</w:t>
            </w:r>
          </w:p>
          <w:p w:rsidR="004E38AF" w:rsidRPr="0001464C" w:rsidRDefault="004E38AF" w:rsidP="00012797">
            <w:pPr>
              <w:jc w:val="center"/>
              <w:rPr>
                <w:b/>
                <w:bCs/>
              </w:rPr>
            </w:pPr>
            <w:r w:rsidRPr="0001464C">
              <w:rPr>
                <w:b/>
                <w:bCs/>
              </w:rPr>
              <w:t>2011</w:t>
            </w:r>
          </w:p>
        </w:tc>
      </w:tr>
      <w:tr w:rsidR="004E38AF" w:rsidTr="00012797">
        <w:trPr>
          <w:jc w:val="center"/>
        </w:trPr>
        <w:tc>
          <w:tcPr>
            <w:tcW w:w="1791" w:type="dxa"/>
            <w:tcBorders>
              <w:right w:val="single" w:sz="4" w:space="0" w:color="auto"/>
            </w:tcBorders>
            <w:shd w:val="clear" w:color="auto" w:fill="FFFFFF" w:themeFill="background1"/>
          </w:tcPr>
          <w:p w:rsidR="004E38AF" w:rsidRPr="001F65FB" w:rsidRDefault="004E38AF" w:rsidP="00D51282">
            <w:pPr>
              <w:rPr>
                <w:b/>
                <w:bCs/>
              </w:rPr>
            </w:pPr>
            <w:r w:rsidRPr="001F65FB">
              <w:rPr>
                <w:b/>
                <w:bCs/>
              </w:rPr>
              <w:t>Palestinian investment bank</w:t>
            </w:r>
          </w:p>
        </w:tc>
        <w:tc>
          <w:tcPr>
            <w:tcW w:w="709" w:type="dxa"/>
            <w:tcBorders>
              <w:left w:val="single" w:sz="4" w:space="0" w:color="auto"/>
            </w:tcBorders>
            <w:shd w:val="clear" w:color="auto" w:fill="FFFFFF" w:themeFill="background1"/>
          </w:tcPr>
          <w:p w:rsidR="004E38AF" w:rsidRDefault="004E38AF" w:rsidP="00D51282">
            <w:pPr>
              <w:rPr>
                <w:b/>
                <w:bCs/>
              </w:rPr>
            </w:pPr>
            <w:r>
              <w:rPr>
                <w:b/>
                <w:bCs/>
              </w:rPr>
              <w:t>35</w:t>
            </w:r>
          </w:p>
          <w:p w:rsidR="004E38AF" w:rsidRDefault="004E38AF" w:rsidP="00D51282">
            <w:pPr>
              <w:rPr>
                <w:b/>
                <w:bCs/>
              </w:rPr>
            </w:pPr>
            <w:r>
              <w:rPr>
                <w:b/>
                <w:bCs/>
              </w:rPr>
              <w:t>32.2</w:t>
            </w:r>
          </w:p>
          <w:p w:rsidR="004E38AF" w:rsidRDefault="004E38AF" w:rsidP="00D51282">
            <w:pPr>
              <w:rPr>
                <w:b/>
                <w:bCs/>
              </w:rPr>
            </w:pPr>
            <w:r>
              <w:rPr>
                <w:b/>
                <w:bCs/>
              </w:rPr>
              <w:t>28</w:t>
            </w:r>
          </w:p>
          <w:p w:rsidR="004E38AF" w:rsidRDefault="004E38AF" w:rsidP="00D51282">
            <w:pPr>
              <w:rPr>
                <w:b/>
                <w:bCs/>
              </w:rPr>
            </w:pPr>
            <w:r>
              <w:rPr>
                <w:b/>
                <w:bCs/>
              </w:rPr>
              <w:t>35.1</w:t>
            </w:r>
          </w:p>
          <w:p w:rsidR="004E38AF" w:rsidRDefault="004E38AF" w:rsidP="00D51282">
            <w:pPr>
              <w:rPr>
                <w:b/>
                <w:bCs/>
              </w:rPr>
            </w:pPr>
            <w:r>
              <w:rPr>
                <w:b/>
                <w:bCs/>
              </w:rPr>
              <w:t>38.9</w:t>
            </w:r>
          </w:p>
          <w:p w:rsidR="004E38AF" w:rsidRDefault="004E38AF" w:rsidP="00D51282">
            <w:pPr>
              <w:rPr>
                <w:b/>
                <w:bCs/>
              </w:rPr>
            </w:pPr>
            <w:r>
              <w:rPr>
                <w:b/>
                <w:bCs/>
              </w:rPr>
              <w:t>35.4</w:t>
            </w:r>
          </w:p>
          <w:p w:rsidR="004E38AF" w:rsidRPr="001F65FB" w:rsidRDefault="004E38AF" w:rsidP="00D51282">
            <w:pPr>
              <w:rPr>
                <w:b/>
                <w:bCs/>
              </w:rPr>
            </w:pPr>
            <w:r>
              <w:rPr>
                <w:b/>
                <w:bCs/>
              </w:rPr>
              <w:t>39.7</w:t>
            </w:r>
          </w:p>
        </w:tc>
        <w:tc>
          <w:tcPr>
            <w:tcW w:w="851" w:type="dxa"/>
            <w:shd w:val="clear" w:color="auto" w:fill="FFFFFF" w:themeFill="background1"/>
          </w:tcPr>
          <w:p w:rsidR="004E38AF" w:rsidRPr="008320C5" w:rsidRDefault="004E38AF" w:rsidP="001C759D">
            <w:pPr>
              <w:jc w:val="center"/>
              <w:rPr>
                <w:b/>
                <w:bCs/>
              </w:rPr>
            </w:pPr>
            <w:r w:rsidRPr="008320C5">
              <w:rPr>
                <w:b/>
                <w:bCs/>
              </w:rPr>
              <w:t>7.3</w:t>
            </w:r>
          </w:p>
          <w:p w:rsidR="004E38AF" w:rsidRPr="008320C5" w:rsidRDefault="004E38AF" w:rsidP="001C759D">
            <w:pPr>
              <w:jc w:val="center"/>
              <w:rPr>
                <w:b/>
                <w:bCs/>
              </w:rPr>
            </w:pPr>
            <w:r w:rsidRPr="008320C5">
              <w:rPr>
                <w:b/>
                <w:bCs/>
              </w:rPr>
              <w:t>5.34</w:t>
            </w:r>
          </w:p>
          <w:p w:rsidR="004E38AF" w:rsidRPr="008320C5" w:rsidRDefault="004E38AF" w:rsidP="001C759D">
            <w:pPr>
              <w:jc w:val="center"/>
              <w:rPr>
                <w:b/>
                <w:bCs/>
              </w:rPr>
            </w:pPr>
            <w:r w:rsidRPr="008320C5">
              <w:rPr>
                <w:b/>
                <w:bCs/>
              </w:rPr>
              <w:t>5.55</w:t>
            </w:r>
          </w:p>
          <w:p w:rsidR="004E38AF" w:rsidRPr="008320C5" w:rsidRDefault="004E38AF" w:rsidP="001C759D">
            <w:pPr>
              <w:jc w:val="center"/>
              <w:rPr>
                <w:b/>
                <w:bCs/>
              </w:rPr>
            </w:pPr>
            <w:r w:rsidRPr="008320C5">
              <w:rPr>
                <w:b/>
                <w:bCs/>
              </w:rPr>
              <w:t>2.74</w:t>
            </w:r>
          </w:p>
          <w:p w:rsidR="004E38AF" w:rsidRPr="008320C5" w:rsidRDefault="004E38AF" w:rsidP="001C759D">
            <w:pPr>
              <w:jc w:val="center"/>
              <w:rPr>
                <w:b/>
                <w:bCs/>
              </w:rPr>
            </w:pPr>
            <w:r w:rsidRPr="008320C5">
              <w:rPr>
                <w:b/>
                <w:bCs/>
              </w:rPr>
              <w:t>1.45</w:t>
            </w:r>
          </w:p>
          <w:p w:rsidR="004E38AF" w:rsidRPr="008320C5" w:rsidRDefault="004E38AF" w:rsidP="001C759D">
            <w:pPr>
              <w:jc w:val="center"/>
              <w:rPr>
                <w:b/>
                <w:bCs/>
              </w:rPr>
            </w:pPr>
            <w:r w:rsidRPr="008320C5">
              <w:rPr>
                <w:b/>
                <w:bCs/>
              </w:rPr>
              <w:t>10.78</w:t>
            </w:r>
          </w:p>
          <w:p w:rsidR="004E38AF" w:rsidRDefault="004E38AF" w:rsidP="001C759D">
            <w:pPr>
              <w:jc w:val="center"/>
            </w:pPr>
            <w:r w:rsidRPr="008320C5">
              <w:rPr>
                <w:b/>
                <w:bCs/>
              </w:rPr>
              <w:t>3.37</w:t>
            </w:r>
          </w:p>
        </w:tc>
        <w:tc>
          <w:tcPr>
            <w:tcW w:w="708" w:type="dxa"/>
            <w:tcBorders>
              <w:left w:val="single" w:sz="4" w:space="0" w:color="auto"/>
            </w:tcBorders>
            <w:shd w:val="clear" w:color="auto" w:fill="FFFFFF" w:themeFill="background1"/>
          </w:tcPr>
          <w:p w:rsidR="004E38AF" w:rsidRPr="000E0F25" w:rsidRDefault="004E38AF" w:rsidP="001C759D">
            <w:pPr>
              <w:jc w:val="center"/>
              <w:rPr>
                <w:b/>
                <w:bCs/>
              </w:rPr>
            </w:pPr>
            <w:r w:rsidRPr="000E0F25">
              <w:rPr>
                <w:b/>
                <w:bCs/>
              </w:rPr>
              <w:t>/</w:t>
            </w:r>
          </w:p>
          <w:p w:rsidR="004E38AF" w:rsidRPr="000E0F25" w:rsidRDefault="004E38AF" w:rsidP="001C759D">
            <w:pPr>
              <w:jc w:val="center"/>
              <w:rPr>
                <w:b/>
                <w:bCs/>
              </w:rPr>
            </w:pPr>
            <w:r w:rsidRPr="000E0F25">
              <w:rPr>
                <w:b/>
                <w:bCs/>
              </w:rPr>
              <w:t>/</w:t>
            </w:r>
          </w:p>
          <w:p w:rsidR="004E38AF" w:rsidRPr="000E0F25" w:rsidRDefault="004E38AF" w:rsidP="001C759D">
            <w:pPr>
              <w:jc w:val="center"/>
              <w:rPr>
                <w:b/>
                <w:bCs/>
              </w:rPr>
            </w:pPr>
            <w:r w:rsidRPr="000E0F25">
              <w:rPr>
                <w:b/>
                <w:bCs/>
              </w:rPr>
              <w:t>/</w:t>
            </w:r>
          </w:p>
          <w:p w:rsidR="004E38AF" w:rsidRPr="000E0F25" w:rsidRDefault="004E38AF" w:rsidP="001C759D">
            <w:pPr>
              <w:jc w:val="center"/>
              <w:rPr>
                <w:b/>
                <w:bCs/>
              </w:rPr>
            </w:pPr>
            <w:r w:rsidRPr="000E0F25">
              <w:rPr>
                <w:b/>
                <w:bCs/>
              </w:rPr>
              <w:t>3.15</w:t>
            </w:r>
          </w:p>
          <w:p w:rsidR="004E38AF" w:rsidRPr="000E0F25" w:rsidRDefault="004E38AF" w:rsidP="001C759D">
            <w:pPr>
              <w:jc w:val="center"/>
              <w:rPr>
                <w:b/>
                <w:bCs/>
              </w:rPr>
            </w:pPr>
            <w:r w:rsidRPr="000E0F25">
              <w:rPr>
                <w:b/>
                <w:bCs/>
              </w:rPr>
              <w:t>2.6</w:t>
            </w:r>
          </w:p>
          <w:p w:rsidR="004E38AF" w:rsidRPr="000E0F25" w:rsidRDefault="004E38AF" w:rsidP="001C759D">
            <w:pPr>
              <w:jc w:val="center"/>
              <w:rPr>
                <w:b/>
                <w:bCs/>
              </w:rPr>
            </w:pPr>
            <w:r w:rsidRPr="000E0F25">
              <w:rPr>
                <w:b/>
                <w:bCs/>
              </w:rPr>
              <w:t>23</w:t>
            </w:r>
          </w:p>
          <w:p w:rsidR="004E38AF" w:rsidRPr="000E0F25" w:rsidRDefault="004E38AF" w:rsidP="001C759D">
            <w:pPr>
              <w:jc w:val="center"/>
              <w:rPr>
                <w:b/>
                <w:bCs/>
              </w:rPr>
            </w:pPr>
            <w:r w:rsidRPr="000E0F25">
              <w:rPr>
                <w:b/>
                <w:bCs/>
              </w:rPr>
              <w:t>19</w:t>
            </w:r>
          </w:p>
        </w:tc>
        <w:tc>
          <w:tcPr>
            <w:tcW w:w="851" w:type="dxa"/>
            <w:tcBorders>
              <w:right w:val="single" w:sz="4" w:space="0" w:color="auto"/>
            </w:tcBorders>
            <w:shd w:val="clear" w:color="auto" w:fill="FFFFFF" w:themeFill="background1"/>
          </w:tcPr>
          <w:p w:rsidR="004E38AF" w:rsidRDefault="004E38AF" w:rsidP="001C759D">
            <w:pPr>
              <w:jc w:val="center"/>
              <w:rPr>
                <w:b/>
                <w:bCs/>
              </w:rPr>
            </w:pPr>
            <w:r>
              <w:rPr>
                <w:b/>
                <w:bCs/>
              </w:rPr>
              <w:t>33.8</w:t>
            </w:r>
          </w:p>
          <w:p w:rsidR="004E38AF" w:rsidRDefault="004E38AF" w:rsidP="001C759D">
            <w:pPr>
              <w:jc w:val="center"/>
              <w:rPr>
                <w:b/>
                <w:bCs/>
              </w:rPr>
            </w:pPr>
            <w:r>
              <w:rPr>
                <w:b/>
                <w:bCs/>
              </w:rPr>
              <w:t>27.74</w:t>
            </w:r>
          </w:p>
          <w:p w:rsidR="004E38AF" w:rsidRDefault="004E38AF" w:rsidP="001C759D">
            <w:pPr>
              <w:jc w:val="center"/>
              <w:rPr>
                <w:b/>
                <w:bCs/>
              </w:rPr>
            </w:pPr>
            <w:r>
              <w:rPr>
                <w:b/>
                <w:bCs/>
              </w:rPr>
              <w:t>28.7</w:t>
            </w:r>
          </w:p>
          <w:p w:rsidR="004E38AF" w:rsidRDefault="004E38AF" w:rsidP="001C759D">
            <w:pPr>
              <w:jc w:val="center"/>
              <w:rPr>
                <w:b/>
                <w:bCs/>
              </w:rPr>
            </w:pPr>
            <w:r>
              <w:rPr>
                <w:b/>
                <w:bCs/>
              </w:rPr>
              <w:t>28.72</w:t>
            </w:r>
          </w:p>
          <w:p w:rsidR="004E38AF" w:rsidRDefault="004E38AF" w:rsidP="001C759D">
            <w:pPr>
              <w:jc w:val="center"/>
              <w:rPr>
                <w:b/>
                <w:bCs/>
              </w:rPr>
            </w:pPr>
            <w:r>
              <w:rPr>
                <w:b/>
                <w:bCs/>
              </w:rPr>
              <w:t>24.87</w:t>
            </w:r>
          </w:p>
          <w:p w:rsidR="004E38AF" w:rsidRDefault="004E38AF" w:rsidP="001C759D">
            <w:pPr>
              <w:jc w:val="center"/>
              <w:rPr>
                <w:b/>
                <w:bCs/>
              </w:rPr>
            </w:pPr>
            <w:r>
              <w:rPr>
                <w:b/>
                <w:bCs/>
              </w:rPr>
              <w:t>23.5</w:t>
            </w:r>
          </w:p>
          <w:p w:rsidR="004E38AF" w:rsidRPr="0001464C" w:rsidRDefault="004E38AF" w:rsidP="001C759D">
            <w:pPr>
              <w:jc w:val="center"/>
              <w:rPr>
                <w:b/>
                <w:bCs/>
              </w:rPr>
            </w:pPr>
            <w:r>
              <w:rPr>
                <w:b/>
                <w:bCs/>
              </w:rPr>
              <w:t>26.5</w:t>
            </w:r>
          </w:p>
        </w:tc>
        <w:tc>
          <w:tcPr>
            <w:tcW w:w="847" w:type="dxa"/>
            <w:tcBorders>
              <w:left w:val="single" w:sz="4" w:space="0" w:color="auto"/>
            </w:tcBorders>
            <w:shd w:val="clear" w:color="auto" w:fill="FFFFFF" w:themeFill="background1"/>
          </w:tcPr>
          <w:p w:rsidR="004E38AF" w:rsidRDefault="00747934" w:rsidP="001C759D">
            <w:pPr>
              <w:jc w:val="center"/>
              <w:rPr>
                <w:b/>
                <w:bCs/>
              </w:rPr>
            </w:pPr>
            <w:r>
              <w:rPr>
                <w:b/>
                <w:bCs/>
              </w:rPr>
              <w:t>80</w:t>
            </w:r>
          </w:p>
          <w:p w:rsidR="00747934" w:rsidRDefault="00747934" w:rsidP="001C759D">
            <w:pPr>
              <w:jc w:val="center"/>
              <w:rPr>
                <w:b/>
                <w:bCs/>
              </w:rPr>
            </w:pPr>
            <w:r>
              <w:rPr>
                <w:b/>
                <w:bCs/>
              </w:rPr>
              <w:t>64.20</w:t>
            </w:r>
          </w:p>
          <w:p w:rsidR="00747934" w:rsidRDefault="00747934" w:rsidP="001C759D">
            <w:pPr>
              <w:jc w:val="center"/>
              <w:rPr>
                <w:b/>
                <w:bCs/>
              </w:rPr>
            </w:pPr>
            <w:r>
              <w:rPr>
                <w:b/>
                <w:bCs/>
              </w:rPr>
              <w:t>169</w:t>
            </w:r>
          </w:p>
          <w:p w:rsidR="00747934" w:rsidRDefault="00747934" w:rsidP="001C759D">
            <w:pPr>
              <w:jc w:val="center"/>
              <w:rPr>
                <w:b/>
                <w:bCs/>
              </w:rPr>
            </w:pPr>
            <w:r>
              <w:rPr>
                <w:b/>
                <w:bCs/>
              </w:rPr>
              <w:t>75</w:t>
            </w:r>
          </w:p>
          <w:p w:rsidR="00747934" w:rsidRDefault="00747934" w:rsidP="001C759D">
            <w:pPr>
              <w:jc w:val="center"/>
              <w:rPr>
                <w:b/>
                <w:bCs/>
              </w:rPr>
            </w:pPr>
            <w:r>
              <w:rPr>
                <w:b/>
                <w:bCs/>
              </w:rPr>
              <w:t>50</w:t>
            </w:r>
          </w:p>
          <w:p w:rsidR="00747934" w:rsidRDefault="00747934" w:rsidP="001C759D">
            <w:pPr>
              <w:jc w:val="center"/>
              <w:rPr>
                <w:b/>
                <w:bCs/>
              </w:rPr>
            </w:pPr>
            <w:r>
              <w:rPr>
                <w:b/>
                <w:bCs/>
              </w:rPr>
              <w:t>87</w:t>
            </w:r>
          </w:p>
          <w:p w:rsidR="00747934" w:rsidRPr="0001464C" w:rsidRDefault="00747934" w:rsidP="001C759D">
            <w:pPr>
              <w:jc w:val="center"/>
              <w:rPr>
                <w:b/>
                <w:bCs/>
              </w:rPr>
            </w:pPr>
            <w:r>
              <w:rPr>
                <w:b/>
                <w:bCs/>
              </w:rPr>
              <w:t>59.4</w:t>
            </w:r>
          </w:p>
        </w:tc>
        <w:tc>
          <w:tcPr>
            <w:tcW w:w="940" w:type="dxa"/>
            <w:tcBorders>
              <w:top w:val="single" w:sz="4" w:space="0" w:color="auto"/>
              <w:bottom w:val="single" w:sz="4" w:space="0" w:color="auto"/>
              <w:right w:val="single" w:sz="4" w:space="0" w:color="auto"/>
            </w:tcBorders>
            <w:shd w:val="clear" w:color="auto" w:fill="auto"/>
          </w:tcPr>
          <w:p w:rsidR="004E38AF" w:rsidRPr="0001464C" w:rsidRDefault="004E38AF" w:rsidP="00012797">
            <w:pPr>
              <w:jc w:val="center"/>
              <w:rPr>
                <w:b/>
                <w:bCs/>
              </w:rPr>
            </w:pPr>
            <w:r w:rsidRPr="0001464C">
              <w:rPr>
                <w:b/>
                <w:bCs/>
              </w:rPr>
              <w:t>2005</w:t>
            </w:r>
          </w:p>
          <w:p w:rsidR="004E38AF" w:rsidRPr="0001464C" w:rsidRDefault="004E38AF" w:rsidP="00012797">
            <w:pPr>
              <w:jc w:val="center"/>
              <w:rPr>
                <w:b/>
                <w:bCs/>
              </w:rPr>
            </w:pPr>
            <w:r w:rsidRPr="0001464C">
              <w:rPr>
                <w:b/>
                <w:bCs/>
              </w:rPr>
              <w:t>2006</w:t>
            </w:r>
          </w:p>
          <w:p w:rsidR="004E38AF" w:rsidRPr="0001464C" w:rsidRDefault="004E38AF" w:rsidP="00012797">
            <w:pPr>
              <w:jc w:val="center"/>
              <w:rPr>
                <w:b/>
                <w:bCs/>
              </w:rPr>
            </w:pPr>
            <w:r w:rsidRPr="0001464C">
              <w:rPr>
                <w:b/>
                <w:bCs/>
              </w:rPr>
              <w:t>2007</w:t>
            </w:r>
          </w:p>
          <w:p w:rsidR="004E38AF" w:rsidRPr="0001464C" w:rsidRDefault="004E38AF" w:rsidP="00012797">
            <w:pPr>
              <w:jc w:val="center"/>
              <w:rPr>
                <w:b/>
                <w:bCs/>
              </w:rPr>
            </w:pPr>
            <w:r w:rsidRPr="0001464C">
              <w:rPr>
                <w:b/>
                <w:bCs/>
              </w:rPr>
              <w:t>2008</w:t>
            </w:r>
          </w:p>
          <w:p w:rsidR="004E38AF" w:rsidRPr="0001464C" w:rsidRDefault="004E38AF" w:rsidP="00012797">
            <w:pPr>
              <w:jc w:val="center"/>
              <w:rPr>
                <w:b/>
                <w:bCs/>
              </w:rPr>
            </w:pPr>
            <w:r w:rsidRPr="0001464C">
              <w:rPr>
                <w:b/>
                <w:bCs/>
              </w:rPr>
              <w:t>2009</w:t>
            </w:r>
          </w:p>
          <w:p w:rsidR="004E38AF" w:rsidRPr="0001464C" w:rsidRDefault="004E38AF" w:rsidP="00012797">
            <w:pPr>
              <w:jc w:val="center"/>
              <w:rPr>
                <w:b/>
                <w:bCs/>
              </w:rPr>
            </w:pPr>
            <w:r w:rsidRPr="0001464C">
              <w:rPr>
                <w:b/>
                <w:bCs/>
              </w:rPr>
              <w:t>2010</w:t>
            </w:r>
          </w:p>
          <w:p w:rsidR="004E38AF" w:rsidRPr="0001464C" w:rsidRDefault="004E38AF" w:rsidP="00012797">
            <w:pPr>
              <w:jc w:val="center"/>
              <w:rPr>
                <w:b/>
                <w:bCs/>
              </w:rPr>
            </w:pPr>
            <w:r w:rsidRPr="0001464C">
              <w:rPr>
                <w:b/>
                <w:bCs/>
              </w:rPr>
              <w:t>2011</w:t>
            </w:r>
          </w:p>
        </w:tc>
      </w:tr>
      <w:tr w:rsidR="004E38AF" w:rsidTr="00012797">
        <w:trPr>
          <w:jc w:val="center"/>
        </w:trPr>
        <w:tc>
          <w:tcPr>
            <w:tcW w:w="1791" w:type="dxa"/>
            <w:tcBorders>
              <w:right w:val="single" w:sz="4" w:space="0" w:color="auto"/>
            </w:tcBorders>
            <w:shd w:val="clear" w:color="auto" w:fill="7030A0"/>
          </w:tcPr>
          <w:p w:rsidR="004E38AF" w:rsidRPr="001F65FB" w:rsidRDefault="004E38AF" w:rsidP="00D51282">
            <w:pPr>
              <w:rPr>
                <w:b/>
                <w:bCs/>
              </w:rPr>
            </w:pPr>
            <w:r w:rsidRPr="001F65FB">
              <w:rPr>
                <w:b/>
                <w:bCs/>
              </w:rPr>
              <w:t>Palestinian commercial bank</w:t>
            </w:r>
          </w:p>
        </w:tc>
        <w:tc>
          <w:tcPr>
            <w:tcW w:w="709" w:type="dxa"/>
            <w:tcBorders>
              <w:left w:val="single" w:sz="4" w:space="0" w:color="auto"/>
            </w:tcBorders>
            <w:shd w:val="clear" w:color="auto" w:fill="7030A0"/>
          </w:tcPr>
          <w:p w:rsidR="004E38AF" w:rsidRDefault="004E38AF" w:rsidP="00D51282">
            <w:pPr>
              <w:rPr>
                <w:b/>
                <w:bCs/>
              </w:rPr>
            </w:pPr>
            <w:r>
              <w:rPr>
                <w:b/>
                <w:bCs/>
              </w:rPr>
              <w:t>46.3</w:t>
            </w:r>
          </w:p>
          <w:p w:rsidR="004E38AF" w:rsidRDefault="004E38AF" w:rsidP="00D51282">
            <w:pPr>
              <w:rPr>
                <w:b/>
                <w:bCs/>
              </w:rPr>
            </w:pPr>
            <w:r>
              <w:rPr>
                <w:b/>
                <w:bCs/>
              </w:rPr>
              <w:t>31.2</w:t>
            </w:r>
          </w:p>
          <w:p w:rsidR="004E38AF" w:rsidRDefault="004E38AF" w:rsidP="00D51282">
            <w:pPr>
              <w:rPr>
                <w:b/>
                <w:bCs/>
              </w:rPr>
            </w:pPr>
            <w:r>
              <w:rPr>
                <w:b/>
                <w:bCs/>
              </w:rPr>
              <w:t>27</w:t>
            </w:r>
          </w:p>
          <w:p w:rsidR="004E38AF" w:rsidRDefault="004E38AF" w:rsidP="00D51282">
            <w:pPr>
              <w:rPr>
                <w:b/>
                <w:bCs/>
              </w:rPr>
            </w:pPr>
            <w:r>
              <w:rPr>
                <w:b/>
                <w:bCs/>
              </w:rPr>
              <w:t>42.1</w:t>
            </w:r>
          </w:p>
          <w:p w:rsidR="004E38AF" w:rsidRDefault="004E38AF" w:rsidP="00D51282">
            <w:pPr>
              <w:rPr>
                <w:b/>
                <w:bCs/>
              </w:rPr>
            </w:pPr>
            <w:r>
              <w:rPr>
                <w:b/>
                <w:bCs/>
              </w:rPr>
              <w:t>37.3</w:t>
            </w:r>
          </w:p>
          <w:p w:rsidR="004E38AF" w:rsidRDefault="004E38AF" w:rsidP="00D51282">
            <w:pPr>
              <w:rPr>
                <w:b/>
                <w:bCs/>
              </w:rPr>
            </w:pPr>
            <w:r>
              <w:rPr>
                <w:b/>
                <w:bCs/>
              </w:rPr>
              <w:t>37.6</w:t>
            </w:r>
          </w:p>
          <w:p w:rsidR="004E38AF" w:rsidRPr="001F65FB" w:rsidRDefault="004E38AF" w:rsidP="00D51282">
            <w:pPr>
              <w:rPr>
                <w:b/>
                <w:bCs/>
              </w:rPr>
            </w:pPr>
            <w:r>
              <w:rPr>
                <w:b/>
                <w:bCs/>
              </w:rPr>
              <w:t>25.5</w:t>
            </w:r>
          </w:p>
        </w:tc>
        <w:tc>
          <w:tcPr>
            <w:tcW w:w="851" w:type="dxa"/>
            <w:shd w:val="clear" w:color="auto" w:fill="7030A0"/>
          </w:tcPr>
          <w:p w:rsidR="004E38AF" w:rsidRPr="007D755F" w:rsidRDefault="004E38AF" w:rsidP="001C759D">
            <w:pPr>
              <w:jc w:val="center"/>
              <w:rPr>
                <w:b/>
                <w:bCs/>
              </w:rPr>
            </w:pPr>
            <w:r w:rsidRPr="007D755F">
              <w:rPr>
                <w:b/>
                <w:bCs/>
              </w:rPr>
              <w:t>35.61</w:t>
            </w:r>
          </w:p>
          <w:p w:rsidR="004E38AF" w:rsidRPr="007D755F" w:rsidRDefault="004E38AF" w:rsidP="001C759D">
            <w:pPr>
              <w:jc w:val="center"/>
              <w:rPr>
                <w:b/>
                <w:bCs/>
              </w:rPr>
            </w:pPr>
            <w:r w:rsidRPr="007D755F">
              <w:rPr>
                <w:b/>
                <w:bCs/>
              </w:rPr>
              <w:t>35.09</w:t>
            </w:r>
          </w:p>
          <w:p w:rsidR="004E38AF" w:rsidRPr="007D755F" w:rsidRDefault="004E38AF" w:rsidP="001C759D">
            <w:pPr>
              <w:jc w:val="center"/>
              <w:rPr>
                <w:b/>
                <w:bCs/>
              </w:rPr>
            </w:pPr>
            <w:r w:rsidRPr="007D755F">
              <w:rPr>
                <w:b/>
                <w:bCs/>
              </w:rPr>
              <w:t>42.53</w:t>
            </w:r>
          </w:p>
          <w:p w:rsidR="004E38AF" w:rsidRPr="007D755F" w:rsidRDefault="004E38AF" w:rsidP="001C759D">
            <w:pPr>
              <w:jc w:val="center"/>
              <w:rPr>
                <w:b/>
                <w:bCs/>
              </w:rPr>
            </w:pPr>
            <w:r w:rsidRPr="007D755F">
              <w:rPr>
                <w:b/>
                <w:bCs/>
              </w:rPr>
              <w:t>24.92</w:t>
            </w:r>
          </w:p>
          <w:p w:rsidR="004E38AF" w:rsidRPr="007D755F" w:rsidRDefault="004E38AF" w:rsidP="001C759D">
            <w:pPr>
              <w:jc w:val="center"/>
              <w:rPr>
                <w:b/>
                <w:bCs/>
              </w:rPr>
            </w:pPr>
            <w:r w:rsidRPr="007D755F">
              <w:rPr>
                <w:b/>
                <w:bCs/>
              </w:rPr>
              <w:t>8.87</w:t>
            </w:r>
          </w:p>
          <w:p w:rsidR="004E38AF" w:rsidRPr="007D755F" w:rsidRDefault="004E38AF" w:rsidP="001C759D">
            <w:pPr>
              <w:jc w:val="center"/>
              <w:rPr>
                <w:b/>
                <w:bCs/>
              </w:rPr>
            </w:pPr>
            <w:r w:rsidRPr="007D755F">
              <w:rPr>
                <w:b/>
                <w:bCs/>
              </w:rPr>
              <w:t>4.34</w:t>
            </w:r>
          </w:p>
          <w:p w:rsidR="004E38AF" w:rsidRDefault="004E38AF" w:rsidP="001C759D">
            <w:pPr>
              <w:jc w:val="center"/>
            </w:pPr>
            <w:r w:rsidRPr="007D755F">
              <w:rPr>
                <w:b/>
                <w:bCs/>
              </w:rPr>
              <w:t>2.87</w:t>
            </w:r>
          </w:p>
        </w:tc>
        <w:tc>
          <w:tcPr>
            <w:tcW w:w="708" w:type="dxa"/>
            <w:tcBorders>
              <w:left w:val="single" w:sz="4" w:space="0" w:color="auto"/>
            </w:tcBorders>
            <w:shd w:val="clear" w:color="auto" w:fill="7030A0"/>
          </w:tcPr>
          <w:p w:rsidR="004E38AF" w:rsidRPr="000E0F25" w:rsidRDefault="004E38AF" w:rsidP="001C759D">
            <w:pPr>
              <w:jc w:val="center"/>
              <w:rPr>
                <w:b/>
                <w:bCs/>
              </w:rPr>
            </w:pPr>
            <w:r>
              <w:rPr>
                <w:b/>
                <w:bCs/>
              </w:rPr>
              <w:t>11.5</w:t>
            </w:r>
          </w:p>
          <w:p w:rsidR="004E38AF" w:rsidRPr="000E0F25" w:rsidRDefault="004E38AF" w:rsidP="001C759D">
            <w:pPr>
              <w:jc w:val="center"/>
              <w:rPr>
                <w:b/>
                <w:bCs/>
              </w:rPr>
            </w:pPr>
            <w:r w:rsidRPr="000E0F25">
              <w:rPr>
                <w:b/>
                <w:bCs/>
              </w:rPr>
              <w:t>22</w:t>
            </w:r>
          </w:p>
          <w:p w:rsidR="004E38AF" w:rsidRPr="000E0F25" w:rsidRDefault="004E38AF" w:rsidP="001C759D">
            <w:pPr>
              <w:jc w:val="center"/>
              <w:rPr>
                <w:b/>
                <w:bCs/>
              </w:rPr>
            </w:pPr>
            <w:r>
              <w:rPr>
                <w:b/>
                <w:bCs/>
              </w:rPr>
              <w:t>25</w:t>
            </w:r>
          </w:p>
          <w:p w:rsidR="004E38AF" w:rsidRPr="000E0F25" w:rsidRDefault="004E38AF" w:rsidP="001C759D">
            <w:pPr>
              <w:jc w:val="center"/>
              <w:rPr>
                <w:b/>
                <w:bCs/>
              </w:rPr>
            </w:pPr>
            <w:r w:rsidRPr="000E0F25">
              <w:rPr>
                <w:b/>
                <w:bCs/>
              </w:rPr>
              <w:t>61</w:t>
            </w:r>
          </w:p>
          <w:p w:rsidR="004E38AF" w:rsidRPr="000E0F25" w:rsidRDefault="004E38AF" w:rsidP="001C759D">
            <w:pPr>
              <w:jc w:val="center"/>
              <w:rPr>
                <w:b/>
                <w:bCs/>
              </w:rPr>
            </w:pPr>
            <w:r w:rsidRPr="000E0F25">
              <w:rPr>
                <w:b/>
                <w:bCs/>
              </w:rPr>
              <w:t>4</w:t>
            </w:r>
          </w:p>
          <w:p w:rsidR="004E38AF" w:rsidRPr="000E0F25" w:rsidRDefault="004E38AF" w:rsidP="001C759D">
            <w:pPr>
              <w:jc w:val="center"/>
              <w:rPr>
                <w:b/>
                <w:bCs/>
              </w:rPr>
            </w:pPr>
            <w:r w:rsidRPr="000E0F25">
              <w:rPr>
                <w:b/>
                <w:bCs/>
              </w:rPr>
              <w:t>2</w:t>
            </w:r>
          </w:p>
          <w:p w:rsidR="004E38AF" w:rsidRPr="000E0F25" w:rsidRDefault="004E38AF" w:rsidP="001C759D">
            <w:pPr>
              <w:jc w:val="center"/>
              <w:rPr>
                <w:b/>
                <w:bCs/>
              </w:rPr>
            </w:pPr>
            <w:r w:rsidRPr="000E0F25">
              <w:rPr>
                <w:b/>
                <w:bCs/>
              </w:rPr>
              <w:t>1</w:t>
            </w:r>
          </w:p>
        </w:tc>
        <w:tc>
          <w:tcPr>
            <w:tcW w:w="851" w:type="dxa"/>
            <w:tcBorders>
              <w:right w:val="single" w:sz="4" w:space="0" w:color="auto"/>
            </w:tcBorders>
            <w:shd w:val="clear" w:color="auto" w:fill="7030A0"/>
          </w:tcPr>
          <w:p w:rsidR="004E38AF" w:rsidRDefault="004E38AF" w:rsidP="001C759D">
            <w:pPr>
              <w:jc w:val="center"/>
              <w:rPr>
                <w:b/>
                <w:bCs/>
              </w:rPr>
            </w:pPr>
            <w:r>
              <w:rPr>
                <w:b/>
                <w:bCs/>
              </w:rPr>
              <w:t>16</w:t>
            </w:r>
          </w:p>
          <w:p w:rsidR="004E38AF" w:rsidRDefault="004E38AF" w:rsidP="001C759D">
            <w:pPr>
              <w:jc w:val="center"/>
              <w:rPr>
                <w:b/>
                <w:bCs/>
              </w:rPr>
            </w:pPr>
            <w:r>
              <w:rPr>
                <w:b/>
                <w:bCs/>
              </w:rPr>
              <w:t>18.5</w:t>
            </w:r>
          </w:p>
          <w:p w:rsidR="004E38AF" w:rsidRDefault="004E38AF" w:rsidP="001C759D">
            <w:pPr>
              <w:jc w:val="center"/>
              <w:rPr>
                <w:b/>
                <w:bCs/>
              </w:rPr>
            </w:pPr>
            <w:r>
              <w:rPr>
                <w:b/>
                <w:bCs/>
              </w:rPr>
              <w:t>16.62</w:t>
            </w:r>
          </w:p>
          <w:p w:rsidR="004E38AF" w:rsidRDefault="004E38AF" w:rsidP="001C759D">
            <w:pPr>
              <w:jc w:val="center"/>
              <w:rPr>
                <w:b/>
                <w:bCs/>
              </w:rPr>
            </w:pPr>
            <w:r>
              <w:rPr>
                <w:b/>
                <w:bCs/>
              </w:rPr>
              <w:t>23.37</w:t>
            </w:r>
          </w:p>
          <w:p w:rsidR="004E38AF" w:rsidRDefault="004E38AF" w:rsidP="001C759D">
            <w:pPr>
              <w:jc w:val="center"/>
              <w:rPr>
                <w:b/>
                <w:bCs/>
              </w:rPr>
            </w:pPr>
            <w:r>
              <w:rPr>
                <w:b/>
                <w:bCs/>
              </w:rPr>
              <w:t>20.5</w:t>
            </w:r>
          </w:p>
          <w:p w:rsidR="004E38AF" w:rsidRDefault="004E38AF" w:rsidP="001C759D">
            <w:pPr>
              <w:jc w:val="center"/>
              <w:rPr>
                <w:b/>
                <w:bCs/>
              </w:rPr>
            </w:pPr>
            <w:r>
              <w:rPr>
                <w:b/>
                <w:bCs/>
              </w:rPr>
              <w:t>16.2</w:t>
            </w:r>
          </w:p>
          <w:p w:rsidR="004E38AF" w:rsidRDefault="004E38AF" w:rsidP="001C759D">
            <w:pPr>
              <w:jc w:val="center"/>
              <w:rPr>
                <w:b/>
                <w:bCs/>
              </w:rPr>
            </w:pPr>
            <w:r>
              <w:rPr>
                <w:b/>
                <w:bCs/>
              </w:rPr>
              <w:t>16.6</w:t>
            </w:r>
          </w:p>
          <w:p w:rsidR="004E38AF" w:rsidRPr="0001464C" w:rsidRDefault="004E38AF" w:rsidP="001C759D">
            <w:pPr>
              <w:jc w:val="center"/>
              <w:rPr>
                <w:b/>
                <w:bCs/>
              </w:rPr>
            </w:pPr>
          </w:p>
        </w:tc>
        <w:tc>
          <w:tcPr>
            <w:tcW w:w="847" w:type="dxa"/>
            <w:tcBorders>
              <w:left w:val="single" w:sz="4" w:space="0" w:color="auto"/>
            </w:tcBorders>
            <w:shd w:val="clear" w:color="auto" w:fill="7030A0"/>
          </w:tcPr>
          <w:p w:rsidR="004E38AF" w:rsidRDefault="00747934" w:rsidP="001C759D">
            <w:pPr>
              <w:jc w:val="center"/>
              <w:rPr>
                <w:b/>
                <w:bCs/>
              </w:rPr>
            </w:pPr>
            <w:r>
              <w:rPr>
                <w:b/>
                <w:bCs/>
              </w:rPr>
              <w:t>95</w:t>
            </w:r>
          </w:p>
          <w:p w:rsidR="00747934" w:rsidRDefault="00747934" w:rsidP="001C759D">
            <w:pPr>
              <w:jc w:val="center"/>
              <w:rPr>
                <w:b/>
                <w:bCs/>
              </w:rPr>
            </w:pPr>
            <w:r>
              <w:rPr>
                <w:b/>
                <w:bCs/>
              </w:rPr>
              <w:t>64.1</w:t>
            </w:r>
          </w:p>
          <w:p w:rsidR="00747934" w:rsidRDefault="00747934" w:rsidP="001C759D">
            <w:pPr>
              <w:jc w:val="center"/>
              <w:rPr>
                <w:b/>
                <w:bCs/>
              </w:rPr>
            </w:pPr>
            <w:r>
              <w:rPr>
                <w:b/>
                <w:bCs/>
              </w:rPr>
              <w:t>93.5</w:t>
            </w:r>
          </w:p>
          <w:p w:rsidR="00747934" w:rsidRDefault="00747934" w:rsidP="001C759D">
            <w:pPr>
              <w:jc w:val="center"/>
              <w:rPr>
                <w:b/>
                <w:bCs/>
              </w:rPr>
            </w:pPr>
            <w:r>
              <w:rPr>
                <w:b/>
                <w:bCs/>
              </w:rPr>
              <w:t>79.6</w:t>
            </w:r>
          </w:p>
          <w:p w:rsidR="00747934" w:rsidRDefault="00747934" w:rsidP="001C759D">
            <w:pPr>
              <w:jc w:val="center"/>
              <w:rPr>
                <w:b/>
                <w:bCs/>
              </w:rPr>
            </w:pPr>
            <w:r>
              <w:rPr>
                <w:b/>
                <w:bCs/>
              </w:rPr>
              <w:t>66.8</w:t>
            </w:r>
          </w:p>
          <w:p w:rsidR="00747934" w:rsidRDefault="00747934" w:rsidP="001C759D">
            <w:pPr>
              <w:jc w:val="center"/>
              <w:rPr>
                <w:b/>
                <w:bCs/>
              </w:rPr>
            </w:pPr>
            <w:r>
              <w:rPr>
                <w:b/>
                <w:bCs/>
              </w:rPr>
              <w:t>83</w:t>
            </w:r>
          </w:p>
          <w:p w:rsidR="00747934" w:rsidRPr="0001464C" w:rsidRDefault="00747934" w:rsidP="001C759D">
            <w:pPr>
              <w:jc w:val="center"/>
              <w:rPr>
                <w:b/>
                <w:bCs/>
              </w:rPr>
            </w:pPr>
            <w:r>
              <w:rPr>
                <w:b/>
                <w:bCs/>
              </w:rPr>
              <w:t>95.8</w:t>
            </w:r>
          </w:p>
        </w:tc>
        <w:tc>
          <w:tcPr>
            <w:tcW w:w="940" w:type="dxa"/>
            <w:tcBorders>
              <w:top w:val="single" w:sz="4" w:space="0" w:color="auto"/>
              <w:bottom w:val="single" w:sz="4" w:space="0" w:color="auto"/>
              <w:right w:val="single" w:sz="4" w:space="0" w:color="auto"/>
            </w:tcBorders>
            <w:shd w:val="clear" w:color="auto" w:fill="7030A0"/>
          </w:tcPr>
          <w:p w:rsidR="004E38AF" w:rsidRPr="0001464C" w:rsidRDefault="004E38AF" w:rsidP="00012797">
            <w:pPr>
              <w:jc w:val="center"/>
              <w:rPr>
                <w:b/>
                <w:bCs/>
              </w:rPr>
            </w:pPr>
            <w:r w:rsidRPr="0001464C">
              <w:rPr>
                <w:b/>
                <w:bCs/>
              </w:rPr>
              <w:t>2005</w:t>
            </w:r>
          </w:p>
          <w:p w:rsidR="004E38AF" w:rsidRPr="0001464C" w:rsidRDefault="004E38AF" w:rsidP="00012797">
            <w:pPr>
              <w:jc w:val="center"/>
              <w:rPr>
                <w:b/>
                <w:bCs/>
              </w:rPr>
            </w:pPr>
            <w:r w:rsidRPr="0001464C">
              <w:rPr>
                <w:b/>
                <w:bCs/>
              </w:rPr>
              <w:t>2006</w:t>
            </w:r>
          </w:p>
          <w:p w:rsidR="004E38AF" w:rsidRPr="0001464C" w:rsidRDefault="004E38AF" w:rsidP="00012797">
            <w:pPr>
              <w:jc w:val="center"/>
              <w:rPr>
                <w:b/>
                <w:bCs/>
              </w:rPr>
            </w:pPr>
            <w:r w:rsidRPr="0001464C">
              <w:rPr>
                <w:b/>
                <w:bCs/>
              </w:rPr>
              <w:t>2007</w:t>
            </w:r>
          </w:p>
          <w:p w:rsidR="004E38AF" w:rsidRPr="0001464C" w:rsidRDefault="004E38AF" w:rsidP="00012797">
            <w:pPr>
              <w:jc w:val="center"/>
              <w:rPr>
                <w:b/>
                <w:bCs/>
              </w:rPr>
            </w:pPr>
            <w:r w:rsidRPr="0001464C">
              <w:rPr>
                <w:b/>
                <w:bCs/>
              </w:rPr>
              <w:t>2008</w:t>
            </w:r>
          </w:p>
          <w:p w:rsidR="004E38AF" w:rsidRPr="0001464C" w:rsidRDefault="004E38AF" w:rsidP="00012797">
            <w:pPr>
              <w:jc w:val="center"/>
              <w:rPr>
                <w:b/>
                <w:bCs/>
              </w:rPr>
            </w:pPr>
            <w:r w:rsidRPr="0001464C">
              <w:rPr>
                <w:b/>
                <w:bCs/>
              </w:rPr>
              <w:t>2009</w:t>
            </w:r>
          </w:p>
          <w:p w:rsidR="004E38AF" w:rsidRPr="0001464C" w:rsidRDefault="004E38AF" w:rsidP="00012797">
            <w:pPr>
              <w:jc w:val="center"/>
              <w:rPr>
                <w:b/>
                <w:bCs/>
              </w:rPr>
            </w:pPr>
            <w:r w:rsidRPr="0001464C">
              <w:rPr>
                <w:b/>
                <w:bCs/>
              </w:rPr>
              <w:t>2010</w:t>
            </w:r>
          </w:p>
          <w:p w:rsidR="004E38AF" w:rsidRPr="0001464C" w:rsidRDefault="004E38AF" w:rsidP="00012797">
            <w:pPr>
              <w:jc w:val="center"/>
              <w:rPr>
                <w:b/>
                <w:bCs/>
              </w:rPr>
            </w:pPr>
            <w:r w:rsidRPr="0001464C">
              <w:rPr>
                <w:b/>
                <w:bCs/>
              </w:rPr>
              <w:t>2011</w:t>
            </w:r>
          </w:p>
        </w:tc>
      </w:tr>
      <w:tr w:rsidR="004E38AF" w:rsidTr="00012797">
        <w:trPr>
          <w:jc w:val="center"/>
        </w:trPr>
        <w:tc>
          <w:tcPr>
            <w:tcW w:w="1791" w:type="dxa"/>
            <w:tcBorders>
              <w:right w:val="single" w:sz="4" w:space="0" w:color="auto"/>
            </w:tcBorders>
            <w:shd w:val="clear" w:color="auto" w:fill="9BBB59" w:themeFill="accent3"/>
          </w:tcPr>
          <w:p w:rsidR="004E38AF" w:rsidRPr="001F65FB" w:rsidRDefault="004E38AF" w:rsidP="00D51282">
            <w:pPr>
              <w:rPr>
                <w:b/>
                <w:bCs/>
              </w:rPr>
            </w:pPr>
            <w:r w:rsidRPr="001F65FB">
              <w:rPr>
                <w:b/>
                <w:bCs/>
              </w:rPr>
              <w:t>Al rafah bank</w:t>
            </w:r>
          </w:p>
        </w:tc>
        <w:tc>
          <w:tcPr>
            <w:tcW w:w="709" w:type="dxa"/>
            <w:tcBorders>
              <w:left w:val="single" w:sz="4" w:space="0" w:color="auto"/>
            </w:tcBorders>
            <w:shd w:val="clear" w:color="auto" w:fill="9BBB59" w:themeFill="accent3"/>
          </w:tcPr>
          <w:p w:rsidR="004E38AF" w:rsidRDefault="004E38AF" w:rsidP="00D51282">
            <w:pPr>
              <w:rPr>
                <w:b/>
                <w:bCs/>
              </w:rPr>
            </w:pPr>
            <w:r>
              <w:rPr>
                <w:b/>
                <w:bCs/>
              </w:rPr>
              <w:t>1</w:t>
            </w:r>
          </w:p>
          <w:p w:rsidR="004E38AF" w:rsidRDefault="004E38AF" w:rsidP="00D51282">
            <w:pPr>
              <w:rPr>
                <w:b/>
                <w:bCs/>
              </w:rPr>
            </w:pPr>
            <w:r>
              <w:rPr>
                <w:b/>
                <w:bCs/>
              </w:rPr>
              <w:t>11.7</w:t>
            </w:r>
          </w:p>
          <w:p w:rsidR="004E38AF" w:rsidRDefault="004E38AF" w:rsidP="00D51282">
            <w:pPr>
              <w:rPr>
                <w:b/>
                <w:bCs/>
              </w:rPr>
            </w:pPr>
            <w:r>
              <w:rPr>
                <w:b/>
                <w:bCs/>
              </w:rPr>
              <w:t>22.5</w:t>
            </w:r>
          </w:p>
          <w:p w:rsidR="004E38AF" w:rsidRDefault="004E38AF" w:rsidP="00D51282">
            <w:pPr>
              <w:rPr>
                <w:b/>
                <w:bCs/>
              </w:rPr>
            </w:pPr>
            <w:r>
              <w:rPr>
                <w:b/>
                <w:bCs/>
              </w:rPr>
              <w:t>3</w:t>
            </w:r>
          </w:p>
          <w:p w:rsidR="004E38AF" w:rsidRDefault="004E38AF" w:rsidP="00D51282">
            <w:pPr>
              <w:rPr>
                <w:b/>
                <w:bCs/>
              </w:rPr>
            </w:pPr>
            <w:r>
              <w:rPr>
                <w:b/>
                <w:bCs/>
              </w:rPr>
              <w:t>23.8</w:t>
            </w:r>
          </w:p>
          <w:p w:rsidR="004E38AF" w:rsidRDefault="004E38AF" w:rsidP="00D51282">
            <w:pPr>
              <w:rPr>
                <w:b/>
                <w:bCs/>
              </w:rPr>
            </w:pPr>
            <w:r>
              <w:rPr>
                <w:b/>
                <w:bCs/>
              </w:rPr>
              <w:t>23.8</w:t>
            </w:r>
          </w:p>
          <w:p w:rsidR="004E38AF" w:rsidRPr="001F65FB" w:rsidRDefault="004E38AF" w:rsidP="00D51282">
            <w:pPr>
              <w:rPr>
                <w:b/>
                <w:bCs/>
              </w:rPr>
            </w:pPr>
            <w:r>
              <w:rPr>
                <w:b/>
                <w:bCs/>
              </w:rPr>
              <w:t>36</w:t>
            </w:r>
          </w:p>
        </w:tc>
        <w:tc>
          <w:tcPr>
            <w:tcW w:w="851" w:type="dxa"/>
            <w:shd w:val="clear" w:color="auto" w:fill="9BBB59" w:themeFill="accent3"/>
          </w:tcPr>
          <w:p w:rsidR="004E38AF" w:rsidRPr="007D755F" w:rsidRDefault="004E38AF" w:rsidP="001C759D">
            <w:pPr>
              <w:jc w:val="center"/>
              <w:rPr>
                <w:b/>
                <w:bCs/>
              </w:rPr>
            </w:pPr>
            <w:r w:rsidRPr="007D755F">
              <w:rPr>
                <w:b/>
                <w:bCs/>
              </w:rPr>
              <w:t>/</w:t>
            </w:r>
          </w:p>
          <w:p w:rsidR="004E38AF" w:rsidRPr="007D755F" w:rsidRDefault="004E38AF" w:rsidP="001C759D">
            <w:pPr>
              <w:jc w:val="center"/>
              <w:rPr>
                <w:b/>
                <w:bCs/>
              </w:rPr>
            </w:pPr>
            <w:r w:rsidRPr="007D755F">
              <w:rPr>
                <w:b/>
                <w:bCs/>
              </w:rPr>
              <w:t>0.00</w:t>
            </w:r>
          </w:p>
          <w:p w:rsidR="004E38AF" w:rsidRPr="007D755F" w:rsidRDefault="004E38AF" w:rsidP="001C759D">
            <w:pPr>
              <w:jc w:val="center"/>
              <w:rPr>
                <w:b/>
                <w:bCs/>
              </w:rPr>
            </w:pPr>
            <w:r w:rsidRPr="007D755F">
              <w:rPr>
                <w:b/>
                <w:bCs/>
              </w:rPr>
              <w:t>0.03</w:t>
            </w:r>
          </w:p>
          <w:p w:rsidR="004E38AF" w:rsidRPr="007D755F" w:rsidRDefault="004E38AF" w:rsidP="001C759D">
            <w:pPr>
              <w:jc w:val="center"/>
              <w:rPr>
                <w:b/>
                <w:bCs/>
              </w:rPr>
            </w:pPr>
            <w:r w:rsidRPr="007D755F">
              <w:rPr>
                <w:b/>
                <w:bCs/>
              </w:rPr>
              <w:t>0.92</w:t>
            </w:r>
          </w:p>
          <w:p w:rsidR="004E38AF" w:rsidRPr="007D755F" w:rsidRDefault="004E38AF" w:rsidP="001C759D">
            <w:pPr>
              <w:jc w:val="center"/>
              <w:rPr>
                <w:b/>
                <w:bCs/>
              </w:rPr>
            </w:pPr>
            <w:r w:rsidRPr="007D755F">
              <w:rPr>
                <w:b/>
                <w:bCs/>
              </w:rPr>
              <w:t>0.83</w:t>
            </w:r>
          </w:p>
          <w:p w:rsidR="004E38AF" w:rsidRPr="007D755F" w:rsidRDefault="004E38AF" w:rsidP="001C759D">
            <w:pPr>
              <w:jc w:val="center"/>
              <w:rPr>
                <w:b/>
                <w:bCs/>
              </w:rPr>
            </w:pPr>
            <w:r w:rsidRPr="007D755F">
              <w:rPr>
                <w:b/>
                <w:bCs/>
              </w:rPr>
              <w:t>4.83</w:t>
            </w:r>
          </w:p>
          <w:p w:rsidR="004E38AF" w:rsidRPr="007D755F" w:rsidRDefault="004E38AF" w:rsidP="001C759D">
            <w:pPr>
              <w:jc w:val="center"/>
              <w:rPr>
                <w:b/>
                <w:bCs/>
              </w:rPr>
            </w:pPr>
            <w:r w:rsidRPr="007D755F">
              <w:rPr>
                <w:b/>
                <w:bCs/>
              </w:rPr>
              <w:t>2.72</w:t>
            </w:r>
          </w:p>
        </w:tc>
        <w:tc>
          <w:tcPr>
            <w:tcW w:w="708" w:type="dxa"/>
            <w:tcBorders>
              <w:left w:val="single" w:sz="4" w:space="0" w:color="auto"/>
            </w:tcBorders>
            <w:shd w:val="clear" w:color="auto" w:fill="9BBB59" w:themeFill="accent3"/>
          </w:tcPr>
          <w:p w:rsidR="004E38AF" w:rsidRPr="000E0F25" w:rsidRDefault="004E38AF" w:rsidP="001C759D">
            <w:pPr>
              <w:jc w:val="center"/>
              <w:rPr>
                <w:b/>
                <w:bCs/>
              </w:rPr>
            </w:pPr>
            <w:r w:rsidRPr="000E0F25">
              <w:rPr>
                <w:b/>
                <w:bCs/>
              </w:rPr>
              <w:t>/</w:t>
            </w:r>
          </w:p>
          <w:p w:rsidR="004E38AF" w:rsidRPr="000E0F25" w:rsidRDefault="004E38AF" w:rsidP="001C759D">
            <w:pPr>
              <w:jc w:val="center"/>
              <w:rPr>
                <w:b/>
                <w:bCs/>
              </w:rPr>
            </w:pPr>
            <w:r w:rsidRPr="000E0F25">
              <w:rPr>
                <w:b/>
                <w:bCs/>
              </w:rPr>
              <w:t>/</w:t>
            </w:r>
          </w:p>
          <w:p w:rsidR="004E38AF" w:rsidRPr="000E0F25" w:rsidRDefault="004E38AF" w:rsidP="001C759D">
            <w:pPr>
              <w:jc w:val="center"/>
              <w:rPr>
                <w:b/>
                <w:bCs/>
              </w:rPr>
            </w:pPr>
            <w:r w:rsidRPr="000E0F25">
              <w:rPr>
                <w:b/>
                <w:bCs/>
              </w:rPr>
              <w:t>0.007</w:t>
            </w:r>
          </w:p>
          <w:p w:rsidR="004E38AF" w:rsidRPr="000E0F25" w:rsidRDefault="004E38AF" w:rsidP="001C759D">
            <w:pPr>
              <w:jc w:val="center"/>
              <w:rPr>
                <w:b/>
                <w:bCs/>
              </w:rPr>
            </w:pPr>
            <w:r w:rsidRPr="000E0F25">
              <w:rPr>
                <w:b/>
                <w:bCs/>
              </w:rPr>
              <w:t>6.65</w:t>
            </w:r>
          </w:p>
          <w:p w:rsidR="004E38AF" w:rsidRPr="000E0F25" w:rsidRDefault="004E38AF" w:rsidP="001C759D">
            <w:pPr>
              <w:jc w:val="center"/>
              <w:rPr>
                <w:b/>
                <w:bCs/>
              </w:rPr>
            </w:pPr>
            <w:r w:rsidRPr="000E0F25">
              <w:rPr>
                <w:b/>
                <w:bCs/>
              </w:rPr>
              <w:t>11.6</w:t>
            </w:r>
          </w:p>
          <w:p w:rsidR="004E38AF" w:rsidRPr="000E0F25" w:rsidRDefault="004E38AF" w:rsidP="001C759D">
            <w:pPr>
              <w:jc w:val="center"/>
              <w:rPr>
                <w:b/>
                <w:bCs/>
              </w:rPr>
            </w:pPr>
            <w:r w:rsidRPr="000E0F25">
              <w:rPr>
                <w:b/>
                <w:bCs/>
              </w:rPr>
              <w:t>16</w:t>
            </w:r>
          </w:p>
          <w:p w:rsidR="004E38AF" w:rsidRPr="000E0F25" w:rsidRDefault="004E38AF" w:rsidP="001C759D">
            <w:pPr>
              <w:jc w:val="center"/>
              <w:rPr>
                <w:b/>
                <w:bCs/>
              </w:rPr>
            </w:pPr>
          </w:p>
        </w:tc>
        <w:tc>
          <w:tcPr>
            <w:tcW w:w="851" w:type="dxa"/>
            <w:tcBorders>
              <w:right w:val="single" w:sz="4" w:space="0" w:color="auto"/>
            </w:tcBorders>
            <w:shd w:val="clear" w:color="auto" w:fill="9BBB59" w:themeFill="accent3"/>
          </w:tcPr>
          <w:p w:rsidR="004E38AF" w:rsidRDefault="004E38AF" w:rsidP="001C759D">
            <w:pPr>
              <w:jc w:val="center"/>
              <w:rPr>
                <w:b/>
                <w:bCs/>
              </w:rPr>
            </w:pPr>
            <w:r>
              <w:rPr>
                <w:b/>
                <w:bCs/>
              </w:rPr>
              <w:t>31.36</w:t>
            </w:r>
          </w:p>
          <w:p w:rsidR="004E38AF" w:rsidRDefault="004E38AF" w:rsidP="001C759D">
            <w:pPr>
              <w:jc w:val="center"/>
              <w:rPr>
                <w:b/>
                <w:bCs/>
              </w:rPr>
            </w:pPr>
            <w:r>
              <w:rPr>
                <w:b/>
                <w:bCs/>
              </w:rPr>
              <w:t>62.7</w:t>
            </w:r>
          </w:p>
          <w:p w:rsidR="004E38AF" w:rsidRDefault="004E38AF" w:rsidP="001C759D">
            <w:pPr>
              <w:jc w:val="center"/>
              <w:rPr>
                <w:b/>
                <w:bCs/>
              </w:rPr>
            </w:pPr>
            <w:r>
              <w:rPr>
                <w:b/>
                <w:bCs/>
              </w:rPr>
              <w:t>31.4</w:t>
            </w:r>
          </w:p>
          <w:p w:rsidR="004E38AF" w:rsidRDefault="004E38AF" w:rsidP="001C759D">
            <w:pPr>
              <w:jc w:val="center"/>
              <w:rPr>
                <w:b/>
                <w:bCs/>
              </w:rPr>
            </w:pPr>
            <w:r>
              <w:rPr>
                <w:b/>
                <w:bCs/>
              </w:rPr>
              <w:t>26.5</w:t>
            </w:r>
          </w:p>
          <w:p w:rsidR="004E38AF" w:rsidRDefault="004E38AF" w:rsidP="001C759D">
            <w:pPr>
              <w:jc w:val="center"/>
              <w:rPr>
                <w:b/>
                <w:bCs/>
              </w:rPr>
            </w:pPr>
            <w:r>
              <w:rPr>
                <w:b/>
                <w:bCs/>
              </w:rPr>
              <w:t>17.6</w:t>
            </w:r>
          </w:p>
          <w:p w:rsidR="004E38AF" w:rsidRDefault="004E38AF" w:rsidP="001C759D">
            <w:pPr>
              <w:jc w:val="center"/>
              <w:rPr>
                <w:b/>
                <w:bCs/>
              </w:rPr>
            </w:pPr>
            <w:r>
              <w:rPr>
                <w:b/>
                <w:bCs/>
              </w:rPr>
              <w:t>18.62</w:t>
            </w:r>
          </w:p>
          <w:p w:rsidR="004E38AF" w:rsidRPr="0001464C" w:rsidRDefault="004E38AF" w:rsidP="001C759D">
            <w:pPr>
              <w:jc w:val="center"/>
              <w:rPr>
                <w:b/>
                <w:bCs/>
              </w:rPr>
            </w:pPr>
            <w:r>
              <w:rPr>
                <w:b/>
                <w:bCs/>
              </w:rPr>
              <w:t>11.8</w:t>
            </w:r>
          </w:p>
        </w:tc>
        <w:tc>
          <w:tcPr>
            <w:tcW w:w="847" w:type="dxa"/>
            <w:tcBorders>
              <w:left w:val="single" w:sz="4" w:space="0" w:color="auto"/>
            </w:tcBorders>
            <w:shd w:val="clear" w:color="auto" w:fill="9BBB59" w:themeFill="accent3"/>
          </w:tcPr>
          <w:p w:rsidR="004E38AF" w:rsidRDefault="00747934" w:rsidP="001C759D">
            <w:pPr>
              <w:jc w:val="center"/>
              <w:rPr>
                <w:b/>
                <w:bCs/>
              </w:rPr>
            </w:pPr>
            <w:r>
              <w:rPr>
                <w:b/>
                <w:bCs/>
              </w:rPr>
              <w:t>95</w:t>
            </w:r>
          </w:p>
          <w:p w:rsidR="00747934" w:rsidRDefault="00747934" w:rsidP="001C759D">
            <w:pPr>
              <w:jc w:val="center"/>
              <w:rPr>
                <w:b/>
                <w:bCs/>
              </w:rPr>
            </w:pPr>
            <w:r>
              <w:rPr>
                <w:b/>
                <w:bCs/>
              </w:rPr>
              <w:t>104</w:t>
            </w:r>
          </w:p>
          <w:p w:rsidR="00747934" w:rsidRDefault="00747934" w:rsidP="001C759D">
            <w:pPr>
              <w:jc w:val="center"/>
              <w:rPr>
                <w:b/>
                <w:bCs/>
              </w:rPr>
            </w:pPr>
            <w:r>
              <w:rPr>
                <w:b/>
                <w:bCs/>
              </w:rPr>
              <w:t>61</w:t>
            </w:r>
          </w:p>
          <w:p w:rsidR="00747934" w:rsidRDefault="00747934" w:rsidP="001C759D">
            <w:pPr>
              <w:jc w:val="center"/>
              <w:rPr>
                <w:b/>
                <w:bCs/>
              </w:rPr>
            </w:pPr>
            <w:r>
              <w:rPr>
                <w:b/>
                <w:bCs/>
              </w:rPr>
              <w:t>89</w:t>
            </w:r>
          </w:p>
          <w:p w:rsidR="00747934" w:rsidRDefault="00747934" w:rsidP="001C759D">
            <w:pPr>
              <w:jc w:val="center"/>
              <w:rPr>
                <w:b/>
                <w:bCs/>
              </w:rPr>
            </w:pPr>
            <w:r>
              <w:rPr>
                <w:b/>
                <w:bCs/>
              </w:rPr>
              <w:t>99.2</w:t>
            </w:r>
          </w:p>
          <w:p w:rsidR="00747934" w:rsidRDefault="00747934" w:rsidP="001C759D">
            <w:pPr>
              <w:jc w:val="center"/>
              <w:rPr>
                <w:b/>
                <w:bCs/>
              </w:rPr>
            </w:pPr>
            <w:r>
              <w:rPr>
                <w:b/>
                <w:bCs/>
              </w:rPr>
              <w:t>99.1</w:t>
            </w:r>
          </w:p>
          <w:p w:rsidR="00747934" w:rsidRPr="0001464C" w:rsidRDefault="00747934" w:rsidP="001C759D">
            <w:pPr>
              <w:jc w:val="center"/>
              <w:rPr>
                <w:b/>
                <w:bCs/>
              </w:rPr>
            </w:pPr>
            <w:r>
              <w:rPr>
                <w:b/>
                <w:bCs/>
              </w:rPr>
              <w:t>104</w:t>
            </w:r>
          </w:p>
        </w:tc>
        <w:tc>
          <w:tcPr>
            <w:tcW w:w="940" w:type="dxa"/>
            <w:tcBorders>
              <w:top w:val="single" w:sz="4" w:space="0" w:color="auto"/>
              <w:bottom w:val="single" w:sz="4" w:space="0" w:color="auto"/>
              <w:right w:val="single" w:sz="4" w:space="0" w:color="auto"/>
            </w:tcBorders>
            <w:shd w:val="clear" w:color="auto" w:fill="9BBB59" w:themeFill="accent3"/>
          </w:tcPr>
          <w:p w:rsidR="004E38AF" w:rsidRPr="0001464C" w:rsidRDefault="004E38AF" w:rsidP="00012797">
            <w:pPr>
              <w:jc w:val="center"/>
              <w:rPr>
                <w:b/>
                <w:bCs/>
              </w:rPr>
            </w:pPr>
            <w:r w:rsidRPr="0001464C">
              <w:rPr>
                <w:b/>
                <w:bCs/>
              </w:rPr>
              <w:t>2005</w:t>
            </w:r>
          </w:p>
          <w:p w:rsidR="004E38AF" w:rsidRPr="0001464C" w:rsidRDefault="004E38AF" w:rsidP="00012797">
            <w:pPr>
              <w:jc w:val="center"/>
              <w:rPr>
                <w:b/>
                <w:bCs/>
              </w:rPr>
            </w:pPr>
            <w:r w:rsidRPr="0001464C">
              <w:rPr>
                <w:b/>
                <w:bCs/>
              </w:rPr>
              <w:t>2006</w:t>
            </w:r>
          </w:p>
          <w:p w:rsidR="004E38AF" w:rsidRPr="0001464C" w:rsidRDefault="004E38AF" w:rsidP="00012797">
            <w:pPr>
              <w:jc w:val="center"/>
              <w:rPr>
                <w:b/>
                <w:bCs/>
              </w:rPr>
            </w:pPr>
            <w:r w:rsidRPr="0001464C">
              <w:rPr>
                <w:b/>
                <w:bCs/>
              </w:rPr>
              <w:t>2007</w:t>
            </w:r>
          </w:p>
          <w:p w:rsidR="004E38AF" w:rsidRPr="0001464C" w:rsidRDefault="004E38AF" w:rsidP="00012797">
            <w:pPr>
              <w:jc w:val="center"/>
              <w:rPr>
                <w:b/>
                <w:bCs/>
              </w:rPr>
            </w:pPr>
            <w:r w:rsidRPr="0001464C">
              <w:rPr>
                <w:b/>
                <w:bCs/>
              </w:rPr>
              <w:t>2008</w:t>
            </w:r>
          </w:p>
          <w:p w:rsidR="004E38AF" w:rsidRPr="0001464C" w:rsidRDefault="004E38AF" w:rsidP="00012797">
            <w:pPr>
              <w:jc w:val="center"/>
              <w:rPr>
                <w:b/>
                <w:bCs/>
              </w:rPr>
            </w:pPr>
            <w:r w:rsidRPr="0001464C">
              <w:rPr>
                <w:b/>
                <w:bCs/>
              </w:rPr>
              <w:t>2009</w:t>
            </w:r>
          </w:p>
          <w:p w:rsidR="004E38AF" w:rsidRPr="0001464C" w:rsidRDefault="004E38AF" w:rsidP="00012797">
            <w:pPr>
              <w:jc w:val="center"/>
              <w:rPr>
                <w:b/>
                <w:bCs/>
              </w:rPr>
            </w:pPr>
            <w:r w:rsidRPr="0001464C">
              <w:rPr>
                <w:b/>
                <w:bCs/>
              </w:rPr>
              <w:t>2010</w:t>
            </w:r>
          </w:p>
          <w:p w:rsidR="004E38AF" w:rsidRPr="0001464C" w:rsidRDefault="004E38AF" w:rsidP="00012797">
            <w:pPr>
              <w:jc w:val="center"/>
              <w:rPr>
                <w:b/>
                <w:bCs/>
              </w:rPr>
            </w:pPr>
            <w:r w:rsidRPr="0001464C">
              <w:rPr>
                <w:b/>
                <w:bCs/>
              </w:rPr>
              <w:t>2011</w:t>
            </w:r>
          </w:p>
        </w:tc>
      </w:tr>
    </w:tbl>
    <w:p w:rsidR="00BC586E" w:rsidRDefault="00BC586E" w:rsidP="009A5A29">
      <w:pPr>
        <w:autoSpaceDE w:val="0"/>
        <w:autoSpaceDN w:val="0"/>
        <w:adjustRightInd w:val="0"/>
        <w:spacing w:after="0" w:line="360" w:lineRule="auto"/>
        <w:jc w:val="both"/>
        <w:rPr>
          <w:rFonts w:asciiTheme="majorBidi" w:hAnsiTheme="majorBidi" w:cstheme="majorBidi"/>
          <w:b/>
          <w:sz w:val="24"/>
          <w:szCs w:val="24"/>
        </w:rPr>
      </w:pPr>
    </w:p>
    <w:p w:rsidR="009920FC" w:rsidRPr="00F260EB" w:rsidRDefault="00AF51E3" w:rsidP="002E3E3E">
      <w:pPr>
        <w:autoSpaceDE w:val="0"/>
        <w:autoSpaceDN w:val="0"/>
        <w:adjustRightInd w:val="0"/>
        <w:spacing w:after="0" w:line="360" w:lineRule="auto"/>
        <w:jc w:val="center"/>
        <w:rPr>
          <w:rFonts w:asciiTheme="majorBidi" w:hAnsiTheme="majorBidi" w:cstheme="majorBidi"/>
          <w:sz w:val="20"/>
          <w:szCs w:val="20"/>
        </w:rPr>
      </w:pPr>
      <w:r w:rsidRPr="00F260EB">
        <w:rPr>
          <w:rFonts w:asciiTheme="majorBidi" w:hAnsiTheme="majorBidi" w:cstheme="majorBidi"/>
          <w:sz w:val="20"/>
          <w:szCs w:val="20"/>
        </w:rPr>
        <w:t>(source: Bank scope)</w:t>
      </w:r>
    </w:p>
    <w:p w:rsidR="00FE2C34" w:rsidRDefault="00FE2C34" w:rsidP="009920FC">
      <w:pPr>
        <w:autoSpaceDE w:val="0"/>
        <w:autoSpaceDN w:val="0"/>
        <w:adjustRightInd w:val="0"/>
        <w:spacing w:after="0" w:line="360" w:lineRule="auto"/>
        <w:jc w:val="both"/>
        <w:rPr>
          <w:rFonts w:asciiTheme="majorBidi" w:hAnsiTheme="majorBidi" w:cstheme="majorBidi"/>
          <w:b/>
          <w:sz w:val="24"/>
          <w:szCs w:val="24"/>
        </w:rPr>
      </w:pPr>
    </w:p>
    <w:p w:rsidR="00F36759" w:rsidRDefault="00F36759" w:rsidP="009920FC">
      <w:pPr>
        <w:autoSpaceDE w:val="0"/>
        <w:autoSpaceDN w:val="0"/>
        <w:adjustRightInd w:val="0"/>
        <w:spacing w:after="0" w:line="360" w:lineRule="auto"/>
        <w:jc w:val="both"/>
        <w:rPr>
          <w:rFonts w:asciiTheme="majorBidi" w:hAnsiTheme="majorBidi" w:cstheme="majorBidi"/>
          <w:b/>
          <w:sz w:val="24"/>
          <w:szCs w:val="24"/>
        </w:rPr>
      </w:pPr>
    </w:p>
    <w:p w:rsidR="009B3999" w:rsidRPr="009920FC" w:rsidRDefault="00A0633E" w:rsidP="00CA1AD2">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sz w:val="24"/>
          <w:szCs w:val="24"/>
        </w:rPr>
        <w:lastRenderedPageBreak/>
        <w:t>Appendix 3</w:t>
      </w:r>
      <w:r w:rsidR="00F57E39" w:rsidRPr="009920FC">
        <w:rPr>
          <w:rFonts w:asciiTheme="majorBidi" w:hAnsiTheme="majorBidi" w:cstheme="majorBidi"/>
          <w:b/>
          <w:sz w:val="24"/>
          <w:szCs w:val="24"/>
        </w:rPr>
        <w:t xml:space="preserve">: </w:t>
      </w:r>
      <w:r w:rsidR="00F57E39" w:rsidRPr="009920FC">
        <w:rPr>
          <w:rFonts w:asciiTheme="majorBidi" w:hAnsiTheme="majorBidi" w:cstheme="majorBidi"/>
          <w:b/>
          <w:bCs/>
          <w:sz w:val="24"/>
          <w:szCs w:val="24"/>
        </w:rPr>
        <w:t>Regression analysis output in SPSS</w:t>
      </w:r>
    </w:p>
    <w:p w:rsidR="00002724" w:rsidRPr="00950377" w:rsidRDefault="001E0825" w:rsidP="00844951">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color w:val="000000" w:themeColor="text1"/>
          <w:sz w:val="24"/>
          <w:szCs w:val="24"/>
        </w:rPr>
        <w:t>Table 4.35</w:t>
      </w:r>
      <w:r w:rsidR="00B07B9B" w:rsidRPr="00950377">
        <w:rPr>
          <w:rFonts w:asciiTheme="majorBidi" w:hAnsiTheme="majorBidi" w:cstheme="majorBidi"/>
          <w:b/>
          <w:bCs/>
          <w:color w:val="000000" w:themeColor="text1"/>
          <w:sz w:val="24"/>
          <w:szCs w:val="24"/>
        </w:rPr>
        <w:t xml:space="preserve">: </w:t>
      </w:r>
      <w:r w:rsidR="00B07B9B" w:rsidRPr="00950377">
        <w:rPr>
          <w:rFonts w:asciiTheme="majorBidi" w:hAnsiTheme="majorBidi" w:cstheme="majorBidi"/>
          <w:b/>
          <w:bCs/>
          <w:sz w:val="24"/>
          <w:szCs w:val="24"/>
        </w:rPr>
        <w:t>Mul</w:t>
      </w:r>
      <w:r w:rsidR="00D33435" w:rsidRPr="00950377">
        <w:rPr>
          <w:rFonts w:asciiTheme="majorBidi" w:hAnsiTheme="majorBidi" w:cstheme="majorBidi"/>
          <w:b/>
          <w:bCs/>
          <w:sz w:val="24"/>
          <w:szCs w:val="24"/>
        </w:rPr>
        <w:t>tiple Linear Regression results</w:t>
      </w:r>
      <w:r w:rsidR="00B07B9B" w:rsidRPr="00950377">
        <w:rPr>
          <w:rFonts w:asciiTheme="majorBidi" w:hAnsiTheme="majorBidi" w:cstheme="majorBidi"/>
          <w:b/>
          <w:bCs/>
          <w:sz w:val="24"/>
          <w:szCs w:val="24"/>
        </w:rPr>
        <w:t xml:space="preserve"> for model 1</w:t>
      </w:r>
    </w:p>
    <w:p w:rsidR="00002724" w:rsidRPr="00002724" w:rsidRDefault="00002724" w:rsidP="00002724">
      <w:pPr>
        <w:tabs>
          <w:tab w:val="center" w:pos="2246"/>
        </w:tabs>
        <w:autoSpaceDE w:val="0"/>
        <w:autoSpaceDN w:val="0"/>
        <w:adjustRightInd w:val="0"/>
        <w:spacing w:after="0" w:line="240" w:lineRule="auto"/>
        <w:rPr>
          <w:rFonts w:ascii="Arabic Transparent" w:hAnsi="Arabic Transparent" w:cs="Arabic Transparent"/>
          <w:b/>
          <w:bCs/>
          <w:color w:val="000000"/>
          <w:sz w:val="18"/>
          <w:szCs w:val="18"/>
        </w:rPr>
      </w:pPr>
      <w:r w:rsidRPr="00002724">
        <w:rPr>
          <w:rFonts w:ascii="Arabic Transparent" w:hAnsi="Arabic Transparent" w:cs="Arabic Transparent"/>
          <w:b/>
          <w:bCs/>
          <w:color w:val="000000"/>
          <w:sz w:val="18"/>
          <w:szCs w:val="18"/>
        </w:rPr>
        <w:tab/>
      </w:r>
      <w:r w:rsidR="00FA6F08">
        <w:rPr>
          <w:rFonts w:ascii="Arabic Transparent" w:hAnsi="Arabic Transparent" w:cs="Arabic Transparent"/>
          <w:b/>
          <w:bCs/>
          <w:color w:val="000000"/>
          <w:sz w:val="18"/>
          <w:szCs w:val="18"/>
        </w:rPr>
        <w:t xml:space="preserve">                                                             </w:t>
      </w:r>
      <w:r w:rsidRPr="00002724">
        <w:rPr>
          <w:rFonts w:ascii="Arabic Transparent" w:hAnsi="Arabic Transparent" w:cs="Arabic Transparent"/>
          <w:b/>
          <w:bCs/>
          <w:color w:val="000000"/>
          <w:sz w:val="18"/>
          <w:szCs w:val="18"/>
        </w:rPr>
        <w:t>Variables Entered/Removed(b)</w:t>
      </w:r>
    </w:p>
    <w:p w:rsidR="00002724" w:rsidRPr="00002724" w:rsidRDefault="00002724" w:rsidP="00002724">
      <w:pPr>
        <w:tabs>
          <w:tab w:val="center" w:pos="2246"/>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jc w:val="center"/>
        <w:tblInd w:w="93" w:type="dxa"/>
        <w:tblLayout w:type="fixed"/>
        <w:tblCellMar>
          <w:left w:w="93" w:type="dxa"/>
          <w:right w:w="93" w:type="dxa"/>
        </w:tblCellMar>
        <w:tblLook w:val="0000"/>
      </w:tblPr>
      <w:tblGrid>
        <w:gridCol w:w="763"/>
        <w:gridCol w:w="1180"/>
        <w:gridCol w:w="1180"/>
        <w:gridCol w:w="1080"/>
      </w:tblGrid>
      <w:tr w:rsidR="00002724" w:rsidRPr="00002724" w:rsidTr="00002724">
        <w:trPr>
          <w:trHeight w:val="504"/>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Model</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Variables Entered</w:t>
            </w:r>
          </w:p>
        </w:tc>
        <w:tc>
          <w:tcPr>
            <w:tcW w:w="11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Variables Removed</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Method</w:t>
            </w:r>
          </w:p>
        </w:tc>
      </w:tr>
      <w:tr w:rsidR="00002724" w:rsidRPr="00002724" w:rsidTr="00002724">
        <w:trPr>
          <w:trHeight w:val="1195"/>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1</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OPNI, NPLR, EQTA, NIDR, LLPI(a)</w:t>
            </w:r>
          </w:p>
        </w:tc>
        <w:tc>
          <w:tcPr>
            <w:tcW w:w="11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Enter</w:t>
            </w:r>
          </w:p>
        </w:tc>
      </w:tr>
    </w:tbl>
    <w:p w:rsidR="00002724" w:rsidRPr="00002724" w:rsidRDefault="00FA6F08" w:rsidP="00002724">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002724" w:rsidRPr="00002724">
        <w:rPr>
          <w:rFonts w:ascii="Arabic Transparent" w:hAnsi="Arabic Transparent" w:cs="Arabic Transparent"/>
          <w:color w:val="000000"/>
          <w:sz w:val="18"/>
          <w:szCs w:val="18"/>
        </w:rPr>
        <w:t>a  All requested variables entered.</w:t>
      </w:r>
    </w:p>
    <w:p w:rsidR="00002724" w:rsidRDefault="00FA6F08" w:rsidP="00002724">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002724" w:rsidRPr="00002724">
        <w:rPr>
          <w:rFonts w:ascii="Arabic Transparent" w:hAnsi="Arabic Transparent" w:cs="Arabic Transparent"/>
          <w:color w:val="000000"/>
          <w:sz w:val="18"/>
          <w:szCs w:val="18"/>
        </w:rPr>
        <w:t>b  Dependent Variable: ROA</w:t>
      </w:r>
    </w:p>
    <w:p w:rsidR="00002724" w:rsidRDefault="00002724" w:rsidP="00002724">
      <w:pPr>
        <w:autoSpaceDE w:val="0"/>
        <w:autoSpaceDN w:val="0"/>
        <w:adjustRightInd w:val="0"/>
        <w:spacing w:after="0" w:line="240" w:lineRule="auto"/>
        <w:rPr>
          <w:rFonts w:ascii="Arabic Transparent" w:hAnsi="Arabic Transparent" w:cs="Arabic Transparent"/>
          <w:color w:val="000000"/>
          <w:sz w:val="18"/>
          <w:szCs w:val="18"/>
        </w:rPr>
      </w:pPr>
    </w:p>
    <w:p w:rsidR="00002724" w:rsidRPr="00002724" w:rsidRDefault="00002724" w:rsidP="00844951">
      <w:pPr>
        <w:tabs>
          <w:tab w:val="center" w:pos="3556"/>
        </w:tabs>
        <w:autoSpaceDE w:val="0"/>
        <w:autoSpaceDN w:val="0"/>
        <w:adjustRightInd w:val="0"/>
        <w:spacing w:after="0" w:line="240" w:lineRule="auto"/>
        <w:jc w:val="center"/>
        <w:rPr>
          <w:rFonts w:ascii="Arabic Transparent" w:hAnsi="Arabic Transparent" w:cs="Arabic Transparent"/>
          <w:b/>
          <w:bCs/>
          <w:color w:val="000000"/>
          <w:sz w:val="18"/>
          <w:szCs w:val="18"/>
        </w:rPr>
      </w:pPr>
      <w:r w:rsidRPr="00002724">
        <w:rPr>
          <w:rFonts w:ascii="Arabic Transparent" w:hAnsi="Arabic Transparent" w:cs="Arabic Transparent"/>
          <w:b/>
          <w:bCs/>
          <w:color w:val="000000"/>
          <w:sz w:val="18"/>
          <w:szCs w:val="18"/>
        </w:rPr>
        <w:t>Model Summary(b)</w:t>
      </w:r>
    </w:p>
    <w:p w:rsidR="00002724" w:rsidRPr="00002724" w:rsidRDefault="00002724" w:rsidP="00002724">
      <w:pPr>
        <w:tabs>
          <w:tab w:val="center" w:pos="3556"/>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jc w:val="center"/>
        <w:tblInd w:w="93" w:type="dxa"/>
        <w:tblLayout w:type="fixed"/>
        <w:tblCellMar>
          <w:left w:w="93" w:type="dxa"/>
          <w:right w:w="93" w:type="dxa"/>
        </w:tblCellMar>
        <w:tblLook w:val="0000"/>
      </w:tblPr>
      <w:tblGrid>
        <w:gridCol w:w="763"/>
        <w:gridCol w:w="1080"/>
        <w:gridCol w:w="1080"/>
        <w:gridCol w:w="1137"/>
        <w:gridCol w:w="1324"/>
        <w:gridCol w:w="1440"/>
      </w:tblGrid>
      <w:tr w:rsidR="00002724" w:rsidRPr="00002724" w:rsidTr="00002724">
        <w:trPr>
          <w:trHeight w:val="504"/>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Model</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R Square</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Adjusted R Square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Std. Error of the Estimate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Durbin-Watson</w:t>
            </w:r>
          </w:p>
        </w:tc>
      </w:tr>
      <w:tr w:rsidR="00002724" w:rsidRPr="00002724" w:rsidTr="00002724">
        <w:trPr>
          <w:trHeight w:val="273"/>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1</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.840(a)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.706</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.656</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.49267</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1.932</w:t>
            </w:r>
          </w:p>
        </w:tc>
      </w:tr>
    </w:tbl>
    <w:p w:rsidR="00002724" w:rsidRPr="00002724" w:rsidRDefault="00FA6F08" w:rsidP="00002724">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002724" w:rsidRPr="00002724">
        <w:rPr>
          <w:rFonts w:ascii="Arabic Transparent" w:hAnsi="Arabic Transparent" w:cs="Arabic Transparent"/>
          <w:color w:val="000000"/>
          <w:sz w:val="18"/>
          <w:szCs w:val="18"/>
        </w:rPr>
        <w:t>a  Predictors: (Constant), OPNI, NPLR, EQTA, NIDR, LLPI</w:t>
      </w:r>
    </w:p>
    <w:p w:rsidR="00002724" w:rsidRDefault="00FA6F08" w:rsidP="00002724">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002724" w:rsidRPr="00002724">
        <w:rPr>
          <w:rFonts w:ascii="Arabic Transparent" w:hAnsi="Arabic Transparent" w:cs="Arabic Transparent"/>
          <w:color w:val="000000"/>
          <w:sz w:val="18"/>
          <w:szCs w:val="18"/>
        </w:rPr>
        <w:t>b  Dependent Variable: ROA</w:t>
      </w:r>
    </w:p>
    <w:p w:rsidR="00002724" w:rsidRDefault="00002724" w:rsidP="00002724">
      <w:pPr>
        <w:autoSpaceDE w:val="0"/>
        <w:autoSpaceDN w:val="0"/>
        <w:adjustRightInd w:val="0"/>
        <w:spacing w:after="0" w:line="240" w:lineRule="auto"/>
        <w:rPr>
          <w:rFonts w:ascii="Arabic Transparent" w:hAnsi="Arabic Transparent" w:cs="Arabic Transparent"/>
          <w:color w:val="000000"/>
          <w:sz w:val="18"/>
          <w:szCs w:val="18"/>
        </w:rPr>
      </w:pPr>
    </w:p>
    <w:p w:rsidR="00002724" w:rsidRDefault="00002724" w:rsidP="00002724">
      <w:pPr>
        <w:autoSpaceDE w:val="0"/>
        <w:autoSpaceDN w:val="0"/>
        <w:adjustRightInd w:val="0"/>
        <w:spacing w:after="0" w:line="240" w:lineRule="auto"/>
        <w:rPr>
          <w:rFonts w:ascii="Arabic Transparent" w:hAnsi="Arabic Transparent" w:cs="Arabic Transparent"/>
          <w:color w:val="000000"/>
          <w:sz w:val="18"/>
          <w:szCs w:val="18"/>
        </w:rPr>
      </w:pPr>
    </w:p>
    <w:p w:rsidR="00002724" w:rsidRPr="00002724" w:rsidRDefault="00002724" w:rsidP="00002724">
      <w:pPr>
        <w:tabs>
          <w:tab w:val="center" w:pos="4003"/>
        </w:tabs>
        <w:autoSpaceDE w:val="0"/>
        <w:autoSpaceDN w:val="0"/>
        <w:adjustRightInd w:val="0"/>
        <w:spacing w:after="0" w:line="240" w:lineRule="auto"/>
        <w:rPr>
          <w:rFonts w:ascii="Arabic Transparent" w:hAnsi="Arabic Transparent" w:cs="Arabic Transparent"/>
          <w:b/>
          <w:bCs/>
          <w:color w:val="000000"/>
          <w:sz w:val="18"/>
          <w:szCs w:val="18"/>
        </w:rPr>
      </w:pPr>
      <w:r w:rsidRPr="00002724">
        <w:rPr>
          <w:rFonts w:ascii="Arabic Transparent" w:hAnsi="Arabic Transparent" w:cs="Arabic Transparent"/>
          <w:b/>
          <w:bCs/>
          <w:color w:val="000000"/>
          <w:sz w:val="18"/>
          <w:szCs w:val="18"/>
        </w:rPr>
        <w:tab/>
      </w:r>
      <w:r w:rsidR="00FA6F08">
        <w:rPr>
          <w:rFonts w:ascii="Arabic Transparent" w:hAnsi="Arabic Transparent" w:cs="Arabic Transparent"/>
          <w:b/>
          <w:bCs/>
          <w:color w:val="000000"/>
          <w:sz w:val="18"/>
          <w:szCs w:val="18"/>
        </w:rPr>
        <w:t xml:space="preserve">               </w:t>
      </w:r>
      <w:r w:rsidRPr="00002724">
        <w:rPr>
          <w:rFonts w:ascii="Arabic Transparent" w:hAnsi="Arabic Transparent" w:cs="Arabic Transparent"/>
          <w:b/>
          <w:bCs/>
          <w:color w:val="000000"/>
          <w:sz w:val="18"/>
          <w:szCs w:val="18"/>
        </w:rPr>
        <w:t>ANOVA(b)</w:t>
      </w:r>
    </w:p>
    <w:p w:rsidR="00002724" w:rsidRPr="00002724" w:rsidRDefault="00002724" w:rsidP="00002724">
      <w:pPr>
        <w:tabs>
          <w:tab w:val="center" w:pos="4003"/>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jc w:val="center"/>
        <w:tblInd w:w="93" w:type="dxa"/>
        <w:tblLayout w:type="fixed"/>
        <w:tblCellMar>
          <w:left w:w="93" w:type="dxa"/>
          <w:right w:w="93" w:type="dxa"/>
        </w:tblCellMar>
        <w:tblLook w:val="0000"/>
      </w:tblPr>
      <w:tblGrid>
        <w:gridCol w:w="763"/>
        <w:gridCol w:w="1252"/>
        <w:gridCol w:w="1094"/>
        <w:gridCol w:w="1080"/>
        <w:gridCol w:w="1368"/>
        <w:gridCol w:w="1080"/>
        <w:gridCol w:w="1080"/>
      </w:tblGrid>
      <w:tr w:rsidR="00002724" w:rsidRPr="00002724" w:rsidTr="00002724">
        <w:trPr>
          <w:trHeight w:val="504"/>
          <w:jc w:val="center"/>
        </w:trPr>
        <w:tc>
          <w:tcPr>
            <w:tcW w:w="763" w:type="dxa"/>
            <w:tcBorders>
              <w:top w:val="single" w:sz="12" w:space="0" w:color="000000"/>
              <w:left w:val="single" w:sz="12" w:space="0" w:color="000000"/>
              <w:bottom w:val="single" w:sz="12" w:space="0" w:color="000000"/>
              <w:right w:val="nil"/>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Model</w:t>
            </w:r>
          </w:p>
        </w:tc>
        <w:tc>
          <w:tcPr>
            <w:tcW w:w="1252" w:type="dxa"/>
            <w:tcBorders>
              <w:top w:val="single" w:sz="12" w:space="0" w:color="000000"/>
              <w:left w:val="nil"/>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Sig.</w:t>
            </w:r>
          </w:p>
        </w:tc>
      </w:tr>
      <w:tr w:rsidR="00002724" w:rsidRPr="00002724" w:rsidTr="00002724">
        <w:trPr>
          <w:trHeight w:val="273"/>
          <w:jc w:val="center"/>
        </w:trPr>
        <w:tc>
          <w:tcPr>
            <w:tcW w:w="763" w:type="dxa"/>
            <w:vMerge w:val="restart"/>
            <w:tcBorders>
              <w:top w:val="single" w:sz="12" w:space="0" w:color="000000"/>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1</w:t>
            </w:r>
          </w:p>
        </w:tc>
        <w:tc>
          <w:tcPr>
            <w:tcW w:w="1252" w:type="dxa"/>
            <w:tcBorders>
              <w:top w:val="single" w:sz="12" w:space="0" w:color="000000"/>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16.924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5</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3.385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13.945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.000(a)</w:t>
            </w:r>
          </w:p>
        </w:tc>
      </w:tr>
      <w:tr w:rsidR="00002724" w:rsidRPr="00002724" w:rsidTr="00002724">
        <w:trPr>
          <w:trHeight w:val="273"/>
          <w:jc w:val="center"/>
        </w:trPr>
        <w:tc>
          <w:tcPr>
            <w:tcW w:w="763" w:type="dxa"/>
            <w:vMerge/>
            <w:tcBorders>
              <w:top w:val="nil"/>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52" w:type="dxa"/>
            <w:tcBorders>
              <w:top w:val="nil"/>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Residual</w:t>
            </w:r>
          </w:p>
        </w:tc>
        <w:tc>
          <w:tcPr>
            <w:tcW w:w="1094" w:type="dxa"/>
            <w:tcBorders>
              <w:top w:val="nil"/>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7.039</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29</w:t>
            </w:r>
          </w:p>
        </w:tc>
        <w:tc>
          <w:tcPr>
            <w:tcW w:w="1368"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.243</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r>
      <w:tr w:rsidR="00002724" w:rsidRPr="00002724" w:rsidTr="00002724">
        <w:trPr>
          <w:trHeight w:val="273"/>
          <w:jc w:val="center"/>
        </w:trPr>
        <w:tc>
          <w:tcPr>
            <w:tcW w:w="763" w:type="dxa"/>
            <w:vMerge/>
            <w:tcBorders>
              <w:top w:val="nil"/>
              <w:left w:val="single" w:sz="12" w:space="0" w:color="000000"/>
              <w:bottom w:val="single" w:sz="12" w:space="0" w:color="000000"/>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52" w:type="dxa"/>
            <w:tcBorders>
              <w:top w:val="nil"/>
              <w:left w:val="nil"/>
              <w:bottom w:val="single" w:sz="12" w:space="0" w:color="000000"/>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23.963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34</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r>
    </w:tbl>
    <w:p w:rsidR="00002724" w:rsidRPr="00002724" w:rsidRDefault="00FA6F08" w:rsidP="00002724">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002724" w:rsidRPr="00002724">
        <w:rPr>
          <w:rFonts w:ascii="Arabic Transparent" w:hAnsi="Arabic Transparent" w:cs="Arabic Transparent"/>
          <w:color w:val="000000"/>
          <w:sz w:val="18"/>
          <w:szCs w:val="18"/>
        </w:rPr>
        <w:t>a  Predictors: (Constant), OPNI, NPLR, EQTA, NIDR, LLPI</w:t>
      </w:r>
    </w:p>
    <w:p w:rsidR="00002724" w:rsidRPr="00844951" w:rsidRDefault="00FA6F08" w:rsidP="00844951">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002724" w:rsidRPr="00002724">
        <w:rPr>
          <w:rFonts w:ascii="Arabic Transparent" w:hAnsi="Arabic Transparent" w:cs="Arabic Transparent"/>
          <w:color w:val="000000"/>
          <w:sz w:val="18"/>
          <w:szCs w:val="18"/>
        </w:rPr>
        <w:t>b  Dependent Variable: ROA</w:t>
      </w:r>
    </w:p>
    <w:p w:rsidR="00610909" w:rsidRDefault="00610909" w:rsidP="00844951">
      <w:pPr>
        <w:tabs>
          <w:tab w:val="center" w:pos="5068"/>
        </w:tabs>
        <w:autoSpaceDE w:val="0"/>
        <w:autoSpaceDN w:val="0"/>
        <w:adjustRightInd w:val="0"/>
        <w:spacing w:after="0" w:line="240" w:lineRule="auto"/>
        <w:rPr>
          <w:rFonts w:asciiTheme="majorBidi" w:hAnsiTheme="majorBidi" w:cstheme="majorBidi"/>
          <w:b/>
          <w:bCs/>
          <w:color w:val="000000"/>
          <w:sz w:val="24"/>
          <w:szCs w:val="24"/>
        </w:rPr>
      </w:pPr>
    </w:p>
    <w:p w:rsidR="00002724" w:rsidRPr="00002724" w:rsidRDefault="00002724" w:rsidP="00950377">
      <w:pPr>
        <w:tabs>
          <w:tab w:val="center" w:pos="5068"/>
        </w:tabs>
        <w:autoSpaceDE w:val="0"/>
        <w:autoSpaceDN w:val="0"/>
        <w:adjustRightInd w:val="0"/>
        <w:spacing w:after="0" w:line="240" w:lineRule="auto"/>
        <w:jc w:val="center"/>
        <w:rPr>
          <w:rFonts w:asciiTheme="majorBidi" w:hAnsiTheme="majorBidi" w:cstheme="majorBidi"/>
          <w:b/>
          <w:bCs/>
          <w:color w:val="000000"/>
          <w:sz w:val="24"/>
          <w:szCs w:val="24"/>
        </w:rPr>
      </w:pPr>
      <w:r w:rsidRPr="00002724">
        <w:rPr>
          <w:rFonts w:asciiTheme="majorBidi" w:hAnsiTheme="majorBidi" w:cstheme="majorBidi"/>
          <w:b/>
          <w:bCs/>
          <w:color w:val="000000"/>
          <w:sz w:val="24"/>
          <w:szCs w:val="24"/>
        </w:rPr>
        <w:t>Coefficients(a)</w:t>
      </w:r>
    </w:p>
    <w:p w:rsidR="00002724" w:rsidRPr="00002724" w:rsidRDefault="00002724" w:rsidP="00002724">
      <w:pPr>
        <w:tabs>
          <w:tab w:val="center" w:pos="5068"/>
        </w:tabs>
        <w:autoSpaceDE w:val="0"/>
        <w:autoSpaceDN w:val="0"/>
        <w:adjustRightInd w:val="0"/>
        <w:spacing w:after="0" w:line="240" w:lineRule="auto"/>
        <w:rPr>
          <w:rFonts w:ascii="Arabic Transparent" w:hAnsi="Arabic Transparent" w:cs="Arabic Transparent"/>
          <w:b/>
          <w:bCs/>
          <w:color w:val="000000"/>
          <w:sz w:val="18"/>
          <w:szCs w:val="18"/>
        </w:rPr>
      </w:pPr>
    </w:p>
    <w:tbl>
      <w:tblPr>
        <w:tblW w:w="9848" w:type="dxa"/>
        <w:tblInd w:w="93" w:type="dxa"/>
        <w:tblLayout w:type="fixed"/>
        <w:tblCellMar>
          <w:left w:w="93" w:type="dxa"/>
          <w:right w:w="93" w:type="dxa"/>
        </w:tblCellMar>
        <w:tblLook w:val="0000"/>
      </w:tblPr>
      <w:tblGrid>
        <w:gridCol w:w="763"/>
        <w:gridCol w:w="1222"/>
        <w:gridCol w:w="995"/>
        <w:gridCol w:w="1080"/>
        <w:gridCol w:w="1454"/>
        <w:gridCol w:w="1080"/>
        <w:gridCol w:w="14"/>
        <w:gridCol w:w="1066"/>
        <w:gridCol w:w="14"/>
        <w:gridCol w:w="1080"/>
        <w:gridCol w:w="1080"/>
      </w:tblGrid>
      <w:tr w:rsidR="00002724" w:rsidRPr="00002724" w:rsidTr="00FA6F08">
        <w:trPr>
          <w:trHeight w:val="388"/>
        </w:trPr>
        <w:tc>
          <w:tcPr>
            <w:tcW w:w="763" w:type="dxa"/>
            <w:vMerge w:val="restart"/>
            <w:tcBorders>
              <w:top w:val="single" w:sz="12" w:space="0" w:color="000000"/>
              <w:left w:val="single" w:sz="12" w:space="0" w:color="000000"/>
              <w:bottom w:val="single" w:sz="12" w:space="0" w:color="000000"/>
              <w:right w:val="nil"/>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Model</w:t>
            </w:r>
          </w:p>
        </w:tc>
        <w:tc>
          <w:tcPr>
            <w:tcW w:w="1222" w:type="dxa"/>
            <w:vMerge w:val="restart"/>
            <w:tcBorders>
              <w:top w:val="single" w:sz="12" w:space="0" w:color="000000"/>
              <w:left w:val="nil"/>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2075"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Standardized Coefficients</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t</w:t>
            </w:r>
          </w:p>
        </w:tc>
        <w:tc>
          <w:tcPr>
            <w:tcW w:w="1080" w:type="dxa"/>
            <w:gridSpan w:val="2"/>
            <w:tcBorders>
              <w:top w:val="single" w:sz="12" w:space="0" w:color="000000"/>
              <w:left w:val="single" w:sz="2" w:space="0" w:color="000000"/>
              <w:bottom w:val="single" w:sz="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Sig.</w:t>
            </w:r>
          </w:p>
        </w:tc>
        <w:tc>
          <w:tcPr>
            <w:tcW w:w="2174"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Collinearity Statistics</w:t>
            </w:r>
          </w:p>
        </w:tc>
      </w:tr>
      <w:tr w:rsidR="00002724" w:rsidRPr="00002724" w:rsidTr="00FA6F08">
        <w:trPr>
          <w:trHeight w:val="388"/>
        </w:trPr>
        <w:tc>
          <w:tcPr>
            <w:tcW w:w="763" w:type="dxa"/>
            <w:vMerge/>
            <w:tcBorders>
              <w:top w:val="nil"/>
              <w:left w:val="single" w:sz="12" w:space="0" w:color="000000"/>
              <w:bottom w:val="single" w:sz="12" w:space="0" w:color="000000"/>
              <w:right w:val="nil"/>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22" w:type="dxa"/>
            <w:vMerge/>
            <w:tcBorders>
              <w:top w:val="nil"/>
              <w:left w:val="nil"/>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995"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Beta</w:t>
            </w:r>
          </w:p>
        </w:tc>
        <w:tc>
          <w:tcPr>
            <w:tcW w:w="1094"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Tolerance</w:t>
            </w:r>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VIF</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B</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002724" w:rsidRPr="00002724"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002724">
              <w:rPr>
                <w:rFonts w:asciiTheme="majorBidi" w:hAnsiTheme="majorBidi" w:cstheme="majorBidi"/>
                <w:color w:val="000000"/>
                <w:sz w:val="24"/>
                <w:szCs w:val="24"/>
              </w:rPr>
              <w:t>Std. Error</w:t>
            </w:r>
          </w:p>
        </w:tc>
      </w:tr>
      <w:tr w:rsidR="00002724" w:rsidRPr="00002724" w:rsidTr="00FA6F08">
        <w:trPr>
          <w:trHeight w:val="273"/>
        </w:trPr>
        <w:tc>
          <w:tcPr>
            <w:tcW w:w="763" w:type="dxa"/>
            <w:vMerge w:val="restart"/>
            <w:tcBorders>
              <w:top w:val="single" w:sz="12" w:space="0" w:color="000000"/>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1</w:t>
            </w:r>
          </w:p>
        </w:tc>
        <w:tc>
          <w:tcPr>
            <w:tcW w:w="1222" w:type="dxa"/>
            <w:tcBorders>
              <w:top w:val="single" w:sz="12" w:space="0" w:color="000000"/>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(Constant)</w:t>
            </w:r>
          </w:p>
        </w:tc>
        <w:tc>
          <w:tcPr>
            <w:tcW w:w="995" w:type="dxa"/>
            <w:tcBorders>
              <w:top w:val="single" w:sz="12" w:space="0" w:color="000000"/>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2.205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.498</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4.427</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.000</w:t>
            </w:r>
          </w:p>
        </w:tc>
        <w:tc>
          <w:tcPr>
            <w:tcW w:w="1094" w:type="dxa"/>
            <w:gridSpan w:val="2"/>
            <w:tcBorders>
              <w:top w:val="single" w:sz="12" w:space="0" w:color="000000"/>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p>
        </w:tc>
      </w:tr>
      <w:tr w:rsidR="00002724" w:rsidRPr="00002724" w:rsidTr="00FA6F08">
        <w:trPr>
          <w:trHeight w:val="273"/>
        </w:trPr>
        <w:tc>
          <w:tcPr>
            <w:tcW w:w="763" w:type="dxa"/>
            <w:vMerge/>
            <w:tcBorders>
              <w:top w:val="nil"/>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22" w:type="dxa"/>
            <w:tcBorders>
              <w:top w:val="nil"/>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NPLR</w:t>
            </w:r>
          </w:p>
        </w:tc>
        <w:tc>
          <w:tcPr>
            <w:tcW w:w="995" w:type="dxa"/>
            <w:tcBorders>
              <w:top w:val="nil"/>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-.024</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.008</w:t>
            </w:r>
          </w:p>
        </w:tc>
        <w:tc>
          <w:tcPr>
            <w:tcW w:w="1454"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-.346</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-2.925</w:t>
            </w:r>
          </w:p>
        </w:tc>
        <w:tc>
          <w:tcPr>
            <w:tcW w:w="1080"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.007</w:t>
            </w:r>
          </w:p>
        </w:tc>
        <w:tc>
          <w:tcPr>
            <w:tcW w:w="1094"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.725</w:t>
            </w:r>
          </w:p>
        </w:tc>
        <w:tc>
          <w:tcPr>
            <w:tcW w:w="1080" w:type="dxa"/>
            <w:tcBorders>
              <w:top w:val="nil"/>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1.378</w:t>
            </w:r>
          </w:p>
        </w:tc>
      </w:tr>
      <w:tr w:rsidR="00002724" w:rsidRPr="00002724" w:rsidTr="00FA6F08">
        <w:trPr>
          <w:trHeight w:val="273"/>
        </w:trPr>
        <w:tc>
          <w:tcPr>
            <w:tcW w:w="763" w:type="dxa"/>
            <w:vMerge/>
            <w:tcBorders>
              <w:top w:val="nil"/>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22" w:type="dxa"/>
            <w:tcBorders>
              <w:top w:val="nil"/>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EQTA</w:t>
            </w:r>
          </w:p>
        </w:tc>
        <w:tc>
          <w:tcPr>
            <w:tcW w:w="995" w:type="dxa"/>
            <w:tcBorders>
              <w:top w:val="nil"/>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-.022</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.009</w:t>
            </w:r>
          </w:p>
        </w:tc>
        <w:tc>
          <w:tcPr>
            <w:tcW w:w="1454"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-.269</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-2.362</w:t>
            </w:r>
          </w:p>
        </w:tc>
        <w:tc>
          <w:tcPr>
            <w:tcW w:w="1080"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.025</w:t>
            </w:r>
          </w:p>
        </w:tc>
        <w:tc>
          <w:tcPr>
            <w:tcW w:w="1094"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.780</w:t>
            </w:r>
          </w:p>
        </w:tc>
        <w:tc>
          <w:tcPr>
            <w:tcW w:w="1080" w:type="dxa"/>
            <w:tcBorders>
              <w:top w:val="nil"/>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1.283</w:t>
            </w:r>
          </w:p>
        </w:tc>
      </w:tr>
      <w:tr w:rsidR="00002724" w:rsidRPr="00002724" w:rsidTr="00FA6F08">
        <w:trPr>
          <w:trHeight w:val="273"/>
        </w:trPr>
        <w:tc>
          <w:tcPr>
            <w:tcW w:w="763" w:type="dxa"/>
            <w:vMerge/>
            <w:tcBorders>
              <w:top w:val="nil"/>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22" w:type="dxa"/>
            <w:tcBorders>
              <w:top w:val="nil"/>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LLPI</w:t>
            </w:r>
          </w:p>
        </w:tc>
        <w:tc>
          <w:tcPr>
            <w:tcW w:w="995" w:type="dxa"/>
            <w:tcBorders>
              <w:top w:val="nil"/>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-.015</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.006</w:t>
            </w:r>
          </w:p>
        </w:tc>
        <w:tc>
          <w:tcPr>
            <w:tcW w:w="1454"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-.311</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-2.403</w:t>
            </w:r>
          </w:p>
        </w:tc>
        <w:tc>
          <w:tcPr>
            <w:tcW w:w="1080"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.023</w:t>
            </w:r>
          </w:p>
        </w:tc>
        <w:tc>
          <w:tcPr>
            <w:tcW w:w="1094"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.604</w:t>
            </w:r>
          </w:p>
        </w:tc>
        <w:tc>
          <w:tcPr>
            <w:tcW w:w="1080" w:type="dxa"/>
            <w:tcBorders>
              <w:top w:val="nil"/>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1.655</w:t>
            </w:r>
          </w:p>
        </w:tc>
      </w:tr>
      <w:tr w:rsidR="00002724" w:rsidRPr="00002724" w:rsidTr="00FA6F08">
        <w:trPr>
          <w:trHeight w:val="273"/>
        </w:trPr>
        <w:tc>
          <w:tcPr>
            <w:tcW w:w="763" w:type="dxa"/>
            <w:vMerge/>
            <w:tcBorders>
              <w:top w:val="nil"/>
              <w:left w:val="single" w:sz="12" w:space="0" w:color="000000"/>
              <w:bottom w:val="nil"/>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22" w:type="dxa"/>
            <w:tcBorders>
              <w:top w:val="nil"/>
              <w:left w:val="nil"/>
              <w:bottom w:val="nil"/>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NIDR</w:t>
            </w:r>
          </w:p>
        </w:tc>
        <w:tc>
          <w:tcPr>
            <w:tcW w:w="995" w:type="dxa"/>
            <w:tcBorders>
              <w:top w:val="nil"/>
              <w:left w:val="single" w:sz="1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.010</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.009</w:t>
            </w:r>
          </w:p>
        </w:tc>
        <w:tc>
          <w:tcPr>
            <w:tcW w:w="1454"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.139</w:t>
            </w:r>
          </w:p>
        </w:tc>
        <w:tc>
          <w:tcPr>
            <w:tcW w:w="1080" w:type="dxa"/>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1.099</w:t>
            </w:r>
          </w:p>
        </w:tc>
        <w:tc>
          <w:tcPr>
            <w:tcW w:w="1080"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.281</w:t>
            </w:r>
          </w:p>
        </w:tc>
        <w:tc>
          <w:tcPr>
            <w:tcW w:w="1094" w:type="dxa"/>
            <w:gridSpan w:val="2"/>
            <w:tcBorders>
              <w:top w:val="nil"/>
              <w:left w:val="single" w:sz="2" w:space="0" w:color="000000"/>
              <w:bottom w:val="nil"/>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.636</w:t>
            </w:r>
          </w:p>
        </w:tc>
        <w:tc>
          <w:tcPr>
            <w:tcW w:w="1080" w:type="dxa"/>
            <w:tcBorders>
              <w:top w:val="nil"/>
              <w:left w:val="single" w:sz="2" w:space="0" w:color="000000"/>
              <w:bottom w:val="nil"/>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1.573</w:t>
            </w:r>
          </w:p>
        </w:tc>
      </w:tr>
      <w:tr w:rsidR="00002724" w:rsidRPr="00002724" w:rsidTr="00FA6F08">
        <w:trPr>
          <w:trHeight w:val="273"/>
        </w:trPr>
        <w:tc>
          <w:tcPr>
            <w:tcW w:w="763" w:type="dxa"/>
            <w:vMerge/>
            <w:tcBorders>
              <w:top w:val="nil"/>
              <w:left w:val="single" w:sz="12" w:space="0" w:color="000000"/>
              <w:bottom w:val="single" w:sz="12" w:space="0" w:color="000000"/>
              <w:right w:val="nil"/>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22" w:type="dxa"/>
            <w:tcBorders>
              <w:top w:val="nil"/>
              <w:left w:val="nil"/>
              <w:bottom w:val="single" w:sz="12" w:space="0" w:color="000000"/>
              <w:right w:val="single" w:sz="12" w:space="0" w:color="000000"/>
            </w:tcBorders>
            <w:shd w:val="clear" w:color="000000" w:fill="FFFFFF"/>
          </w:tcPr>
          <w:p w:rsidR="00002724" w:rsidRPr="00002724"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002724">
              <w:rPr>
                <w:rFonts w:asciiTheme="majorBidi" w:hAnsiTheme="majorBidi" w:cstheme="majorBidi"/>
                <w:color w:val="000000"/>
                <w:sz w:val="24"/>
                <w:szCs w:val="24"/>
              </w:rPr>
              <w:t>OPNI</w:t>
            </w:r>
          </w:p>
        </w:tc>
        <w:tc>
          <w:tcPr>
            <w:tcW w:w="995" w:type="dxa"/>
            <w:tcBorders>
              <w:top w:val="nil"/>
              <w:left w:val="single" w:sz="1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.003</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-.311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-2.343</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.026</w:t>
            </w:r>
          </w:p>
        </w:tc>
        <w:tc>
          <w:tcPr>
            <w:tcW w:w="1094" w:type="dxa"/>
            <w:gridSpan w:val="2"/>
            <w:tcBorders>
              <w:top w:val="nil"/>
              <w:left w:val="single" w:sz="2" w:space="0" w:color="000000"/>
              <w:bottom w:val="single" w:sz="12" w:space="0" w:color="000000"/>
              <w:right w:val="single" w:sz="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.576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002724" w:rsidRPr="00002724"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002724">
              <w:rPr>
                <w:rFonts w:asciiTheme="majorBidi" w:hAnsiTheme="majorBidi" w:cstheme="majorBidi"/>
                <w:color w:val="000000"/>
                <w:sz w:val="24"/>
                <w:szCs w:val="24"/>
              </w:rPr>
              <w:t>1.738</w:t>
            </w:r>
          </w:p>
        </w:tc>
      </w:tr>
    </w:tbl>
    <w:p w:rsidR="00002724" w:rsidRDefault="00002724" w:rsidP="00002724">
      <w:pPr>
        <w:autoSpaceDE w:val="0"/>
        <w:autoSpaceDN w:val="0"/>
        <w:adjustRightInd w:val="0"/>
        <w:spacing w:after="0" w:line="240" w:lineRule="auto"/>
        <w:rPr>
          <w:rFonts w:ascii="Arabic Transparent" w:hAnsi="Arabic Transparent" w:cs="Arabic Transparent"/>
          <w:color w:val="000000"/>
          <w:sz w:val="18"/>
          <w:szCs w:val="18"/>
        </w:rPr>
      </w:pPr>
      <w:r w:rsidRPr="00002724">
        <w:rPr>
          <w:rFonts w:ascii="Arabic Transparent" w:hAnsi="Arabic Transparent" w:cs="Arabic Transparent"/>
          <w:color w:val="000000"/>
          <w:sz w:val="18"/>
          <w:szCs w:val="18"/>
        </w:rPr>
        <w:t>a  Dependent Variable: ROA</w:t>
      </w:r>
    </w:p>
    <w:p w:rsidR="00002724" w:rsidRDefault="00002724" w:rsidP="00002724">
      <w:pPr>
        <w:autoSpaceDE w:val="0"/>
        <w:autoSpaceDN w:val="0"/>
        <w:adjustRightInd w:val="0"/>
        <w:spacing w:after="0" w:line="240" w:lineRule="auto"/>
        <w:rPr>
          <w:rFonts w:ascii="Arabic Transparent" w:hAnsi="Arabic Transparent" w:cs="Arabic Transparent"/>
          <w:color w:val="000000"/>
          <w:sz w:val="18"/>
          <w:szCs w:val="18"/>
        </w:rPr>
      </w:pPr>
    </w:p>
    <w:p w:rsidR="00002724" w:rsidRDefault="00002724" w:rsidP="00002724">
      <w:pPr>
        <w:autoSpaceDE w:val="0"/>
        <w:autoSpaceDN w:val="0"/>
        <w:adjustRightInd w:val="0"/>
        <w:spacing w:after="0" w:line="240" w:lineRule="auto"/>
        <w:rPr>
          <w:rFonts w:ascii="Arabic Transparent" w:hAnsi="Arabic Transparent" w:cs="Arabic Transparent"/>
          <w:color w:val="000000"/>
          <w:sz w:val="18"/>
          <w:szCs w:val="18"/>
        </w:rPr>
      </w:pPr>
    </w:p>
    <w:p w:rsidR="00002724" w:rsidRPr="00950377" w:rsidRDefault="00002724" w:rsidP="00950377">
      <w:pPr>
        <w:tabs>
          <w:tab w:val="center" w:pos="5572"/>
        </w:tabs>
        <w:autoSpaceDE w:val="0"/>
        <w:autoSpaceDN w:val="0"/>
        <w:adjustRightInd w:val="0"/>
        <w:spacing w:after="0" w:line="240" w:lineRule="auto"/>
        <w:jc w:val="center"/>
        <w:rPr>
          <w:rFonts w:asciiTheme="majorBidi" w:hAnsiTheme="majorBidi" w:cstheme="majorBidi"/>
          <w:b/>
          <w:bCs/>
          <w:color w:val="000000"/>
          <w:sz w:val="24"/>
          <w:szCs w:val="24"/>
        </w:rPr>
      </w:pPr>
      <w:r w:rsidRPr="00950377">
        <w:rPr>
          <w:rFonts w:asciiTheme="majorBidi" w:hAnsiTheme="majorBidi" w:cstheme="majorBidi"/>
          <w:b/>
          <w:bCs/>
          <w:color w:val="000000"/>
          <w:sz w:val="24"/>
          <w:szCs w:val="24"/>
        </w:rPr>
        <w:t>CollinearityDiagnostics(a)</w:t>
      </w:r>
    </w:p>
    <w:p w:rsidR="00002724" w:rsidRPr="00002724" w:rsidRDefault="00002724" w:rsidP="00002724">
      <w:pPr>
        <w:tabs>
          <w:tab w:val="center" w:pos="5572"/>
        </w:tabs>
        <w:autoSpaceDE w:val="0"/>
        <w:autoSpaceDN w:val="0"/>
        <w:adjustRightInd w:val="0"/>
        <w:spacing w:after="0" w:line="240" w:lineRule="auto"/>
        <w:rPr>
          <w:rFonts w:ascii="Arabic Transparent" w:hAnsi="Arabic Transparent" w:cs="Arabic Transparent"/>
          <w:b/>
          <w:bCs/>
          <w:color w:val="000000"/>
          <w:sz w:val="18"/>
          <w:szCs w:val="18"/>
        </w:rPr>
      </w:pPr>
    </w:p>
    <w:tbl>
      <w:tblPr>
        <w:tblW w:w="10870" w:type="dxa"/>
        <w:jc w:val="center"/>
        <w:tblInd w:w="93" w:type="dxa"/>
        <w:tblLayout w:type="fixed"/>
        <w:tblCellMar>
          <w:left w:w="93" w:type="dxa"/>
          <w:right w:w="93" w:type="dxa"/>
        </w:tblCellMar>
        <w:tblLook w:val="0000"/>
      </w:tblPr>
      <w:tblGrid>
        <w:gridCol w:w="763"/>
        <w:gridCol w:w="1195"/>
        <w:gridCol w:w="1195"/>
        <w:gridCol w:w="12"/>
        <w:gridCol w:w="1276"/>
        <w:gridCol w:w="992"/>
        <w:gridCol w:w="992"/>
        <w:gridCol w:w="1134"/>
        <w:gridCol w:w="993"/>
        <w:gridCol w:w="1275"/>
        <w:gridCol w:w="1043"/>
      </w:tblGrid>
      <w:tr w:rsidR="00002724" w:rsidRPr="00950377" w:rsidTr="00551AC5">
        <w:trPr>
          <w:trHeight w:val="388"/>
          <w:jc w:val="center"/>
        </w:trPr>
        <w:tc>
          <w:tcPr>
            <w:tcW w:w="763" w:type="dxa"/>
            <w:tcBorders>
              <w:top w:val="single" w:sz="12" w:space="0" w:color="000000"/>
              <w:left w:val="single" w:sz="12" w:space="0" w:color="000000"/>
              <w:bottom w:val="single" w:sz="12" w:space="0" w:color="000000"/>
              <w:right w:val="nil"/>
            </w:tcBorders>
            <w:shd w:val="clear" w:color="000000" w:fill="FFFFFF"/>
            <w:vAlign w:val="bottom"/>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Model</w:t>
            </w:r>
          </w:p>
        </w:tc>
        <w:tc>
          <w:tcPr>
            <w:tcW w:w="1195" w:type="dxa"/>
            <w:tcBorders>
              <w:top w:val="single" w:sz="12" w:space="0" w:color="000000"/>
              <w:left w:val="nil"/>
              <w:bottom w:val="single" w:sz="12" w:space="0" w:color="000000"/>
              <w:right w:val="single" w:sz="12" w:space="0" w:color="000000"/>
            </w:tcBorders>
            <w:shd w:val="clear" w:color="000000" w:fill="FFFFFF"/>
            <w:vAlign w:val="bottom"/>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Dimension</w:t>
            </w:r>
          </w:p>
        </w:tc>
        <w:tc>
          <w:tcPr>
            <w:tcW w:w="1195" w:type="dxa"/>
            <w:tcBorders>
              <w:top w:val="single" w:sz="12" w:space="0" w:color="000000"/>
              <w:left w:val="single" w:sz="12" w:space="0" w:color="000000"/>
              <w:bottom w:val="single" w:sz="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Eigen</w:t>
            </w:r>
            <w:r w:rsidR="00551AC5">
              <w:rPr>
                <w:rFonts w:asciiTheme="majorBidi" w:hAnsiTheme="majorBidi" w:cstheme="majorBidi"/>
                <w:color w:val="000000"/>
                <w:sz w:val="24"/>
                <w:szCs w:val="24"/>
              </w:rPr>
              <w:t xml:space="preserve"> </w:t>
            </w:r>
            <w:r w:rsidRPr="00950377">
              <w:rPr>
                <w:rFonts w:asciiTheme="majorBidi" w:hAnsiTheme="majorBidi" w:cstheme="majorBidi"/>
                <w:color w:val="000000"/>
                <w:sz w:val="24"/>
                <w:szCs w:val="24"/>
              </w:rPr>
              <w:t>value</w:t>
            </w:r>
          </w:p>
        </w:tc>
        <w:tc>
          <w:tcPr>
            <w:tcW w:w="1288" w:type="dxa"/>
            <w:gridSpan w:val="2"/>
            <w:tcBorders>
              <w:top w:val="single" w:sz="12" w:space="0" w:color="000000"/>
              <w:left w:val="single" w:sz="2" w:space="0" w:color="000000"/>
              <w:bottom w:val="single" w:sz="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Condition Index</w:t>
            </w:r>
          </w:p>
        </w:tc>
        <w:tc>
          <w:tcPr>
            <w:tcW w:w="6429" w:type="dxa"/>
            <w:gridSpan w:val="6"/>
            <w:tcBorders>
              <w:top w:val="single" w:sz="12" w:space="0" w:color="000000"/>
              <w:left w:val="single" w:sz="2" w:space="0" w:color="000000"/>
              <w:bottom w:val="single" w:sz="2" w:space="0" w:color="000000"/>
              <w:right w:val="single" w:sz="1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Variance Proportions</w:t>
            </w:r>
          </w:p>
        </w:tc>
      </w:tr>
      <w:tr w:rsidR="00002724" w:rsidRPr="00950377" w:rsidTr="00551AC5">
        <w:trPr>
          <w:trHeight w:val="388"/>
          <w:jc w:val="center"/>
        </w:trPr>
        <w:tc>
          <w:tcPr>
            <w:tcW w:w="763" w:type="dxa"/>
            <w:tcBorders>
              <w:top w:val="nil"/>
              <w:left w:val="single" w:sz="12" w:space="0" w:color="000000"/>
              <w:bottom w:val="single" w:sz="12" w:space="0" w:color="000000"/>
              <w:right w:val="nil"/>
            </w:tcBorders>
            <w:shd w:val="clear" w:color="000000" w:fill="FFFFFF"/>
            <w:vAlign w:val="bottom"/>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195" w:type="dxa"/>
            <w:tcBorders>
              <w:top w:val="nil"/>
              <w:left w:val="nil"/>
              <w:bottom w:val="single" w:sz="12" w:space="0" w:color="000000"/>
              <w:right w:val="single" w:sz="12" w:space="0" w:color="000000"/>
            </w:tcBorders>
            <w:shd w:val="clear" w:color="000000" w:fill="FFFFFF"/>
            <w:vAlign w:val="bottom"/>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207" w:type="dxa"/>
            <w:gridSpan w:val="2"/>
            <w:tcBorders>
              <w:top w:val="single" w:sz="2" w:space="0" w:color="000000"/>
              <w:left w:val="single" w:sz="1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(Constant)</w:t>
            </w:r>
          </w:p>
        </w:tc>
        <w:tc>
          <w:tcPr>
            <w:tcW w:w="127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NPLR</w:t>
            </w:r>
          </w:p>
        </w:tc>
        <w:tc>
          <w:tcPr>
            <w:tcW w:w="99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EQTA</w:t>
            </w:r>
          </w:p>
        </w:tc>
        <w:tc>
          <w:tcPr>
            <w:tcW w:w="99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LLPI</w:t>
            </w: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NIDR</w:t>
            </w:r>
          </w:p>
        </w:tc>
        <w:tc>
          <w:tcPr>
            <w:tcW w:w="993"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OPNI</w:t>
            </w:r>
          </w:p>
        </w:tc>
        <w:tc>
          <w:tcPr>
            <w:tcW w:w="1275"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(Constant)</w:t>
            </w:r>
          </w:p>
        </w:tc>
        <w:tc>
          <w:tcPr>
            <w:tcW w:w="1039"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002724" w:rsidRPr="00950377" w:rsidRDefault="00002724" w:rsidP="00002724">
            <w:pPr>
              <w:autoSpaceDE w:val="0"/>
              <w:autoSpaceDN w:val="0"/>
              <w:adjustRightInd w:val="0"/>
              <w:spacing w:after="0" w:line="240" w:lineRule="auto"/>
              <w:jc w:val="center"/>
              <w:rPr>
                <w:rFonts w:asciiTheme="majorBidi" w:hAnsiTheme="majorBidi" w:cstheme="majorBidi"/>
                <w:color w:val="000000"/>
                <w:sz w:val="24"/>
                <w:szCs w:val="24"/>
              </w:rPr>
            </w:pPr>
            <w:r w:rsidRPr="00950377">
              <w:rPr>
                <w:rFonts w:asciiTheme="majorBidi" w:hAnsiTheme="majorBidi" w:cstheme="majorBidi"/>
                <w:color w:val="000000"/>
                <w:sz w:val="24"/>
                <w:szCs w:val="24"/>
              </w:rPr>
              <w:t>NPLR</w:t>
            </w:r>
          </w:p>
        </w:tc>
      </w:tr>
      <w:tr w:rsidR="00002724" w:rsidRPr="00950377" w:rsidTr="00551AC5">
        <w:trPr>
          <w:trHeight w:val="273"/>
          <w:jc w:val="center"/>
        </w:trPr>
        <w:tc>
          <w:tcPr>
            <w:tcW w:w="763" w:type="dxa"/>
            <w:tcBorders>
              <w:top w:val="single" w:sz="12" w:space="0" w:color="000000"/>
              <w:left w:val="single" w:sz="12" w:space="0" w:color="000000"/>
              <w:bottom w:val="nil"/>
              <w:right w:val="nil"/>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1</w:t>
            </w:r>
          </w:p>
        </w:tc>
        <w:tc>
          <w:tcPr>
            <w:tcW w:w="1195" w:type="dxa"/>
            <w:tcBorders>
              <w:top w:val="single" w:sz="12" w:space="0" w:color="000000"/>
              <w:left w:val="nil"/>
              <w:bottom w:val="nil"/>
              <w:right w:val="single" w:sz="12" w:space="0" w:color="000000"/>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1</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4.670</w:t>
            </w:r>
          </w:p>
        </w:tc>
        <w:tc>
          <w:tcPr>
            <w:tcW w:w="1288" w:type="dxa"/>
            <w:gridSpan w:val="2"/>
            <w:tcBorders>
              <w:top w:val="single" w:sz="12" w:space="0" w:color="000000"/>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1.000</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992" w:type="dxa"/>
            <w:tcBorders>
              <w:top w:val="single" w:sz="12" w:space="0" w:color="000000"/>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.01</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.01</w:t>
            </w:r>
          </w:p>
        </w:tc>
        <w:tc>
          <w:tcPr>
            <w:tcW w:w="993" w:type="dxa"/>
            <w:tcBorders>
              <w:top w:val="single" w:sz="12" w:space="0" w:color="000000"/>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.01</w:t>
            </w:r>
          </w:p>
        </w:tc>
        <w:tc>
          <w:tcPr>
            <w:tcW w:w="1275" w:type="dxa"/>
            <w:tcBorders>
              <w:top w:val="single" w:sz="12" w:space="0" w:color="000000"/>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1043" w:type="dxa"/>
            <w:tcBorders>
              <w:top w:val="single" w:sz="12" w:space="0" w:color="000000"/>
              <w:left w:val="single" w:sz="2" w:space="0" w:color="000000"/>
              <w:bottom w:val="nil"/>
              <w:right w:val="single" w:sz="1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r>
      <w:tr w:rsidR="00002724" w:rsidRPr="00950377" w:rsidTr="00551AC5">
        <w:trPr>
          <w:trHeight w:val="273"/>
          <w:jc w:val="center"/>
        </w:trPr>
        <w:tc>
          <w:tcPr>
            <w:tcW w:w="763" w:type="dxa"/>
            <w:tcBorders>
              <w:top w:val="nil"/>
              <w:left w:val="single" w:sz="12" w:space="0" w:color="000000"/>
              <w:bottom w:val="nil"/>
              <w:right w:val="nil"/>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195" w:type="dxa"/>
            <w:tcBorders>
              <w:top w:val="nil"/>
              <w:left w:val="nil"/>
              <w:bottom w:val="nil"/>
              <w:right w:val="single" w:sz="12" w:space="0" w:color="000000"/>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2</w:t>
            </w:r>
          </w:p>
        </w:tc>
        <w:tc>
          <w:tcPr>
            <w:tcW w:w="1195" w:type="dxa"/>
            <w:tcBorders>
              <w:top w:val="nil"/>
              <w:left w:val="single" w:sz="1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.672</w:t>
            </w:r>
          </w:p>
        </w:tc>
        <w:tc>
          <w:tcPr>
            <w:tcW w:w="1288" w:type="dxa"/>
            <w:gridSpan w:val="2"/>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2.636</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.26</w:t>
            </w:r>
          </w:p>
        </w:tc>
        <w:tc>
          <w:tcPr>
            <w:tcW w:w="1134"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.04</w:t>
            </w:r>
          </w:p>
        </w:tc>
        <w:tc>
          <w:tcPr>
            <w:tcW w:w="993"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.18</w:t>
            </w:r>
          </w:p>
        </w:tc>
        <w:tc>
          <w:tcPr>
            <w:tcW w:w="1275"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1043" w:type="dxa"/>
            <w:tcBorders>
              <w:top w:val="nil"/>
              <w:left w:val="single" w:sz="2" w:space="0" w:color="000000"/>
              <w:bottom w:val="nil"/>
              <w:right w:val="single" w:sz="1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r>
      <w:tr w:rsidR="00002724" w:rsidRPr="00950377" w:rsidTr="00551AC5">
        <w:trPr>
          <w:trHeight w:val="273"/>
          <w:jc w:val="center"/>
        </w:trPr>
        <w:tc>
          <w:tcPr>
            <w:tcW w:w="763" w:type="dxa"/>
            <w:tcBorders>
              <w:top w:val="nil"/>
              <w:left w:val="single" w:sz="12" w:space="0" w:color="000000"/>
              <w:bottom w:val="nil"/>
              <w:right w:val="nil"/>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195" w:type="dxa"/>
            <w:tcBorders>
              <w:top w:val="nil"/>
              <w:left w:val="nil"/>
              <w:bottom w:val="nil"/>
              <w:right w:val="single" w:sz="12" w:space="0" w:color="000000"/>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3</w:t>
            </w:r>
          </w:p>
        </w:tc>
        <w:tc>
          <w:tcPr>
            <w:tcW w:w="1195" w:type="dxa"/>
            <w:tcBorders>
              <w:top w:val="nil"/>
              <w:left w:val="single" w:sz="1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.334</w:t>
            </w:r>
          </w:p>
        </w:tc>
        <w:tc>
          <w:tcPr>
            <w:tcW w:w="1288" w:type="dxa"/>
            <w:gridSpan w:val="2"/>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3.742</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.64</w:t>
            </w:r>
          </w:p>
        </w:tc>
        <w:tc>
          <w:tcPr>
            <w:tcW w:w="1134"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993"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.56</w:t>
            </w:r>
          </w:p>
        </w:tc>
        <w:tc>
          <w:tcPr>
            <w:tcW w:w="1275"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1043" w:type="dxa"/>
            <w:tcBorders>
              <w:top w:val="nil"/>
              <w:left w:val="single" w:sz="2" w:space="0" w:color="000000"/>
              <w:bottom w:val="nil"/>
              <w:right w:val="single" w:sz="1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r>
      <w:tr w:rsidR="00002724" w:rsidRPr="00950377" w:rsidTr="00551AC5">
        <w:trPr>
          <w:trHeight w:val="273"/>
          <w:jc w:val="center"/>
        </w:trPr>
        <w:tc>
          <w:tcPr>
            <w:tcW w:w="763" w:type="dxa"/>
            <w:tcBorders>
              <w:top w:val="nil"/>
              <w:left w:val="single" w:sz="12" w:space="0" w:color="000000"/>
              <w:bottom w:val="nil"/>
              <w:right w:val="nil"/>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195" w:type="dxa"/>
            <w:tcBorders>
              <w:top w:val="nil"/>
              <w:left w:val="nil"/>
              <w:bottom w:val="nil"/>
              <w:right w:val="single" w:sz="12" w:space="0" w:color="000000"/>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4</w:t>
            </w:r>
          </w:p>
        </w:tc>
        <w:tc>
          <w:tcPr>
            <w:tcW w:w="1195" w:type="dxa"/>
            <w:tcBorders>
              <w:top w:val="nil"/>
              <w:left w:val="single" w:sz="1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.221</w:t>
            </w:r>
          </w:p>
        </w:tc>
        <w:tc>
          <w:tcPr>
            <w:tcW w:w="1288" w:type="dxa"/>
            <w:gridSpan w:val="2"/>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4.597</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.01</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.04</w:t>
            </w:r>
          </w:p>
        </w:tc>
        <w:tc>
          <w:tcPr>
            <w:tcW w:w="1134"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.23</w:t>
            </w:r>
          </w:p>
        </w:tc>
        <w:tc>
          <w:tcPr>
            <w:tcW w:w="993"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1275"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.17</w:t>
            </w:r>
          </w:p>
        </w:tc>
        <w:tc>
          <w:tcPr>
            <w:tcW w:w="1043" w:type="dxa"/>
            <w:tcBorders>
              <w:top w:val="nil"/>
              <w:left w:val="single" w:sz="2" w:space="0" w:color="000000"/>
              <w:bottom w:val="nil"/>
              <w:right w:val="single" w:sz="1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.02</w:t>
            </w:r>
          </w:p>
        </w:tc>
      </w:tr>
      <w:tr w:rsidR="00002724" w:rsidRPr="00950377" w:rsidTr="00551AC5">
        <w:trPr>
          <w:trHeight w:val="273"/>
          <w:jc w:val="center"/>
        </w:trPr>
        <w:tc>
          <w:tcPr>
            <w:tcW w:w="763" w:type="dxa"/>
            <w:tcBorders>
              <w:top w:val="nil"/>
              <w:left w:val="single" w:sz="12" w:space="0" w:color="000000"/>
              <w:bottom w:val="nil"/>
              <w:right w:val="nil"/>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195" w:type="dxa"/>
            <w:tcBorders>
              <w:top w:val="nil"/>
              <w:left w:val="nil"/>
              <w:bottom w:val="nil"/>
              <w:right w:val="single" w:sz="12" w:space="0" w:color="000000"/>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5</w:t>
            </w:r>
          </w:p>
        </w:tc>
        <w:tc>
          <w:tcPr>
            <w:tcW w:w="1195" w:type="dxa"/>
            <w:tcBorders>
              <w:top w:val="nil"/>
              <w:left w:val="single" w:sz="1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.084</w:t>
            </w:r>
          </w:p>
        </w:tc>
        <w:tc>
          <w:tcPr>
            <w:tcW w:w="1288" w:type="dxa"/>
            <w:gridSpan w:val="2"/>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7.455</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.01</w:t>
            </w:r>
          </w:p>
        </w:tc>
        <w:tc>
          <w:tcPr>
            <w:tcW w:w="992"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.00</w:t>
            </w:r>
          </w:p>
        </w:tc>
        <w:tc>
          <w:tcPr>
            <w:tcW w:w="1134"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.58</w:t>
            </w:r>
          </w:p>
        </w:tc>
        <w:tc>
          <w:tcPr>
            <w:tcW w:w="993"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.15</w:t>
            </w:r>
          </w:p>
        </w:tc>
        <w:tc>
          <w:tcPr>
            <w:tcW w:w="1275" w:type="dxa"/>
            <w:tcBorders>
              <w:top w:val="nil"/>
              <w:left w:val="single" w:sz="2" w:space="0" w:color="000000"/>
              <w:bottom w:val="nil"/>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.04</w:t>
            </w:r>
          </w:p>
        </w:tc>
        <w:tc>
          <w:tcPr>
            <w:tcW w:w="1043" w:type="dxa"/>
            <w:tcBorders>
              <w:top w:val="nil"/>
              <w:left w:val="single" w:sz="2" w:space="0" w:color="000000"/>
              <w:bottom w:val="nil"/>
              <w:right w:val="single" w:sz="1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.51</w:t>
            </w:r>
          </w:p>
        </w:tc>
      </w:tr>
      <w:tr w:rsidR="00002724" w:rsidRPr="00950377" w:rsidTr="00551AC5">
        <w:trPr>
          <w:trHeight w:val="273"/>
          <w:jc w:val="center"/>
        </w:trPr>
        <w:tc>
          <w:tcPr>
            <w:tcW w:w="763" w:type="dxa"/>
            <w:tcBorders>
              <w:top w:val="nil"/>
              <w:left w:val="single" w:sz="12" w:space="0" w:color="000000"/>
              <w:bottom w:val="single" w:sz="12" w:space="0" w:color="000000"/>
              <w:right w:val="nil"/>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p>
        </w:tc>
        <w:tc>
          <w:tcPr>
            <w:tcW w:w="1195" w:type="dxa"/>
            <w:tcBorders>
              <w:top w:val="nil"/>
              <w:left w:val="nil"/>
              <w:bottom w:val="single" w:sz="12" w:space="0" w:color="000000"/>
              <w:right w:val="single" w:sz="12" w:space="0" w:color="000000"/>
            </w:tcBorders>
            <w:shd w:val="clear" w:color="000000" w:fill="FFFFFF"/>
          </w:tcPr>
          <w:p w:rsidR="00002724" w:rsidRPr="00950377" w:rsidRDefault="00002724" w:rsidP="00002724">
            <w:pPr>
              <w:autoSpaceDE w:val="0"/>
              <w:autoSpaceDN w:val="0"/>
              <w:adjustRightInd w:val="0"/>
              <w:spacing w:after="0" w:line="240" w:lineRule="auto"/>
              <w:rPr>
                <w:rFonts w:asciiTheme="majorBidi" w:hAnsiTheme="majorBidi" w:cstheme="majorBidi"/>
                <w:color w:val="000000"/>
                <w:sz w:val="24"/>
                <w:szCs w:val="24"/>
              </w:rPr>
            </w:pPr>
            <w:r w:rsidRPr="00950377">
              <w:rPr>
                <w:rFonts w:asciiTheme="majorBidi" w:hAnsiTheme="majorBidi" w:cstheme="majorBidi"/>
                <w:color w:val="000000"/>
                <w:sz w:val="24"/>
                <w:szCs w:val="24"/>
              </w:rPr>
              <w:t>6</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.019</w:t>
            </w:r>
          </w:p>
        </w:tc>
        <w:tc>
          <w:tcPr>
            <w:tcW w:w="1288" w:type="dxa"/>
            <w:gridSpan w:val="2"/>
            <w:tcBorders>
              <w:top w:val="nil"/>
              <w:left w:val="single" w:sz="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15.865</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.98</w:t>
            </w:r>
          </w:p>
        </w:tc>
        <w:tc>
          <w:tcPr>
            <w:tcW w:w="992" w:type="dxa"/>
            <w:tcBorders>
              <w:top w:val="nil"/>
              <w:left w:val="single" w:sz="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.04</w:t>
            </w:r>
          </w:p>
        </w:tc>
        <w:tc>
          <w:tcPr>
            <w:tcW w:w="1134" w:type="dxa"/>
            <w:tcBorders>
              <w:top w:val="nil"/>
              <w:left w:val="single" w:sz="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.14</w:t>
            </w:r>
          </w:p>
        </w:tc>
        <w:tc>
          <w:tcPr>
            <w:tcW w:w="993" w:type="dxa"/>
            <w:tcBorders>
              <w:top w:val="nil"/>
              <w:left w:val="single" w:sz="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.10</w:t>
            </w:r>
          </w:p>
        </w:tc>
        <w:tc>
          <w:tcPr>
            <w:tcW w:w="1275" w:type="dxa"/>
            <w:tcBorders>
              <w:top w:val="nil"/>
              <w:left w:val="single" w:sz="2" w:space="0" w:color="000000"/>
              <w:bottom w:val="single" w:sz="12" w:space="0" w:color="000000"/>
              <w:right w:val="single" w:sz="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.79</w:t>
            </w:r>
          </w:p>
        </w:tc>
        <w:tc>
          <w:tcPr>
            <w:tcW w:w="1043" w:type="dxa"/>
            <w:tcBorders>
              <w:top w:val="nil"/>
              <w:left w:val="single" w:sz="2" w:space="0" w:color="000000"/>
              <w:bottom w:val="single" w:sz="12" w:space="0" w:color="000000"/>
              <w:right w:val="single" w:sz="12" w:space="0" w:color="000000"/>
            </w:tcBorders>
            <w:shd w:val="clear" w:color="000000" w:fill="FFFFFF"/>
            <w:vAlign w:val="center"/>
          </w:tcPr>
          <w:p w:rsidR="00002724" w:rsidRPr="00950377" w:rsidRDefault="00002724" w:rsidP="00002724">
            <w:pPr>
              <w:autoSpaceDE w:val="0"/>
              <w:autoSpaceDN w:val="0"/>
              <w:adjustRightInd w:val="0"/>
              <w:spacing w:after="0" w:line="240" w:lineRule="auto"/>
              <w:jc w:val="right"/>
              <w:rPr>
                <w:rFonts w:asciiTheme="majorBidi" w:hAnsiTheme="majorBidi" w:cstheme="majorBidi"/>
                <w:color w:val="000000"/>
                <w:sz w:val="24"/>
                <w:szCs w:val="24"/>
              </w:rPr>
            </w:pPr>
            <w:r w:rsidRPr="00950377">
              <w:rPr>
                <w:rFonts w:asciiTheme="majorBidi" w:hAnsiTheme="majorBidi" w:cstheme="majorBidi"/>
                <w:color w:val="000000"/>
                <w:sz w:val="24"/>
                <w:szCs w:val="24"/>
              </w:rPr>
              <w:t>.45</w:t>
            </w:r>
          </w:p>
        </w:tc>
      </w:tr>
    </w:tbl>
    <w:p w:rsidR="00610909" w:rsidRPr="00844951" w:rsidRDefault="00002724" w:rsidP="00844951">
      <w:pPr>
        <w:autoSpaceDE w:val="0"/>
        <w:autoSpaceDN w:val="0"/>
        <w:adjustRightInd w:val="0"/>
        <w:spacing w:after="0" w:line="240" w:lineRule="auto"/>
        <w:rPr>
          <w:rFonts w:ascii="Arabic Transparent" w:hAnsi="Arabic Transparent" w:cs="Arabic Transparent"/>
          <w:color w:val="000000"/>
          <w:sz w:val="18"/>
          <w:szCs w:val="18"/>
        </w:rPr>
      </w:pPr>
      <w:r w:rsidRPr="00002724">
        <w:rPr>
          <w:rFonts w:ascii="Arabic Transparent" w:hAnsi="Arabic Transparent" w:cs="Arabic Transparent"/>
          <w:color w:val="000000"/>
          <w:sz w:val="18"/>
          <w:szCs w:val="18"/>
        </w:rPr>
        <w:t>a  Dependent Variable: ROA</w:t>
      </w:r>
    </w:p>
    <w:p w:rsidR="00745645" w:rsidRDefault="00745645" w:rsidP="00610909">
      <w:pPr>
        <w:spacing w:line="360" w:lineRule="auto"/>
        <w:jc w:val="center"/>
        <w:rPr>
          <w:rFonts w:asciiTheme="majorBidi" w:hAnsiTheme="majorBidi" w:cstheme="majorBidi"/>
          <w:b/>
          <w:color w:val="000000" w:themeColor="text1"/>
          <w:sz w:val="24"/>
          <w:szCs w:val="24"/>
        </w:rPr>
      </w:pPr>
    </w:p>
    <w:p w:rsidR="00253CF0" w:rsidRPr="00950377" w:rsidRDefault="001E0825" w:rsidP="00610909">
      <w:pPr>
        <w:spacing w:line="360" w:lineRule="auto"/>
        <w:jc w:val="center"/>
        <w:rPr>
          <w:rFonts w:asciiTheme="majorBidi" w:hAnsiTheme="majorBidi" w:cstheme="majorBidi"/>
          <w:b/>
          <w:sz w:val="24"/>
          <w:szCs w:val="24"/>
        </w:rPr>
      </w:pPr>
      <w:r>
        <w:rPr>
          <w:rFonts w:asciiTheme="majorBidi" w:hAnsiTheme="majorBidi" w:cstheme="majorBidi"/>
          <w:b/>
          <w:color w:val="000000" w:themeColor="text1"/>
          <w:sz w:val="24"/>
          <w:szCs w:val="24"/>
        </w:rPr>
        <w:t>Table 4.36</w:t>
      </w:r>
      <w:r w:rsidR="007602E1" w:rsidRPr="00950377">
        <w:rPr>
          <w:rFonts w:asciiTheme="majorBidi" w:hAnsiTheme="majorBidi" w:cstheme="majorBidi"/>
          <w:b/>
          <w:color w:val="000000" w:themeColor="text1"/>
          <w:sz w:val="24"/>
          <w:szCs w:val="24"/>
        </w:rPr>
        <w:t>:</w:t>
      </w:r>
      <w:r w:rsidR="007602E1" w:rsidRPr="00950377">
        <w:rPr>
          <w:rFonts w:asciiTheme="majorBidi" w:hAnsiTheme="majorBidi" w:cstheme="majorBidi"/>
          <w:b/>
          <w:sz w:val="24"/>
          <w:szCs w:val="24"/>
        </w:rPr>
        <w:t xml:space="preserve"> Correlation</w:t>
      </w:r>
      <w:r w:rsidR="00D33435" w:rsidRPr="00950377">
        <w:rPr>
          <w:rFonts w:asciiTheme="majorBidi" w:hAnsiTheme="majorBidi" w:cstheme="majorBidi"/>
          <w:b/>
          <w:sz w:val="24"/>
          <w:szCs w:val="24"/>
        </w:rPr>
        <w:t xml:space="preserve"> matrix of the ROA</w:t>
      </w:r>
      <w:r w:rsidR="00E87CBD" w:rsidRPr="00950377">
        <w:rPr>
          <w:rFonts w:asciiTheme="majorBidi" w:hAnsiTheme="majorBidi" w:cstheme="majorBidi"/>
          <w:b/>
          <w:sz w:val="24"/>
          <w:szCs w:val="24"/>
        </w:rPr>
        <w:t xml:space="preserve"> and explanatory variables</w:t>
      </w:r>
      <w:r w:rsidR="00693378" w:rsidRPr="00950377">
        <w:rPr>
          <w:rFonts w:asciiTheme="majorBidi" w:hAnsiTheme="majorBidi" w:cstheme="majorBidi"/>
          <w:b/>
          <w:sz w:val="24"/>
          <w:szCs w:val="24"/>
        </w:rPr>
        <w:t xml:space="preserve"> (model 1)</w:t>
      </w:r>
    </w:p>
    <w:p w:rsidR="00693378" w:rsidRPr="00693378" w:rsidRDefault="00693378" w:rsidP="00693378">
      <w:pPr>
        <w:tabs>
          <w:tab w:val="center" w:pos="4737"/>
        </w:tabs>
        <w:autoSpaceDE w:val="0"/>
        <w:autoSpaceDN w:val="0"/>
        <w:adjustRightInd w:val="0"/>
        <w:spacing w:after="0" w:line="240" w:lineRule="auto"/>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ab/>
        <w:t>Correlations</w:t>
      </w:r>
    </w:p>
    <w:p w:rsidR="00693378" w:rsidRPr="00693378" w:rsidRDefault="00693378" w:rsidP="00693378">
      <w:pPr>
        <w:tabs>
          <w:tab w:val="center" w:pos="4737"/>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tblInd w:w="93" w:type="dxa"/>
        <w:tblLayout w:type="fixed"/>
        <w:tblCellMar>
          <w:left w:w="93" w:type="dxa"/>
          <w:right w:w="93" w:type="dxa"/>
        </w:tblCellMar>
        <w:tblLook w:val="0000"/>
      </w:tblPr>
      <w:tblGrid>
        <w:gridCol w:w="763"/>
        <w:gridCol w:w="1944"/>
        <w:gridCol w:w="1080"/>
        <w:gridCol w:w="1080"/>
        <w:gridCol w:w="1080"/>
        <w:gridCol w:w="1080"/>
        <w:gridCol w:w="1080"/>
        <w:gridCol w:w="1080"/>
      </w:tblGrid>
      <w:tr w:rsidR="00693378" w:rsidRPr="00693378">
        <w:trPr>
          <w:trHeight w:val="273"/>
        </w:trPr>
        <w:tc>
          <w:tcPr>
            <w:tcW w:w="763" w:type="dxa"/>
            <w:tcBorders>
              <w:top w:val="single" w:sz="12" w:space="0" w:color="000000"/>
              <w:left w:val="single" w:sz="12" w:space="0" w:color="000000"/>
              <w:bottom w:val="single" w:sz="12" w:space="0" w:color="000000"/>
              <w:right w:val="nil"/>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single" w:sz="12" w:space="0" w:color="000000"/>
              <w:left w:val="nil"/>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ROA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NPLR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EQTA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LLPI</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NIDR</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OPNI</w:t>
            </w:r>
          </w:p>
        </w:tc>
      </w:tr>
      <w:tr w:rsidR="00693378" w:rsidRPr="00693378">
        <w:trPr>
          <w:trHeight w:val="273"/>
        </w:trPr>
        <w:tc>
          <w:tcPr>
            <w:tcW w:w="763" w:type="dxa"/>
            <w:vMerge w:val="restart"/>
            <w:tcBorders>
              <w:top w:val="single" w:sz="12" w:space="0" w:color="000000"/>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ROA</w:t>
            </w:r>
          </w:p>
        </w:tc>
        <w:tc>
          <w:tcPr>
            <w:tcW w:w="1944" w:type="dxa"/>
            <w:tcBorders>
              <w:top w:val="single" w:sz="12" w:space="0" w:color="000000"/>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Pearson Correlation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-.535(**)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-.399(*)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-.569(**)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.201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-.673(**)</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 (2-tailed)</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.018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.247</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.000</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r>
      <w:tr w:rsidR="00693378" w:rsidRPr="00693378">
        <w:trPr>
          <w:trHeight w:val="273"/>
        </w:trPr>
        <w:tc>
          <w:tcPr>
            <w:tcW w:w="763" w:type="dxa"/>
            <w:vMerge w:val="restart"/>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NPLR</w:t>
            </w: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-.028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.468(**)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.251</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.277</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 (2-tailed)</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.872</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.145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.108</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r>
      <w:tr w:rsidR="00693378" w:rsidRPr="00693378">
        <w:trPr>
          <w:trHeight w:val="273"/>
        </w:trPr>
        <w:tc>
          <w:tcPr>
            <w:tcW w:w="763" w:type="dxa"/>
            <w:vMerge w:val="restart"/>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EQTA</w:t>
            </w: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-.399(*)</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-.028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-.050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-.423(*)</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.311</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 (2-tailed)</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.018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.872</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.774</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.011</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.069</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r>
      <w:tr w:rsidR="00693378" w:rsidRPr="00693378">
        <w:trPr>
          <w:trHeight w:val="273"/>
        </w:trPr>
        <w:tc>
          <w:tcPr>
            <w:tcW w:w="763" w:type="dxa"/>
            <w:vMerge w:val="restart"/>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LLPI</w:t>
            </w: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-.569(**)</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.468(**)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-.050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.206</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.445(**)</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 (2-tailed)</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.774</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.234</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.007</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r>
      <w:tr w:rsidR="00693378" w:rsidRPr="00693378">
        <w:trPr>
          <w:trHeight w:val="273"/>
        </w:trPr>
        <w:tc>
          <w:tcPr>
            <w:tcW w:w="763" w:type="dxa"/>
            <w:vMerge w:val="restart"/>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NIDR</w:t>
            </w: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.201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.251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-.423(*)</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.206</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-.320</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 (2-tailed)</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.247</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.145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.011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.234</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.061</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r>
      <w:tr w:rsidR="00693378" w:rsidRPr="00693378">
        <w:trPr>
          <w:trHeight w:val="273"/>
        </w:trPr>
        <w:tc>
          <w:tcPr>
            <w:tcW w:w="763" w:type="dxa"/>
            <w:vMerge w:val="restart"/>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OPNI</w:t>
            </w: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Pearson Correlation</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-.673(**)</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.277</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.311</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.445(**)</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-.320</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 (2-tailed)</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.108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.069</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.007</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.061</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r>
      <w:tr w:rsidR="00693378" w:rsidRPr="00693378">
        <w:trPr>
          <w:trHeight w:val="273"/>
        </w:trPr>
        <w:tc>
          <w:tcPr>
            <w:tcW w:w="763" w:type="dxa"/>
            <w:vMerge/>
            <w:tcBorders>
              <w:top w:val="nil"/>
              <w:left w:val="single" w:sz="12" w:space="0" w:color="000000"/>
              <w:bottom w:val="single" w:sz="12" w:space="0" w:color="000000"/>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944" w:type="dxa"/>
            <w:tcBorders>
              <w:top w:val="nil"/>
              <w:left w:val="nil"/>
              <w:bottom w:val="single" w:sz="12" w:space="0" w:color="000000"/>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35</w:t>
            </w:r>
          </w:p>
        </w:tc>
      </w:tr>
    </w:tbl>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  Correlation is significant at the 0.01 level (2-tailed).</w:t>
      </w:r>
    </w:p>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  Correlation is significant at the 0.05 level (2-tailed).</w:t>
      </w:r>
    </w:p>
    <w:p w:rsidR="00294755" w:rsidRDefault="00294755" w:rsidP="00D33435">
      <w:pPr>
        <w:spacing w:line="360" w:lineRule="auto"/>
        <w:jc w:val="both"/>
        <w:rPr>
          <w:rFonts w:asciiTheme="majorBidi" w:hAnsiTheme="majorBidi" w:cstheme="majorBidi"/>
          <w:sz w:val="24"/>
          <w:szCs w:val="24"/>
        </w:rPr>
      </w:pPr>
    </w:p>
    <w:p w:rsidR="00745645" w:rsidRDefault="00745645" w:rsidP="00950377">
      <w:pPr>
        <w:autoSpaceDE w:val="0"/>
        <w:autoSpaceDN w:val="0"/>
        <w:adjustRightInd w:val="0"/>
        <w:spacing w:after="0" w:line="360" w:lineRule="auto"/>
        <w:jc w:val="center"/>
        <w:rPr>
          <w:rFonts w:asciiTheme="majorBidi" w:hAnsiTheme="majorBidi" w:cstheme="majorBidi"/>
          <w:b/>
          <w:bCs/>
          <w:color w:val="000000" w:themeColor="text1"/>
          <w:sz w:val="24"/>
          <w:szCs w:val="24"/>
        </w:rPr>
      </w:pPr>
    </w:p>
    <w:p w:rsidR="00507D05" w:rsidRDefault="00507D05" w:rsidP="00950377">
      <w:pPr>
        <w:autoSpaceDE w:val="0"/>
        <w:autoSpaceDN w:val="0"/>
        <w:adjustRightInd w:val="0"/>
        <w:spacing w:after="0" w:line="360" w:lineRule="auto"/>
        <w:jc w:val="center"/>
        <w:rPr>
          <w:rFonts w:asciiTheme="majorBidi" w:hAnsiTheme="majorBidi" w:cstheme="majorBidi"/>
          <w:b/>
          <w:bCs/>
          <w:color w:val="000000" w:themeColor="text1"/>
          <w:sz w:val="24"/>
          <w:szCs w:val="24"/>
        </w:rPr>
      </w:pPr>
    </w:p>
    <w:p w:rsidR="00745645" w:rsidRDefault="00745645" w:rsidP="00950377">
      <w:pPr>
        <w:autoSpaceDE w:val="0"/>
        <w:autoSpaceDN w:val="0"/>
        <w:adjustRightInd w:val="0"/>
        <w:spacing w:after="0" w:line="360" w:lineRule="auto"/>
        <w:jc w:val="center"/>
        <w:rPr>
          <w:rFonts w:asciiTheme="majorBidi" w:hAnsiTheme="majorBidi" w:cstheme="majorBidi"/>
          <w:b/>
          <w:bCs/>
          <w:color w:val="000000" w:themeColor="text1"/>
          <w:sz w:val="24"/>
          <w:szCs w:val="24"/>
        </w:rPr>
      </w:pPr>
    </w:p>
    <w:p w:rsidR="00693378" w:rsidRDefault="001E0825" w:rsidP="00950377">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color w:val="000000" w:themeColor="text1"/>
          <w:sz w:val="24"/>
          <w:szCs w:val="24"/>
        </w:rPr>
        <w:lastRenderedPageBreak/>
        <w:t>Table 4.37</w:t>
      </w:r>
      <w:r w:rsidR="00693378" w:rsidRPr="00950377">
        <w:rPr>
          <w:rFonts w:asciiTheme="majorBidi" w:hAnsiTheme="majorBidi" w:cstheme="majorBidi"/>
          <w:b/>
          <w:bCs/>
          <w:color w:val="000000" w:themeColor="text1"/>
          <w:sz w:val="24"/>
          <w:szCs w:val="24"/>
        </w:rPr>
        <w:t xml:space="preserve">: </w:t>
      </w:r>
      <w:r w:rsidR="00693378" w:rsidRPr="00950377">
        <w:rPr>
          <w:rFonts w:asciiTheme="majorBidi" w:hAnsiTheme="majorBidi" w:cstheme="majorBidi"/>
          <w:b/>
          <w:bCs/>
          <w:sz w:val="24"/>
          <w:szCs w:val="24"/>
        </w:rPr>
        <w:t>Multiple Linear Regression results for model 2</w:t>
      </w:r>
    </w:p>
    <w:p w:rsidR="00950377" w:rsidRPr="00950377" w:rsidRDefault="00950377" w:rsidP="00950377">
      <w:pPr>
        <w:autoSpaceDE w:val="0"/>
        <w:autoSpaceDN w:val="0"/>
        <w:adjustRightInd w:val="0"/>
        <w:spacing w:after="0" w:line="360" w:lineRule="auto"/>
        <w:jc w:val="center"/>
        <w:rPr>
          <w:rFonts w:asciiTheme="majorBidi" w:hAnsiTheme="majorBidi" w:cstheme="majorBidi"/>
          <w:b/>
          <w:bCs/>
          <w:sz w:val="24"/>
          <w:szCs w:val="24"/>
        </w:rPr>
      </w:pPr>
    </w:p>
    <w:p w:rsidR="00693378" w:rsidRPr="00693378" w:rsidRDefault="00693378" w:rsidP="00693378">
      <w:pPr>
        <w:tabs>
          <w:tab w:val="center" w:pos="2246"/>
        </w:tabs>
        <w:autoSpaceDE w:val="0"/>
        <w:autoSpaceDN w:val="0"/>
        <w:adjustRightInd w:val="0"/>
        <w:spacing w:after="0" w:line="240" w:lineRule="auto"/>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ab/>
      </w:r>
      <w:r w:rsidR="00FA6F08">
        <w:rPr>
          <w:rFonts w:ascii="Arabic Transparent" w:hAnsi="Arabic Transparent" w:cs="Arabic Transparent"/>
          <w:b/>
          <w:bCs/>
          <w:color w:val="000000"/>
          <w:sz w:val="18"/>
          <w:szCs w:val="18"/>
        </w:rPr>
        <w:t xml:space="preserve">                                                              </w:t>
      </w:r>
      <w:r w:rsidRPr="00693378">
        <w:rPr>
          <w:rFonts w:ascii="Arabic Transparent" w:hAnsi="Arabic Transparent" w:cs="Arabic Transparent"/>
          <w:b/>
          <w:bCs/>
          <w:color w:val="000000"/>
          <w:sz w:val="18"/>
          <w:szCs w:val="18"/>
        </w:rPr>
        <w:t>Variables Entered/Removed(b)</w:t>
      </w:r>
    </w:p>
    <w:p w:rsidR="00693378" w:rsidRPr="00693378" w:rsidRDefault="00693378" w:rsidP="00693378">
      <w:pPr>
        <w:tabs>
          <w:tab w:val="center" w:pos="2246"/>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jc w:val="center"/>
        <w:tblInd w:w="93" w:type="dxa"/>
        <w:tblLayout w:type="fixed"/>
        <w:tblCellMar>
          <w:left w:w="93" w:type="dxa"/>
          <w:right w:w="93" w:type="dxa"/>
        </w:tblCellMar>
        <w:tblLook w:val="0000"/>
      </w:tblPr>
      <w:tblGrid>
        <w:gridCol w:w="763"/>
        <w:gridCol w:w="1180"/>
        <w:gridCol w:w="1180"/>
        <w:gridCol w:w="1080"/>
      </w:tblGrid>
      <w:tr w:rsidR="00693378" w:rsidRPr="00693378" w:rsidTr="00FE2C34">
        <w:trPr>
          <w:trHeight w:val="504"/>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Model</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Variables Entered</w:t>
            </w:r>
          </w:p>
        </w:tc>
        <w:tc>
          <w:tcPr>
            <w:tcW w:w="11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Variables Removed</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Method</w:t>
            </w:r>
          </w:p>
        </w:tc>
      </w:tr>
      <w:tr w:rsidR="00693378" w:rsidRPr="00693378" w:rsidTr="00FE2C34">
        <w:trPr>
          <w:trHeight w:val="1195"/>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OPNI, NPLR, EQTA, NIDR, LLPI(a)</w:t>
            </w:r>
          </w:p>
        </w:tc>
        <w:tc>
          <w:tcPr>
            <w:tcW w:w="11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Enter</w:t>
            </w:r>
          </w:p>
        </w:tc>
      </w:tr>
    </w:tbl>
    <w:p w:rsidR="00693378" w:rsidRPr="00693378" w:rsidRDefault="00FA6F08" w:rsidP="00693378">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693378" w:rsidRPr="00693378">
        <w:rPr>
          <w:rFonts w:ascii="Arabic Transparent" w:hAnsi="Arabic Transparent" w:cs="Arabic Transparent"/>
          <w:color w:val="000000"/>
          <w:sz w:val="18"/>
          <w:szCs w:val="18"/>
        </w:rPr>
        <w:t>a  All requested variables entered.</w:t>
      </w:r>
    </w:p>
    <w:p w:rsidR="00693378" w:rsidRPr="00693378" w:rsidRDefault="00FA6F08" w:rsidP="00693378">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693378" w:rsidRPr="00693378">
        <w:rPr>
          <w:rFonts w:ascii="Arabic Transparent" w:hAnsi="Arabic Transparent" w:cs="Arabic Transparent"/>
          <w:color w:val="000000"/>
          <w:sz w:val="18"/>
          <w:szCs w:val="18"/>
        </w:rPr>
        <w:t>b  Dependent Variable: ROE</w:t>
      </w:r>
    </w:p>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p w:rsidR="00745645" w:rsidRDefault="00693378" w:rsidP="00693378">
      <w:pPr>
        <w:tabs>
          <w:tab w:val="center" w:pos="3556"/>
        </w:tabs>
        <w:autoSpaceDE w:val="0"/>
        <w:autoSpaceDN w:val="0"/>
        <w:adjustRightInd w:val="0"/>
        <w:spacing w:after="0" w:line="240" w:lineRule="auto"/>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ab/>
      </w:r>
    </w:p>
    <w:p w:rsidR="00693378" w:rsidRPr="00693378" w:rsidRDefault="00693378" w:rsidP="00745645">
      <w:pPr>
        <w:tabs>
          <w:tab w:val="center" w:pos="3556"/>
        </w:tabs>
        <w:autoSpaceDE w:val="0"/>
        <w:autoSpaceDN w:val="0"/>
        <w:adjustRightInd w:val="0"/>
        <w:spacing w:after="0" w:line="240" w:lineRule="auto"/>
        <w:jc w:val="center"/>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Model Summary(b)</w:t>
      </w:r>
    </w:p>
    <w:p w:rsidR="00693378" w:rsidRPr="00693378" w:rsidRDefault="00693378" w:rsidP="00693378">
      <w:pPr>
        <w:tabs>
          <w:tab w:val="center" w:pos="3556"/>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jc w:val="center"/>
        <w:tblInd w:w="93" w:type="dxa"/>
        <w:tblLayout w:type="fixed"/>
        <w:tblCellMar>
          <w:left w:w="93" w:type="dxa"/>
          <w:right w:w="93" w:type="dxa"/>
        </w:tblCellMar>
        <w:tblLook w:val="0000"/>
      </w:tblPr>
      <w:tblGrid>
        <w:gridCol w:w="763"/>
        <w:gridCol w:w="1080"/>
        <w:gridCol w:w="1080"/>
        <w:gridCol w:w="1137"/>
        <w:gridCol w:w="1324"/>
        <w:gridCol w:w="1440"/>
      </w:tblGrid>
      <w:tr w:rsidR="00693378" w:rsidRPr="00693378" w:rsidTr="00FE2C34">
        <w:trPr>
          <w:trHeight w:val="504"/>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Model</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R Square</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Adjusted R Square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Std. Error of the Estimate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Durbin-Watson</w:t>
            </w:r>
          </w:p>
        </w:tc>
      </w:tr>
      <w:tr w:rsidR="00693378" w:rsidRPr="00693378" w:rsidTr="00FE2C34">
        <w:trPr>
          <w:trHeight w:val="273"/>
          <w:jc w:val="center"/>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.637(a)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.406</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.304</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10.21895</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1.884</w:t>
            </w:r>
          </w:p>
        </w:tc>
      </w:tr>
    </w:tbl>
    <w:p w:rsidR="00693378" w:rsidRPr="00693378" w:rsidRDefault="00FA6F08" w:rsidP="00693378">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693378" w:rsidRPr="00693378">
        <w:rPr>
          <w:rFonts w:ascii="Arabic Transparent" w:hAnsi="Arabic Transparent" w:cs="Arabic Transparent"/>
          <w:color w:val="000000"/>
          <w:sz w:val="18"/>
          <w:szCs w:val="18"/>
        </w:rPr>
        <w:t>a  Predictors: (Constant), OPNI, NPLR, EQTA, NIDR, LLPI</w:t>
      </w:r>
    </w:p>
    <w:p w:rsidR="00693378" w:rsidRPr="00693378" w:rsidRDefault="00FA6F08" w:rsidP="00693378">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693378" w:rsidRPr="00693378">
        <w:rPr>
          <w:rFonts w:ascii="Arabic Transparent" w:hAnsi="Arabic Transparent" w:cs="Arabic Transparent"/>
          <w:color w:val="000000"/>
          <w:sz w:val="18"/>
          <w:szCs w:val="18"/>
        </w:rPr>
        <w:t>b  Dependent Variable: ROE</w:t>
      </w:r>
    </w:p>
    <w:p w:rsidR="00BF1ECA" w:rsidRDefault="00BF1ECA" w:rsidP="00E35469">
      <w:pPr>
        <w:tabs>
          <w:tab w:val="center" w:pos="4003"/>
        </w:tabs>
        <w:autoSpaceDE w:val="0"/>
        <w:autoSpaceDN w:val="0"/>
        <w:adjustRightInd w:val="0"/>
        <w:spacing w:after="0" w:line="240" w:lineRule="auto"/>
        <w:rPr>
          <w:rFonts w:ascii="Arabic Transparent" w:hAnsi="Arabic Transparent" w:cs="Arabic Transparent"/>
          <w:color w:val="000000"/>
          <w:sz w:val="18"/>
          <w:szCs w:val="18"/>
        </w:rPr>
      </w:pPr>
    </w:p>
    <w:p w:rsidR="00745645" w:rsidRDefault="00745645" w:rsidP="00BF1ECA">
      <w:pPr>
        <w:tabs>
          <w:tab w:val="center" w:pos="4003"/>
        </w:tabs>
        <w:autoSpaceDE w:val="0"/>
        <w:autoSpaceDN w:val="0"/>
        <w:adjustRightInd w:val="0"/>
        <w:spacing w:after="0" w:line="240" w:lineRule="auto"/>
        <w:jc w:val="center"/>
        <w:rPr>
          <w:rFonts w:ascii="Arabic Transparent" w:hAnsi="Arabic Transparent" w:cs="Arabic Transparent"/>
          <w:b/>
          <w:bCs/>
          <w:color w:val="000000"/>
          <w:sz w:val="18"/>
          <w:szCs w:val="18"/>
        </w:rPr>
      </w:pPr>
    </w:p>
    <w:p w:rsidR="00693378" w:rsidRPr="00693378" w:rsidRDefault="00693378" w:rsidP="00BF1ECA">
      <w:pPr>
        <w:tabs>
          <w:tab w:val="center" w:pos="4003"/>
        </w:tabs>
        <w:autoSpaceDE w:val="0"/>
        <w:autoSpaceDN w:val="0"/>
        <w:adjustRightInd w:val="0"/>
        <w:spacing w:after="0" w:line="240" w:lineRule="auto"/>
        <w:jc w:val="center"/>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ANOVA(b)</w:t>
      </w:r>
    </w:p>
    <w:p w:rsidR="00693378" w:rsidRPr="00693378" w:rsidRDefault="00693378" w:rsidP="00693378">
      <w:pPr>
        <w:tabs>
          <w:tab w:val="center" w:pos="4003"/>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jc w:val="center"/>
        <w:tblInd w:w="93" w:type="dxa"/>
        <w:tblLayout w:type="fixed"/>
        <w:tblCellMar>
          <w:left w:w="93" w:type="dxa"/>
          <w:right w:w="93" w:type="dxa"/>
        </w:tblCellMar>
        <w:tblLook w:val="0000"/>
      </w:tblPr>
      <w:tblGrid>
        <w:gridCol w:w="763"/>
        <w:gridCol w:w="1252"/>
        <w:gridCol w:w="1094"/>
        <w:gridCol w:w="1080"/>
        <w:gridCol w:w="1368"/>
        <w:gridCol w:w="1080"/>
        <w:gridCol w:w="1080"/>
      </w:tblGrid>
      <w:tr w:rsidR="00693378" w:rsidRPr="00693378" w:rsidTr="00FE2C34">
        <w:trPr>
          <w:trHeight w:val="504"/>
          <w:jc w:val="center"/>
        </w:trPr>
        <w:tc>
          <w:tcPr>
            <w:tcW w:w="763" w:type="dxa"/>
            <w:tcBorders>
              <w:top w:val="single" w:sz="12" w:space="0" w:color="000000"/>
              <w:left w:val="single" w:sz="12" w:space="0" w:color="000000"/>
              <w:bottom w:val="single" w:sz="12" w:space="0" w:color="000000"/>
              <w:right w:val="nil"/>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Model</w:t>
            </w:r>
          </w:p>
        </w:tc>
        <w:tc>
          <w:tcPr>
            <w:tcW w:w="1252" w:type="dxa"/>
            <w:tcBorders>
              <w:top w:val="single" w:sz="12" w:space="0" w:color="000000"/>
              <w:left w:val="nil"/>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w:t>
            </w:r>
          </w:p>
        </w:tc>
      </w:tr>
      <w:tr w:rsidR="00693378" w:rsidRPr="00693378" w:rsidTr="00FE2C34">
        <w:trPr>
          <w:trHeight w:val="273"/>
          <w:jc w:val="center"/>
        </w:trPr>
        <w:tc>
          <w:tcPr>
            <w:tcW w:w="763" w:type="dxa"/>
            <w:vMerge w:val="restart"/>
            <w:tcBorders>
              <w:top w:val="single" w:sz="12" w:space="0" w:color="000000"/>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2069.308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413.862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3.963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.007(a)</w:t>
            </w:r>
          </w:p>
        </w:tc>
      </w:tr>
      <w:tr w:rsidR="00693378" w:rsidRPr="00693378" w:rsidTr="00FE2C34">
        <w:trPr>
          <w:trHeight w:val="273"/>
          <w:jc w:val="center"/>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252"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3028.382</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29</w:t>
            </w:r>
          </w:p>
        </w:tc>
        <w:tc>
          <w:tcPr>
            <w:tcW w:w="1368"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104.427</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r>
      <w:tr w:rsidR="00693378" w:rsidRPr="00693378" w:rsidTr="00FE2C34">
        <w:trPr>
          <w:trHeight w:val="273"/>
          <w:jc w:val="center"/>
        </w:trPr>
        <w:tc>
          <w:tcPr>
            <w:tcW w:w="763" w:type="dxa"/>
            <w:vMerge/>
            <w:tcBorders>
              <w:top w:val="nil"/>
              <w:left w:val="single" w:sz="12" w:space="0" w:color="000000"/>
              <w:bottom w:val="single" w:sz="12" w:space="0" w:color="000000"/>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252" w:type="dxa"/>
            <w:tcBorders>
              <w:top w:val="nil"/>
              <w:left w:val="nil"/>
              <w:bottom w:val="single" w:sz="12" w:space="0" w:color="000000"/>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5097.690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34</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r>
    </w:tbl>
    <w:p w:rsidR="00693378" w:rsidRPr="00693378" w:rsidRDefault="00FA6F08" w:rsidP="00693378">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693378" w:rsidRPr="00693378">
        <w:rPr>
          <w:rFonts w:ascii="Arabic Transparent" w:hAnsi="Arabic Transparent" w:cs="Arabic Transparent"/>
          <w:color w:val="000000"/>
          <w:sz w:val="18"/>
          <w:szCs w:val="18"/>
        </w:rPr>
        <w:t>a  Predictors: (Constant), OPNI, NPLR, EQTA, NIDR, LLPI</w:t>
      </w:r>
    </w:p>
    <w:p w:rsidR="00693378" w:rsidRPr="00693378" w:rsidRDefault="00FA6F08" w:rsidP="00693378">
      <w:pPr>
        <w:autoSpaceDE w:val="0"/>
        <w:autoSpaceDN w:val="0"/>
        <w:adjustRightInd w:val="0"/>
        <w:spacing w:after="0" w:line="240" w:lineRule="auto"/>
        <w:rPr>
          <w:rFonts w:ascii="Arabic Transparent" w:hAnsi="Arabic Transparent" w:cs="Arabic Transparent"/>
          <w:color w:val="000000"/>
          <w:sz w:val="18"/>
          <w:szCs w:val="18"/>
        </w:rPr>
      </w:pPr>
      <w:r>
        <w:rPr>
          <w:rFonts w:ascii="Arabic Transparent" w:hAnsi="Arabic Transparent" w:cs="Arabic Transparent"/>
          <w:color w:val="000000"/>
          <w:sz w:val="18"/>
          <w:szCs w:val="18"/>
        </w:rPr>
        <w:t xml:space="preserve">                </w:t>
      </w:r>
      <w:r w:rsidR="00693378" w:rsidRPr="00693378">
        <w:rPr>
          <w:rFonts w:ascii="Arabic Transparent" w:hAnsi="Arabic Transparent" w:cs="Arabic Transparent"/>
          <w:color w:val="000000"/>
          <w:sz w:val="18"/>
          <w:szCs w:val="18"/>
        </w:rPr>
        <w:t>b  Dependent Variable: ROE</w:t>
      </w:r>
    </w:p>
    <w:p w:rsidR="00745645" w:rsidRDefault="00693378" w:rsidP="00693378">
      <w:pPr>
        <w:tabs>
          <w:tab w:val="center" w:pos="5068"/>
        </w:tabs>
        <w:autoSpaceDE w:val="0"/>
        <w:autoSpaceDN w:val="0"/>
        <w:adjustRightInd w:val="0"/>
        <w:spacing w:after="0" w:line="240" w:lineRule="auto"/>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ab/>
      </w:r>
    </w:p>
    <w:p w:rsidR="00745645" w:rsidRDefault="00745645" w:rsidP="00693378">
      <w:pPr>
        <w:tabs>
          <w:tab w:val="center" w:pos="5068"/>
        </w:tabs>
        <w:autoSpaceDE w:val="0"/>
        <w:autoSpaceDN w:val="0"/>
        <w:adjustRightInd w:val="0"/>
        <w:spacing w:after="0" w:line="240" w:lineRule="auto"/>
        <w:rPr>
          <w:rFonts w:ascii="Arabic Transparent" w:hAnsi="Arabic Transparent" w:cs="Arabic Transparent"/>
          <w:b/>
          <w:bCs/>
          <w:color w:val="000000"/>
          <w:sz w:val="18"/>
          <w:szCs w:val="18"/>
        </w:rPr>
      </w:pPr>
    </w:p>
    <w:p w:rsidR="00745645" w:rsidRDefault="00745645" w:rsidP="00693378">
      <w:pPr>
        <w:tabs>
          <w:tab w:val="center" w:pos="5068"/>
        </w:tabs>
        <w:autoSpaceDE w:val="0"/>
        <w:autoSpaceDN w:val="0"/>
        <w:adjustRightInd w:val="0"/>
        <w:spacing w:after="0" w:line="240" w:lineRule="auto"/>
        <w:rPr>
          <w:rFonts w:ascii="Arabic Transparent" w:hAnsi="Arabic Transparent" w:cs="Arabic Transparent"/>
          <w:b/>
          <w:bCs/>
          <w:color w:val="000000"/>
          <w:sz w:val="18"/>
          <w:szCs w:val="18"/>
        </w:rPr>
      </w:pPr>
    </w:p>
    <w:p w:rsidR="00693378" w:rsidRPr="00693378" w:rsidRDefault="00693378" w:rsidP="00745645">
      <w:pPr>
        <w:tabs>
          <w:tab w:val="center" w:pos="5068"/>
        </w:tabs>
        <w:autoSpaceDE w:val="0"/>
        <w:autoSpaceDN w:val="0"/>
        <w:adjustRightInd w:val="0"/>
        <w:spacing w:after="0" w:line="240" w:lineRule="auto"/>
        <w:jc w:val="center"/>
        <w:rPr>
          <w:rFonts w:ascii="Arabic Transparent" w:hAnsi="Arabic Transparent" w:cs="Arabic Transparent"/>
          <w:b/>
          <w:bCs/>
          <w:color w:val="000000"/>
          <w:sz w:val="18"/>
          <w:szCs w:val="18"/>
        </w:rPr>
      </w:pPr>
      <w:r w:rsidRPr="00693378">
        <w:rPr>
          <w:rFonts w:ascii="Arabic Transparent" w:hAnsi="Arabic Transparent" w:cs="Arabic Transparent"/>
          <w:b/>
          <w:bCs/>
          <w:color w:val="000000"/>
          <w:sz w:val="18"/>
          <w:szCs w:val="18"/>
        </w:rPr>
        <w:t>Coefficients(a)</w:t>
      </w:r>
    </w:p>
    <w:p w:rsidR="00693378" w:rsidRPr="00693378" w:rsidRDefault="00693378" w:rsidP="00693378">
      <w:pPr>
        <w:tabs>
          <w:tab w:val="center" w:pos="5068"/>
        </w:tabs>
        <w:autoSpaceDE w:val="0"/>
        <w:autoSpaceDN w:val="0"/>
        <w:adjustRightInd w:val="0"/>
        <w:spacing w:after="0" w:line="240" w:lineRule="auto"/>
        <w:rPr>
          <w:rFonts w:ascii="Arabic Transparent" w:hAnsi="Arabic Transparent" w:cs="Arabic Transparent"/>
          <w:b/>
          <w:bCs/>
          <w:color w:val="000000"/>
          <w:sz w:val="18"/>
          <w:szCs w:val="18"/>
        </w:rPr>
      </w:pPr>
    </w:p>
    <w:tbl>
      <w:tblPr>
        <w:tblW w:w="0" w:type="auto"/>
        <w:tblInd w:w="93" w:type="dxa"/>
        <w:tblLayout w:type="fixed"/>
        <w:tblCellMar>
          <w:left w:w="93" w:type="dxa"/>
          <w:right w:w="93" w:type="dxa"/>
        </w:tblCellMar>
        <w:tblLook w:val="0000"/>
      </w:tblPr>
      <w:tblGrid>
        <w:gridCol w:w="763"/>
        <w:gridCol w:w="1137"/>
        <w:gridCol w:w="1080"/>
        <w:gridCol w:w="1080"/>
        <w:gridCol w:w="1454"/>
        <w:gridCol w:w="1080"/>
        <w:gridCol w:w="14"/>
        <w:gridCol w:w="1066"/>
        <w:gridCol w:w="14"/>
        <w:gridCol w:w="1080"/>
        <w:gridCol w:w="1080"/>
      </w:tblGrid>
      <w:tr w:rsidR="00693378" w:rsidRPr="00693378">
        <w:trPr>
          <w:trHeight w:val="388"/>
        </w:trPr>
        <w:tc>
          <w:tcPr>
            <w:tcW w:w="763" w:type="dxa"/>
            <w:vMerge w:val="restart"/>
            <w:tcBorders>
              <w:top w:val="single" w:sz="12" w:space="0" w:color="000000"/>
              <w:left w:val="single" w:sz="12" w:space="0" w:color="000000"/>
              <w:bottom w:val="single" w:sz="12" w:space="0" w:color="000000"/>
              <w:right w:val="nil"/>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Model</w:t>
            </w:r>
          </w:p>
        </w:tc>
        <w:tc>
          <w:tcPr>
            <w:tcW w:w="1137" w:type="dxa"/>
            <w:vMerge w:val="restart"/>
            <w:tcBorders>
              <w:top w:val="single" w:sz="12" w:space="0" w:color="000000"/>
              <w:left w:val="nil"/>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Standardized Coefficients</w:t>
            </w:r>
          </w:p>
        </w:tc>
        <w:tc>
          <w:tcPr>
            <w:tcW w:w="1080" w:type="dxa"/>
            <w:vMerge w:val="restart"/>
            <w:tcBorders>
              <w:top w:val="single" w:sz="12" w:space="0" w:color="000000"/>
              <w:left w:val="single" w:sz="2" w:space="0" w:color="000000"/>
              <w:bottom w:val="single" w:sz="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t</w:t>
            </w:r>
          </w:p>
        </w:tc>
        <w:tc>
          <w:tcPr>
            <w:tcW w:w="1080" w:type="dxa"/>
            <w:gridSpan w:val="2"/>
            <w:vMerge w:val="restart"/>
            <w:tcBorders>
              <w:top w:val="single" w:sz="12" w:space="0" w:color="000000"/>
              <w:left w:val="single" w:sz="2" w:space="0" w:color="000000"/>
              <w:bottom w:val="single" w:sz="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Sig.</w:t>
            </w:r>
          </w:p>
        </w:tc>
        <w:tc>
          <w:tcPr>
            <w:tcW w:w="2174"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Collinearity Statistics</w:t>
            </w:r>
          </w:p>
        </w:tc>
      </w:tr>
      <w:tr w:rsidR="00693378" w:rsidRPr="00693378">
        <w:trPr>
          <w:trHeight w:val="388"/>
        </w:trPr>
        <w:tc>
          <w:tcPr>
            <w:tcW w:w="763" w:type="dxa"/>
            <w:vMerge/>
            <w:tcBorders>
              <w:top w:val="nil"/>
              <w:left w:val="single" w:sz="12" w:space="0" w:color="000000"/>
              <w:bottom w:val="single" w:sz="12" w:space="0" w:color="000000"/>
              <w:right w:val="nil"/>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137" w:type="dxa"/>
            <w:vMerge/>
            <w:tcBorders>
              <w:top w:val="nil"/>
              <w:left w:val="nil"/>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Beta</w:t>
            </w:r>
          </w:p>
        </w:tc>
        <w:tc>
          <w:tcPr>
            <w:tcW w:w="1094"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Tolerance</w:t>
            </w:r>
          </w:p>
        </w:tc>
        <w:tc>
          <w:tcPr>
            <w:tcW w:w="1080" w:type="dxa"/>
            <w:gridSpan w:val="2"/>
            <w:tcBorders>
              <w:top w:val="single" w:sz="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VIF</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B</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693378" w:rsidRPr="00693378" w:rsidRDefault="00693378" w:rsidP="00693378">
            <w:pPr>
              <w:autoSpaceDE w:val="0"/>
              <w:autoSpaceDN w:val="0"/>
              <w:adjustRightInd w:val="0"/>
              <w:spacing w:after="0" w:line="240" w:lineRule="auto"/>
              <w:jc w:val="center"/>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Std. Error</w:t>
            </w:r>
          </w:p>
        </w:tc>
      </w:tr>
      <w:tr w:rsidR="00693378" w:rsidRPr="00693378">
        <w:trPr>
          <w:trHeight w:val="273"/>
        </w:trPr>
        <w:tc>
          <w:tcPr>
            <w:tcW w:w="763" w:type="dxa"/>
            <w:vMerge w:val="restart"/>
            <w:tcBorders>
              <w:top w:val="single" w:sz="12" w:space="0" w:color="000000"/>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11.303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10.334</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1.094</w:t>
            </w:r>
          </w:p>
        </w:tc>
        <w:tc>
          <w:tcPr>
            <w:tcW w:w="1080" w:type="dxa"/>
            <w:gridSpan w:val="2"/>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.283</w:t>
            </w:r>
          </w:p>
        </w:tc>
        <w:tc>
          <w:tcPr>
            <w:tcW w:w="1094" w:type="dxa"/>
            <w:gridSpan w:val="2"/>
            <w:tcBorders>
              <w:top w:val="single" w:sz="12" w:space="0" w:color="000000"/>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137"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NPLR</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-.090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.171</w:t>
            </w:r>
          </w:p>
        </w:tc>
        <w:tc>
          <w:tcPr>
            <w:tcW w:w="1454"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-.089</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-.527</w:t>
            </w:r>
          </w:p>
        </w:tc>
        <w:tc>
          <w:tcPr>
            <w:tcW w:w="1080"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.602</w:t>
            </w:r>
          </w:p>
        </w:tc>
        <w:tc>
          <w:tcPr>
            <w:tcW w:w="1094"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.725</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1.378</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137"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EQTA</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-.080</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.192</w:t>
            </w:r>
          </w:p>
        </w:tc>
        <w:tc>
          <w:tcPr>
            <w:tcW w:w="1454"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-.068</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-.418</w:t>
            </w:r>
          </w:p>
        </w:tc>
        <w:tc>
          <w:tcPr>
            <w:tcW w:w="1080"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.679</w:t>
            </w:r>
          </w:p>
        </w:tc>
        <w:tc>
          <w:tcPr>
            <w:tcW w:w="1094"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.780</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1.283</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137"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LLPI</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-.213</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.130</w:t>
            </w:r>
          </w:p>
        </w:tc>
        <w:tc>
          <w:tcPr>
            <w:tcW w:w="1454"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-.302</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-1.639</w:t>
            </w:r>
          </w:p>
        </w:tc>
        <w:tc>
          <w:tcPr>
            <w:tcW w:w="1080"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.112</w:t>
            </w:r>
          </w:p>
        </w:tc>
        <w:tc>
          <w:tcPr>
            <w:tcW w:w="1094"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.604</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1.655</w:t>
            </w:r>
          </w:p>
        </w:tc>
      </w:tr>
      <w:tr w:rsidR="00693378" w:rsidRPr="00693378">
        <w:trPr>
          <w:trHeight w:val="273"/>
        </w:trPr>
        <w:tc>
          <w:tcPr>
            <w:tcW w:w="763" w:type="dxa"/>
            <w:vMerge/>
            <w:tcBorders>
              <w:top w:val="nil"/>
              <w:left w:val="single" w:sz="12" w:space="0" w:color="000000"/>
              <w:bottom w:val="nil"/>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137" w:type="dxa"/>
            <w:tcBorders>
              <w:top w:val="nil"/>
              <w:left w:val="nil"/>
              <w:bottom w:val="nil"/>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NIDR</w:t>
            </w:r>
          </w:p>
        </w:tc>
        <w:tc>
          <w:tcPr>
            <w:tcW w:w="1080" w:type="dxa"/>
            <w:tcBorders>
              <w:top w:val="nil"/>
              <w:left w:val="single" w:sz="1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.322</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.195</w:t>
            </w:r>
          </w:p>
        </w:tc>
        <w:tc>
          <w:tcPr>
            <w:tcW w:w="1454"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.296</w:t>
            </w:r>
          </w:p>
        </w:tc>
        <w:tc>
          <w:tcPr>
            <w:tcW w:w="1080" w:type="dxa"/>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1.651</w:t>
            </w:r>
          </w:p>
        </w:tc>
        <w:tc>
          <w:tcPr>
            <w:tcW w:w="1080"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.110</w:t>
            </w:r>
          </w:p>
        </w:tc>
        <w:tc>
          <w:tcPr>
            <w:tcW w:w="1094" w:type="dxa"/>
            <w:gridSpan w:val="2"/>
            <w:tcBorders>
              <w:top w:val="nil"/>
              <w:left w:val="single" w:sz="2" w:space="0" w:color="000000"/>
              <w:bottom w:val="nil"/>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.636</w:t>
            </w:r>
          </w:p>
        </w:tc>
        <w:tc>
          <w:tcPr>
            <w:tcW w:w="1080" w:type="dxa"/>
            <w:tcBorders>
              <w:top w:val="nil"/>
              <w:left w:val="single" w:sz="2" w:space="0" w:color="000000"/>
              <w:bottom w:val="nil"/>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1.573</w:t>
            </w:r>
          </w:p>
        </w:tc>
      </w:tr>
      <w:tr w:rsidR="00693378" w:rsidRPr="00693378">
        <w:trPr>
          <w:trHeight w:val="273"/>
        </w:trPr>
        <w:tc>
          <w:tcPr>
            <w:tcW w:w="763" w:type="dxa"/>
            <w:vMerge/>
            <w:tcBorders>
              <w:top w:val="nil"/>
              <w:left w:val="single" w:sz="12" w:space="0" w:color="000000"/>
              <w:bottom w:val="single" w:sz="12" w:space="0" w:color="000000"/>
              <w:right w:val="nil"/>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tc>
        <w:tc>
          <w:tcPr>
            <w:tcW w:w="1137" w:type="dxa"/>
            <w:tcBorders>
              <w:top w:val="nil"/>
              <w:left w:val="nil"/>
              <w:bottom w:val="single" w:sz="12" w:space="0" w:color="000000"/>
              <w:right w:val="single" w:sz="12" w:space="0" w:color="000000"/>
            </w:tcBorders>
            <w:shd w:val="clear" w:color="000000" w:fill="FFFFFF"/>
          </w:tcPr>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OPNI</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-.094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.065</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-.274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-1.450</w:t>
            </w:r>
          </w:p>
        </w:tc>
        <w:tc>
          <w:tcPr>
            <w:tcW w:w="1080" w:type="dxa"/>
            <w:gridSpan w:val="2"/>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.158</w:t>
            </w:r>
          </w:p>
        </w:tc>
        <w:tc>
          <w:tcPr>
            <w:tcW w:w="1094" w:type="dxa"/>
            <w:gridSpan w:val="2"/>
            <w:tcBorders>
              <w:top w:val="nil"/>
              <w:left w:val="single" w:sz="2" w:space="0" w:color="000000"/>
              <w:bottom w:val="single" w:sz="12" w:space="0" w:color="000000"/>
              <w:right w:val="single" w:sz="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.576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693378" w:rsidRPr="00693378" w:rsidRDefault="00693378" w:rsidP="00693378">
            <w:pPr>
              <w:autoSpaceDE w:val="0"/>
              <w:autoSpaceDN w:val="0"/>
              <w:adjustRightInd w:val="0"/>
              <w:spacing w:after="0" w:line="240" w:lineRule="auto"/>
              <w:jc w:val="right"/>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1.738</w:t>
            </w:r>
          </w:p>
        </w:tc>
      </w:tr>
    </w:tbl>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r w:rsidRPr="00693378">
        <w:rPr>
          <w:rFonts w:ascii="Arabic Transparent" w:hAnsi="Arabic Transparent" w:cs="Arabic Transparent"/>
          <w:color w:val="000000"/>
          <w:sz w:val="18"/>
          <w:szCs w:val="18"/>
        </w:rPr>
        <w:t>a  Dependent Variable: ROE</w:t>
      </w:r>
    </w:p>
    <w:p w:rsidR="00693378" w:rsidRPr="00693378" w:rsidRDefault="00693378" w:rsidP="00693378">
      <w:pPr>
        <w:autoSpaceDE w:val="0"/>
        <w:autoSpaceDN w:val="0"/>
        <w:adjustRightInd w:val="0"/>
        <w:spacing w:after="0" w:line="240" w:lineRule="auto"/>
        <w:rPr>
          <w:rFonts w:ascii="Arabic Transparent" w:hAnsi="Arabic Transparent" w:cs="Arabic Transparent"/>
          <w:color w:val="000000"/>
          <w:sz w:val="18"/>
          <w:szCs w:val="18"/>
        </w:rPr>
      </w:pPr>
    </w:p>
    <w:p w:rsidR="00844951" w:rsidRDefault="00844951" w:rsidP="00950377">
      <w:pPr>
        <w:spacing w:line="360" w:lineRule="auto"/>
        <w:jc w:val="center"/>
        <w:rPr>
          <w:rFonts w:asciiTheme="majorBidi" w:hAnsiTheme="majorBidi" w:cstheme="majorBidi"/>
          <w:b/>
          <w:color w:val="000000" w:themeColor="text1"/>
          <w:sz w:val="24"/>
          <w:szCs w:val="24"/>
        </w:rPr>
      </w:pPr>
    </w:p>
    <w:p w:rsidR="00844951" w:rsidRDefault="00844951" w:rsidP="00950377">
      <w:pPr>
        <w:spacing w:line="360" w:lineRule="auto"/>
        <w:jc w:val="center"/>
        <w:rPr>
          <w:rFonts w:asciiTheme="majorBidi" w:hAnsiTheme="majorBidi" w:cstheme="majorBidi"/>
          <w:b/>
          <w:color w:val="000000" w:themeColor="text1"/>
          <w:sz w:val="24"/>
          <w:szCs w:val="24"/>
        </w:rPr>
      </w:pPr>
    </w:p>
    <w:p w:rsidR="00294755" w:rsidRPr="00950377" w:rsidRDefault="00782E0A" w:rsidP="00950377">
      <w:pPr>
        <w:spacing w:line="360" w:lineRule="auto"/>
        <w:jc w:val="center"/>
        <w:rPr>
          <w:rFonts w:asciiTheme="majorBidi" w:hAnsiTheme="majorBidi" w:cstheme="majorBidi"/>
          <w:b/>
          <w:sz w:val="24"/>
          <w:szCs w:val="24"/>
        </w:rPr>
      </w:pPr>
      <w:r>
        <w:rPr>
          <w:rFonts w:asciiTheme="majorBidi" w:hAnsiTheme="majorBidi" w:cstheme="majorBidi"/>
          <w:b/>
          <w:color w:val="000000" w:themeColor="text1"/>
          <w:sz w:val="24"/>
          <w:szCs w:val="24"/>
        </w:rPr>
        <w:t>Table 4.36</w:t>
      </w:r>
      <w:r w:rsidR="007602E1" w:rsidRPr="00950377">
        <w:rPr>
          <w:rFonts w:asciiTheme="majorBidi" w:hAnsiTheme="majorBidi" w:cstheme="majorBidi"/>
          <w:b/>
          <w:color w:val="000000" w:themeColor="text1"/>
          <w:sz w:val="24"/>
          <w:szCs w:val="24"/>
        </w:rPr>
        <w:t>:</w:t>
      </w:r>
      <w:r w:rsidR="007602E1" w:rsidRPr="00950377">
        <w:rPr>
          <w:rFonts w:asciiTheme="majorBidi" w:hAnsiTheme="majorBidi" w:cstheme="majorBidi"/>
          <w:b/>
          <w:sz w:val="24"/>
          <w:szCs w:val="24"/>
        </w:rPr>
        <w:t xml:space="preserve"> Correlation</w:t>
      </w:r>
      <w:r w:rsidR="00294755" w:rsidRPr="00950377">
        <w:rPr>
          <w:rFonts w:asciiTheme="majorBidi" w:hAnsiTheme="majorBidi" w:cstheme="majorBidi"/>
          <w:b/>
          <w:sz w:val="24"/>
          <w:szCs w:val="24"/>
        </w:rPr>
        <w:t xml:space="preserve"> matrix of the ROE and explanatory variables</w:t>
      </w:r>
      <w:r w:rsidR="00693378" w:rsidRPr="00950377">
        <w:rPr>
          <w:rFonts w:asciiTheme="majorBidi" w:hAnsiTheme="majorBidi" w:cstheme="majorBidi"/>
          <w:b/>
          <w:sz w:val="24"/>
          <w:szCs w:val="24"/>
        </w:rPr>
        <w:t xml:space="preserve"> (MODEL 2</w:t>
      </w:r>
      <w:r w:rsidR="00E35469">
        <w:rPr>
          <w:rFonts w:asciiTheme="majorBidi" w:hAnsiTheme="majorBidi" w:cstheme="majorBidi"/>
          <w:b/>
          <w:sz w:val="24"/>
          <w:szCs w:val="24"/>
        </w:rPr>
        <w:t>)</w:t>
      </w:r>
    </w:p>
    <w:tbl>
      <w:tblPr>
        <w:tblW w:w="8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5"/>
        <w:gridCol w:w="1989"/>
        <w:gridCol w:w="1020"/>
        <w:gridCol w:w="1018"/>
        <w:gridCol w:w="1019"/>
        <w:gridCol w:w="1019"/>
        <w:gridCol w:w="1019"/>
        <w:gridCol w:w="1019"/>
      </w:tblGrid>
      <w:tr w:rsidR="00294755" w:rsidRPr="00782E0A" w:rsidTr="00693378">
        <w:trPr>
          <w:cantSplit/>
          <w:tblHeader/>
        </w:trPr>
        <w:tc>
          <w:tcPr>
            <w:tcW w:w="8894" w:type="dxa"/>
            <w:gridSpan w:val="8"/>
            <w:tcBorders>
              <w:top w:val="nil"/>
              <w:left w:val="nil"/>
              <w:bottom w:val="nil"/>
              <w:right w:val="nil"/>
            </w:tcBorders>
            <w:shd w:val="clear" w:color="auto" w:fill="FFFFFF"/>
            <w:vAlign w:val="center"/>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b/>
                <w:bCs/>
                <w:color w:val="000000"/>
                <w:sz w:val="20"/>
                <w:szCs w:val="20"/>
              </w:rPr>
              <w:t>Correlations</w:t>
            </w:r>
          </w:p>
        </w:tc>
      </w:tr>
      <w:tr w:rsidR="00294755" w:rsidRPr="00782E0A" w:rsidTr="00693378">
        <w:trPr>
          <w:cantSplit/>
          <w:tblHeader/>
        </w:trPr>
        <w:tc>
          <w:tcPr>
            <w:tcW w:w="27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c>
          <w:tcPr>
            <w:tcW w:w="1019" w:type="dxa"/>
            <w:tcBorders>
              <w:top w:val="single" w:sz="16" w:space="0" w:color="000000"/>
              <w:left w:val="single" w:sz="16" w:space="0" w:color="000000"/>
              <w:bottom w:val="single" w:sz="16" w:space="0" w:color="000000"/>
            </w:tcBorders>
            <w:shd w:val="clear" w:color="auto" w:fill="FFFFFF"/>
            <w:vAlign w:val="bottom"/>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color w:val="000000"/>
                <w:sz w:val="20"/>
                <w:szCs w:val="20"/>
              </w:rPr>
              <w:t>ROE</w:t>
            </w:r>
          </w:p>
        </w:tc>
        <w:tc>
          <w:tcPr>
            <w:tcW w:w="1018" w:type="dxa"/>
            <w:tcBorders>
              <w:top w:val="single" w:sz="16" w:space="0" w:color="000000"/>
              <w:bottom w:val="single" w:sz="16" w:space="0" w:color="000000"/>
            </w:tcBorders>
            <w:shd w:val="clear" w:color="auto" w:fill="FFFFFF"/>
            <w:vAlign w:val="bottom"/>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color w:val="000000"/>
                <w:sz w:val="20"/>
                <w:szCs w:val="20"/>
              </w:rPr>
              <w:t>NPLR</w:t>
            </w:r>
          </w:p>
        </w:tc>
        <w:tc>
          <w:tcPr>
            <w:tcW w:w="1019" w:type="dxa"/>
            <w:tcBorders>
              <w:top w:val="single" w:sz="16" w:space="0" w:color="000000"/>
              <w:bottom w:val="single" w:sz="16" w:space="0" w:color="000000"/>
            </w:tcBorders>
            <w:shd w:val="clear" w:color="auto" w:fill="FFFFFF"/>
            <w:vAlign w:val="bottom"/>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color w:val="000000"/>
                <w:sz w:val="20"/>
                <w:szCs w:val="20"/>
              </w:rPr>
              <w:t>EQTA</w:t>
            </w:r>
          </w:p>
        </w:tc>
        <w:tc>
          <w:tcPr>
            <w:tcW w:w="1019" w:type="dxa"/>
            <w:tcBorders>
              <w:top w:val="single" w:sz="16" w:space="0" w:color="000000"/>
              <w:bottom w:val="single" w:sz="16" w:space="0" w:color="000000"/>
            </w:tcBorders>
            <w:shd w:val="clear" w:color="auto" w:fill="FFFFFF"/>
            <w:vAlign w:val="bottom"/>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color w:val="000000"/>
                <w:sz w:val="20"/>
                <w:szCs w:val="20"/>
              </w:rPr>
              <w:t>LLPI</w:t>
            </w:r>
          </w:p>
        </w:tc>
        <w:tc>
          <w:tcPr>
            <w:tcW w:w="1019" w:type="dxa"/>
            <w:tcBorders>
              <w:top w:val="single" w:sz="16" w:space="0" w:color="000000"/>
              <w:bottom w:val="single" w:sz="16" w:space="0" w:color="000000"/>
            </w:tcBorders>
            <w:shd w:val="clear" w:color="auto" w:fill="FFFFFF"/>
            <w:vAlign w:val="bottom"/>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color w:val="000000"/>
                <w:sz w:val="20"/>
                <w:szCs w:val="20"/>
              </w:rPr>
              <w:t>NIDR</w:t>
            </w:r>
          </w:p>
        </w:tc>
        <w:tc>
          <w:tcPr>
            <w:tcW w:w="1019" w:type="dxa"/>
            <w:tcBorders>
              <w:top w:val="single" w:sz="16" w:space="0" w:color="000000"/>
              <w:bottom w:val="single" w:sz="16" w:space="0" w:color="000000"/>
              <w:right w:val="single" w:sz="16" w:space="0" w:color="000000"/>
            </w:tcBorders>
            <w:shd w:val="clear" w:color="auto" w:fill="FFFFFF"/>
            <w:vAlign w:val="bottom"/>
          </w:tcPr>
          <w:p w:rsidR="00294755" w:rsidRPr="00782E0A" w:rsidRDefault="00294755" w:rsidP="00693378">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782E0A">
              <w:rPr>
                <w:rFonts w:asciiTheme="majorBidi" w:hAnsiTheme="majorBidi" w:cstheme="majorBidi"/>
                <w:color w:val="000000"/>
                <w:sz w:val="20"/>
                <w:szCs w:val="20"/>
              </w:rPr>
              <w:t>OPNI</w:t>
            </w:r>
          </w:p>
        </w:tc>
      </w:tr>
      <w:tr w:rsidR="00294755" w:rsidRPr="00782E0A" w:rsidTr="00693378">
        <w:trPr>
          <w:cantSplit/>
          <w:tblHeader/>
        </w:trPr>
        <w:tc>
          <w:tcPr>
            <w:tcW w:w="794" w:type="dxa"/>
            <w:vMerge w:val="restart"/>
            <w:tcBorders>
              <w:top w:val="single" w:sz="16" w:space="0" w:color="000000"/>
              <w:left w:val="single" w:sz="16" w:space="0" w:color="000000"/>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ROE</w:t>
            </w:r>
          </w:p>
        </w:tc>
        <w:tc>
          <w:tcPr>
            <w:tcW w:w="1987" w:type="dxa"/>
            <w:tcBorders>
              <w:top w:val="single" w:sz="16" w:space="0" w:color="000000"/>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Pearson Correlation</w:t>
            </w:r>
          </w:p>
        </w:tc>
        <w:tc>
          <w:tcPr>
            <w:tcW w:w="1019" w:type="dxa"/>
            <w:tcBorders>
              <w:top w:val="single" w:sz="16" w:space="0" w:color="000000"/>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w:t>
            </w:r>
          </w:p>
        </w:tc>
        <w:tc>
          <w:tcPr>
            <w:tcW w:w="1018" w:type="dxa"/>
            <w:tcBorders>
              <w:top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-.229-</w:t>
            </w:r>
          </w:p>
        </w:tc>
        <w:tc>
          <w:tcPr>
            <w:tcW w:w="1019" w:type="dxa"/>
            <w:tcBorders>
              <w:top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-.261-</w:t>
            </w:r>
          </w:p>
        </w:tc>
        <w:tc>
          <w:tcPr>
            <w:tcW w:w="1019" w:type="dxa"/>
            <w:tcBorders>
              <w:top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-.400-</w:t>
            </w:r>
            <w:r w:rsidRPr="00782E0A">
              <w:rPr>
                <w:rFonts w:asciiTheme="majorBidi" w:hAnsiTheme="majorBidi" w:cstheme="majorBidi"/>
                <w:color w:val="000000"/>
                <w:sz w:val="20"/>
                <w:szCs w:val="20"/>
                <w:vertAlign w:val="superscript"/>
              </w:rPr>
              <w:t>*</w:t>
            </w:r>
          </w:p>
        </w:tc>
        <w:tc>
          <w:tcPr>
            <w:tcW w:w="1019" w:type="dxa"/>
            <w:tcBorders>
              <w:top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.328</w:t>
            </w:r>
          </w:p>
        </w:tc>
        <w:tc>
          <w:tcPr>
            <w:tcW w:w="1019" w:type="dxa"/>
            <w:tcBorders>
              <w:top w:val="single" w:sz="16" w:space="0" w:color="000000"/>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-.548-</w:t>
            </w:r>
            <w:r w:rsidRPr="00782E0A">
              <w:rPr>
                <w:rFonts w:asciiTheme="majorBidi" w:hAnsiTheme="majorBidi" w:cstheme="majorBidi"/>
                <w:color w:val="000000"/>
                <w:sz w:val="20"/>
                <w:szCs w:val="20"/>
                <w:vertAlign w:val="superscript"/>
              </w:rPr>
              <w:t>**</w:t>
            </w:r>
          </w:p>
        </w:tc>
      </w:tr>
      <w:tr w:rsidR="00294755" w:rsidRPr="00782E0A" w:rsidTr="00693378">
        <w:trPr>
          <w:cantSplit/>
          <w:tblHeader/>
        </w:trPr>
        <w:tc>
          <w:tcPr>
            <w:tcW w:w="794" w:type="dxa"/>
            <w:vMerge/>
            <w:tcBorders>
              <w:top w:val="single" w:sz="16" w:space="0" w:color="000000"/>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Sig. (2-tailed)</w:t>
            </w:r>
          </w:p>
        </w:tc>
        <w:tc>
          <w:tcPr>
            <w:tcW w:w="1019" w:type="dxa"/>
            <w:tcBorders>
              <w:top w:val="nil"/>
              <w:left w:val="single" w:sz="16" w:space="0" w:color="000000"/>
              <w:bottom w:val="nil"/>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c>
          <w:tcPr>
            <w:tcW w:w="1018"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.185</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.131</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.017</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.054</w:t>
            </w:r>
          </w:p>
        </w:tc>
        <w:tc>
          <w:tcPr>
            <w:tcW w:w="1019" w:type="dxa"/>
            <w:tcBorders>
              <w:top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.001</w:t>
            </w:r>
          </w:p>
        </w:tc>
      </w:tr>
      <w:tr w:rsidR="00294755" w:rsidRPr="00782E0A" w:rsidTr="00693378">
        <w:trPr>
          <w:cantSplit/>
          <w:tblHeader/>
        </w:trPr>
        <w:tc>
          <w:tcPr>
            <w:tcW w:w="794" w:type="dxa"/>
            <w:vMerge/>
            <w:tcBorders>
              <w:top w:val="single" w:sz="16" w:space="0" w:color="000000"/>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w:t>
            </w:r>
          </w:p>
        </w:tc>
        <w:tc>
          <w:tcPr>
            <w:tcW w:w="1019" w:type="dxa"/>
            <w:tcBorders>
              <w:top w:val="nil"/>
              <w:lef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8"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r>
      <w:tr w:rsidR="00294755" w:rsidRPr="00782E0A" w:rsidTr="00693378">
        <w:trPr>
          <w:cantSplit/>
          <w:tblHeader/>
        </w:trPr>
        <w:tc>
          <w:tcPr>
            <w:tcW w:w="794" w:type="dxa"/>
            <w:vMerge w:val="restart"/>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NPLR</w:t>
            </w:r>
          </w:p>
        </w:tc>
        <w:tc>
          <w:tcPr>
            <w:tcW w:w="1987" w:type="dxa"/>
            <w:tcBorders>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Pearson Correlation</w:t>
            </w:r>
          </w:p>
        </w:tc>
        <w:tc>
          <w:tcPr>
            <w:tcW w:w="1019" w:type="dxa"/>
            <w:tcBorders>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-.229-</w:t>
            </w:r>
          </w:p>
        </w:tc>
        <w:tc>
          <w:tcPr>
            <w:tcW w:w="1018"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-.028-</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.468</w:t>
            </w:r>
            <w:r w:rsidRPr="00782E0A">
              <w:rPr>
                <w:rFonts w:asciiTheme="majorBidi" w:hAnsiTheme="majorBidi" w:cstheme="majorBidi"/>
                <w:color w:val="000000"/>
                <w:sz w:val="20"/>
                <w:szCs w:val="20"/>
                <w:vertAlign w:val="superscript"/>
              </w:rPr>
              <w:t>**</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.251</w:t>
            </w:r>
          </w:p>
        </w:tc>
        <w:tc>
          <w:tcPr>
            <w:tcW w:w="1019" w:type="dxa"/>
            <w:tcBorders>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.277</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Sig. (2-tailed)</w:t>
            </w:r>
          </w:p>
        </w:tc>
        <w:tc>
          <w:tcPr>
            <w:tcW w:w="1019" w:type="dxa"/>
            <w:tcBorders>
              <w:top w:val="nil"/>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.185</w:t>
            </w:r>
          </w:p>
        </w:tc>
        <w:tc>
          <w:tcPr>
            <w:tcW w:w="1018" w:type="dxa"/>
            <w:tcBorders>
              <w:top w:val="nil"/>
              <w:bottom w:val="nil"/>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.872</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.005</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.145</w:t>
            </w:r>
          </w:p>
        </w:tc>
        <w:tc>
          <w:tcPr>
            <w:tcW w:w="1019" w:type="dxa"/>
            <w:tcBorders>
              <w:top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.108</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w:t>
            </w:r>
          </w:p>
        </w:tc>
        <w:tc>
          <w:tcPr>
            <w:tcW w:w="1019" w:type="dxa"/>
            <w:tcBorders>
              <w:top w:val="nil"/>
              <w:lef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8"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r>
      <w:tr w:rsidR="00294755" w:rsidRPr="00782E0A" w:rsidTr="00693378">
        <w:trPr>
          <w:cantSplit/>
          <w:tblHeader/>
        </w:trPr>
        <w:tc>
          <w:tcPr>
            <w:tcW w:w="794" w:type="dxa"/>
            <w:vMerge w:val="restart"/>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EQTA</w:t>
            </w:r>
          </w:p>
        </w:tc>
        <w:tc>
          <w:tcPr>
            <w:tcW w:w="1987" w:type="dxa"/>
            <w:tcBorders>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Pearson Correlation</w:t>
            </w:r>
          </w:p>
        </w:tc>
        <w:tc>
          <w:tcPr>
            <w:tcW w:w="1019" w:type="dxa"/>
            <w:tcBorders>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-.261-</w:t>
            </w:r>
          </w:p>
        </w:tc>
        <w:tc>
          <w:tcPr>
            <w:tcW w:w="1018"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-.028-</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-.050-</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-.423-</w:t>
            </w:r>
            <w:r w:rsidRPr="00782E0A">
              <w:rPr>
                <w:rFonts w:asciiTheme="majorBidi" w:hAnsiTheme="majorBidi" w:cstheme="majorBidi"/>
                <w:color w:val="000000"/>
                <w:sz w:val="20"/>
                <w:szCs w:val="20"/>
                <w:vertAlign w:val="superscript"/>
              </w:rPr>
              <w:t>*</w:t>
            </w:r>
          </w:p>
        </w:tc>
        <w:tc>
          <w:tcPr>
            <w:tcW w:w="1019" w:type="dxa"/>
            <w:tcBorders>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.311</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Sig. (2-tailed)</w:t>
            </w:r>
          </w:p>
        </w:tc>
        <w:tc>
          <w:tcPr>
            <w:tcW w:w="1019" w:type="dxa"/>
            <w:tcBorders>
              <w:top w:val="nil"/>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.131</w:t>
            </w:r>
          </w:p>
        </w:tc>
        <w:tc>
          <w:tcPr>
            <w:tcW w:w="1018"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.872</w:t>
            </w:r>
          </w:p>
        </w:tc>
        <w:tc>
          <w:tcPr>
            <w:tcW w:w="1019" w:type="dxa"/>
            <w:tcBorders>
              <w:top w:val="nil"/>
              <w:bottom w:val="nil"/>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.774</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.011</w:t>
            </w:r>
          </w:p>
        </w:tc>
        <w:tc>
          <w:tcPr>
            <w:tcW w:w="1019" w:type="dxa"/>
            <w:tcBorders>
              <w:top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.069</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w:t>
            </w:r>
          </w:p>
        </w:tc>
        <w:tc>
          <w:tcPr>
            <w:tcW w:w="1019" w:type="dxa"/>
            <w:tcBorders>
              <w:top w:val="nil"/>
              <w:lef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8"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r>
      <w:tr w:rsidR="00294755" w:rsidRPr="00782E0A" w:rsidTr="00693378">
        <w:trPr>
          <w:cantSplit/>
          <w:tblHeader/>
        </w:trPr>
        <w:tc>
          <w:tcPr>
            <w:tcW w:w="794" w:type="dxa"/>
            <w:vMerge w:val="restart"/>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LLPI</w:t>
            </w:r>
          </w:p>
        </w:tc>
        <w:tc>
          <w:tcPr>
            <w:tcW w:w="1987" w:type="dxa"/>
            <w:tcBorders>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Pearson Correlation</w:t>
            </w:r>
          </w:p>
        </w:tc>
        <w:tc>
          <w:tcPr>
            <w:tcW w:w="1019" w:type="dxa"/>
            <w:tcBorders>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-.400-</w:t>
            </w:r>
            <w:r w:rsidRPr="00782E0A">
              <w:rPr>
                <w:rFonts w:asciiTheme="majorBidi" w:hAnsiTheme="majorBidi" w:cstheme="majorBidi"/>
                <w:color w:val="000000"/>
                <w:sz w:val="20"/>
                <w:szCs w:val="20"/>
                <w:vertAlign w:val="superscript"/>
              </w:rPr>
              <w:t>*</w:t>
            </w:r>
          </w:p>
        </w:tc>
        <w:tc>
          <w:tcPr>
            <w:tcW w:w="1018"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.468</w:t>
            </w:r>
            <w:r w:rsidRPr="00782E0A">
              <w:rPr>
                <w:rFonts w:asciiTheme="majorBidi" w:hAnsiTheme="majorBidi" w:cstheme="majorBidi"/>
                <w:color w:val="000000"/>
                <w:sz w:val="20"/>
                <w:szCs w:val="20"/>
                <w:vertAlign w:val="superscript"/>
              </w:rPr>
              <w:t>**</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-.050-</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.206</w:t>
            </w:r>
          </w:p>
        </w:tc>
        <w:tc>
          <w:tcPr>
            <w:tcW w:w="1019" w:type="dxa"/>
            <w:tcBorders>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.445</w:t>
            </w:r>
            <w:r w:rsidRPr="00782E0A">
              <w:rPr>
                <w:rFonts w:asciiTheme="majorBidi" w:hAnsiTheme="majorBidi" w:cstheme="majorBidi"/>
                <w:color w:val="000000"/>
                <w:sz w:val="20"/>
                <w:szCs w:val="20"/>
                <w:vertAlign w:val="superscript"/>
              </w:rPr>
              <w:t>**</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Sig. (2-tailed)</w:t>
            </w:r>
          </w:p>
        </w:tc>
        <w:tc>
          <w:tcPr>
            <w:tcW w:w="1019" w:type="dxa"/>
            <w:tcBorders>
              <w:top w:val="nil"/>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.017</w:t>
            </w:r>
          </w:p>
        </w:tc>
        <w:tc>
          <w:tcPr>
            <w:tcW w:w="1018"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.005</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.774</w:t>
            </w:r>
          </w:p>
        </w:tc>
        <w:tc>
          <w:tcPr>
            <w:tcW w:w="1019" w:type="dxa"/>
            <w:tcBorders>
              <w:top w:val="nil"/>
              <w:bottom w:val="nil"/>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.234</w:t>
            </w:r>
          </w:p>
        </w:tc>
        <w:tc>
          <w:tcPr>
            <w:tcW w:w="1019" w:type="dxa"/>
            <w:tcBorders>
              <w:top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.007</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w:t>
            </w:r>
          </w:p>
        </w:tc>
        <w:tc>
          <w:tcPr>
            <w:tcW w:w="1019" w:type="dxa"/>
            <w:tcBorders>
              <w:top w:val="nil"/>
              <w:lef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8"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r>
      <w:tr w:rsidR="00294755" w:rsidRPr="00782E0A" w:rsidTr="00693378">
        <w:trPr>
          <w:cantSplit/>
          <w:tblHeader/>
        </w:trPr>
        <w:tc>
          <w:tcPr>
            <w:tcW w:w="794" w:type="dxa"/>
            <w:vMerge w:val="restart"/>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NIDR</w:t>
            </w:r>
          </w:p>
        </w:tc>
        <w:tc>
          <w:tcPr>
            <w:tcW w:w="1987" w:type="dxa"/>
            <w:tcBorders>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Pearson Correlation</w:t>
            </w:r>
          </w:p>
        </w:tc>
        <w:tc>
          <w:tcPr>
            <w:tcW w:w="1019" w:type="dxa"/>
            <w:tcBorders>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.328</w:t>
            </w:r>
          </w:p>
        </w:tc>
        <w:tc>
          <w:tcPr>
            <w:tcW w:w="1018"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.251</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-.423-</w:t>
            </w:r>
            <w:r w:rsidRPr="00782E0A">
              <w:rPr>
                <w:rFonts w:asciiTheme="majorBidi" w:hAnsiTheme="majorBidi" w:cstheme="majorBidi"/>
                <w:color w:val="000000"/>
                <w:sz w:val="20"/>
                <w:szCs w:val="20"/>
                <w:vertAlign w:val="superscript"/>
              </w:rPr>
              <w:t>*</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.206</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w:t>
            </w:r>
          </w:p>
        </w:tc>
        <w:tc>
          <w:tcPr>
            <w:tcW w:w="1019" w:type="dxa"/>
            <w:tcBorders>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-.320-</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Sig. (2-tailed)</w:t>
            </w:r>
          </w:p>
        </w:tc>
        <w:tc>
          <w:tcPr>
            <w:tcW w:w="1019" w:type="dxa"/>
            <w:tcBorders>
              <w:top w:val="nil"/>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.054</w:t>
            </w:r>
          </w:p>
        </w:tc>
        <w:tc>
          <w:tcPr>
            <w:tcW w:w="1018"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.145</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.011</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.234</w:t>
            </w:r>
          </w:p>
        </w:tc>
        <w:tc>
          <w:tcPr>
            <w:tcW w:w="1019" w:type="dxa"/>
            <w:tcBorders>
              <w:top w:val="nil"/>
              <w:bottom w:val="nil"/>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c>
          <w:tcPr>
            <w:tcW w:w="1019" w:type="dxa"/>
            <w:tcBorders>
              <w:top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.061</w:t>
            </w:r>
          </w:p>
        </w:tc>
      </w:tr>
      <w:tr w:rsidR="00294755" w:rsidRPr="00782E0A" w:rsidTr="00693378">
        <w:trPr>
          <w:cantSplit/>
          <w:tblHeader/>
        </w:trPr>
        <w:tc>
          <w:tcPr>
            <w:tcW w:w="794" w:type="dxa"/>
            <w:vMerge/>
            <w:tcBorders>
              <w:left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w:t>
            </w:r>
          </w:p>
        </w:tc>
        <w:tc>
          <w:tcPr>
            <w:tcW w:w="1019" w:type="dxa"/>
            <w:tcBorders>
              <w:top w:val="nil"/>
              <w:lef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8"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r>
      <w:tr w:rsidR="00294755" w:rsidRPr="00782E0A" w:rsidTr="00693378">
        <w:trPr>
          <w:cantSplit/>
          <w:tblHeader/>
        </w:trPr>
        <w:tc>
          <w:tcPr>
            <w:tcW w:w="794" w:type="dxa"/>
            <w:vMerge w:val="restart"/>
            <w:tcBorders>
              <w:left w:val="single" w:sz="16" w:space="0" w:color="000000"/>
              <w:bottom w:val="single" w:sz="16" w:space="0" w:color="000000"/>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OPNI</w:t>
            </w:r>
          </w:p>
        </w:tc>
        <w:tc>
          <w:tcPr>
            <w:tcW w:w="1987" w:type="dxa"/>
            <w:tcBorders>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Pearson Correlation</w:t>
            </w:r>
          </w:p>
        </w:tc>
        <w:tc>
          <w:tcPr>
            <w:tcW w:w="1019" w:type="dxa"/>
            <w:tcBorders>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-.548-</w:t>
            </w:r>
            <w:r w:rsidRPr="00782E0A">
              <w:rPr>
                <w:rFonts w:asciiTheme="majorBidi" w:hAnsiTheme="majorBidi" w:cstheme="majorBidi"/>
                <w:color w:val="000000"/>
                <w:sz w:val="20"/>
                <w:szCs w:val="20"/>
                <w:vertAlign w:val="superscript"/>
              </w:rPr>
              <w:t>**</w:t>
            </w:r>
          </w:p>
        </w:tc>
        <w:tc>
          <w:tcPr>
            <w:tcW w:w="1018"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.277</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.311</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.445</w:t>
            </w:r>
            <w:r w:rsidRPr="00782E0A">
              <w:rPr>
                <w:rFonts w:asciiTheme="majorBidi" w:hAnsiTheme="majorBidi" w:cstheme="majorBidi"/>
                <w:color w:val="000000"/>
                <w:sz w:val="20"/>
                <w:szCs w:val="20"/>
                <w:vertAlign w:val="superscript"/>
              </w:rPr>
              <w:t>**</w:t>
            </w:r>
          </w:p>
        </w:tc>
        <w:tc>
          <w:tcPr>
            <w:tcW w:w="1019" w:type="dxa"/>
            <w:tcBorders>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-.320-</w:t>
            </w:r>
          </w:p>
        </w:tc>
        <w:tc>
          <w:tcPr>
            <w:tcW w:w="1019" w:type="dxa"/>
            <w:tcBorders>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w:t>
            </w:r>
          </w:p>
        </w:tc>
      </w:tr>
      <w:tr w:rsidR="00294755" w:rsidRPr="00782E0A" w:rsidTr="00693378">
        <w:trPr>
          <w:cantSplit/>
          <w:tblHeader/>
        </w:trPr>
        <w:tc>
          <w:tcPr>
            <w:tcW w:w="794" w:type="dxa"/>
            <w:vMerge/>
            <w:tcBorders>
              <w:left w:val="single" w:sz="16" w:space="0" w:color="000000"/>
              <w:bottom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color w:val="000000"/>
                <w:sz w:val="20"/>
                <w:szCs w:val="20"/>
              </w:rPr>
            </w:pPr>
          </w:p>
        </w:tc>
        <w:tc>
          <w:tcPr>
            <w:tcW w:w="1987" w:type="dxa"/>
            <w:tcBorders>
              <w:top w:val="nil"/>
              <w:left w:val="nil"/>
              <w:bottom w:val="nil"/>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Sig. (2-tailed)</w:t>
            </w:r>
          </w:p>
        </w:tc>
        <w:tc>
          <w:tcPr>
            <w:tcW w:w="1019" w:type="dxa"/>
            <w:tcBorders>
              <w:top w:val="nil"/>
              <w:left w:val="single" w:sz="16" w:space="0" w:color="000000"/>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.001</w:t>
            </w:r>
          </w:p>
        </w:tc>
        <w:tc>
          <w:tcPr>
            <w:tcW w:w="1018"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.108</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.069</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.007</w:t>
            </w:r>
          </w:p>
        </w:tc>
        <w:tc>
          <w:tcPr>
            <w:tcW w:w="1019" w:type="dxa"/>
            <w:tcBorders>
              <w:top w:val="nil"/>
              <w:bottom w:val="nil"/>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.061</w:t>
            </w:r>
          </w:p>
        </w:tc>
        <w:tc>
          <w:tcPr>
            <w:tcW w:w="1019" w:type="dxa"/>
            <w:tcBorders>
              <w:top w:val="nil"/>
              <w:bottom w:val="nil"/>
              <w:right w:val="single" w:sz="16" w:space="0" w:color="000000"/>
            </w:tcBorders>
            <w:shd w:val="clear" w:color="auto" w:fill="FFFFFF"/>
            <w:vAlign w:val="center"/>
          </w:tcPr>
          <w:p w:rsidR="00294755" w:rsidRPr="00782E0A" w:rsidRDefault="00294755" w:rsidP="00693378">
            <w:pPr>
              <w:autoSpaceDE w:val="0"/>
              <w:autoSpaceDN w:val="0"/>
              <w:adjustRightInd w:val="0"/>
              <w:spacing w:after="0" w:line="240" w:lineRule="auto"/>
              <w:jc w:val="center"/>
              <w:rPr>
                <w:rFonts w:asciiTheme="majorBidi" w:hAnsiTheme="majorBidi" w:cstheme="majorBidi"/>
                <w:sz w:val="20"/>
                <w:szCs w:val="20"/>
              </w:rPr>
            </w:pPr>
          </w:p>
        </w:tc>
      </w:tr>
      <w:tr w:rsidR="00294755" w:rsidRPr="00782E0A" w:rsidTr="00693378">
        <w:trPr>
          <w:cantSplit/>
          <w:tblHeader/>
        </w:trPr>
        <w:tc>
          <w:tcPr>
            <w:tcW w:w="794" w:type="dxa"/>
            <w:vMerge/>
            <w:tcBorders>
              <w:left w:val="single" w:sz="16" w:space="0" w:color="000000"/>
              <w:bottom w:val="single" w:sz="16" w:space="0" w:color="000000"/>
              <w:right w:val="nil"/>
            </w:tcBorders>
            <w:shd w:val="clear" w:color="auto" w:fill="FFFFFF"/>
          </w:tcPr>
          <w:p w:rsidR="00294755" w:rsidRPr="00782E0A" w:rsidRDefault="00294755" w:rsidP="00693378">
            <w:pPr>
              <w:autoSpaceDE w:val="0"/>
              <w:autoSpaceDN w:val="0"/>
              <w:adjustRightInd w:val="0"/>
              <w:spacing w:after="0" w:line="240" w:lineRule="auto"/>
              <w:rPr>
                <w:rFonts w:asciiTheme="majorBidi" w:hAnsiTheme="majorBidi" w:cstheme="majorBidi"/>
                <w:sz w:val="20"/>
                <w:szCs w:val="20"/>
              </w:rPr>
            </w:pPr>
          </w:p>
        </w:tc>
        <w:tc>
          <w:tcPr>
            <w:tcW w:w="1987" w:type="dxa"/>
            <w:tcBorders>
              <w:top w:val="nil"/>
              <w:left w:val="nil"/>
              <w:bottom w:val="single" w:sz="16" w:space="0" w:color="000000"/>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N</w:t>
            </w:r>
          </w:p>
        </w:tc>
        <w:tc>
          <w:tcPr>
            <w:tcW w:w="1019" w:type="dxa"/>
            <w:tcBorders>
              <w:top w:val="nil"/>
              <w:left w:val="single" w:sz="16" w:space="0" w:color="000000"/>
              <w:bottom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8" w:type="dxa"/>
            <w:tcBorders>
              <w:top w:val="nil"/>
              <w:bottom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bottom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bottom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bottom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c>
          <w:tcPr>
            <w:tcW w:w="1019" w:type="dxa"/>
            <w:tcBorders>
              <w:top w:val="nil"/>
              <w:bottom w:val="single" w:sz="16" w:space="0" w:color="000000"/>
              <w:right w:val="single" w:sz="16" w:space="0" w:color="000000"/>
            </w:tcBorders>
            <w:shd w:val="clear" w:color="auto" w:fill="FFFFFF"/>
          </w:tcPr>
          <w:p w:rsidR="00294755" w:rsidRPr="00782E0A" w:rsidRDefault="00294755" w:rsidP="00693378">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782E0A">
              <w:rPr>
                <w:rFonts w:asciiTheme="majorBidi" w:hAnsiTheme="majorBidi" w:cstheme="majorBidi"/>
                <w:color w:val="000000"/>
                <w:sz w:val="20"/>
                <w:szCs w:val="20"/>
              </w:rPr>
              <w:t>35</w:t>
            </w:r>
          </w:p>
        </w:tc>
      </w:tr>
      <w:tr w:rsidR="00294755" w:rsidRPr="00782E0A" w:rsidTr="00693378">
        <w:trPr>
          <w:cantSplit/>
        </w:trPr>
        <w:tc>
          <w:tcPr>
            <w:tcW w:w="8894" w:type="dxa"/>
            <w:gridSpan w:val="8"/>
            <w:tcBorders>
              <w:top w:val="nil"/>
              <w:left w:val="nil"/>
              <w:bottom w:val="nil"/>
              <w:right w:val="nil"/>
            </w:tcBorders>
            <w:shd w:val="clear" w:color="auto" w:fill="FFFFFF"/>
          </w:tcPr>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 Correlation is significant at the 0.05 level (2-tailed).</w:t>
            </w:r>
          </w:p>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r w:rsidRPr="00782E0A">
              <w:rPr>
                <w:rFonts w:asciiTheme="majorBidi" w:hAnsiTheme="majorBidi" w:cstheme="majorBidi"/>
                <w:color w:val="000000"/>
                <w:sz w:val="20"/>
                <w:szCs w:val="20"/>
              </w:rPr>
              <w:t>**. Correlation is significant at the 0.01 level (2-tailed).</w:t>
            </w:r>
          </w:p>
          <w:p w:rsidR="00294755" w:rsidRPr="00782E0A" w:rsidRDefault="00294755" w:rsidP="00693378">
            <w:pPr>
              <w:autoSpaceDE w:val="0"/>
              <w:autoSpaceDN w:val="0"/>
              <w:adjustRightInd w:val="0"/>
              <w:spacing w:after="0" w:line="320" w:lineRule="atLeast"/>
              <w:ind w:left="60" w:right="60"/>
              <w:rPr>
                <w:rFonts w:asciiTheme="majorBidi" w:hAnsiTheme="majorBidi" w:cstheme="majorBidi"/>
                <w:color w:val="000000"/>
                <w:sz w:val="20"/>
                <w:szCs w:val="20"/>
              </w:rPr>
            </w:pPr>
          </w:p>
        </w:tc>
      </w:tr>
    </w:tbl>
    <w:p w:rsidR="00294755" w:rsidRDefault="00294755" w:rsidP="00294755">
      <w:pPr>
        <w:spacing w:line="360" w:lineRule="auto"/>
        <w:jc w:val="both"/>
        <w:rPr>
          <w:rFonts w:asciiTheme="majorBidi" w:hAnsiTheme="majorBidi" w:cstheme="majorBidi"/>
          <w:sz w:val="24"/>
          <w:szCs w:val="24"/>
        </w:rPr>
      </w:pPr>
    </w:p>
    <w:p w:rsidR="00294755" w:rsidRDefault="00294755" w:rsidP="00D33435">
      <w:pPr>
        <w:spacing w:line="360" w:lineRule="auto"/>
        <w:jc w:val="both"/>
        <w:rPr>
          <w:rFonts w:asciiTheme="majorBidi" w:hAnsiTheme="majorBidi" w:cstheme="majorBidi"/>
          <w:sz w:val="24"/>
          <w:szCs w:val="24"/>
        </w:rPr>
      </w:pPr>
    </w:p>
    <w:p w:rsidR="000973E5" w:rsidRDefault="000973E5" w:rsidP="00D33435">
      <w:pPr>
        <w:spacing w:line="360" w:lineRule="auto"/>
        <w:jc w:val="both"/>
        <w:rPr>
          <w:rFonts w:asciiTheme="majorBidi" w:hAnsiTheme="majorBidi" w:cstheme="majorBidi"/>
          <w:sz w:val="24"/>
          <w:szCs w:val="24"/>
        </w:rPr>
      </w:pPr>
    </w:p>
    <w:p w:rsidR="003B5280" w:rsidRDefault="003B5280" w:rsidP="000973E5">
      <w:pPr>
        <w:spacing w:line="360" w:lineRule="auto"/>
        <w:jc w:val="both"/>
        <w:rPr>
          <w:rFonts w:asciiTheme="majorBidi" w:hAnsiTheme="majorBidi" w:cstheme="majorBidi"/>
          <w:bCs/>
          <w:color w:val="000000" w:themeColor="text1"/>
          <w:sz w:val="24"/>
          <w:szCs w:val="24"/>
        </w:rPr>
      </w:pPr>
    </w:p>
    <w:p w:rsidR="00294755" w:rsidRDefault="00294755" w:rsidP="00294755">
      <w:pPr>
        <w:autoSpaceDE w:val="0"/>
        <w:autoSpaceDN w:val="0"/>
        <w:adjustRightInd w:val="0"/>
        <w:spacing w:after="0" w:line="360" w:lineRule="auto"/>
        <w:rPr>
          <w:rFonts w:asciiTheme="majorBidi" w:hAnsiTheme="majorBidi" w:cstheme="majorBidi"/>
          <w:sz w:val="24"/>
          <w:szCs w:val="24"/>
        </w:rPr>
      </w:pPr>
    </w:p>
    <w:p w:rsidR="003B5280" w:rsidRDefault="003B5280" w:rsidP="000973E5">
      <w:pPr>
        <w:spacing w:line="360" w:lineRule="auto"/>
        <w:jc w:val="both"/>
        <w:rPr>
          <w:rFonts w:asciiTheme="majorBidi" w:hAnsiTheme="majorBidi" w:cstheme="majorBidi"/>
          <w:bCs/>
          <w:color w:val="000000" w:themeColor="text1"/>
          <w:sz w:val="24"/>
          <w:szCs w:val="24"/>
        </w:rPr>
      </w:pPr>
    </w:p>
    <w:p w:rsidR="003B5280" w:rsidRDefault="003B5280" w:rsidP="000973E5">
      <w:pPr>
        <w:spacing w:line="360" w:lineRule="auto"/>
        <w:jc w:val="both"/>
        <w:rPr>
          <w:rFonts w:asciiTheme="majorBidi" w:hAnsiTheme="majorBidi" w:cstheme="majorBidi"/>
          <w:bCs/>
          <w:color w:val="000000" w:themeColor="text1"/>
          <w:sz w:val="24"/>
          <w:szCs w:val="24"/>
        </w:rPr>
      </w:pPr>
    </w:p>
    <w:sectPr w:rsidR="003B5280" w:rsidSect="00436505">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824" w:rsidRDefault="006A1824" w:rsidP="005B662C">
      <w:pPr>
        <w:spacing w:after="0" w:line="240" w:lineRule="auto"/>
      </w:pPr>
      <w:r>
        <w:separator/>
      </w:r>
    </w:p>
  </w:endnote>
  <w:endnote w:type="continuationSeparator" w:id="0">
    <w:p w:rsidR="006A1824" w:rsidRDefault="006A1824" w:rsidP="005B6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49" w:csb1="00000000"/>
  </w:font>
  <w:font w:name="Arial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TimesNewRoman,BoldItalic">
    <w:altName w:val="Times New Roman"/>
    <w:panose1 w:val="00000000000000000000"/>
    <w:charset w:val="A1"/>
    <w:family w:val="auto"/>
    <w:notTrueType/>
    <w:pitch w:val="default"/>
    <w:sig w:usb0="00000081" w:usb1="00000000" w:usb2="00000000" w:usb3="00000000" w:csb0="00000008" w:csb1="00000000"/>
  </w:font>
  <w:font w:name="TTE114CF88t00">
    <w:altName w:val="Times New Roman"/>
    <w:panose1 w:val="00000000000000000000"/>
    <w:charset w:val="B2"/>
    <w:family w:val="auto"/>
    <w:notTrueType/>
    <w:pitch w:val="default"/>
    <w:sig w:usb0="00002001" w:usb1="00000000" w:usb2="00000000" w:usb3="00000000" w:csb0="00000040" w:csb1="00000000"/>
  </w:font>
  <w:font w:name="Arabic Transparent">
    <w:altName w:val="Arial"/>
    <w:charset w:val="00"/>
    <w:family w:val="swiss"/>
    <w:pitch w:val="variable"/>
    <w:sig w:usb0="00000000" w:usb1="C0007843" w:usb2="00000009" w:usb3="00000000" w:csb0="000001FF" w:csb1="00000000"/>
  </w:font>
  <w:font w:name="Simple Indust Outline">
    <w:altName w:val="Courier New"/>
    <w:charset w:val="B2"/>
    <w:family w:val="auto"/>
    <w:pitch w:val="variable"/>
    <w:sig w:usb0="00002001" w:usb1="80000000" w:usb2="00000008" w:usb3="00000000" w:csb0="0000004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TE1528B0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356146"/>
      <w:docPartObj>
        <w:docPartGallery w:val="Page Numbers (Bottom of Page)"/>
        <w:docPartUnique/>
      </w:docPartObj>
    </w:sdtPr>
    <w:sdtContent>
      <w:p w:rsidR="00095056" w:rsidRDefault="007A78D1">
        <w:pPr>
          <w:pStyle w:val="Footer"/>
          <w:jc w:val="center"/>
        </w:pPr>
        <w:fldSimple w:instr="PAGE   \* MERGEFORMAT">
          <w:r w:rsidR="009C26B4" w:rsidRPr="009C26B4">
            <w:rPr>
              <w:rFonts w:cs="Calibri"/>
              <w:noProof/>
              <w:lang w:val="ar-SA"/>
            </w:rPr>
            <w:t>I</w:t>
          </w:r>
        </w:fldSimple>
      </w:p>
    </w:sdtContent>
  </w:sdt>
  <w:p w:rsidR="00095056" w:rsidRDefault="000950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408347"/>
      <w:docPartObj>
        <w:docPartGallery w:val="Page Numbers (Bottom of Page)"/>
        <w:docPartUnique/>
      </w:docPartObj>
    </w:sdtPr>
    <w:sdtContent>
      <w:p w:rsidR="00095056" w:rsidRDefault="007A78D1" w:rsidP="00AC4F4D">
        <w:pPr>
          <w:pStyle w:val="Footer"/>
          <w:spacing w:before="240"/>
          <w:jc w:val="center"/>
        </w:pPr>
        <w:fldSimple w:instr=" PAGE   \* MERGEFORMAT ">
          <w:r w:rsidR="009C26B4">
            <w:rPr>
              <w:noProof/>
            </w:rPr>
            <w:t>- 174 -</w:t>
          </w:r>
        </w:fldSimple>
      </w:p>
    </w:sdtContent>
  </w:sdt>
  <w:p w:rsidR="00095056" w:rsidRDefault="000950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824" w:rsidRDefault="006A1824" w:rsidP="005B662C">
      <w:pPr>
        <w:spacing w:after="0" w:line="240" w:lineRule="auto"/>
      </w:pPr>
      <w:r>
        <w:separator/>
      </w:r>
    </w:p>
  </w:footnote>
  <w:footnote w:type="continuationSeparator" w:id="0">
    <w:p w:rsidR="006A1824" w:rsidRDefault="006A1824" w:rsidP="005B66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31A6"/>
    <w:multiLevelType w:val="hybridMultilevel"/>
    <w:tmpl w:val="32DE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1537"/>
    <w:multiLevelType w:val="hybridMultilevel"/>
    <w:tmpl w:val="18AA857E"/>
    <w:lvl w:ilvl="0" w:tplc="E1586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85C05"/>
    <w:multiLevelType w:val="hybridMultilevel"/>
    <w:tmpl w:val="CDBC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555D4"/>
    <w:multiLevelType w:val="hybridMultilevel"/>
    <w:tmpl w:val="B676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710D9"/>
    <w:multiLevelType w:val="hybridMultilevel"/>
    <w:tmpl w:val="8BD0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7E01AA"/>
    <w:multiLevelType w:val="hybridMultilevel"/>
    <w:tmpl w:val="C5143500"/>
    <w:lvl w:ilvl="0" w:tplc="C97C3E5C">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44425"/>
    <w:multiLevelType w:val="hybridMultilevel"/>
    <w:tmpl w:val="AA0C3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025CDD"/>
    <w:multiLevelType w:val="hybridMultilevel"/>
    <w:tmpl w:val="8DA0C960"/>
    <w:lvl w:ilvl="0" w:tplc="1D5A6F6E">
      <w:start w:val="1"/>
      <w:numFmt w:val="decimal"/>
      <w:lvlText w:val="[%1]"/>
      <w:lvlJc w:val="left"/>
      <w:pPr>
        <w:ind w:left="927" w:hanging="360"/>
      </w:pPr>
      <w:rPr>
        <w:rFonts w:ascii="Times New Roman" w:hAnsi="Times New Roman" w:cs="Times New Roman"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962BD"/>
    <w:multiLevelType w:val="hybridMultilevel"/>
    <w:tmpl w:val="51A23610"/>
    <w:lvl w:ilvl="0" w:tplc="91F615A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0775C"/>
    <w:multiLevelType w:val="hybridMultilevel"/>
    <w:tmpl w:val="8CCE6018"/>
    <w:lvl w:ilvl="0" w:tplc="5BE82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C3047"/>
    <w:multiLevelType w:val="hybridMultilevel"/>
    <w:tmpl w:val="7B58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21B29"/>
    <w:multiLevelType w:val="hybridMultilevel"/>
    <w:tmpl w:val="FCC4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55C25"/>
    <w:multiLevelType w:val="hybridMultilevel"/>
    <w:tmpl w:val="A2B6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67F74"/>
    <w:multiLevelType w:val="hybridMultilevel"/>
    <w:tmpl w:val="CCF2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E36ED"/>
    <w:multiLevelType w:val="hybridMultilevel"/>
    <w:tmpl w:val="9E800792"/>
    <w:lvl w:ilvl="0" w:tplc="F8FC9528">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3002AE"/>
    <w:multiLevelType w:val="hybridMultilevel"/>
    <w:tmpl w:val="14601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5624C"/>
    <w:multiLevelType w:val="hybridMultilevel"/>
    <w:tmpl w:val="4708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A21C92"/>
    <w:multiLevelType w:val="hybridMultilevel"/>
    <w:tmpl w:val="76C8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B12293"/>
    <w:multiLevelType w:val="hybridMultilevel"/>
    <w:tmpl w:val="31D2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A72091"/>
    <w:multiLevelType w:val="hybridMultilevel"/>
    <w:tmpl w:val="5DC2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F74F82"/>
    <w:multiLevelType w:val="hybridMultilevel"/>
    <w:tmpl w:val="E4FAD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07744A2"/>
    <w:multiLevelType w:val="hybridMultilevel"/>
    <w:tmpl w:val="8A34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0E7272"/>
    <w:multiLevelType w:val="hybridMultilevel"/>
    <w:tmpl w:val="2AD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070A5"/>
    <w:multiLevelType w:val="hybridMultilevel"/>
    <w:tmpl w:val="5A9EE882"/>
    <w:lvl w:ilvl="0" w:tplc="8138DE2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F079B5"/>
    <w:multiLevelType w:val="hybridMultilevel"/>
    <w:tmpl w:val="D28037C8"/>
    <w:lvl w:ilvl="0" w:tplc="76063F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D7A7D"/>
    <w:multiLevelType w:val="hybridMultilevel"/>
    <w:tmpl w:val="CEB0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654BCF"/>
    <w:multiLevelType w:val="hybridMultilevel"/>
    <w:tmpl w:val="027C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367BDC"/>
    <w:multiLevelType w:val="hybridMultilevel"/>
    <w:tmpl w:val="0C8A4A6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9C96B9B"/>
    <w:multiLevelType w:val="hybridMultilevel"/>
    <w:tmpl w:val="68D4E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11231"/>
    <w:multiLevelType w:val="multilevel"/>
    <w:tmpl w:val="21C85A30"/>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4D2432B2"/>
    <w:multiLevelType w:val="hybridMultilevel"/>
    <w:tmpl w:val="3B0CCA8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1">
    <w:nsid w:val="5225273B"/>
    <w:multiLevelType w:val="hybridMultilevel"/>
    <w:tmpl w:val="A8E6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174637"/>
    <w:multiLevelType w:val="hybridMultilevel"/>
    <w:tmpl w:val="F386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CD39FE"/>
    <w:multiLevelType w:val="hybridMultilevel"/>
    <w:tmpl w:val="F1A04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AA40E1"/>
    <w:multiLevelType w:val="hybridMultilevel"/>
    <w:tmpl w:val="730A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AC1A15"/>
    <w:multiLevelType w:val="hybridMultilevel"/>
    <w:tmpl w:val="BF165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476D37"/>
    <w:multiLevelType w:val="hybridMultilevel"/>
    <w:tmpl w:val="57F02C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F1BB4"/>
    <w:multiLevelType w:val="hybridMultilevel"/>
    <w:tmpl w:val="3A7E6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116354"/>
    <w:multiLevelType w:val="hybridMultilevel"/>
    <w:tmpl w:val="3FF4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734139"/>
    <w:multiLevelType w:val="hybridMultilevel"/>
    <w:tmpl w:val="3A8A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DA39C0"/>
    <w:multiLevelType w:val="hybridMultilevel"/>
    <w:tmpl w:val="49E4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C92801"/>
    <w:multiLevelType w:val="hybridMultilevel"/>
    <w:tmpl w:val="C37A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197E40"/>
    <w:multiLevelType w:val="hybridMultilevel"/>
    <w:tmpl w:val="78F6E25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3">
    <w:nsid w:val="7E4E5830"/>
    <w:multiLevelType w:val="hybridMultilevel"/>
    <w:tmpl w:val="EC94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9A2DFA"/>
    <w:multiLevelType w:val="hybridMultilevel"/>
    <w:tmpl w:val="139E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24"/>
  </w:num>
  <w:num w:numId="4">
    <w:abstractNumId w:val="12"/>
  </w:num>
  <w:num w:numId="5">
    <w:abstractNumId w:val="36"/>
  </w:num>
  <w:num w:numId="6">
    <w:abstractNumId w:val="28"/>
  </w:num>
  <w:num w:numId="7">
    <w:abstractNumId w:val="6"/>
  </w:num>
  <w:num w:numId="8">
    <w:abstractNumId w:val="37"/>
  </w:num>
  <w:num w:numId="9">
    <w:abstractNumId w:val="35"/>
  </w:num>
  <w:num w:numId="10">
    <w:abstractNumId w:val="3"/>
  </w:num>
  <w:num w:numId="11">
    <w:abstractNumId w:val="22"/>
  </w:num>
  <w:num w:numId="12">
    <w:abstractNumId w:val="4"/>
  </w:num>
  <w:num w:numId="13">
    <w:abstractNumId w:val="21"/>
  </w:num>
  <w:num w:numId="14">
    <w:abstractNumId w:val="42"/>
  </w:num>
  <w:num w:numId="15">
    <w:abstractNumId w:val="5"/>
  </w:num>
  <w:num w:numId="16">
    <w:abstractNumId w:val="44"/>
  </w:num>
  <w:num w:numId="17">
    <w:abstractNumId w:val="26"/>
  </w:num>
  <w:num w:numId="18">
    <w:abstractNumId w:val="34"/>
  </w:num>
  <w:num w:numId="19">
    <w:abstractNumId w:val="2"/>
  </w:num>
  <w:num w:numId="20">
    <w:abstractNumId w:val="18"/>
  </w:num>
  <w:num w:numId="21">
    <w:abstractNumId w:val="39"/>
  </w:num>
  <w:num w:numId="22">
    <w:abstractNumId w:val="15"/>
  </w:num>
  <w:num w:numId="23">
    <w:abstractNumId w:val="16"/>
  </w:num>
  <w:num w:numId="24">
    <w:abstractNumId w:val="0"/>
  </w:num>
  <w:num w:numId="25">
    <w:abstractNumId w:val="9"/>
  </w:num>
  <w:num w:numId="26">
    <w:abstractNumId w:val="8"/>
  </w:num>
  <w:num w:numId="27">
    <w:abstractNumId w:val="10"/>
  </w:num>
  <w:num w:numId="28">
    <w:abstractNumId w:val="11"/>
  </w:num>
  <w:num w:numId="29">
    <w:abstractNumId w:val="7"/>
  </w:num>
  <w:num w:numId="30">
    <w:abstractNumId w:val="14"/>
  </w:num>
  <w:num w:numId="31">
    <w:abstractNumId w:val="33"/>
  </w:num>
  <w:num w:numId="32">
    <w:abstractNumId w:val="25"/>
  </w:num>
  <w:num w:numId="33">
    <w:abstractNumId w:val="20"/>
  </w:num>
  <w:num w:numId="34">
    <w:abstractNumId w:val="19"/>
  </w:num>
  <w:num w:numId="35">
    <w:abstractNumId w:val="40"/>
  </w:num>
  <w:num w:numId="36">
    <w:abstractNumId w:val="43"/>
  </w:num>
  <w:num w:numId="37">
    <w:abstractNumId w:val="32"/>
  </w:num>
  <w:num w:numId="38">
    <w:abstractNumId w:val="13"/>
  </w:num>
  <w:num w:numId="39">
    <w:abstractNumId w:val="41"/>
  </w:num>
  <w:num w:numId="40">
    <w:abstractNumId w:val="17"/>
  </w:num>
  <w:num w:numId="41">
    <w:abstractNumId w:val="30"/>
  </w:num>
  <w:num w:numId="42">
    <w:abstractNumId w:val="1"/>
  </w:num>
  <w:num w:numId="43">
    <w:abstractNumId w:val="38"/>
  </w:num>
  <w:num w:numId="44">
    <w:abstractNumId w:val="29"/>
  </w:num>
  <w:num w:numId="45">
    <w:abstractNumId w:val="2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323010" fillcolor="white" strokecolor="none [3213]">
      <v:fill color="white"/>
      <v:stroke color="none [3213]"/>
    </o:shapedefaults>
  </w:hdrShapeDefaults>
  <w:footnotePr>
    <w:footnote w:id="-1"/>
    <w:footnote w:id="0"/>
  </w:footnotePr>
  <w:endnotePr>
    <w:endnote w:id="-1"/>
    <w:endnote w:id="0"/>
  </w:endnotePr>
  <w:compat/>
  <w:rsids>
    <w:rsidRoot w:val="00C26F85"/>
    <w:rsid w:val="000007DC"/>
    <w:rsid w:val="00001112"/>
    <w:rsid w:val="000015FA"/>
    <w:rsid w:val="000022C9"/>
    <w:rsid w:val="00002724"/>
    <w:rsid w:val="00002C07"/>
    <w:rsid w:val="00002CCC"/>
    <w:rsid w:val="00004192"/>
    <w:rsid w:val="00004C7D"/>
    <w:rsid w:val="00004C8B"/>
    <w:rsid w:val="00004D2D"/>
    <w:rsid w:val="00004DAD"/>
    <w:rsid w:val="0000541F"/>
    <w:rsid w:val="00005532"/>
    <w:rsid w:val="00005807"/>
    <w:rsid w:val="00005A0E"/>
    <w:rsid w:val="00005E3E"/>
    <w:rsid w:val="00005ED2"/>
    <w:rsid w:val="00006011"/>
    <w:rsid w:val="0000613A"/>
    <w:rsid w:val="000063EE"/>
    <w:rsid w:val="00006CD8"/>
    <w:rsid w:val="00006DC8"/>
    <w:rsid w:val="000070B7"/>
    <w:rsid w:val="00007678"/>
    <w:rsid w:val="0001065D"/>
    <w:rsid w:val="000107AF"/>
    <w:rsid w:val="00010BE1"/>
    <w:rsid w:val="00010BE5"/>
    <w:rsid w:val="00010ED3"/>
    <w:rsid w:val="00011280"/>
    <w:rsid w:val="00011752"/>
    <w:rsid w:val="00012324"/>
    <w:rsid w:val="00012797"/>
    <w:rsid w:val="0001330E"/>
    <w:rsid w:val="0001348F"/>
    <w:rsid w:val="0001373F"/>
    <w:rsid w:val="0001375D"/>
    <w:rsid w:val="00013B1C"/>
    <w:rsid w:val="00014079"/>
    <w:rsid w:val="0001449A"/>
    <w:rsid w:val="00014A16"/>
    <w:rsid w:val="00014AFB"/>
    <w:rsid w:val="00015127"/>
    <w:rsid w:val="00015231"/>
    <w:rsid w:val="000159BA"/>
    <w:rsid w:val="00015DDC"/>
    <w:rsid w:val="000162CF"/>
    <w:rsid w:val="000168B8"/>
    <w:rsid w:val="00017C5B"/>
    <w:rsid w:val="00020594"/>
    <w:rsid w:val="0002078E"/>
    <w:rsid w:val="0002099A"/>
    <w:rsid w:val="00020B47"/>
    <w:rsid w:val="000215EB"/>
    <w:rsid w:val="00021975"/>
    <w:rsid w:val="00021A1C"/>
    <w:rsid w:val="00021AB0"/>
    <w:rsid w:val="00022506"/>
    <w:rsid w:val="00022EAE"/>
    <w:rsid w:val="00024A6B"/>
    <w:rsid w:val="00025AFB"/>
    <w:rsid w:val="00025E22"/>
    <w:rsid w:val="00026A3F"/>
    <w:rsid w:val="00026CC5"/>
    <w:rsid w:val="000272E3"/>
    <w:rsid w:val="000273AC"/>
    <w:rsid w:val="00027B53"/>
    <w:rsid w:val="00027D3C"/>
    <w:rsid w:val="0003019E"/>
    <w:rsid w:val="0003022F"/>
    <w:rsid w:val="0003037D"/>
    <w:rsid w:val="00030531"/>
    <w:rsid w:val="000307C2"/>
    <w:rsid w:val="00031374"/>
    <w:rsid w:val="000316C6"/>
    <w:rsid w:val="0003182E"/>
    <w:rsid w:val="00031DF0"/>
    <w:rsid w:val="0003241A"/>
    <w:rsid w:val="00033597"/>
    <w:rsid w:val="00033CDA"/>
    <w:rsid w:val="00033D9D"/>
    <w:rsid w:val="00034A28"/>
    <w:rsid w:val="00034C26"/>
    <w:rsid w:val="0003516D"/>
    <w:rsid w:val="00035226"/>
    <w:rsid w:val="000358FB"/>
    <w:rsid w:val="00035CC9"/>
    <w:rsid w:val="00035D23"/>
    <w:rsid w:val="00035DAA"/>
    <w:rsid w:val="00036092"/>
    <w:rsid w:val="000362D7"/>
    <w:rsid w:val="000368B9"/>
    <w:rsid w:val="00037312"/>
    <w:rsid w:val="00037D11"/>
    <w:rsid w:val="000404F8"/>
    <w:rsid w:val="00040DC8"/>
    <w:rsid w:val="00040ED4"/>
    <w:rsid w:val="0004127B"/>
    <w:rsid w:val="00041582"/>
    <w:rsid w:val="00041766"/>
    <w:rsid w:val="0004181A"/>
    <w:rsid w:val="0004207B"/>
    <w:rsid w:val="000423CC"/>
    <w:rsid w:val="000427A0"/>
    <w:rsid w:val="0004349D"/>
    <w:rsid w:val="000434E7"/>
    <w:rsid w:val="00043546"/>
    <w:rsid w:val="000436AD"/>
    <w:rsid w:val="000439AA"/>
    <w:rsid w:val="000440B8"/>
    <w:rsid w:val="00044249"/>
    <w:rsid w:val="000444B0"/>
    <w:rsid w:val="000455F1"/>
    <w:rsid w:val="00045808"/>
    <w:rsid w:val="00045A12"/>
    <w:rsid w:val="000469E9"/>
    <w:rsid w:val="00046A80"/>
    <w:rsid w:val="00046C99"/>
    <w:rsid w:val="00046D8B"/>
    <w:rsid w:val="0004735E"/>
    <w:rsid w:val="00047B11"/>
    <w:rsid w:val="00047F4D"/>
    <w:rsid w:val="0005002F"/>
    <w:rsid w:val="00050A54"/>
    <w:rsid w:val="00051526"/>
    <w:rsid w:val="00051A8F"/>
    <w:rsid w:val="00051C78"/>
    <w:rsid w:val="0005212C"/>
    <w:rsid w:val="00052270"/>
    <w:rsid w:val="00052339"/>
    <w:rsid w:val="00052680"/>
    <w:rsid w:val="00052975"/>
    <w:rsid w:val="000529AE"/>
    <w:rsid w:val="00052DD8"/>
    <w:rsid w:val="000530CE"/>
    <w:rsid w:val="000533DB"/>
    <w:rsid w:val="00053A0B"/>
    <w:rsid w:val="00053B80"/>
    <w:rsid w:val="00054202"/>
    <w:rsid w:val="00054290"/>
    <w:rsid w:val="0005454F"/>
    <w:rsid w:val="00054CC5"/>
    <w:rsid w:val="000552D4"/>
    <w:rsid w:val="00055904"/>
    <w:rsid w:val="00055D36"/>
    <w:rsid w:val="00057B6B"/>
    <w:rsid w:val="00060531"/>
    <w:rsid w:val="00060716"/>
    <w:rsid w:val="0006123A"/>
    <w:rsid w:val="0006136C"/>
    <w:rsid w:val="00061426"/>
    <w:rsid w:val="00061710"/>
    <w:rsid w:val="00061B09"/>
    <w:rsid w:val="0006209C"/>
    <w:rsid w:val="000621CE"/>
    <w:rsid w:val="00062358"/>
    <w:rsid w:val="00062E9D"/>
    <w:rsid w:val="00063563"/>
    <w:rsid w:val="000635E8"/>
    <w:rsid w:val="00063771"/>
    <w:rsid w:val="00063942"/>
    <w:rsid w:val="00063991"/>
    <w:rsid w:val="00064857"/>
    <w:rsid w:val="00064884"/>
    <w:rsid w:val="000654BE"/>
    <w:rsid w:val="0006573A"/>
    <w:rsid w:val="00065D5C"/>
    <w:rsid w:val="00065E48"/>
    <w:rsid w:val="0006717B"/>
    <w:rsid w:val="0006776B"/>
    <w:rsid w:val="00067779"/>
    <w:rsid w:val="00067AB2"/>
    <w:rsid w:val="00067F23"/>
    <w:rsid w:val="0007013C"/>
    <w:rsid w:val="00070244"/>
    <w:rsid w:val="0007072E"/>
    <w:rsid w:val="00070A4D"/>
    <w:rsid w:val="00070C2F"/>
    <w:rsid w:val="00070CB0"/>
    <w:rsid w:val="00071371"/>
    <w:rsid w:val="00071C8C"/>
    <w:rsid w:val="0007275A"/>
    <w:rsid w:val="00072D98"/>
    <w:rsid w:val="00073FC6"/>
    <w:rsid w:val="00074779"/>
    <w:rsid w:val="000748C2"/>
    <w:rsid w:val="00074AF7"/>
    <w:rsid w:val="00074BEB"/>
    <w:rsid w:val="00074D54"/>
    <w:rsid w:val="00075155"/>
    <w:rsid w:val="000764D3"/>
    <w:rsid w:val="00076836"/>
    <w:rsid w:val="000769E4"/>
    <w:rsid w:val="0007725B"/>
    <w:rsid w:val="0007754B"/>
    <w:rsid w:val="000775B0"/>
    <w:rsid w:val="0007789B"/>
    <w:rsid w:val="00077AB1"/>
    <w:rsid w:val="00080308"/>
    <w:rsid w:val="00080464"/>
    <w:rsid w:val="00080641"/>
    <w:rsid w:val="000809D6"/>
    <w:rsid w:val="000809DC"/>
    <w:rsid w:val="00080BE0"/>
    <w:rsid w:val="00080CE8"/>
    <w:rsid w:val="00080F3F"/>
    <w:rsid w:val="00081319"/>
    <w:rsid w:val="0008163B"/>
    <w:rsid w:val="00081774"/>
    <w:rsid w:val="00081F9E"/>
    <w:rsid w:val="00081FC0"/>
    <w:rsid w:val="000825C6"/>
    <w:rsid w:val="0008294D"/>
    <w:rsid w:val="00082A05"/>
    <w:rsid w:val="0008392D"/>
    <w:rsid w:val="00083FA5"/>
    <w:rsid w:val="00084A9D"/>
    <w:rsid w:val="00084C41"/>
    <w:rsid w:val="000854FD"/>
    <w:rsid w:val="00085710"/>
    <w:rsid w:val="00085936"/>
    <w:rsid w:val="00085ADE"/>
    <w:rsid w:val="00085E9F"/>
    <w:rsid w:val="00086DC1"/>
    <w:rsid w:val="0008712E"/>
    <w:rsid w:val="000871BF"/>
    <w:rsid w:val="0008746E"/>
    <w:rsid w:val="00087D17"/>
    <w:rsid w:val="00087D7D"/>
    <w:rsid w:val="0009049B"/>
    <w:rsid w:val="0009093A"/>
    <w:rsid w:val="00090BAC"/>
    <w:rsid w:val="00090D56"/>
    <w:rsid w:val="0009113E"/>
    <w:rsid w:val="00092618"/>
    <w:rsid w:val="00092DBC"/>
    <w:rsid w:val="0009305B"/>
    <w:rsid w:val="0009308C"/>
    <w:rsid w:val="00094796"/>
    <w:rsid w:val="00094953"/>
    <w:rsid w:val="00095056"/>
    <w:rsid w:val="00095558"/>
    <w:rsid w:val="000955E7"/>
    <w:rsid w:val="00096A5A"/>
    <w:rsid w:val="000973E5"/>
    <w:rsid w:val="0009798D"/>
    <w:rsid w:val="00097D04"/>
    <w:rsid w:val="00097EAB"/>
    <w:rsid w:val="00097EF7"/>
    <w:rsid w:val="000A00F2"/>
    <w:rsid w:val="000A030C"/>
    <w:rsid w:val="000A0A3B"/>
    <w:rsid w:val="000A0AA0"/>
    <w:rsid w:val="000A0D88"/>
    <w:rsid w:val="000A1758"/>
    <w:rsid w:val="000A1880"/>
    <w:rsid w:val="000A1BCD"/>
    <w:rsid w:val="000A2402"/>
    <w:rsid w:val="000A27D1"/>
    <w:rsid w:val="000A2918"/>
    <w:rsid w:val="000A2A15"/>
    <w:rsid w:val="000A3100"/>
    <w:rsid w:val="000A35BD"/>
    <w:rsid w:val="000A3C72"/>
    <w:rsid w:val="000A4062"/>
    <w:rsid w:val="000A4829"/>
    <w:rsid w:val="000A4842"/>
    <w:rsid w:val="000A4BC5"/>
    <w:rsid w:val="000A4C95"/>
    <w:rsid w:val="000A4D11"/>
    <w:rsid w:val="000A6133"/>
    <w:rsid w:val="000A67E0"/>
    <w:rsid w:val="000A68FA"/>
    <w:rsid w:val="000A6931"/>
    <w:rsid w:val="000A70BF"/>
    <w:rsid w:val="000A728A"/>
    <w:rsid w:val="000A737E"/>
    <w:rsid w:val="000A73DC"/>
    <w:rsid w:val="000B0400"/>
    <w:rsid w:val="000B08EC"/>
    <w:rsid w:val="000B08FA"/>
    <w:rsid w:val="000B19F5"/>
    <w:rsid w:val="000B2609"/>
    <w:rsid w:val="000B2F4D"/>
    <w:rsid w:val="000B351F"/>
    <w:rsid w:val="000B4252"/>
    <w:rsid w:val="000B5050"/>
    <w:rsid w:val="000B5404"/>
    <w:rsid w:val="000B5645"/>
    <w:rsid w:val="000B587C"/>
    <w:rsid w:val="000B66A7"/>
    <w:rsid w:val="000B6858"/>
    <w:rsid w:val="000B6AB7"/>
    <w:rsid w:val="000B7094"/>
    <w:rsid w:val="000B78A8"/>
    <w:rsid w:val="000C0416"/>
    <w:rsid w:val="000C0510"/>
    <w:rsid w:val="000C0513"/>
    <w:rsid w:val="000C053B"/>
    <w:rsid w:val="000C062E"/>
    <w:rsid w:val="000C06FA"/>
    <w:rsid w:val="000C0900"/>
    <w:rsid w:val="000C0A2C"/>
    <w:rsid w:val="000C0E31"/>
    <w:rsid w:val="000C19AD"/>
    <w:rsid w:val="000C2063"/>
    <w:rsid w:val="000C20FD"/>
    <w:rsid w:val="000C23CA"/>
    <w:rsid w:val="000C2843"/>
    <w:rsid w:val="000C2AEB"/>
    <w:rsid w:val="000C316D"/>
    <w:rsid w:val="000C32AE"/>
    <w:rsid w:val="000C411D"/>
    <w:rsid w:val="000C4BEC"/>
    <w:rsid w:val="000C4BF4"/>
    <w:rsid w:val="000C4E39"/>
    <w:rsid w:val="000C6142"/>
    <w:rsid w:val="000C6167"/>
    <w:rsid w:val="000C62F7"/>
    <w:rsid w:val="000C74DA"/>
    <w:rsid w:val="000C7704"/>
    <w:rsid w:val="000C7D75"/>
    <w:rsid w:val="000C7D94"/>
    <w:rsid w:val="000C7F31"/>
    <w:rsid w:val="000D0947"/>
    <w:rsid w:val="000D0E2E"/>
    <w:rsid w:val="000D0F8A"/>
    <w:rsid w:val="000D1102"/>
    <w:rsid w:val="000D1125"/>
    <w:rsid w:val="000D1311"/>
    <w:rsid w:val="000D1422"/>
    <w:rsid w:val="000D17F1"/>
    <w:rsid w:val="000D25AA"/>
    <w:rsid w:val="000D2972"/>
    <w:rsid w:val="000D2BA5"/>
    <w:rsid w:val="000D2CA4"/>
    <w:rsid w:val="000D3C52"/>
    <w:rsid w:val="000D430D"/>
    <w:rsid w:val="000D43FF"/>
    <w:rsid w:val="000D4629"/>
    <w:rsid w:val="000D594E"/>
    <w:rsid w:val="000D5D48"/>
    <w:rsid w:val="000D60F8"/>
    <w:rsid w:val="000D610B"/>
    <w:rsid w:val="000D612C"/>
    <w:rsid w:val="000D66E2"/>
    <w:rsid w:val="000D6EB3"/>
    <w:rsid w:val="000D742C"/>
    <w:rsid w:val="000D7726"/>
    <w:rsid w:val="000D7E1A"/>
    <w:rsid w:val="000D7EBB"/>
    <w:rsid w:val="000E0110"/>
    <w:rsid w:val="000E037B"/>
    <w:rsid w:val="000E088D"/>
    <w:rsid w:val="000E1245"/>
    <w:rsid w:val="000E136A"/>
    <w:rsid w:val="000E1CC3"/>
    <w:rsid w:val="000E1D29"/>
    <w:rsid w:val="000E2B66"/>
    <w:rsid w:val="000E2EEF"/>
    <w:rsid w:val="000E3884"/>
    <w:rsid w:val="000E3EAA"/>
    <w:rsid w:val="000E401B"/>
    <w:rsid w:val="000E4665"/>
    <w:rsid w:val="000E4FC6"/>
    <w:rsid w:val="000E575B"/>
    <w:rsid w:val="000E608F"/>
    <w:rsid w:val="000E60A5"/>
    <w:rsid w:val="000E6485"/>
    <w:rsid w:val="000E6D66"/>
    <w:rsid w:val="000E7616"/>
    <w:rsid w:val="000F0213"/>
    <w:rsid w:val="000F04C1"/>
    <w:rsid w:val="000F04E9"/>
    <w:rsid w:val="000F0B89"/>
    <w:rsid w:val="000F13C3"/>
    <w:rsid w:val="000F1705"/>
    <w:rsid w:val="000F2580"/>
    <w:rsid w:val="000F29F4"/>
    <w:rsid w:val="000F2B05"/>
    <w:rsid w:val="000F2E06"/>
    <w:rsid w:val="000F34ED"/>
    <w:rsid w:val="000F351F"/>
    <w:rsid w:val="000F37C7"/>
    <w:rsid w:val="000F3D25"/>
    <w:rsid w:val="000F3D87"/>
    <w:rsid w:val="000F3FD1"/>
    <w:rsid w:val="000F49A4"/>
    <w:rsid w:val="000F50AD"/>
    <w:rsid w:val="000F6162"/>
    <w:rsid w:val="000F66A8"/>
    <w:rsid w:val="000F6DD8"/>
    <w:rsid w:val="000F7130"/>
    <w:rsid w:val="000F767A"/>
    <w:rsid w:val="000F7F15"/>
    <w:rsid w:val="00100113"/>
    <w:rsid w:val="001001C6"/>
    <w:rsid w:val="0010095A"/>
    <w:rsid w:val="0010173F"/>
    <w:rsid w:val="001028CF"/>
    <w:rsid w:val="00102C6C"/>
    <w:rsid w:val="00102CC7"/>
    <w:rsid w:val="001037E8"/>
    <w:rsid w:val="00103876"/>
    <w:rsid w:val="0010408D"/>
    <w:rsid w:val="001040C1"/>
    <w:rsid w:val="00105970"/>
    <w:rsid w:val="00105D0E"/>
    <w:rsid w:val="001061CA"/>
    <w:rsid w:val="0010652F"/>
    <w:rsid w:val="001066B6"/>
    <w:rsid w:val="00106917"/>
    <w:rsid w:val="00106E0A"/>
    <w:rsid w:val="00106E19"/>
    <w:rsid w:val="00106ED9"/>
    <w:rsid w:val="00106F96"/>
    <w:rsid w:val="00107009"/>
    <w:rsid w:val="00107077"/>
    <w:rsid w:val="001077EC"/>
    <w:rsid w:val="001106A5"/>
    <w:rsid w:val="00110814"/>
    <w:rsid w:val="001115F9"/>
    <w:rsid w:val="00111975"/>
    <w:rsid w:val="00111D63"/>
    <w:rsid w:val="00112402"/>
    <w:rsid w:val="00113044"/>
    <w:rsid w:val="00113182"/>
    <w:rsid w:val="0011345C"/>
    <w:rsid w:val="00113BB6"/>
    <w:rsid w:val="00113E2D"/>
    <w:rsid w:val="00113E47"/>
    <w:rsid w:val="00114557"/>
    <w:rsid w:val="001145EF"/>
    <w:rsid w:val="001149FB"/>
    <w:rsid w:val="00116032"/>
    <w:rsid w:val="001162F2"/>
    <w:rsid w:val="00116BBB"/>
    <w:rsid w:val="00116D54"/>
    <w:rsid w:val="00116F64"/>
    <w:rsid w:val="00117112"/>
    <w:rsid w:val="001176B5"/>
    <w:rsid w:val="001176C5"/>
    <w:rsid w:val="001178DC"/>
    <w:rsid w:val="001179AF"/>
    <w:rsid w:val="00117A7C"/>
    <w:rsid w:val="00117DBF"/>
    <w:rsid w:val="00117FB0"/>
    <w:rsid w:val="00120161"/>
    <w:rsid w:val="001205EB"/>
    <w:rsid w:val="00120714"/>
    <w:rsid w:val="00120F58"/>
    <w:rsid w:val="001214E1"/>
    <w:rsid w:val="00121D34"/>
    <w:rsid w:val="00121EBF"/>
    <w:rsid w:val="00122F77"/>
    <w:rsid w:val="001233BC"/>
    <w:rsid w:val="001239BB"/>
    <w:rsid w:val="001240EE"/>
    <w:rsid w:val="00124DA8"/>
    <w:rsid w:val="001251D1"/>
    <w:rsid w:val="001257A3"/>
    <w:rsid w:val="00126113"/>
    <w:rsid w:val="001262DF"/>
    <w:rsid w:val="0012683A"/>
    <w:rsid w:val="0012746B"/>
    <w:rsid w:val="00127B02"/>
    <w:rsid w:val="00127DD9"/>
    <w:rsid w:val="0013043D"/>
    <w:rsid w:val="001310D7"/>
    <w:rsid w:val="001311F4"/>
    <w:rsid w:val="00131231"/>
    <w:rsid w:val="00131423"/>
    <w:rsid w:val="001318ED"/>
    <w:rsid w:val="0013210D"/>
    <w:rsid w:val="0013253A"/>
    <w:rsid w:val="0013270C"/>
    <w:rsid w:val="001331F3"/>
    <w:rsid w:val="001331F8"/>
    <w:rsid w:val="00133D4A"/>
    <w:rsid w:val="00133E81"/>
    <w:rsid w:val="0013460D"/>
    <w:rsid w:val="0013467A"/>
    <w:rsid w:val="00134846"/>
    <w:rsid w:val="00134995"/>
    <w:rsid w:val="0013518A"/>
    <w:rsid w:val="00135762"/>
    <w:rsid w:val="001359AB"/>
    <w:rsid w:val="00135B17"/>
    <w:rsid w:val="00135DD1"/>
    <w:rsid w:val="001364F6"/>
    <w:rsid w:val="0013699F"/>
    <w:rsid w:val="00136DA6"/>
    <w:rsid w:val="00136F34"/>
    <w:rsid w:val="00137445"/>
    <w:rsid w:val="001375B8"/>
    <w:rsid w:val="00137EBB"/>
    <w:rsid w:val="001414AA"/>
    <w:rsid w:val="001416EF"/>
    <w:rsid w:val="00141900"/>
    <w:rsid w:val="001425F5"/>
    <w:rsid w:val="00142602"/>
    <w:rsid w:val="00143206"/>
    <w:rsid w:val="0014377F"/>
    <w:rsid w:val="00143A68"/>
    <w:rsid w:val="00143BD9"/>
    <w:rsid w:val="00143DE1"/>
    <w:rsid w:val="0014432A"/>
    <w:rsid w:val="00144BB2"/>
    <w:rsid w:val="00144E5A"/>
    <w:rsid w:val="00144F95"/>
    <w:rsid w:val="00145557"/>
    <w:rsid w:val="001457BE"/>
    <w:rsid w:val="00145A0F"/>
    <w:rsid w:val="00145A69"/>
    <w:rsid w:val="00146497"/>
    <w:rsid w:val="00146760"/>
    <w:rsid w:val="001468F9"/>
    <w:rsid w:val="00146E7D"/>
    <w:rsid w:val="00146EEA"/>
    <w:rsid w:val="0014706C"/>
    <w:rsid w:val="0014783F"/>
    <w:rsid w:val="0015130B"/>
    <w:rsid w:val="0015149D"/>
    <w:rsid w:val="00151BFF"/>
    <w:rsid w:val="00151D75"/>
    <w:rsid w:val="00151F6D"/>
    <w:rsid w:val="00151FB8"/>
    <w:rsid w:val="00152DC6"/>
    <w:rsid w:val="00152DCC"/>
    <w:rsid w:val="00152FC7"/>
    <w:rsid w:val="00153521"/>
    <w:rsid w:val="001536C2"/>
    <w:rsid w:val="00153D60"/>
    <w:rsid w:val="0015434E"/>
    <w:rsid w:val="00154431"/>
    <w:rsid w:val="00154AF3"/>
    <w:rsid w:val="0015510F"/>
    <w:rsid w:val="00155160"/>
    <w:rsid w:val="001558CF"/>
    <w:rsid w:val="00155A77"/>
    <w:rsid w:val="00155BAF"/>
    <w:rsid w:val="00155F97"/>
    <w:rsid w:val="00156004"/>
    <w:rsid w:val="00156C74"/>
    <w:rsid w:val="00156D9E"/>
    <w:rsid w:val="00157F13"/>
    <w:rsid w:val="0016013C"/>
    <w:rsid w:val="001601B0"/>
    <w:rsid w:val="00160577"/>
    <w:rsid w:val="001609C2"/>
    <w:rsid w:val="00160D2E"/>
    <w:rsid w:val="00161AF1"/>
    <w:rsid w:val="00161B93"/>
    <w:rsid w:val="00161BDD"/>
    <w:rsid w:val="0016210A"/>
    <w:rsid w:val="00162349"/>
    <w:rsid w:val="0016295F"/>
    <w:rsid w:val="00162BB4"/>
    <w:rsid w:val="00163356"/>
    <w:rsid w:val="00163412"/>
    <w:rsid w:val="001634FA"/>
    <w:rsid w:val="0016363B"/>
    <w:rsid w:val="00163946"/>
    <w:rsid w:val="001640C6"/>
    <w:rsid w:val="001640ED"/>
    <w:rsid w:val="001642AA"/>
    <w:rsid w:val="001643C9"/>
    <w:rsid w:val="00165369"/>
    <w:rsid w:val="0016541A"/>
    <w:rsid w:val="00166214"/>
    <w:rsid w:val="00166563"/>
    <w:rsid w:val="00166AAE"/>
    <w:rsid w:val="00166D5F"/>
    <w:rsid w:val="0016743C"/>
    <w:rsid w:val="001676BB"/>
    <w:rsid w:val="0017007B"/>
    <w:rsid w:val="00170395"/>
    <w:rsid w:val="001703DE"/>
    <w:rsid w:val="00170BB0"/>
    <w:rsid w:val="00170E94"/>
    <w:rsid w:val="00171012"/>
    <w:rsid w:val="00171043"/>
    <w:rsid w:val="00171183"/>
    <w:rsid w:val="00171AD8"/>
    <w:rsid w:val="00171F2B"/>
    <w:rsid w:val="00172121"/>
    <w:rsid w:val="00172353"/>
    <w:rsid w:val="0017264E"/>
    <w:rsid w:val="00172E44"/>
    <w:rsid w:val="00173875"/>
    <w:rsid w:val="0017409D"/>
    <w:rsid w:val="001747A6"/>
    <w:rsid w:val="001749F7"/>
    <w:rsid w:val="00174AC5"/>
    <w:rsid w:val="00174D59"/>
    <w:rsid w:val="00175390"/>
    <w:rsid w:val="00175FCA"/>
    <w:rsid w:val="00176338"/>
    <w:rsid w:val="00176BE0"/>
    <w:rsid w:val="00176F74"/>
    <w:rsid w:val="001770B5"/>
    <w:rsid w:val="00177679"/>
    <w:rsid w:val="001777CA"/>
    <w:rsid w:val="001779B2"/>
    <w:rsid w:val="00180872"/>
    <w:rsid w:val="00182080"/>
    <w:rsid w:val="00182094"/>
    <w:rsid w:val="00182289"/>
    <w:rsid w:val="0018270D"/>
    <w:rsid w:val="00182E49"/>
    <w:rsid w:val="0018354F"/>
    <w:rsid w:val="00184337"/>
    <w:rsid w:val="0018499F"/>
    <w:rsid w:val="00184D28"/>
    <w:rsid w:val="00185093"/>
    <w:rsid w:val="001852EA"/>
    <w:rsid w:val="001858BF"/>
    <w:rsid w:val="001858EC"/>
    <w:rsid w:val="00187118"/>
    <w:rsid w:val="00187261"/>
    <w:rsid w:val="00187297"/>
    <w:rsid w:val="00187F0D"/>
    <w:rsid w:val="00190512"/>
    <w:rsid w:val="00190648"/>
    <w:rsid w:val="00190D65"/>
    <w:rsid w:val="001914BA"/>
    <w:rsid w:val="0019173F"/>
    <w:rsid w:val="00192009"/>
    <w:rsid w:val="0019221B"/>
    <w:rsid w:val="00192501"/>
    <w:rsid w:val="00192739"/>
    <w:rsid w:val="00192A48"/>
    <w:rsid w:val="00192D61"/>
    <w:rsid w:val="001930D6"/>
    <w:rsid w:val="001933D3"/>
    <w:rsid w:val="0019358F"/>
    <w:rsid w:val="00193684"/>
    <w:rsid w:val="001936DB"/>
    <w:rsid w:val="00194634"/>
    <w:rsid w:val="00194A63"/>
    <w:rsid w:val="00194D4A"/>
    <w:rsid w:val="00194FB4"/>
    <w:rsid w:val="001955A3"/>
    <w:rsid w:val="001955F2"/>
    <w:rsid w:val="00195743"/>
    <w:rsid w:val="00195A07"/>
    <w:rsid w:val="0019618B"/>
    <w:rsid w:val="0019638F"/>
    <w:rsid w:val="00196D2C"/>
    <w:rsid w:val="00196FDC"/>
    <w:rsid w:val="0019713B"/>
    <w:rsid w:val="00197C27"/>
    <w:rsid w:val="00197FC3"/>
    <w:rsid w:val="001A221B"/>
    <w:rsid w:val="001A22FA"/>
    <w:rsid w:val="001A297F"/>
    <w:rsid w:val="001A2A5C"/>
    <w:rsid w:val="001A347C"/>
    <w:rsid w:val="001A3D66"/>
    <w:rsid w:val="001A3E2A"/>
    <w:rsid w:val="001A40AA"/>
    <w:rsid w:val="001A42D7"/>
    <w:rsid w:val="001A43C4"/>
    <w:rsid w:val="001A472E"/>
    <w:rsid w:val="001A480B"/>
    <w:rsid w:val="001A496D"/>
    <w:rsid w:val="001A498F"/>
    <w:rsid w:val="001A5560"/>
    <w:rsid w:val="001A5827"/>
    <w:rsid w:val="001A617E"/>
    <w:rsid w:val="001A6468"/>
    <w:rsid w:val="001A6968"/>
    <w:rsid w:val="001A69F7"/>
    <w:rsid w:val="001A6BF9"/>
    <w:rsid w:val="001A6C7E"/>
    <w:rsid w:val="001A706D"/>
    <w:rsid w:val="001A7389"/>
    <w:rsid w:val="001A76AD"/>
    <w:rsid w:val="001A782F"/>
    <w:rsid w:val="001A78D0"/>
    <w:rsid w:val="001A7A3C"/>
    <w:rsid w:val="001A7C99"/>
    <w:rsid w:val="001B012F"/>
    <w:rsid w:val="001B0182"/>
    <w:rsid w:val="001B05EC"/>
    <w:rsid w:val="001B087E"/>
    <w:rsid w:val="001B0D1F"/>
    <w:rsid w:val="001B1584"/>
    <w:rsid w:val="001B1A0F"/>
    <w:rsid w:val="001B25A1"/>
    <w:rsid w:val="001B29E0"/>
    <w:rsid w:val="001B2AFA"/>
    <w:rsid w:val="001B2C10"/>
    <w:rsid w:val="001B37A2"/>
    <w:rsid w:val="001B406B"/>
    <w:rsid w:val="001B440C"/>
    <w:rsid w:val="001B5483"/>
    <w:rsid w:val="001B54D7"/>
    <w:rsid w:val="001B6D4E"/>
    <w:rsid w:val="001B6D6E"/>
    <w:rsid w:val="001B75EE"/>
    <w:rsid w:val="001B7C02"/>
    <w:rsid w:val="001C00E5"/>
    <w:rsid w:val="001C031E"/>
    <w:rsid w:val="001C0503"/>
    <w:rsid w:val="001C0B08"/>
    <w:rsid w:val="001C100A"/>
    <w:rsid w:val="001C126D"/>
    <w:rsid w:val="001C12C2"/>
    <w:rsid w:val="001C1351"/>
    <w:rsid w:val="001C1486"/>
    <w:rsid w:val="001C1C8A"/>
    <w:rsid w:val="001C2EC8"/>
    <w:rsid w:val="001C34DE"/>
    <w:rsid w:val="001C3F8C"/>
    <w:rsid w:val="001C4306"/>
    <w:rsid w:val="001C43CE"/>
    <w:rsid w:val="001C4A97"/>
    <w:rsid w:val="001C4EFC"/>
    <w:rsid w:val="001C5E57"/>
    <w:rsid w:val="001C5FD3"/>
    <w:rsid w:val="001C63EE"/>
    <w:rsid w:val="001C6496"/>
    <w:rsid w:val="001C6973"/>
    <w:rsid w:val="001C7534"/>
    <w:rsid w:val="001C7549"/>
    <w:rsid w:val="001C759D"/>
    <w:rsid w:val="001C7647"/>
    <w:rsid w:val="001C76F4"/>
    <w:rsid w:val="001C7C1F"/>
    <w:rsid w:val="001D017C"/>
    <w:rsid w:val="001D03C2"/>
    <w:rsid w:val="001D0491"/>
    <w:rsid w:val="001D0BDB"/>
    <w:rsid w:val="001D0FA6"/>
    <w:rsid w:val="001D1257"/>
    <w:rsid w:val="001D1683"/>
    <w:rsid w:val="001D2328"/>
    <w:rsid w:val="001D2D67"/>
    <w:rsid w:val="001D2D95"/>
    <w:rsid w:val="001D33E3"/>
    <w:rsid w:val="001D3D5D"/>
    <w:rsid w:val="001D4CDD"/>
    <w:rsid w:val="001D4ECE"/>
    <w:rsid w:val="001D5485"/>
    <w:rsid w:val="001D56B5"/>
    <w:rsid w:val="001D5CFE"/>
    <w:rsid w:val="001D6039"/>
    <w:rsid w:val="001D6839"/>
    <w:rsid w:val="001D6A71"/>
    <w:rsid w:val="001D6AF2"/>
    <w:rsid w:val="001D7E97"/>
    <w:rsid w:val="001E05D5"/>
    <w:rsid w:val="001E0825"/>
    <w:rsid w:val="001E0A3E"/>
    <w:rsid w:val="001E0D15"/>
    <w:rsid w:val="001E1089"/>
    <w:rsid w:val="001E15C4"/>
    <w:rsid w:val="001E1857"/>
    <w:rsid w:val="001E1954"/>
    <w:rsid w:val="001E1EF5"/>
    <w:rsid w:val="001E1F07"/>
    <w:rsid w:val="001E219B"/>
    <w:rsid w:val="001E23FF"/>
    <w:rsid w:val="001E2ABE"/>
    <w:rsid w:val="001E3465"/>
    <w:rsid w:val="001E34B3"/>
    <w:rsid w:val="001E3C1B"/>
    <w:rsid w:val="001E3FC5"/>
    <w:rsid w:val="001E48EF"/>
    <w:rsid w:val="001E54C6"/>
    <w:rsid w:val="001E5974"/>
    <w:rsid w:val="001E67B6"/>
    <w:rsid w:val="001E6C84"/>
    <w:rsid w:val="001E7192"/>
    <w:rsid w:val="001E72D2"/>
    <w:rsid w:val="001E7A9C"/>
    <w:rsid w:val="001E7E33"/>
    <w:rsid w:val="001F0372"/>
    <w:rsid w:val="001F0978"/>
    <w:rsid w:val="001F0FEE"/>
    <w:rsid w:val="001F13D4"/>
    <w:rsid w:val="001F14D3"/>
    <w:rsid w:val="001F180B"/>
    <w:rsid w:val="001F1888"/>
    <w:rsid w:val="001F26CC"/>
    <w:rsid w:val="001F29DA"/>
    <w:rsid w:val="001F366D"/>
    <w:rsid w:val="001F3821"/>
    <w:rsid w:val="001F3E01"/>
    <w:rsid w:val="001F3E3D"/>
    <w:rsid w:val="001F4064"/>
    <w:rsid w:val="001F41AC"/>
    <w:rsid w:val="001F41FB"/>
    <w:rsid w:val="001F4409"/>
    <w:rsid w:val="001F51DB"/>
    <w:rsid w:val="001F5592"/>
    <w:rsid w:val="001F5AF7"/>
    <w:rsid w:val="001F5BFA"/>
    <w:rsid w:val="001F6005"/>
    <w:rsid w:val="001F6235"/>
    <w:rsid w:val="001F6757"/>
    <w:rsid w:val="001F678B"/>
    <w:rsid w:val="001F6BFA"/>
    <w:rsid w:val="001F6DCF"/>
    <w:rsid w:val="001F7140"/>
    <w:rsid w:val="001F7835"/>
    <w:rsid w:val="001F7894"/>
    <w:rsid w:val="001F7C66"/>
    <w:rsid w:val="00200899"/>
    <w:rsid w:val="00201EC3"/>
    <w:rsid w:val="002020C0"/>
    <w:rsid w:val="00202142"/>
    <w:rsid w:val="00202461"/>
    <w:rsid w:val="0020280C"/>
    <w:rsid w:val="002028BF"/>
    <w:rsid w:val="00202D6F"/>
    <w:rsid w:val="0020360C"/>
    <w:rsid w:val="00203FA6"/>
    <w:rsid w:val="00204499"/>
    <w:rsid w:val="002052AE"/>
    <w:rsid w:val="002053DD"/>
    <w:rsid w:val="00205ED2"/>
    <w:rsid w:val="00206EBD"/>
    <w:rsid w:val="002072C6"/>
    <w:rsid w:val="002073B0"/>
    <w:rsid w:val="002074FC"/>
    <w:rsid w:val="0020780A"/>
    <w:rsid w:val="00207992"/>
    <w:rsid w:val="002107F1"/>
    <w:rsid w:val="00210B2C"/>
    <w:rsid w:val="00210BA6"/>
    <w:rsid w:val="00210E2B"/>
    <w:rsid w:val="00210E3E"/>
    <w:rsid w:val="00211020"/>
    <w:rsid w:val="0021142A"/>
    <w:rsid w:val="00211448"/>
    <w:rsid w:val="002118CA"/>
    <w:rsid w:val="00211C26"/>
    <w:rsid w:val="00211C70"/>
    <w:rsid w:val="00211D17"/>
    <w:rsid w:val="00211FBE"/>
    <w:rsid w:val="002123D7"/>
    <w:rsid w:val="002123E8"/>
    <w:rsid w:val="00212600"/>
    <w:rsid w:val="0021260B"/>
    <w:rsid w:val="0021266A"/>
    <w:rsid w:val="00212F51"/>
    <w:rsid w:val="00212FBE"/>
    <w:rsid w:val="00212FC6"/>
    <w:rsid w:val="002132F9"/>
    <w:rsid w:val="00213FD6"/>
    <w:rsid w:val="002145A2"/>
    <w:rsid w:val="002148BC"/>
    <w:rsid w:val="00215375"/>
    <w:rsid w:val="0021625C"/>
    <w:rsid w:val="00216452"/>
    <w:rsid w:val="002168F9"/>
    <w:rsid w:val="0021691F"/>
    <w:rsid w:val="0021758C"/>
    <w:rsid w:val="00217611"/>
    <w:rsid w:val="00217AAA"/>
    <w:rsid w:val="00217EEF"/>
    <w:rsid w:val="00217FFE"/>
    <w:rsid w:val="00220045"/>
    <w:rsid w:val="002201A5"/>
    <w:rsid w:val="00220295"/>
    <w:rsid w:val="002213D2"/>
    <w:rsid w:val="002220E3"/>
    <w:rsid w:val="00222C47"/>
    <w:rsid w:val="002239E9"/>
    <w:rsid w:val="00223FD2"/>
    <w:rsid w:val="0022402B"/>
    <w:rsid w:val="00224202"/>
    <w:rsid w:val="00224856"/>
    <w:rsid w:val="00224899"/>
    <w:rsid w:val="0022489D"/>
    <w:rsid w:val="002248F8"/>
    <w:rsid w:val="00224A7C"/>
    <w:rsid w:val="00224B73"/>
    <w:rsid w:val="00225B6F"/>
    <w:rsid w:val="00225EA3"/>
    <w:rsid w:val="00225FBD"/>
    <w:rsid w:val="002261D1"/>
    <w:rsid w:val="00226507"/>
    <w:rsid w:val="00226573"/>
    <w:rsid w:val="00226EC6"/>
    <w:rsid w:val="00227C3B"/>
    <w:rsid w:val="00227DE3"/>
    <w:rsid w:val="002301EE"/>
    <w:rsid w:val="002302DA"/>
    <w:rsid w:val="0023054A"/>
    <w:rsid w:val="00230776"/>
    <w:rsid w:val="002309C8"/>
    <w:rsid w:val="00230CDC"/>
    <w:rsid w:val="00230D12"/>
    <w:rsid w:val="002311FB"/>
    <w:rsid w:val="00231737"/>
    <w:rsid w:val="00231CDF"/>
    <w:rsid w:val="00231D1A"/>
    <w:rsid w:val="00232336"/>
    <w:rsid w:val="0023246C"/>
    <w:rsid w:val="00233221"/>
    <w:rsid w:val="002334D8"/>
    <w:rsid w:val="002335DB"/>
    <w:rsid w:val="002337DA"/>
    <w:rsid w:val="0023392D"/>
    <w:rsid w:val="00233C41"/>
    <w:rsid w:val="002345A8"/>
    <w:rsid w:val="0023461D"/>
    <w:rsid w:val="0023476E"/>
    <w:rsid w:val="00234B73"/>
    <w:rsid w:val="002355C9"/>
    <w:rsid w:val="002361B2"/>
    <w:rsid w:val="002363F4"/>
    <w:rsid w:val="0023699D"/>
    <w:rsid w:val="00236E79"/>
    <w:rsid w:val="00236FD1"/>
    <w:rsid w:val="00237364"/>
    <w:rsid w:val="00237994"/>
    <w:rsid w:val="00237C22"/>
    <w:rsid w:val="0024067C"/>
    <w:rsid w:val="00240968"/>
    <w:rsid w:val="002410F8"/>
    <w:rsid w:val="00241400"/>
    <w:rsid w:val="002414BB"/>
    <w:rsid w:val="00241EEC"/>
    <w:rsid w:val="0024204F"/>
    <w:rsid w:val="0024279A"/>
    <w:rsid w:val="002427B9"/>
    <w:rsid w:val="0024287D"/>
    <w:rsid w:val="00242CE5"/>
    <w:rsid w:val="00242F7F"/>
    <w:rsid w:val="00243CB5"/>
    <w:rsid w:val="00243EE4"/>
    <w:rsid w:val="00243F33"/>
    <w:rsid w:val="00244119"/>
    <w:rsid w:val="002441B9"/>
    <w:rsid w:val="0024455C"/>
    <w:rsid w:val="00244625"/>
    <w:rsid w:val="002446D6"/>
    <w:rsid w:val="002453B0"/>
    <w:rsid w:val="00245FA2"/>
    <w:rsid w:val="002461E5"/>
    <w:rsid w:val="002463EF"/>
    <w:rsid w:val="0024656C"/>
    <w:rsid w:val="0024659D"/>
    <w:rsid w:val="00246D0E"/>
    <w:rsid w:val="002471E4"/>
    <w:rsid w:val="0024783C"/>
    <w:rsid w:val="00247A80"/>
    <w:rsid w:val="0025137C"/>
    <w:rsid w:val="00251785"/>
    <w:rsid w:val="0025183B"/>
    <w:rsid w:val="00251D8B"/>
    <w:rsid w:val="00251E78"/>
    <w:rsid w:val="0025215B"/>
    <w:rsid w:val="002521F2"/>
    <w:rsid w:val="002526D5"/>
    <w:rsid w:val="00252B19"/>
    <w:rsid w:val="00252EB0"/>
    <w:rsid w:val="00253534"/>
    <w:rsid w:val="0025364C"/>
    <w:rsid w:val="00253CF0"/>
    <w:rsid w:val="00253D14"/>
    <w:rsid w:val="00254009"/>
    <w:rsid w:val="002546A4"/>
    <w:rsid w:val="00254956"/>
    <w:rsid w:val="00254E7B"/>
    <w:rsid w:val="00254F87"/>
    <w:rsid w:val="00255797"/>
    <w:rsid w:val="00255A5B"/>
    <w:rsid w:val="00255FD1"/>
    <w:rsid w:val="002564B9"/>
    <w:rsid w:val="0025659E"/>
    <w:rsid w:val="00256B97"/>
    <w:rsid w:val="00256E98"/>
    <w:rsid w:val="00257615"/>
    <w:rsid w:val="0026076C"/>
    <w:rsid w:val="00260AD7"/>
    <w:rsid w:val="002612F6"/>
    <w:rsid w:val="002614E7"/>
    <w:rsid w:val="00261E49"/>
    <w:rsid w:val="0026255B"/>
    <w:rsid w:val="00262977"/>
    <w:rsid w:val="00262A93"/>
    <w:rsid w:val="00262AD6"/>
    <w:rsid w:val="00262D96"/>
    <w:rsid w:val="00263682"/>
    <w:rsid w:val="00263A0A"/>
    <w:rsid w:val="00263A1B"/>
    <w:rsid w:val="00263D0A"/>
    <w:rsid w:val="00264657"/>
    <w:rsid w:val="002646B7"/>
    <w:rsid w:val="00264C9B"/>
    <w:rsid w:val="002653DE"/>
    <w:rsid w:val="002654C1"/>
    <w:rsid w:val="00265D31"/>
    <w:rsid w:val="00265D3F"/>
    <w:rsid w:val="0026684A"/>
    <w:rsid w:val="002671D0"/>
    <w:rsid w:val="00267960"/>
    <w:rsid w:val="00267B48"/>
    <w:rsid w:val="00267EA0"/>
    <w:rsid w:val="00270080"/>
    <w:rsid w:val="002706F7"/>
    <w:rsid w:val="00270A0C"/>
    <w:rsid w:val="002712FE"/>
    <w:rsid w:val="00271AAD"/>
    <w:rsid w:val="00272497"/>
    <w:rsid w:val="002726CB"/>
    <w:rsid w:val="002733B8"/>
    <w:rsid w:val="002737B0"/>
    <w:rsid w:val="00273BF9"/>
    <w:rsid w:val="002741F6"/>
    <w:rsid w:val="002744F3"/>
    <w:rsid w:val="002746A1"/>
    <w:rsid w:val="00274A3F"/>
    <w:rsid w:val="00274B09"/>
    <w:rsid w:val="0027503F"/>
    <w:rsid w:val="002753F3"/>
    <w:rsid w:val="00275A58"/>
    <w:rsid w:val="00275CE3"/>
    <w:rsid w:val="00275DEA"/>
    <w:rsid w:val="00276412"/>
    <w:rsid w:val="0027713E"/>
    <w:rsid w:val="00277ED5"/>
    <w:rsid w:val="00280124"/>
    <w:rsid w:val="0028012B"/>
    <w:rsid w:val="002802C7"/>
    <w:rsid w:val="00280449"/>
    <w:rsid w:val="00280E38"/>
    <w:rsid w:val="00280E75"/>
    <w:rsid w:val="002813B1"/>
    <w:rsid w:val="0028283E"/>
    <w:rsid w:val="002839FA"/>
    <w:rsid w:val="00283B27"/>
    <w:rsid w:val="002842B6"/>
    <w:rsid w:val="002846E4"/>
    <w:rsid w:val="00284AE1"/>
    <w:rsid w:val="00285436"/>
    <w:rsid w:val="00286B33"/>
    <w:rsid w:val="00286DBD"/>
    <w:rsid w:val="002870BC"/>
    <w:rsid w:val="002874CC"/>
    <w:rsid w:val="00287E84"/>
    <w:rsid w:val="002902AF"/>
    <w:rsid w:val="00290851"/>
    <w:rsid w:val="00290862"/>
    <w:rsid w:val="00291238"/>
    <w:rsid w:val="00291873"/>
    <w:rsid w:val="0029190A"/>
    <w:rsid w:val="00291BBA"/>
    <w:rsid w:val="0029222C"/>
    <w:rsid w:val="00293525"/>
    <w:rsid w:val="002937A2"/>
    <w:rsid w:val="002941A1"/>
    <w:rsid w:val="002941CC"/>
    <w:rsid w:val="00294728"/>
    <w:rsid w:val="00294755"/>
    <w:rsid w:val="00294944"/>
    <w:rsid w:val="00294A3C"/>
    <w:rsid w:val="00294BB0"/>
    <w:rsid w:val="0029570F"/>
    <w:rsid w:val="00296650"/>
    <w:rsid w:val="00296A6E"/>
    <w:rsid w:val="00297E2D"/>
    <w:rsid w:val="002A0FE4"/>
    <w:rsid w:val="002A1411"/>
    <w:rsid w:val="002A15DF"/>
    <w:rsid w:val="002A1D63"/>
    <w:rsid w:val="002A1FAB"/>
    <w:rsid w:val="002A2BB4"/>
    <w:rsid w:val="002A2E7B"/>
    <w:rsid w:val="002A2EDE"/>
    <w:rsid w:val="002A31FA"/>
    <w:rsid w:val="002A3266"/>
    <w:rsid w:val="002A451E"/>
    <w:rsid w:val="002A4AB3"/>
    <w:rsid w:val="002A4D97"/>
    <w:rsid w:val="002A4DA6"/>
    <w:rsid w:val="002A4DAC"/>
    <w:rsid w:val="002A4E17"/>
    <w:rsid w:val="002A4F43"/>
    <w:rsid w:val="002A4FF6"/>
    <w:rsid w:val="002A584A"/>
    <w:rsid w:val="002A5F74"/>
    <w:rsid w:val="002A72B0"/>
    <w:rsid w:val="002A74E4"/>
    <w:rsid w:val="002A754B"/>
    <w:rsid w:val="002A75E6"/>
    <w:rsid w:val="002A778B"/>
    <w:rsid w:val="002A7B51"/>
    <w:rsid w:val="002B08CC"/>
    <w:rsid w:val="002B1476"/>
    <w:rsid w:val="002B1554"/>
    <w:rsid w:val="002B1AC5"/>
    <w:rsid w:val="002B1FC2"/>
    <w:rsid w:val="002B23FC"/>
    <w:rsid w:val="002B26EB"/>
    <w:rsid w:val="002B298C"/>
    <w:rsid w:val="002B2B9E"/>
    <w:rsid w:val="002B369A"/>
    <w:rsid w:val="002B3C16"/>
    <w:rsid w:val="002B538E"/>
    <w:rsid w:val="002B5516"/>
    <w:rsid w:val="002B58BE"/>
    <w:rsid w:val="002B5A72"/>
    <w:rsid w:val="002B6783"/>
    <w:rsid w:val="002B6BE7"/>
    <w:rsid w:val="002B7B69"/>
    <w:rsid w:val="002C04CC"/>
    <w:rsid w:val="002C053A"/>
    <w:rsid w:val="002C09B4"/>
    <w:rsid w:val="002C14B6"/>
    <w:rsid w:val="002C19C5"/>
    <w:rsid w:val="002C2132"/>
    <w:rsid w:val="002C2416"/>
    <w:rsid w:val="002C2BAD"/>
    <w:rsid w:val="002C2E18"/>
    <w:rsid w:val="002C39AC"/>
    <w:rsid w:val="002C3F81"/>
    <w:rsid w:val="002C47F8"/>
    <w:rsid w:val="002C481B"/>
    <w:rsid w:val="002C4951"/>
    <w:rsid w:val="002C4B9B"/>
    <w:rsid w:val="002C4C4C"/>
    <w:rsid w:val="002C5C65"/>
    <w:rsid w:val="002C63D4"/>
    <w:rsid w:val="002C6673"/>
    <w:rsid w:val="002C6754"/>
    <w:rsid w:val="002C6F90"/>
    <w:rsid w:val="002C70D7"/>
    <w:rsid w:val="002C7643"/>
    <w:rsid w:val="002C7A1C"/>
    <w:rsid w:val="002C7C9D"/>
    <w:rsid w:val="002D0326"/>
    <w:rsid w:val="002D0CCF"/>
    <w:rsid w:val="002D0D86"/>
    <w:rsid w:val="002D11BA"/>
    <w:rsid w:val="002D1795"/>
    <w:rsid w:val="002D1C9D"/>
    <w:rsid w:val="002D2061"/>
    <w:rsid w:val="002D2605"/>
    <w:rsid w:val="002D2AB1"/>
    <w:rsid w:val="002D2ABD"/>
    <w:rsid w:val="002D2AFD"/>
    <w:rsid w:val="002D2B5B"/>
    <w:rsid w:val="002D31C8"/>
    <w:rsid w:val="002D3C20"/>
    <w:rsid w:val="002D4498"/>
    <w:rsid w:val="002D4965"/>
    <w:rsid w:val="002D4D04"/>
    <w:rsid w:val="002D4D93"/>
    <w:rsid w:val="002D5119"/>
    <w:rsid w:val="002D58F9"/>
    <w:rsid w:val="002D59EC"/>
    <w:rsid w:val="002D5F49"/>
    <w:rsid w:val="002D5FC4"/>
    <w:rsid w:val="002D620D"/>
    <w:rsid w:val="002D6516"/>
    <w:rsid w:val="002D6CFD"/>
    <w:rsid w:val="002D70F3"/>
    <w:rsid w:val="002D7D1A"/>
    <w:rsid w:val="002D7E2D"/>
    <w:rsid w:val="002E033B"/>
    <w:rsid w:val="002E1195"/>
    <w:rsid w:val="002E17CA"/>
    <w:rsid w:val="002E1807"/>
    <w:rsid w:val="002E2305"/>
    <w:rsid w:val="002E244B"/>
    <w:rsid w:val="002E2782"/>
    <w:rsid w:val="002E2A3F"/>
    <w:rsid w:val="002E2B7F"/>
    <w:rsid w:val="002E354F"/>
    <w:rsid w:val="002E3756"/>
    <w:rsid w:val="002E3821"/>
    <w:rsid w:val="002E3AA4"/>
    <w:rsid w:val="002E3BF9"/>
    <w:rsid w:val="002E3E3E"/>
    <w:rsid w:val="002E3FE6"/>
    <w:rsid w:val="002E42F2"/>
    <w:rsid w:val="002E4563"/>
    <w:rsid w:val="002E4B0B"/>
    <w:rsid w:val="002E4E40"/>
    <w:rsid w:val="002E4F6B"/>
    <w:rsid w:val="002E4FCB"/>
    <w:rsid w:val="002E5C2C"/>
    <w:rsid w:val="002E5F7C"/>
    <w:rsid w:val="002E624E"/>
    <w:rsid w:val="002E69C2"/>
    <w:rsid w:val="002E71B4"/>
    <w:rsid w:val="002E78D7"/>
    <w:rsid w:val="002F07E5"/>
    <w:rsid w:val="002F0F14"/>
    <w:rsid w:val="002F12C0"/>
    <w:rsid w:val="002F15F5"/>
    <w:rsid w:val="002F1977"/>
    <w:rsid w:val="002F2626"/>
    <w:rsid w:val="002F3232"/>
    <w:rsid w:val="002F355A"/>
    <w:rsid w:val="002F3577"/>
    <w:rsid w:val="002F36D3"/>
    <w:rsid w:val="002F393F"/>
    <w:rsid w:val="002F3D8D"/>
    <w:rsid w:val="002F4017"/>
    <w:rsid w:val="002F44DA"/>
    <w:rsid w:val="002F46F7"/>
    <w:rsid w:val="002F4DFB"/>
    <w:rsid w:val="002F6A1D"/>
    <w:rsid w:val="002F6B80"/>
    <w:rsid w:val="002F6F08"/>
    <w:rsid w:val="002F6F15"/>
    <w:rsid w:val="002F6F71"/>
    <w:rsid w:val="002F72C8"/>
    <w:rsid w:val="002F7B46"/>
    <w:rsid w:val="00301598"/>
    <w:rsid w:val="00301A0E"/>
    <w:rsid w:val="00302060"/>
    <w:rsid w:val="0030259D"/>
    <w:rsid w:val="003027CD"/>
    <w:rsid w:val="0030340F"/>
    <w:rsid w:val="00303432"/>
    <w:rsid w:val="00303D9F"/>
    <w:rsid w:val="00303FB5"/>
    <w:rsid w:val="003047CF"/>
    <w:rsid w:val="00304911"/>
    <w:rsid w:val="00304990"/>
    <w:rsid w:val="00305055"/>
    <w:rsid w:val="00305746"/>
    <w:rsid w:val="003058A5"/>
    <w:rsid w:val="00305C7C"/>
    <w:rsid w:val="00305D37"/>
    <w:rsid w:val="003063DB"/>
    <w:rsid w:val="00306645"/>
    <w:rsid w:val="00306B8F"/>
    <w:rsid w:val="0030736C"/>
    <w:rsid w:val="00307503"/>
    <w:rsid w:val="0031006A"/>
    <w:rsid w:val="00310D00"/>
    <w:rsid w:val="00310ECF"/>
    <w:rsid w:val="0031196B"/>
    <w:rsid w:val="00311FD4"/>
    <w:rsid w:val="00312148"/>
    <w:rsid w:val="00312484"/>
    <w:rsid w:val="00312C1B"/>
    <w:rsid w:val="00312F8A"/>
    <w:rsid w:val="003130C2"/>
    <w:rsid w:val="0031344F"/>
    <w:rsid w:val="00313484"/>
    <w:rsid w:val="0031372B"/>
    <w:rsid w:val="0031372D"/>
    <w:rsid w:val="00313EF0"/>
    <w:rsid w:val="00313F0C"/>
    <w:rsid w:val="00313F31"/>
    <w:rsid w:val="003140F0"/>
    <w:rsid w:val="003144F2"/>
    <w:rsid w:val="00314510"/>
    <w:rsid w:val="003146B3"/>
    <w:rsid w:val="0031486E"/>
    <w:rsid w:val="00314D5C"/>
    <w:rsid w:val="00314DAB"/>
    <w:rsid w:val="00314FEF"/>
    <w:rsid w:val="003150FD"/>
    <w:rsid w:val="003159C6"/>
    <w:rsid w:val="00317048"/>
    <w:rsid w:val="0031716A"/>
    <w:rsid w:val="00317CD2"/>
    <w:rsid w:val="003203B0"/>
    <w:rsid w:val="00320CAE"/>
    <w:rsid w:val="003218EE"/>
    <w:rsid w:val="00321E8E"/>
    <w:rsid w:val="00322279"/>
    <w:rsid w:val="003224DF"/>
    <w:rsid w:val="00322EF4"/>
    <w:rsid w:val="00323206"/>
    <w:rsid w:val="003232B4"/>
    <w:rsid w:val="0032334F"/>
    <w:rsid w:val="003233A8"/>
    <w:rsid w:val="00323D66"/>
    <w:rsid w:val="0032492E"/>
    <w:rsid w:val="00324B85"/>
    <w:rsid w:val="00324DBF"/>
    <w:rsid w:val="0032579B"/>
    <w:rsid w:val="00325E9A"/>
    <w:rsid w:val="00326992"/>
    <w:rsid w:val="00326995"/>
    <w:rsid w:val="00326AC4"/>
    <w:rsid w:val="00326F39"/>
    <w:rsid w:val="00326F5D"/>
    <w:rsid w:val="00326FE3"/>
    <w:rsid w:val="00327F67"/>
    <w:rsid w:val="003308A0"/>
    <w:rsid w:val="003315B0"/>
    <w:rsid w:val="00331B91"/>
    <w:rsid w:val="00331DDD"/>
    <w:rsid w:val="00331E0C"/>
    <w:rsid w:val="003321C8"/>
    <w:rsid w:val="0033278D"/>
    <w:rsid w:val="00332BC6"/>
    <w:rsid w:val="00334222"/>
    <w:rsid w:val="00334600"/>
    <w:rsid w:val="00334699"/>
    <w:rsid w:val="003348F7"/>
    <w:rsid w:val="00335CA3"/>
    <w:rsid w:val="0033676C"/>
    <w:rsid w:val="00336ED3"/>
    <w:rsid w:val="003374CD"/>
    <w:rsid w:val="00337BDE"/>
    <w:rsid w:val="00340377"/>
    <w:rsid w:val="003405FC"/>
    <w:rsid w:val="00340647"/>
    <w:rsid w:val="0034075A"/>
    <w:rsid w:val="00340796"/>
    <w:rsid w:val="00340A0E"/>
    <w:rsid w:val="00340B08"/>
    <w:rsid w:val="00340E2D"/>
    <w:rsid w:val="00340FEA"/>
    <w:rsid w:val="00342DF9"/>
    <w:rsid w:val="00343070"/>
    <w:rsid w:val="0034380C"/>
    <w:rsid w:val="003440E2"/>
    <w:rsid w:val="0034478C"/>
    <w:rsid w:val="00344BCC"/>
    <w:rsid w:val="003455DE"/>
    <w:rsid w:val="003456E7"/>
    <w:rsid w:val="0034570B"/>
    <w:rsid w:val="00345C28"/>
    <w:rsid w:val="00345EB6"/>
    <w:rsid w:val="0034609D"/>
    <w:rsid w:val="00347AFD"/>
    <w:rsid w:val="00350C84"/>
    <w:rsid w:val="00350CA3"/>
    <w:rsid w:val="003511F7"/>
    <w:rsid w:val="00351386"/>
    <w:rsid w:val="00351630"/>
    <w:rsid w:val="00351AFF"/>
    <w:rsid w:val="00351D52"/>
    <w:rsid w:val="00352801"/>
    <w:rsid w:val="00353360"/>
    <w:rsid w:val="003535A9"/>
    <w:rsid w:val="003535AC"/>
    <w:rsid w:val="00353A7B"/>
    <w:rsid w:val="00353F8F"/>
    <w:rsid w:val="00354029"/>
    <w:rsid w:val="00354ED2"/>
    <w:rsid w:val="003550D5"/>
    <w:rsid w:val="00355475"/>
    <w:rsid w:val="003556E6"/>
    <w:rsid w:val="00355D69"/>
    <w:rsid w:val="003566CA"/>
    <w:rsid w:val="003574F6"/>
    <w:rsid w:val="003575D3"/>
    <w:rsid w:val="0035766C"/>
    <w:rsid w:val="003576C4"/>
    <w:rsid w:val="00357E1D"/>
    <w:rsid w:val="00360161"/>
    <w:rsid w:val="00360835"/>
    <w:rsid w:val="003613A0"/>
    <w:rsid w:val="00362A95"/>
    <w:rsid w:val="00362AF4"/>
    <w:rsid w:val="0036307F"/>
    <w:rsid w:val="00363FD0"/>
    <w:rsid w:val="00364300"/>
    <w:rsid w:val="00364C90"/>
    <w:rsid w:val="00366101"/>
    <w:rsid w:val="003661B9"/>
    <w:rsid w:val="003674A1"/>
    <w:rsid w:val="003678CC"/>
    <w:rsid w:val="00370859"/>
    <w:rsid w:val="00371166"/>
    <w:rsid w:val="003711CB"/>
    <w:rsid w:val="00371B11"/>
    <w:rsid w:val="00371C69"/>
    <w:rsid w:val="00371CB1"/>
    <w:rsid w:val="00371D24"/>
    <w:rsid w:val="00371E5F"/>
    <w:rsid w:val="00371F47"/>
    <w:rsid w:val="003721D6"/>
    <w:rsid w:val="00372C64"/>
    <w:rsid w:val="00372E7B"/>
    <w:rsid w:val="00372EC6"/>
    <w:rsid w:val="003730B8"/>
    <w:rsid w:val="00373537"/>
    <w:rsid w:val="00374200"/>
    <w:rsid w:val="00374250"/>
    <w:rsid w:val="00375667"/>
    <w:rsid w:val="00375EDB"/>
    <w:rsid w:val="00376575"/>
    <w:rsid w:val="003765B5"/>
    <w:rsid w:val="003775EB"/>
    <w:rsid w:val="003777DC"/>
    <w:rsid w:val="00377841"/>
    <w:rsid w:val="00377B3B"/>
    <w:rsid w:val="00381CE4"/>
    <w:rsid w:val="00381F95"/>
    <w:rsid w:val="003828A3"/>
    <w:rsid w:val="00382C82"/>
    <w:rsid w:val="00382CF4"/>
    <w:rsid w:val="00383050"/>
    <w:rsid w:val="00383A16"/>
    <w:rsid w:val="00383C63"/>
    <w:rsid w:val="00383DB5"/>
    <w:rsid w:val="00384CD1"/>
    <w:rsid w:val="00384F12"/>
    <w:rsid w:val="00385279"/>
    <w:rsid w:val="00385C29"/>
    <w:rsid w:val="00386928"/>
    <w:rsid w:val="003875A5"/>
    <w:rsid w:val="0039023B"/>
    <w:rsid w:val="003925E0"/>
    <w:rsid w:val="00392B46"/>
    <w:rsid w:val="00392B7F"/>
    <w:rsid w:val="00393068"/>
    <w:rsid w:val="00393EED"/>
    <w:rsid w:val="00393FD3"/>
    <w:rsid w:val="00394F33"/>
    <w:rsid w:val="00395153"/>
    <w:rsid w:val="00395657"/>
    <w:rsid w:val="00395770"/>
    <w:rsid w:val="003957CF"/>
    <w:rsid w:val="00396CFF"/>
    <w:rsid w:val="003971B7"/>
    <w:rsid w:val="003972A3"/>
    <w:rsid w:val="00397C66"/>
    <w:rsid w:val="003A0395"/>
    <w:rsid w:val="003A0581"/>
    <w:rsid w:val="003A0740"/>
    <w:rsid w:val="003A099A"/>
    <w:rsid w:val="003A0B0E"/>
    <w:rsid w:val="003A13EA"/>
    <w:rsid w:val="003A143E"/>
    <w:rsid w:val="003A1441"/>
    <w:rsid w:val="003A15F4"/>
    <w:rsid w:val="003A19CF"/>
    <w:rsid w:val="003A1BF7"/>
    <w:rsid w:val="003A1C09"/>
    <w:rsid w:val="003A20C5"/>
    <w:rsid w:val="003A26EC"/>
    <w:rsid w:val="003A292B"/>
    <w:rsid w:val="003A296F"/>
    <w:rsid w:val="003A2F0C"/>
    <w:rsid w:val="003A2F7B"/>
    <w:rsid w:val="003A3362"/>
    <w:rsid w:val="003A3E8D"/>
    <w:rsid w:val="003A581E"/>
    <w:rsid w:val="003A5D47"/>
    <w:rsid w:val="003A6144"/>
    <w:rsid w:val="003A65AB"/>
    <w:rsid w:val="003A6715"/>
    <w:rsid w:val="003B04E2"/>
    <w:rsid w:val="003B0A36"/>
    <w:rsid w:val="003B0C15"/>
    <w:rsid w:val="003B1273"/>
    <w:rsid w:val="003B173B"/>
    <w:rsid w:val="003B174E"/>
    <w:rsid w:val="003B18D4"/>
    <w:rsid w:val="003B266A"/>
    <w:rsid w:val="003B2CFB"/>
    <w:rsid w:val="003B2F3D"/>
    <w:rsid w:val="003B408E"/>
    <w:rsid w:val="003B4A09"/>
    <w:rsid w:val="003B4A6D"/>
    <w:rsid w:val="003B4BFD"/>
    <w:rsid w:val="003B4DA4"/>
    <w:rsid w:val="003B5280"/>
    <w:rsid w:val="003B52CC"/>
    <w:rsid w:val="003B6D53"/>
    <w:rsid w:val="003B6E18"/>
    <w:rsid w:val="003B7910"/>
    <w:rsid w:val="003B7994"/>
    <w:rsid w:val="003B7A3D"/>
    <w:rsid w:val="003C0534"/>
    <w:rsid w:val="003C1835"/>
    <w:rsid w:val="003C197A"/>
    <w:rsid w:val="003C22BD"/>
    <w:rsid w:val="003C2691"/>
    <w:rsid w:val="003C348F"/>
    <w:rsid w:val="003C3A89"/>
    <w:rsid w:val="003C3D62"/>
    <w:rsid w:val="003C4658"/>
    <w:rsid w:val="003C56C8"/>
    <w:rsid w:val="003C59CE"/>
    <w:rsid w:val="003C6023"/>
    <w:rsid w:val="003C6613"/>
    <w:rsid w:val="003C68E0"/>
    <w:rsid w:val="003C72DA"/>
    <w:rsid w:val="003C7C3C"/>
    <w:rsid w:val="003D096F"/>
    <w:rsid w:val="003D09DB"/>
    <w:rsid w:val="003D0ECE"/>
    <w:rsid w:val="003D1158"/>
    <w:rsid w:val="003D1251"/>
    <w:rsid w:val="003D1FD6"/>
    <w:rsid w:val="003D20B8"/>
    <w:rsid w:val="003D2220"/>
    <w:rsid w:val="003D2B89"/>
    <w:rsid w:val="003D3013"/>
    <w:rsid w:val="003D3338"/>
    <w:rsid w:val="003D3881"/>
    <w:rsid w:val="003D3D31"/>
    <w:rsid w:val="003D3F3E"/>
    <w:rsid w:val="003D40C5"/>
    <w:rsid w:val="003D45A9"/>
    <w:rsid w:val="003D45BB"/>
    <w:rsid w:val="003D4678"/>
    <w:rsid w:val="003D47FE"/>
    <w:rsid w:val="003D4C74"/>
    <w:rsid w:val="003D4CD8"/>
    <w:rsid w:val="003D5004"/>
    <w:rsid w:val="003D5071"/>
    <w:rsid w:val="003D5DED"/>
    <w:rsid w:val="003D631D"/>
    <w:rsid w:val="003D6737"/>
    <w:rsid w:val="003D678B"/>
    <w:rsid w:val="003D6835"/>
    <w:rsid w:val="003D6D2A"/>
    <w:rsid w:val="003D700A"/>
    <w:rsid w:val="003D72EE"/>
    <w:rsid w:val="003D7F4F"/>
    <w:rsid w:val="003E0072"/>
    <w:rsid w:val="003E05F4"/>
    <w:rsid w:val="003E0878"/>
    <w:rsid w:val="003E0B22"/>
    <w:rsid w:val="003E1B5E"/>
    <w:rsid w:val="003E30BE"/>
    <w:rsid w:val="003E3C3E"/>
    <w:rsid w:val="003E40C8"/>
    <w:rsid w:val="003E416E"/>
    <w:rsid w:val="003E46C4"/>
    <w:rsid w:val="003E4B06"/>
    <w:rsid w:val="003E5785"/>
    <w:rsid w:val="003E58CE"/>
    <w:rsid w:val="003E5C60"/>
    <w:rsid w:val="003E648D"/>
    <w:rsid w:val="003E6894"/>
    <w:rsid w:val="003E6E23"/>
    <w:rsid w:val="003E6EC1"/>
    <w:rsid w:val="003E71AA"/>
    <w:rsid w:val="003E7BC4"/>
    <w:rsid w:val="003F0917"/>
    <w:rsid w:val="003F1DC6"/>
    <w:rsid w:val="003F2443"/>
    <w:rsid w:val="003F3E84"/>
    <w:rsid w:val="003F4537"/>
    <w:rsid w:val="003F473B"/>
    <w:rsid w:val="003F5214"/>
    <w:rsid w:val="003F54D4"/>
    <w:rsid w:val="003F55C2"/>
    <w:rsid w:val="003F5AB2"/>
    <w:rsid w:val="003F642B"/>
    <w:rsid w:val="003F6602"/>
    <w:rsid w:val="003F682D"/>
    <w:rsid w:val="003F74A3"/>
    <w:rsid w:val="003F74A8"/>
    <w:rsid w:val="0040023A"/>
    <w:rsid w:val="004007A2"/>
    <w:rsid w:val="00400953"/>
    <w:rsid w:val="00401617"/>
    <w:rsid w:val="00401B0E"/>
    <w:rsid w:val="00401E96"/>
    <w:rsid w:val="00402916"/>
    <w:rsid w:val="004031EE"/>
    <w:rsid w:val="00403220"/>
    <w:rsid w:val="004039D1"/>
    <w:rsid w:val="004039E5"/>
    <w:rsid w:val="00403C40"/>
    <w:rsid w:val="00404350"/>
    <w:rsid w:val="0040443B"/>
    <w:rsid w:val="00404887"/>
    <w:rsid w:val="00404D67"/>
    <w:rsid w:val="00405046"/>
    <w:rsid w:val="0040524D"/>
    <w:rsid w:val="00405BD5"/>
    <w:rsid w:val="00405E30"/>
    <w:rsid w:val="00406052"/>
    <w:rsid w:val="004067F4"/>
    <w:rsid w:val="00406AD4"/>
    <w:rsid w:val="004070BF"/>
    <w:rsid w:val="00407333"/>
    <w:rsid w:val="0040761D"/>
    <w:rsid w:val="00410184"/>
    <w:rsid w:val="0041046A"/>
    <w:rsid w:val="00410D99"/>
    <w:rsid w:val="00411438"/>
    <w:rsid w:val="004120D7"/>
    <w:rsid w:val="00412570"/>
    <w:rsid w:val="004125B5"/>
    <w:rsid w:val="004126D3"/>
    <w:rsid w:val="0041273E"/>
    <w:rsid w:val="00412A57"/>
    <w:rsid w:val="00412E46"/>
    <w:rsid w:val="004131EA"/>
    <w:rsid w:val="00413818"/>
    <w:rsid w:val="00414121"/>
    <w:rsid w:val="004141C7"/>
    <w:rsid w:val="00414703"/>
    <w:rsid w:val="00414CAD"/>
    <w:rsid w:val="00415602"/>
    <w:rsid w:val="00415603"/>
    <w:rsid w:val="00415959"/>
    <w:rsid w:val="004162BF"/>
    <w:rsid w:val="004167EE"/>
    <w:rsid w:val="00417132"/>
    <w:rsid w:val="004202DF"/>
    <w:rsid w:val="00420881"/>
    <w:rsid w:val="00420A26"/>
    <w:rsid w:val="00420D73"/>
    <w:rsid w:val="00420FB9"/>
    <w:rsid w:val="00421833"/>
    <w:rsid w:val="00421883"/>
    <w:rsid w:val="0042214F"/>
    <w:rsid w:val="00422153"/>
    <w:rsid w:val="00422439"/>
    <w:rsid w:val="00422C6F"/>
    <w:rsid w:val="0042398F"/>
    <w:rsid w:val="00423BEB"/>
    <w:rsid w:val="00423EE2"/>
    <w:rsid w:val="004250E6"/>
    <w:rsid w:val="004253EC"/>
    <w:rsid w:val="00425562"/>
    <w:rsid w:val="00425C35"/>
    <w:rsid w:val="004260DE"/>
    <w:rsid w:val="004261B4"/>
    <w:rsid w:val="0042731A"/>
    <w:rsid w:val="00430027"/>
    <w:rsid w:val="00430078"/>
    <w:rsid w:val="00430DFE"/>
    <w:rsid w:val="0043160F"/>
    <w:rsid w:val="00431F8F"/>
    <w:rsid w:val="004320F9"/>
    <w:rsid w:val="0043377B"/>
    <w:rsid w:val="0043465E"/>
    <w:rsid w:val="00434668"/>
    <w:rsid w:val="00434A1A"/>
    <w:rsid w:val="00435278"/>
    <w:rsid w:val="004352DE"/>
    <w:rsid w:val="00435570"/>
    <w:rsid w:val="00435AA3"/>
    <w:rsid w:val="004364E1"/>
    <w:rsid w:val="00436505"/>
    <w:rsid w:val="00437773"/>
    <w:rsid w:val="00437EBF"/>
    <w:rsid w:val="0044071D"/>
    <w:rsid w:val="0044082B"/>
    <w:rsid w:val="0044123D"/>
    <w:rsid w:val="00441A32"/>
    <w:rsid w:val="00441F1A"/>
    <w:rsid w:val="004427F1"/>
    <w:rsid w:val="004427F4"/>
    <w:rsid w:val="00443297"/>
    <w:rsid w:val="00443935"/>
    <w:rsid w:val="004439B4"/>
    <w:rsid w:val="0044489C"/>
    <w:rsid w:val="00445236"/>
    <w:rsid w:val="0044552A"/>
    <w:rsid w:val="004459D4"/>
    <w:rsid w:val="00446090"/>
    <w:rsid w:val="00446161"/>
    <w:rsid w:val="004467EF"/>
    <w:rsid w:val="00446808"/>
    <w:rsid w:val="00446F27"/>
    <w:rsid w:val="0044756D"/>
    <w:rsid w:val="00447728"/>
    <w:rsid w:val="004502E8"/>
    <w:rsid w:val="00450FDB"/>
    <w:rsid w:val="00451593"/>
    <w:rsid w:val="00451BDC"/>
    <w:rsid w:val="00451D78"/>
    <w:rsid w:val="00451FA8"/>
    <w:rsid w:val="00452949"/>
    <w:rsid w:val="00452C7B"/>
    <w:rsid w:val="00453335"/>
    <w:rsid w:val="00453997"/>
    <w:rsid w:val="00453C62"/>
    <w:rsid w:val="004542EC"/>
    <w:rsid w:val="00454353"/>
    <w:rsid w:val="004544AC"/>
    <w:rsid w:val="00454699"/>
    <w:rsid w:val="0045474E"/>
    <w:rsid w:val="00454BA7"/>
    <w:rsid w:val="004550D4"/>
    <w:rsid w:val="0045515B"/>
    <w:rsid w:val="00455540"/>
    <w:rsid w:val="00455BBB"/>
    <w:rsid w:val="004561EF"/>
    <w:rsid w:val="00456226"/>
    <w:rsid w:val="00456B76"/>
    <w:rsid w:val="00456C0F"/>
    <w:rsid w:val="00457A9E"/>
    <w:rsid w:val="004613BE"/>
    <w:rsid w:val="004616F6"/>
    <w:rsid w:val="00461B5D"/>
    <w:rsid w:val="00461C08"/>
    <w:rsid w:val="00462139"/>
    <w:rsid w:val="004628A7"/>
    <w:rsid w:val="004633C2"/>
    <w:rsid w:val="0046373D"/>
    <w:rsid w:val="0046391C"/>
    <w:rsid w:val="00463C45"/>
    <w:rsid w:val="00463E59"/>
    <w:rsid w:val="00463E7D"/>
    <w:rsid w:val="00463F0A"/>
    <w:rsid w:val="0046474B"/>
    <w:rsid w:val="0046479D"/>
    <w:rsid w:val="004647CF"/>
    <w:rsid w:val="00465212"/>
    <w:rsid w:val="004654FD"/>
    <w:rsid w:val="00465CB8"/>
    <w:rsid w:val="00466023"/>
    <w:rsid w:val="00466263"/>
    <w:rsid w:val="00466683"/>
    <w:rsid w:val="004666C6"/>
    <w:rsid w:val="004673CA"/>
    <w:rsid w:val="004675EB"/>
    <w:rsid w:val="00467AC4"/>
    <w:rsid w:val="00467D12"/>
    <w:rsid w:val="00467EA9"/>
    <w:rsid w:val="00467F3E"/>
    <w:rsid w:val="004704C1"/>
    <w:rsid w:val="0047089C"/>
    <w:rsid w:val="00470EB6"/>
    <w:rsid w:val="00470F75"/>
    <w:rsid w:val="0047139B"/>
    <w:rsid w:val="00472192"/>
    <w:rsid w:val="004727DD"/>
    <w:rsid w:val="004727ED"/>
    <w:rsid w:val="00472FA8"/>
    <w:rsid w:val="004730EE"/>
    <w:rsid w:val="0047318A"/>
    <w:rsid w:val="00473414"/>
    <w:rsid w:val="00473625"/>
    <w:rsid w:val="00473B86"/>
    <w:rsid w:val="00473DA0"/>
    <w:rsid w:val="00473F35"/>
    <w:rsid w:val="004757CE"/>
    <w:rsid w:val="0047587B"/>
    <w:rsid w:val="00475D94"/>
    <w:rsid w:val="00476785"/>
    <w:rsid w:val="004767D0"/>
    <w:rsid w:val="004769DB"/>
    <w:rsid w:val="0048085F"/>
    <w:rsid w:val="0048178E"/>
    <w:rsid w:val="004829D6"/>
    <w:rsid w:val="00482EBE"/>
    <w:rsid w:val="004831D5"/>
    <w:rsid w:val="00484568"/>
    <w:rsid w:val="00484C3A"/>
    <w:rsid w:val="00484CB5"/>
    <w:rsid w:val="00485938"/>
    <w:rsid w:val="00485F80"/>
    <w:rsid w:val="0048637F"/>
    <w:rsid w:val="00486BE7"/>
    <w:rsid w:val="00486C82"/>
    <w:rsid w:val="0048735B"/>
    <w:rsid w:val="004875AB"/>
    <w:rsid w:val="00487D9E"/>
    <w:rsid w:val="004900D1"/>
    <w:rsid w:val="004902E7"/>
    <w:rsid w:val="004908E1"/>
    <w:rsid w:val="00490B29"/>
    <w:rsid w:val="004911B8"/>
    <w:rsid w:val="0049122F"/>
    <w:rsid w:val="0049131E"/>
    <w:rsid w:val="0049150D"/>
    <w:rsid w:val="00491874"/>
    <w:rsid w:val="00491C99"/>
    <w:rsid w:val="00494254"/>
    <w:rsid w:val="004947C9"/>
    <w:rsid w:val="004953D2"/>
    <w:rsid w:val="00495435"/>
    <w:rsid w:val="00495794"/>
    <w:rsid w:val="00495912"/>
    <w:rsid w:val="00495C51"/>
    <w:rsid w:val="00496321"/>
    <w:rsid w:val="00496DF3"/>
    <w:rsid w:val="004975EA"/>
    <w:rsid w:val="00497E1B"/>
    <w:rsid w:val="004A0147"/>
    <w:rsid w:val="004A0249"/>
    <w:rsid w:val="004A126C"/>
    <w:rsid w:val="004A15A5"/>
    <w:rsid w:val="004A184B"/>
    <w:rsid w:val="004A1EE3"/>
    <w:rsid w:val="004A2497"/>
    <w:rsid w:val="004A27CD"/>
    <w:rsid w:val="004A2A49"/>
    <w:rsid w:val="004A32FC"/>
    <w:rsid w:val="004A336E"/>
    <w:rsid w:val="004A3D13"/>
    <w:rsid w:val="004A48DE"/>
    <w:rsid w:val="004A4AD6"/>
    <w:rsid w:val="004A4DAB"/>
    <w:rsid w:val="004A5187"/>
    <w:rsid w:val="004A53AC"/>
    <w:rsid w:val="004A56EB"/>
    <w:rsid w:val="004A5DB6"/>
    <w:rsid w:val="004A6182"/>
    <w:rsid w:val="004A625D"/>
    <w:rsid w:val="004A6364"/>
    <w:rsid w:val="004A75B0"/>
    <w:rsid w:val="004A7E27"/>
    <w:rsid w:val="004B175B"/>
    <w:rsid w:val="004B1E06"/>
    <w:rsid w:val="004B2466"/>
    <w:rsid w:val="004B398B"/>
    <w:rsid w:val="004B3998"/>
    <w:rsid w:val="004B3C87"/>
    <w:rsid w:val="004B409F"/>
    <w:rsid w:val="004B4B3C"/>
    <w:rsid w:val="004B4BF0"/>
    <w:rsid w:val="004B5239"/>
    <w:rsid w:val="004B5289"/>
    <w:rsid w:val="004B5B0B"/>
    <w:rsid w:val="004B6AA0"/>
    <w:rsid w:val="004B6F3A"/>
    <w:rsid w:val="004B737F"/>
    <w:rsid w:val="004B7528"/>
    <w:rsid w:val="004C0157"/>
    <w:rsid w:val="004C0E8E"/>
    <w:rsid w:val="004C1778"/>
    <w:rsid w:val="004C1930"/>
    <w:rsid w:val="004C1ACC"/>
    <w:rsid w:val="004C1AE2"/>
    <w:rsid w:val="004C1CF0"/>
    <w:rsid w:val="004C1F47"/>
    <w:rsid w:val="004C25EB"/>
    <w:rsid w:val="004C2B48"/>
    <w:rsid w:val="004C4E55"/>
    <w:rsid w:val="004C551B"/>
    <w:rsid w:val="004C56F4"/>
    <w:rsid w:val="004C5AF7"/>
    <w:rsid w:val="004C5C00"/>
    <w:rsid w:val="004C5FC9"/>
    <w:rsid w:val="004C6CBB"/>
    <w:rsid w:val="004C6DB3"/>
    <w:rsid w:val="004C7197"/>
    <w:rsid w:val="004C76B1"/>
    <w:rsid w:val="004C7FCB"/>
    <w:rsid w:val="004D0270"/>
    <w:rsid w:val="004D027D"/>
    <w:rsid w:val="004D0419"/>
    <w:rsid w:val="004D08FC"/>
    <w:rsid w:val="004D0FA3"/>
    <w:rsid w:val="004D1193"/>
    <w:rsid w:val="004D1834"/>
    <w:rsid w:val="004D1DAA"/>
    <w:rsid w:val="004D1E1A"/>
    <w:rsid w:val="004D1ECD"/>
    <w:rsid w:val="004D2397"/>
    <w:rsid w:val="004D2F24"/>
    <w:rsid w:val="004D33B0"/>
    <w:rsid w:val="004D37A4"/>
    <w:rsid w:val="004D4315"/>
    <w:rsid w:val="004D45DF"/>
    <w:rsid w:val="004D49E9"/>
    <w:rsid w:val="004D4C21"/>
    <w:rsid w:val="004D55C7"/>
    <w:rsid w:val="004D5B40"/>
    <w:rsid w:val="004D61EE"/>
    <w:rsid w:val="004D657F"/>
    <w:rsid w:val="004D6E2C"/>
    <w:rsid w:val="004D6F26"/>
    <w:rsid w:val="004D6FBA"/>
    <w:rsid w:val="004D7951"/>
    <w:rsid w:val="004E00F1"/>
    <w:rsid w:val="004E09BD"/>
    <w:rsid w:val="004E0EF3"/>
    <w:rsid w:val="004E1129"/>
    <w:rsid w:val="004E18C4"/>
    <w:rsid w:val="004E19FA"/>
    <w:rsid w:val="004E1E30"/>
    <w:rsid w:val="004E284C"/>
    <w:rsid w:val="004E2C05"/>
    <w:rsid w:val="004E34BA"/>
    <w:rsid w:val="004E35FA"/>
    <w:rsid w:val="004E37D7"/>
    <w:rsid w:val="004E3897"/>
    <w:rsid w:val="004E38AF"/>
    <w:rsid w:val="004E3A5F"/>
    <w:rsid w:val="004E42FF"/>
    <w:rsid w:val="004E4C6F"/>
    <w:rsid w:val="004E636A"/>
    <w:rsid w:val="004E67B9"/>
    <w:rsid w:val="004E6B38"/>
    <w:rsid w:val="004E6E62"/>
    <w:rsid w:val="004E7965"/>
    <w:rsid w:val="004E7FE9"/>
    <w:rsid w:val="004F0497"/>
    <w:rsid w:val="004F0C61"/>
    <w:rsid w:val="004F0C8A"/>
    <w:rsid w:val="004F0D4E"/>
    <w:rsid w:val="004F124A"/>
    <w:rsid w:val="004F31EA"/>
    <w:rsid w:val="004F32DE"/>
    <w:rsid w:val="004F3377"/>
    <w:rsid w:val="004F3F7A"/>
    <w:rsid w:val="004F4494"/>
    <w:rsid w:val="004F48A1"/>
    <w:rsid w:val="004F4E97"/>
    <w:rsid w:val="004F54A1"/>
    <w:rsid w:val="004F54BC"/>
    <w:rsid w:val="004F5EA4"/>
    <w:rsid w:val="004F754C"/>
    <w:rsid w:val="004F7E8A"/>
    <w:rsid w:val="0050055B"/>
    <w:rsid w:val="0050074B"/>
    <w:rsid w:val="00500E5E"/>
    <w:rsid w:val="00501133"/>
    <w:rsid w:val="00501134"/>
    <w:rsid w:val="0050131A"/>
    <w:rsid w:val="005020C8"/>
    <w:rsid w:val="0050241B"/>
    <w:rsid w:val="0050268E"/>
    <w:rsid w:val="00502966"/>
    <w:rsid w:val="00502F54"/>
    <w:rsid w:val="005035E6"/>
    <w:rsid w:val="005036A9"/>
    <w:rsid w:val="00503CF0"/>
    <w:rsid w:val="00503F06"/>
    <w:rsid w:val="00504249"/>
    <w:rsid w:val="00504DF9"/>
    <w:rsid w:val="00505631"/>
    <w:rsid w:val="00505BA0"/>
    <w:rsid w:val="0050684A"/>
    <w:rsid w:val="005069D0"/>
    <w:rsid w:val="00506A8D"/>
    <w:rsid w:val="00506C68"/>
    <w:rsid w:val="00506F4A"/>
    <w:rsid w:val="00506F55"/>
    <w:rsid w:val="005071E6"/>
    <w:rsid w:val="00507839"/>
    <w:rsid w:val="005079F3"/>
    <w:rsid w:val="00507D05"/>
    <w:rsid w:val="005101CA"/>
    <w:rsid w:val="00510268"/>
    <w:rsid w:val="00510634"/>
    <w:rsid w:val="00510B9B"/>
    <w:rsid w:val="00510D4E"/>
    <w:rsid w:val="00511E88"/>
    <w:rsid w:val="00511F7D"/>
    <w:rsid w:val="00512447"/>
    <w:rsid w:val="00512694"/>
    <w:rsid w:val="00512ACE"/>
    <w:rsid w:val="00512D5A"/>
    <w:rsid w:val="00512F7E"/>
    <w:rsid w:val="00513154"/>
    <w:rsid w:val="005133A3"/>
    <w:rsid w:val="00513AE5"/>
    <w:rsid w:val="00514300"/>
    <w:rsid w:val="0051468E"/>
    <w:rsid w:val="0051486B"/>
    <w:rsid w:val="005150F5"/>
    <w:rsid w:val="00515283"/>
    <w:rsid w:val="00515396"/>
    <w:rsid w:val="00515FE4"/>
    <w:rsid w:val="005169AE"/>
    <w:rsid w:val="00516D1C"/>
    <w:rsid w:val="00516DF0"/>
    <w:rsid w:val="005174C6"/>
    <w:rsid w:val="00517857"/>
    <w:rsid w:val="00517A62"/>
    <w:rsid w:val="00517E68"/>
    <w:rsid w:val="00520577"/>
    <w:rsid w:val="00520894"/>
    <w:rsid w:val="005208C9"/>
    <w:rsid w:val="00520DDD"/>
    <w:rsid w:val="00520EA7"/>
    <w:rsid w:val="005211FC"/>
    <w:rsid w:val="00521C94"/>
    <w:rsid w:val="00521EE1"/>
    <w:rsid w:val="005221E8"/>
    <w:rsid w:val="005223C7"/>
    <w:rsid w:val="005230CA"/>
    <w:rsid w:val="00524194"/>
    <w:rsid w:val="00524276"/>
    <w:rsid w:val="005242B4"/>
    <w:rsid w:val="0052466A"/>
    <w:rsid w:val="00525721"/>
    <w:rsid w:val="00526218"/>
    <w:rsid w:val="00526DCB"/>
    <w:rsid w:val="00526F1E"/>
    <w:rsid w:val="00526F96"/>
    <w:rsid w:val="00527531"/>
    <w:rsid w:val="0052787A"/>
    <w:rsid w:val="00527F9A"/>
    <w:rsid w:val="00530B6B"/>
    <w:rsid w:val="00531127"/>
    <w:rsid w:val="0053121C"/>
    <w:rsid w:val="0053132C"/>
    <w:rsid w:val="00531488"/>
    <w:rsid w:val="00531785"/>
    <w:rsid w:val="00531841"/>
    <w:rsid w:val="00531BC0"/>
    <w:rsid w:val="00531E1B"/>
    <w:rsid w:val="00531EBB"/>
    <w:rsid w:val="005326F5"/>
    <w:rsid w:val="00532EE0"/>
    <w:rsid w:val="0053302D"/>
    <w:rsid w:val="005330B9"/>
    <w:rsid w:val="00533310"/>
    <w:rsid w:val="0053341E"/>
    <w:rsid w:val="00533CC9"/>
    <w:rsid w:val="0053406A"/>
    <w:rsid w:val="00534219"/>
    <w:rsid w:val="0053443E"/>
    <w:rsid w:val="00534446"/>
    <w:rsid w:val="0053446D"/>
    <w:rsid w:val="00534619"/>
    <w:rsid w:val="00535241"/>
    <w:rsid w:val="0053582B"/>
    <w:rsid w:val="00535D77"/>
    <w:rsid w:val="00536752"/>
    <w:rsid w:val="00536A79"/>
    <w:rsid w:val="00536C67"/>
    <w:rsid w:val="00537558"/>
    <w:rsid w:val="00537C22"/>
    <w:rsid w:val="00540076"/>
    <w:rsid w:val="00540348"/>
    <w:rsid w:val="005403DA"/>
    <w:rsid w:val="00540A50"/>
    <w:rsid w:val="00540F48"/>
    <w:rsid w:val="005417EA"/>
    <w:rsid w:val="00541870"/>
    <w:rsid w:val="005418B6"/>
    <w:rsid w:val="0054259A"/>
    <w:rsid w:val="00542645"/>
    <w:rsid w:val="005426F2"/>
    <w:rsid w:val="005429EC"/>
    <w:rsid w:val="00542B64"/>
    <w:rsid w:val="005430C0"/>
    <w:rsid w:val="00543699"/>
    <w:rsid w:val="00543BFC"/>
    <w:rsid w:val="00544BF9"/>
    <w:rsid w:val="00544F27"/>
    <w:rsid w:val="00545732"/>
    <w:rsid w:val="005459A5"/>
    <w:rsid w:val="00545FCF"/>
    <w:rsid w:val="00546173"/>
    <w:rsid w:val="005461A3"/>
    <w:rsid w:val="00546760"/>
    <w:rsid w:val="0054691D"/>
    <w:rsid w:val="00546F01"/>
    <w:rsid w:val="00547423"/>
    <w:rsid w:val="00547875"/>
    <w:rsid w:val="00547E81"/>
    <w:rsid w:val="00547F08"/>
    <w:rsid w:val="00547F95"/>
    <w:rsid w:val="00550A50"/>
    <w:rsid w:val="00551163"/>
    <w:rsid w:val="005512F0"/>
    <w:rsid w:val="00551680"/>
    <w:rsid w:val="00551AC5"/>
    <w:rsid w:val="00551FE5"/>
    <w:rsid w:val="005522F9"/>
    <w:rsid w:val="00552391"/>
    <w:rsid w:val="005526F6"/>
    <w:rsid w:val="00552797"/>
    <w:rsid w:val="00552F1F"/>
    <w:rsid w:val="00553569"/>
    <w:rsid w:val="005537B9"/>
    <w:rsid w:val="005537F2"/>
    <w:rsid w:val="005539E7"/>
    <w:rsid w:val="005544C7"/>
    <w:rsid w:val="00554989"/>
    <w:rsid w:val="00554A5F"/>
    <w:rsid w:val="00554E2B"/>
    <w:rsid w:val="00555299"/>
    <w:rsid w:val="005559CF"/>
    <w:rsid w:val="00555D34"/>
    <w:rsid w:val="00555F25"/>
    <w:rsid w:val="0055699C"/>
    <w:rsid w:val="00556C01"/>
    <w:rsid w:val="005603D6"/>
    <w:rsid w:val="00560F4E"/>
    <w:rsid w:val="00561DF9"/>
    <w:rsid w:val="005622AD"/>
    <w:rsid w:val="00562914"/>
    <w:rsid w:val="00562998"/>
    <w:rsid w:val="00562B11"/>
    <w:rsid w:val="00562DBC"/>
    <w:rsid w:val="005635D7"/>
    <w:rsid w:val="00563D8D"/>
    <w:rsid w:val="00564A56"/>
    <w:rsid w:val="00564AA6"/>
    <w:rsid w:val="005657BA"/>
    <w:rsid w:val="00565BE5"/>
    <w:rsid w:val="00566378"/>
    <w:rsid w:val="00566721"/>
    <w:rsid w:val="00566A72"/>
    <w:rsid w:val="00566BF4"/>
    <w:rsid w:val="00566CFB"/>
    <w:rsid w:val="00566F44"/>
    <w:rsid w:val="005671CE"/>
    <w:rsid w:val="0056730C"/>
    <w:rsid w:val="005673B2"/>
    <w:rsid w:val="005679E1"/>
    <w:rsid w:val="0057079E"/>
    <w:rsid w:val="00570A86"/>
    <w:rsid w:val="00570BC3"/>
    <w:rsid w:val="0057111D"/>
    <w:rsid w:val="005713FA"/>
    <w:rsid w:val="00571B41"/>
    <w:rsid w:val="00571F2F"/>
    <w:rsid w:val="00571FEC"/>
    <w:rsid w:val="0057210C"/>
    <w:rsid w:val="00572415"/>
    <w:rsid w:val="00572623"/>
    <w:rsid w:val="00572B8B"/>
    <w:rsid w:val="0057338F"/>
    <w:rsid w:val="00573474"/>
    <w:rsid w:val="00573B40"/>
    <w:rsid w:val="00573C05"/>
    <w:rsid w:val="00573C40"/>
    <w:rsid w:val="00573E56"/>
    <w:rsid w:val="00573EE6"/>
    <w:rsid w:val="00574497"/>
    <w:rsid w:val="00574587"/>
    <w:rsid w:val="0057463B"/>
    <w:rsid w:val="00574A18"/>
    <w:rsid w:val="005757CF"/>
    <w:rsid w:val="00575B3E"/>
    <w:rsid w:val="00575E77"/>
    <w:rsid w:val="00575FB1"/>
    <w:rsid w:val="00576545"/>
    <w:rsid w:val="00576579"/>
    <w:rsid w:val="00576736"/>
    <w:rsid w:val="00576BC6"/>
    <w:rsid w:val="00576E07"/>
    <w:rsid w:val="00577550"/>
    <w:rsid w:val="00580045"/>
    <w:rsid w:val="00581036"/>
    <w:rsid w:val="005816BE"/>
    <w:rsid w:val="00581B8A"/>
    <w:rsid w:val="00581E71"/>
    <w:rsid w:val="00582772"/>
    <w:rsid w:val="00582D41"/>
    <w:rsid w:val="005835B0"/>
    <w:rsid w:val="0058415E"/>
    <w:rsid w:val="00584435"/>
    <w:rsid w:val="00584847"/>
    <w:rsid w:val="00584861"/>
    <w:rsid w:val="00584CA0"/>
    <w:rsid w:val="00584F4A"/>
    <w:rsid w:val="00585411"/>
    <w:rsid w:val="0058572B"/>
    <w:rsid w:val="0058604A"/>
    <w:rsid w:val="005863E5"/>
    <w:rsid w:val="00586857"/>
    <w:rsid w:val="00586C04"/>
    <w:rsid w:val="0058702F"/>
    <w:rsid w:val="005873A8"/>
    <w:rsid w:val="005876AF"/>
    <w:rsid w:val="00590134"/>
    <w:rsid w:val="00590289"/>
    <w:rsid w:val="005903DF"/>
    <w:rsid w:val="00590C63"/>
    <w:rsid w:val="00590F08"/>
    <w:rsid w:val="00590F84"/>
    <w:rsid w:val="005920F2"/>
    <w:rsid w:val="0059221A"/>
    <w:rsid w:val="00592396"/>
    <w:rsid w:val="005926BD"/>
    <w:rsid w:val="00592E3D"/>
    <w:rsid w:val="00593231"/>
    <w:rsid w:val="0059359E"/>
    <w:rsid w:val="005935C3"/>
    <w:rsid w:val="005936D6"/>
    <w:rsid w:val="005936EB"/>
    <w:rsid w:val="00593CCF"/>
    <w:rsid w:val="00594200"/>
    <w:rsid w:val="00594499"/>
    <w:rsid w:val="00594A7B"/>
    <w:rsid w:val="00594EEF"/>
    <w:rsid w:val="00594F7A"/>
    <w:rsid w:val="005953C2"/>
    <w:rsid w:val="00595C2D"/>
    <w:rsid w:val="00595E76"/>
    <w:rsid w:val="0059607E"/>
    <w:rsid w:val="00596CCD"/>
    <w:rsid w:val="00596DCF"/>
    <w:rsid w:val="00597008"/>
    <w:rsid w:val="00597753"/>
    <w:rsid w:val="005A0845"/>
    <w:rsid w:val="005A0876"/>
    <w:rsid w:val="005A159C"/>
    <w:rsid w:val="005A19E7"/>
    <w:rsid w:val="005A1B35"/>
    <w:rsid w:val="005A1E0B"/>
    <w:rsid w:val="005A1F8B"/>
    <w:rsid w:val="005A1FE9"/>
    <w:rsid w:val="005A294F"/>
    <w:rsid w:val="005A2B4D"/>
    <w:rsid w:val="005A2EA2"/>
    <w:rsid w:val="005A3363"/>
    <w:rsid w:val="005A3D65"/>
    <w:rsid w:val="005A3F4E"/>
    <w:rsid w:val="005A4775"/>
    <w:rsid w:val="005A4B18"/>
    <w:rsid w:val="005A4E40"/>
    <w:rsid w:val="005A54B8"/>
    <w:rsid w:val="005A62A2"/>
    <w:rsid w:val="005A63D1"/>
    <w:rsid w:val="005A6E13"/>
    <w:rsid w:val="005A73B4"/>
    <w:rsid w:val="005A7898"/>
    <w:rsid w:val="005A7A9A"/>
    <w:rsid w:val="005A7B24"/>
    <w:rsid w:val="005A7E1F"/>
    <w:rsid w:val="005B0153"/>
    <w:rsid w:val="005B01E4"/>
    <w:rsid w:val="005B093E"/>
    <w:rsid w:val="005B0A1B"/>
    <w:rsid w:val="005B0B1B"/>
    <w:rsid w:val="005B0CB0"/>
    <w:rsid w:val="005B1381"/>
    <w:rsid w:val="005B19AF"/>
    <w:rsid w:val="005B19C8"/>
    <w:rsid w:val="005B2982"/>
    <w:rsid w:val="005B2CDE"/>
    <w:rsid w:val="005B30ED"/>
    <w:rsid w:val="005B31A9"/>
    <w:rsid w:val="005B3D50"/>
    <w:rsid w:val="005B3D71"/>
    <w:rsid w:val="005B461B"/>
    <w:rsid w:val="005B47E0"/>
    <w:rsid w:val="005B4C67"/>
    <w:rsid w:val="005B4E65"/>
    <w:rsid w:val="005B5606"/>
    <w:rsid w:val="005B639E"/>
    <w:rsid w:val="005B662C"/>
    <w:rsid w:val="005B6A87"/>
    <w:rsid w:val="005B6CF6"/>
    <w:rsid w:val="005B710B"/>
    <w:rsid w:val="005B73CD"/>
    <w:rsid w:val="005B7FAB"/>
    <w:rsid w:val="005C0010"/>
    <w:rsid w:val="005C0783"/>
    <w:rsid w:val="005C10B2"/>
    <w:rsid w:val="005C1566"/>
    <w:rsid w:val="005C1DB8"/>
    <w:rsid w:val="005C1DF9"/>
    <w:rsid w:val="005C25B8"/>
    <w:rsid w:val="005C2614"/>
    <w:rsid w:val="005C282C"/>
    <w:rsid w:val="005C3D52"/>
    <w:rsid w:val="005C4C40"/>
    <w:rsid w:val="005C4E16"/>
    <w:rsid w:val="005C532F"/>
    <w:rsid w:val="005C55D6"/>
    <w:rsid w:val="005C5AAE"/>
    <w:rsid w:val="005C5C1B"/>
    <w:rsid w:val="005C605F"/>
    <w:rsid w:val="005C60CB"/>
    <w:rsid w:val="005C6FB0"/>
    <w:rsid w:val="005C71BD"/>
    <w:rsid w:val="005D0AA8"/>
    <w:rsid w:val="005D12AF"/>
    <w:rsid w:val="005D17B1"/>
    <w:rsid w:val="005D1B38"/>
    <w:rsid w:val="005D20FC"/>
    <w:rsid w:val="005D22C7"/>
    <w:rsid w:val="005D33EF"/>
    <w:rsid w:val="005D36D2"/>
    <w:rsid w:val="005D38E4"/>
    <w:rsid w:val="005D3BCB"/>
    <w:rsid w:val="005D4AC1"/>
    <w:rsid w:val="005D5077"/>
    <w:rsid w:val="005D54D8"/>
    <w:rsid w:val="005D5868"/>
    <w:rsid w:val="005D597D"/>
    <w:rsid w:val="005D5A03"/>
    <w:rsid w:val="005D5EC2"/>
    <w:rsid w:val="005D5F0E"/>
    <w:rsid w:val="005D6124"/>
    <w:rsid w:val="005D687A"/>
    <w:rsid w:val="005D6DD7"/>
    <w:rsid w:val="005D700C"/>
    <w:rsid w:val="005D7187"/>
    <w:rsid w:val="005D7249"/>
    <w:rsid w:val="005D785D"/>
    <w:rsid w:val="005D7CDE"/>
    <w:rsid w:val="005D7D11"/>
    <w:rsid w:val="005E144E"/>
    <w:rsid w:val="005E1800"/>
    <w:rsid w:val="005E2133"/>
    <w:rsid w:val="005E28C3"/>
    <w:rsid w:val="005E2F7F"/>
    <w:rsid w:val="005E3948"/>
    <w:rsid w:val="005E3C68"/>
    <w:rsid w:val="005E3D8F"/>
    <w:rsid w:val="005E3EE6"/>
    <w:rsid w:val="005E42A2"/>
    <w:rsid w:val="005E4381"/>
    <w:rsid w:val="005E4513"/>
    <w:rsid w:val="005E47DE"/>
    <w:rsid w:val="005E485F"/>
    <w:rsid w:val="005E48EA"/>
    <w:rsid w:val="005E4F33"/>
    <w:rsid w:val="005E5295"/>
    <w:rsid w:val="005E52BF"/>
    <w:rsid w:val="005E53C9"/>
    <w:rsid w:val="005E543E"/>
    <w:rsid w:val="005E5899"/>
    <w:rsid w:val="005E590D"/>
    <w:rsid w:val="005E5A21"/>
    <w:rsid w:val="005E5AD3"/>
    <w:rsid w:val="005E5C41"/>
    <w:rsid w:val="005E62A7"/>
    <w:rsid w:val="005E6BE3"/>
    <w:rsid w:val="005E6DA9"/>
    <w:rsid w:val="005F01ED"/>
    <w:rsid w:val="005F02CB"/>
    <w:rsid w:val="005F0439"/>
    <w:rsid w:val="005F0491"/>
    <w:rsid w:val="005F079B"/>
    <w:rsid w:val="005F0826"/>
    <w:rsid w:val="005F0F39"/>
    <w:rsid w:val="005F0FB1"/>
    <w:rsid w:val="005F18EB"/>
    <w:rsid w:val="005F2037"/>
    <w:rsid w:val="005F2245"/>
    <w:rsid w:val="005F2328"/>
    <w:rsid w:val="005F32DD"/>
    <w:rsid w:val="005F4D2D"/>
    <w:rsid w:val="005F58BA"/>
    <w:rsid w:val="005F65E1"/>
    <w:rsid w:val="005F6D8C"/>
    <w:rsid w:val="005F7B2F"/>
    <w:rsid w:val="005F7CB5"/>
    <w:rsid w:val="005F7EAC"/>
    <w:rsid w:val="006008F9"/>
    <w:rsid w:val="00600D3B"/>
    <w:rsid w:val="00600F82"/>
    <w:rsid w:val="006019A1"/>
    <w:rsid w:val="00601DCA"/>
    <w:rsid w:val="00601DCE"/>
    <w:rsid w:val="00601E54"/>
    <w:rsid w:val="00602963"/>
    <w:rsid w:val="00602D07"/>
    <w:rsid w:val="00602F31"/>
    <w:rsid w:val="00603130"/>
    <w:rsid w:val="00603616"/>
    <w:rsid w:val="0060378E"/>
    <w:rsid w:val="00603F59"/>
    <w:rsid w:val="006043EA"/>
    <w:rsid w:val="00604E9A"/>
    <w:rsid w:val="00604EE8"/>
    <w:rsid w:val="00604F80"/>
    <w:rsid w:val="0060562D"/>
    <w:rsid w:val="00605703"/>
    <w:rsid w:val="006058DD"/>
    <w:rsid w:val="00605917"/>
    <w:rsid w:val="00605CA9"/>
    <w:rsid w:val="006066A6"/>
    <w:rsid w:val="00606873"/>
    <w:rsid w:val="00606B01"/>
    <w:rsid w:val="00606C4B"/>
    <w:rsid w:val="00606CFA"/>
    <w:rsid w:val="006073AD"/>
    <w:rsid w:val="0060775E"/>
    <w:rsid w:val="00610909"/>
    <w:rsid w:val="0061198C"/>
    <w:rsid w:val="00611C0B"/>
    <w:rsid w:val="00611FBC"/>
    <w:rsid w:val="0061260F"/>
    <w:rsid w:val="006128AE"/>
    <w:rsid w:val="00613122"/>
    <w:rsid w:val="00613436"/>
    <w:rsid w:val="00614159"/>
    <w:rsid w:val="00614230"/>
    <w:rsid w:val="006145B7"/>
    <w:rsid w:val="00614726"/>
    <w:rsid w:val="00615036"/>
    <w:rsid w:val="006157AE"/>
    <w:rsid w:val="006158D4"/>
    <w:rsid w:val="00615C12"/>
    <w:rsid w:val="006165C6"/>
    <w:rsid w:val="00616EF2"/>
    <w:rsid w:val="00616FAF"/>
    <w:rsid w:val="0061776E"/>
    <w:rsid w:val="00617A09"/>
    <w:rsid w:val="00617A4F"/>
    <w:rsid w:val="00620106"/>
    <w:rsid w:val="006207CA"/>
    <w:rsid w:val="00620E54"/>
    <w:rsid w:val="00621441"/>
    <w:rsid w:val="0062172E"/>
    <w:rsid w:val="0062199F"/>
    <w:rsid w:val="00621A25"/>
    <w:rsid w:val="00621B27"/>
    <w:rsid w:val="00621BA6"/>
    <w:rsid w:val="00621F98"/>
    <w:rsid w:val="0062303A"/>
    <w:rsid w:val="00623134"/>
    <w:rsid w:val="00623145"/>
    <w:rsid w:val="00624039"/>
    <w:rsid w:val="00624045"/>
    <w:rsid w:val="00624B07"/>
    <w:rsid w:val="00624DE7"/>
    <w:rsid w:val="00625006"/>
    <w:rsid w:val="00625125"/>
    <w:rsid w:val="00625876"/>
    <w:rsid w:val="0062615C"/>
    <w:rsid w:val="00626564"/>
    <w:rsid w:val="00626D00"/>
    <w:rsid w:val="0062701D"/>
    <w:rsid w:val="00627621"/>
    <w:rsid w:val="0062766C"/>
    <w:rsid w:val="0062789E"/>
    <w:rsid w:val="00627D25"/>
    <w:rsid w:val="006300DC"/>
    <w:rsid w:val="00631BED"/>
    <w:rsid w:val="00631C26"/>
    <w:rsid w:val="00631DB4"/>
    <w:rsid w:val="00631F12"/>
    <w:rsid w:val="0063349F"/>
    <w:rsid w:val="006335D5"/>
    <w:rsid w:val="0063366F"/>
    <w:rsid w:val="006338AF"/>
    <w:rsid w:val="0063396A"/>
    <w:rsid w:val="00634496"/>
    <w:rsid w:val="00634D34"/>
    <w:rsid w:val="006357D8"/>
    <w:rsid w:val="0063587A"/>
    <w:rsid w:val="006358FD"/>
    <w:rsid w:val="00636691"/>
    <w:rsid w:val="006366E2"/>
    <w:rsid w:val="00636F95"/>
    <w:rsid w:val="00637062"/>
    <w:rsid w:val="00637516"/>
    <w:rsid w:val="00637A1E"/>
    <w:rsid w:val="0064055B"/>
    <w:rsid w:val="00640C6F"/>
    <w:rsid w:val="00641FE2"/>
    <w:rsid w:val="00642286"/>
    <w:rsid w:val="00642E84"/>
    <w:rsid w:val="00642F38"/>
    <w:rsid w:val="006431B9"/>
    <w:rsid w:val="00644002"/>
    <w:rsid w:val="00644337"/>
    <w:rsid w:val="00644D90"/>
    <w:rsid w:val="00645154"/>
    <w:rsid w:val="00645647"/>
    <w:rsid w:val="00645C27"/>
    <w:rsid w:val="00646BF9"/>
    <w:rsid w:val="00646E1D"/>
    <w:rsid w:val="00650023"/>
    <w:rsid w:val="0065012E"/>
    <w:rsid w:val="00650255"/>
    <w:rsid w:val="006503AB"/>
    <w:rsid w:val="00650CA3"/>
    <w:rsid w:val="00651AB4"/>
    <w:rsid w:val="00651D29"/>
    <w:rsid w:val="00652DE8"/>
    <w:rsid w:val="00652F5B"/>
    <w:rsid w:val="006530E3"/>
    <w:rsid w:val="00653677"/>
    <w:rsid w:val="00653858"/>
    <w:rsid w:val="00653C41"/>
    <w:rsid w:val="00654636"/>
    <w:rsid w:val="00654AFB"/>
    <w:rsid w:val="006556DE"/>
    <w:rsid w:val="006561E5"/>
    <w:rsid w:val="00656416"/>
    <w:rsid w:val="0065682D"/>
    <w:rsid w:val="00656E2D"/>
    <w:rsid w:val="00656EF2"/>
    <w:rsid w:val="00656F5F"/>
    <w:rsid w:val="006605F8"/>
    <w:rsid w:val="00661420"/>
    <w:rsid w:val="00661477"/>
    <w:rsid w:val="00661678"/>
    <w:rsid w:val="00661D0E"/>
    <w:rsid w:val="00661F63"/>
    <w:rsid w:val="00662A51"/>
    <w:rsid w:val="00662E06"/>
    <w:rsid w:val="00663415"/>
    <w:rsid w:val="0066369F"/>
    <w:rsid w:val="0066373A"/>
    <w:rsid w:val="0066396C"/>
    <w:rsid w:val="00663D3C"/>
    <w:rsid w:val="0066459B"/>
    <w:rsid w:val="00664ED6"/>
    <w:rsid w:val="0066542A"/>
    <w:rsid w:val="00665911"/>
    <w:rsid w:val="006659FA"/>
    <w:rsid w:val="0066611F"/>
    <w:rsid w:val="00667187"/>
    <w:rsid w:val="0066728E"/>
    <w:rsid w:val="00667C33"/>
    <w:rsid w:val="00667EA7"/>
    <w:rsid w:val="00667F5E"/>
    <w:rsid w:val="00670312"/>
    <w:rsid w:val="00670825"/>
    <w:rsid w:val="00670BF4"/>
    <w:rsid w:val="00670FAC"/>
    <w:rsid w:val="006710F9"/>
    <w:rsid w:val="00671B07"/>
    <w:rsid w:val="00671B8D"/>
    <w:rsid w:val="00671D8A"/>
    <w:rsid w:val="006738D0"/>
    <w:rsid w:val="0067423C"/>
    <w:rsid w:val="0067466B"/>
    <w:rsid w:val="00674C50"/>
    <w:rsid w:val="00674EA2"/>
    <w:rsid w:val="006752B8"/>
    <w:rsid w:val="0067554E"/>
    <w:rsid w:val="00675EF3"/>
    <w:rsid w:val="006761AA"/>
    <w:rsid w:val="006767E4"/>
    <w:rsid w:val="006768BD"/>
    <w:rsid w:val="00676AC3"/>
    <w:rsid w:val="00676D1E"/>
    <w:rsid w:val="00677159"/>
    <w:rsid w:val="0067758D"/>
    <w:rsid w:val="00677754"/>
    <w:rsid w:val="006779E0"/>
    <w:rsid w:val="00677DF3"/>
    <w:rsid w:val="006800F6"/>
    <w:rsid w:val="006805EC"/>
    <w:rsid w:val="00680AB8"/>
    <w:rsid w:val="00681559"/>
    <w:rsid w:val="00681BA2"/>
    <w:rsid w:val="006823AE"/>
    <w:rsid w:val="0068256A"/>
    <w:rsid w:val="00682684"/>
    <w:rsid w:val="00682773"/>
    <w:rsid w:val="00682996"/>
    <w:rsid w:val="00682CD9"/>
    <w:rsid w:val="00682DD4"/>
    <w:rsid w:val="006832A8"/>
    <w:rsid w:val="00683C6A"/>
    <w:rsid w:val="00683D6E"/>
    <w:rsid w:val="006846A1"/>
    <w:rsid w:val="006847F2"/>
    <w:rsid w:val="00684AF0"/>
    <w:rsid w:val="00684B97"/>
    <w:rsid w:val="006850A4"/>
    <w:rsid w:val="00686651"/>
    <w:rsid w:val="00686850"/>
    <w:rsid w:val="00687177"/>
    <w:rsid w:val="006874BB"/>
    <w:rsid w:val="00687973"/>
    <w:rsid w:val="0069031E"/>
    <w:rsid w:val="00690386"/>
    <w:rsid w:val="006903F1"/>
    <w:rsid w:val="0069064B"/>
    <w:rsid w:val="00690A14"/>
    <w:rsid w:val="00691350"/>
    <w:rsid w:val="00691D52"/>
    <w:rsid w:val="006925E6"/>
    <w:rsid w:val="00692A96"/>
    <w:rsid w:val="00692E39"/>
    <w:rsid w:val="00692EFC"/>
    <w:rsid w:val="00693378"/>
    <w:rsid w:val="0069397A"/>
    <w:rsid w:val="0069442A"/>
    <w:rsid w:val="00694786"/>
    <w:rsid w:val="00694DE5"/>
    <w:rsid w:val="006952A8"/>
    <w:rsid w:val="00695723"/>
    <w:rsid w:val="006959DE"/>
    <w:rsid w:val="0069633F"/>
    <w:rsid w:val="00696873"/>
    <w:rsid w:val="006975B2"/>
    <w:rsid w:val="006A040A"/>
    <w:rsid w:val="006A1672"/>
    <w:rsid w:val="006A1824"/>
    <w:rsid w:val="006A184D"/>
    <w:rsid w:val="006A1872"/>
    <w:rsid w:val="006A1B0A"/>
    <w:rsid w:val="006A1D03"/>
    <w:rsid w:val="006A1E51"/>
    <w:rsid w:val="006A2519"/>
    <w:rsid w:val="006A2983"/>
    <w:rsid w:val="006A324F"/>
    <w:rsid w:val="006A3382"/>
    <w:rsid w:val="006A3847"/>
    <w:rsid w:val="006A3A8B"/>
    <w:rsid w:val="006A3AA9"/>
    <w:rsid w:val="006A3F90"/>
    <w:rsid w:val="006A4299"/>
    <w:rsid w:val="006A4765"/>
    <w:rsid w:val="006A48D2"/>
    <w:rsid w:val="006A48FC"/>
    <w:rsid w:val="006A503F"/>
    <w:rsid w:val="006A535A"/>
    <w:rsid w:val="006A5890"/>
    <w:rsid w:val="006A6595"/>
    <w:rsid w:val="006A6629"/>
    <w:rsid w:val="006A664E"/>
    <w:rsid w:val="006A689C"/>
    <w:rsid w:val="006A6DF2"/>
    <w:rsid w:val="006A7102"/>
    <w:rsid w:val="006A7519"/>
    <w:rsid w:val="006B07A5"/>
    <w:rsid w:val="006B07C3"/>
    <w:rsid w:val="006B0AAA"/>
    <w:rsid w:val="006B119B"/>
    <w:rsid w:val="006B129C"/>
    <w:rsid w:val="006B1803"/>
    <w:rsid w:val="006B20D4"/>
    <w:rsid w:val="006B2A83"/>
    <w:rsid w:val="006B2C32"/>
    <w:rsid w:val="006B3171"/>
    <w:rsid w:val="006B34EC"/>
    <w:rsid w:val="006B36AB"/>
    <w:rsid w:val="006B396F"/>
    <w:rsid w:val="006B3F31"/>
    <w:rsid w:val="006B5A1F"/>
    <w:rsid w:val="006B5BC1"/>
    <w:rsid w:val="006B5E1E"/>
    <w:rsid w:val="006B6743"/>
    <w:rsid w:val="006B6993"/>
    <w:rsid w:val="006B73EB"/>
    <w:rsid w:val="006B76E6"/>
    <w:rsid w:val="006B7955"/>
    <w:rsid w:val="006B7F55"/>
    <w:rsid w:val="006C02DE"/>
    <w:rsid w:val="006C1EF7"/>
    <w:rsid w:val="006C1F4D"/>
    <w:rsid w:val="006C2533"/>
    <w:rsid w:val="006C353D"/>
    <w:rsid w:val="006C3DBB"/>
    <w:rsid w:val="006C4176"/>
    <w:rsid w:val="006C4A60"/>
    <w:rsid w:val="006C521F"/>
    <w:rsid w:val="006C52AA"/>
    <w:rsid w:val="006C5F91"/>
    <w:rsid w:val="006C63ED"/>
    <w:rsid w:val="006C6722"/>
    <w:rsid w:val="006C6A05"/>
    <w:rsid w:val="006C6A34"/>
    <w:rsid w:val="006C73DF"/>
    <w:rsid w:val="006C7C71"/>
    <w:rsid w:val="006C7FA4"/>
    <w:rsid w:val="006C7FF0"/>
    <w:rsid w:val="006D0377"/>
    <w:rsid w:val="006D05ED"/>
    <w:rsid w:val="006D0A64"/>
    <w:rsid w:val="006D0B99"/>
    <w:rsid w:val="006D0CBB"/>
    <w:rsid w:val="006D0CDE"/>
    <w:rsid w:val="006D1001"/>
    <w:rsid w:val="006D126C"/>
    <w:rsid w:val="006D19C8"/>
    <w:rsid w:val="006D1AD2"/>
    <w:rsid w:val="006D204B"/>
    <w:rsid w:val="006D23CC"/>
    <w:rsid w:val="006D2650"/>
    <w:rsid w:val="006D2B22"/>
    <w:rsid w:val="006D2DF3"/>
    <w:rsid w:val="006D31A0"/>
    <w:rsid w:val="006D31BE"/>
    <w:rsid w:val="006D46E2"/>
    <w:rsid w:val="006D49F6"/>
    <w:rsid w:val="006D4A2C"/>
    <w:rsid w:val="006D4A32"/>
    <w:rsid w:val="006D5252"/>
    <w:rsid w:val="006D57B4"/>
    <w:rsid w:val="006D5CE2"/>
    <w:rsid w:val="006D5F31"/>
    <w:rsid w:val="006D66DA"/>
    <w:rsid w:val="006D69CA"/>
    <w:rsid w:val="006D7423"/>
    <w:rsid w:val="006E08F8"/>
    <w:rsid w:val="006E1094"/>
    <w:rsid w:val="006E1C83"/>
    <w:rsid w:val="006E1F73"/>
    <w:rsid w:val="006E228D"/>
    <w:rsid w:val="006E24D9"/>
    <w:rsid w:val="006E2B7B"/>
    <w:rsid w:val="006E3263"/>
    <w:rsid w:val="006E335C"/>
    <w:rsid w:val="006E3675"/>
    <w:rsid w:val="006E3BE0"/>
    <w:rsid w:val="006E4191"/>
    <w:rsid w:val="006E4540"/>
    <w:rsid w:val="006E4544"/>
    <w:rsid w:val="006E4C5C"/>
    <w:rsid w:val="006E60C1"/>
    <w:rsid w:val="006E6D7D"/>
    <w:rsid w:val="006E6F3C"/>
    <w:rsid w:val="006E74E0"/>
    <w:rsid w:val="006E7AB4"/>
    <w:rsid w:val="006F0302"/>
    <w:rsid w:val="006F0B0A"/>
    <w:rsid w:val="006F199A"/>
    <w:rsid w:val="006F1C33"/>
    <w:rsid w:val="006F1E1B"/>
    <w:rsid w:val="006F244F"/>
    <w:rsid w:val="006F29FC"/>
    <w:rsid w:val="006F46DB"/>
    <w:rsid w:val="006F4B03"/>
    <w:rsid w:val="006F4DDB"/>
    <w:rsid w:val="006F52FF"/>
    <w:rsid w:val="006F577D"/>
    <w:rsid w:val="006F5875"/>
    <w:rsid w:val="006F5FC1"/>
    <w:rsid w:val="006F652A"/>
    <w:rsid w:val="006F6970"/>
    <w:rsid w:val="006F6AC4"/>
    <w:rsid w:val="006F7077"/>
    <w:rsid w:val="006F7A11"/>
    <w:rsid w:val="006F7BFE"/>
    <w:rsid w:val="006F7FCA"/>
    <w:rsid w:val="0070002A"/>
    <w:rsid w:val="00700B02"/>
    <w:rsid w:val="00700D1E"/>
    <w:rsid w:val="00701101"/>
    <w:rsid w:val="0070127D"/>
    <w:rsid w:val="00701470"/>
    <w:rsid w:val="00701658"/>
    <w:rsid w:val="0070187A"/>
    <w:rsid w:val="00701908"/>
    <w:rsid w:val="00701996"/>
    <w:rsid w:val="00701B0F"/>
    <w:rsid w:val="007022CB"/>
    <w:rsid w:val="007023B4"/>
    <w:rsid w:val="0070267C"/>
    <w:rsid w:val="0070270F"/>
    <w:rsid w:val="00702A96"/>
    <w:rsid w:val="007030B8"/>
    <w:rsid w:val="00703159"/>
    <w:rsid w:val="007034FC"/>
    <w:rsid w:val="00704ADA"/>
    <w:rsid w:val="00704EEB"/>
    <w:rsid w:val="00705A1C"/>
    <w:rsid w:val="00706969"/>
    <w:rsid w:val="00706F04"/>
    <w:rsid w:val="00710400"/>
    <w:rsid w:val="00710459"/>
    <w:rsid w:val="0071067C"/>
    <w:rsid w:val="00711018"/>
    <w:rsid w:val="00711605"/>
    <w:rsid w:val="00711BAB"/>
    <w:rsid w:val="00711EDE"/>
    <w:rsid w:val="00711F99"/>
    <w:rsid w:val="007121A3"/>
    <w:rsid w:val="00712288"/>
    <w:rsid w:val="007123AC"/>
    <w:rsid w:val="007124B4"/>
    <w:rsid w:val="0071260E"/>
    <w:rsid w:val="0071298B"/>
    <w:rsid w:val="00713AD5"/>
    <w:rsid w:val="00714032"/>
    <w:rsid w:val="0071405F"/>
    <w:rsid w:val="0071418B"/>
    <w:rsid w:val="00714419"/>
    <w:rsid w:val="007150D7"/>
    <w:rsid w:val="007152A6"/>
    <w:rsid w:val="007157B0"/>
    <w:rsid w:val="00715BFD"/>
    <w:rsid w:val="0071659D"/>
    <w:rsid w:val="007168CB"/>
    <w:rsid w:val="00717174"/>
    <w:rsid w:val="00717395"/>
    <w:rsid w:val="00717A2C"/>
    <w:rsid w:val="00717D84"/>
    <w:rsid w:val="007201DA"/>
    <w:rsid w:val="007203CA"/>
    <w:rsid w:val="007204A4"/>
    <w:rsid w:val="007205AA"/>
    <w:rsid w:val="00720826"/>
    <w:rsid w:val="007209B1"/>
    <w:rsid w:val="00720EB9"/>
    <w:rsid w:val="00721BF0"/>
    <w:rsid w:val="00721FE5"/>
    <w:rsid w:val="007223CF"/>
    <w:rsid w:val="0072247F"/>
    <w:rsid w:val="0072285F"/>
    <w:rsid w:val="0072309B"/>
    <w:rsid w:val="007230AE"/>
    <w:rsid w:val="007233EB"/>
    <w:rsid w:val="00723755"/>
    <w:rsid w:val="007238B2"/>
    <w:rsid w:val="00723C16"/>
    <w:rsid w:val="007242A6"/>
    <w:rsid w:val="00724401"/>
    <w:rsid w:val="00724F7C"/>
    <w:rsid w:val="0072510E"/>
    <w:rsid w:val="00725773"/>
    <w:rsid w:val="007257BE"/>
    <w:rsid w:val="007259D0"/>
    <w:rsid w:val="00725B86"/>
    <w:rsid w:val="00726923"/>
    <w:rsid w:val="007275B0"/>
    <w:rsid w:val="00727745"/>
    <w:rsid w:val="007278AA"/>
    <w:rsid w:val="00727AE0"/>
    <w:rsid w:val="00727BD6"/>
    <w:rsid w:val="00727CB9"/>
    <w:rsid w:val="00727FC0"/>
    <w:rsid w:val="00730042"/>
    <w:rsid w:val="00730BA2"/>
    <w:rsid w:val="00732359"/>
    <w:rsid w:val="0073339F"/>
    <w:rsid w:val="00733735"/>
    <w:rsid w:val="0073477E"/>
    <w:rsid w:val="00734977"/>
    <w:rsid w:val="00735100"/>
    <w:rsid w:val="00735117"/>
    <w:rsid w:val="0073541E"/>
    <w:rsid w:val="00736218"/>
    <w:rsid w:val="00736978"/>
    <w:rsid w:val="0073748B"/>
    <w:rsid w:val="0073766E"/>
    <w:rsid w:val="00737878"/>
    <w:rsid w:val="00737A9D"/>
    <w:rsid w:val="00740199"/>
    <w:rsid w:val="007403EC"/>
    <w:rsid w:val="007405A5"/>
    <w:rsid w:val="00740CD0"/>
    <w:rsid w:val="007413AA"/>
    <w:rsid w:val="00741F7F"/>
    <w:rsid w:val="0074225D"/>
    <w:rsid w:val="00742BF6"/>
    <w:rsid w:val="007430AA"/>
    <w:rsid w:val="0074316E"/>
    <w:rsid w:val="007436D0"/>
    <w:rsid w:val="007444CE"/>
    <w:rsid w:val="0074454C"/>
    <w:rsid w:val="00744A5A"/>
    <w:rsid w:val="00744C21"/>
    <w:rsid w:val="00744C7D"/>
    <w:rsid w:val="00744C8A"/>
    <w:rsid w:val="007450D5"/>
    <w:rsid w:val="00745645"/>
    <w:rsid w:val="00745CBB"/>
    <w:rsid w:val="007466B6"/>
    <w:rsid w:val="00747021"/>
    <w:rsid w:val="00747326"/>
    <w:rsid w:val="007474AD"/>
    <w:rsid w:val="00747934"/>
    <w:rsid w:val="00747A44"/>
    <w:rsid w:val="00747AF2"/>
    <w:rsid w:val="00750020"/>
    <w:rsid w:val="00750260"/>
    <w:rsid w:val="00751102"/>
    <w:rsid w:val="00751250"/>
    <w:rsid w:val="007517DF"/>
    <w:rsid w:val="00751837"/>
    <w:rsid w:val="00751AFC"/>
    <w:rsid w:val="007521CA"/>
    <w:rsid w:val="00752521"/>
    <w:rsid w:val="00752DF0"/>
    <w:rsid w:val="0075344B"/>
    <w:rsid w:val="00753D77"/>
    <w:rsid w:val="0075447F"/>
    <w:rsid w:val="007545D2"/>
    <w:rsid w:val="00754730"/>
    <w:rsid w:val="007549AD"/>
    <w:rsid w:val="00754CC7"/>
    <w:rsid w:val="00755785"/>
    <w:rsid w:val="00756028"/>
    <w:rsid w:val="00756727"/>
    <w:rsid w:val="0075739B"/>
    <w:rsid w:val="007576F3"/>
    <w:rsid w:val="0075776F"/>
    <w:rsid w:val="00757772"/>
    <w:rsid w:val="00757A72"/>
    <w:rsid w:val="00757AA1"/>
    <w:rsid w:val="00757AD2"/>
    <w:rsid w:val="00757FF3"/>
    <w:rsid w:val="0076021C"/>
    <w:rsid w:val="007602E1"/>
    <w:rsid w:val="007619D3"/>
    <w:rsid w:val="007619F2"/>
    <w:rsid w:val="00761F59"/>
    <w:rsid w:val="007621B5"/>
    <w:rsid w:val="0076317E"/>
    <w:rsid w:val="00763C00"/>
    <w:rsid w:val="00763C7E"/>
    <w:rsid w:val="00763F8E"/>
    <w:rsid w:val="00764165"/>
    <w:rsid w:val="0076462E"/>
    <w:rsid w:val="00764B1C"/>
    <w:rsid w:val="007659AD"/>
    <w:rsid w:val="0076604E"/>
    <w:rsid w:val="00766601"/>
    <w:rsid w:val="00766771"/>
    <w:rsid w:val="00766BA8"/>
    <w:rsid w:val="007678C7"/>
    <w:rsid w:val="007700B4"/>
    <w:rsid w:val="007708C3"/>
    <w:rsid w:val="0077097B"/>
    <w:rsid w:val="00770A47"/>
    <w:rsid w:val="00770E85"/>
    <w:rsid w:val="00770F78"/>
    <w:rsid w:val="007720C6"/>
    <w:rsid w:val="007723F1"/>
    <w:rsid w:val="00773132"/>
    <w:rsid w:val="007732C5"/>
    <w:rsid w:val="00773C53"/>
    <w:rsid w:val="00773FF0"/>
    <w:rsid w:val="00774B1D"/>
    <w:rsid w:val="007754D3"/>
    <w:rsid w:val="0077568B"/>
    <w:rsid w:val="00775759"/>
    <w:rsid w:val="007757FB"/>
    <w:rsid w:val="007765A2"/>
    <w:rsid w:val="007766CA"/>
    <w:rsid w:val="00776809"/>
    <w:rsid w:val="007778F8"/>
    <w:rsid w:val="00777A9D"/>
    <w:rsid w:val="00777CB1"/>
    <w:rsid w:val="00781450"/>
    <w:rsid w:val="00781959"/>
    <w:rsid w:val="00781E1C"/>
    <w:rsid w:val="00782286"/>
    <w:rsid w:val="007823D8"/>
    <w:rsid w:val="00782BCF"/>
    <w:rsid w:val="00782BFB"/>
    <w:rsid w:val="00782E0A"/>
    <w:rsid w:val="00782F6D"/>
    <w:rsid w:val="007846FA"/>
    <w:rsid w:val="007849D7"/>
    <w:rsid w:val="0078525C"/>
    <w:rsid w:val="00786002"/>
    <w:rsid w:val="00786A54"/>
    <w:rsid w:val="007874D5"/>
    <w:rsid w:val="00787543"/>
    <w:rsid w:val="007875D0"/>
    <w:rsid w:val="007877B5"/>
    <w:rsid w:val="00790296"/>
    <w:rsid w:val="00790312"/>
    <w:rsid w:val="00790839"/>
    <w:rsid w:val="00790AE0"/>
    <w:rsid w:val="00791B74"/>
    <w:rsid w:val="00791C62"/>
    <w:rsid w:val="00791EAA"/>
    <w:rsid w:val="00791EEC"/>
    <w:rsid w:val="00792291"/>
    <w:rsid w:val="0079231F"/>
    <w:rsid w:val="007924B7"/>
    <w:rsid w:val="0079260B"/>
    <w:rsid w:val="00793319"/>
    <w:rsid w:val="00793CEC"/>
    <w:rsid w:val="00793F90"/>
    <w:rsid w:val="007941D2"/>
    <w:rsid w:val="007944B1"/>
    <w:rsid w:val="00794561"/>
    <w:rsid w:val="00794803"/>
    <w:rsid w:val="00794BC0"/>
    <w:rsid w:val="0079560F"/>
    <w:rsid w:val="00795976"/>
    <w:rsid w:val="007959D6"/>
    <w:rsid w:val="00795A49"/>
    <w:rsid w:val="00795C84"/>
    <w:rsid w:val="00795EBA"/>
    <w:rsid w:val="00796084"/>
    <w:rsid w:val="0079631F"/>
    <w:rsid w:val="007965BA"/>
    <w:rsid w:val="007968EF"/>
    <w:rsid w:val="0079775F"/>
    <w:rsid w:val="0079779B"/>
    <w:rsid w:val="007A0012"/>
    <w:rsid w:val="007A127E"/>
    <w:rsid w:val="007A1BB3"/>
    <w:rsid w:val="007A1C2A"/>
    <w:rsid w:val="007A1CCE"/>
    <w:rsid w:val="007A21D6"/>
    <w:rsid w:val="007A26D0"/>
    <w:rsid w:val="007A2716"/>
    <w:rsid w:val="007A2C42"/>
    <w:rsid w:val="007A3102"/>
    <w:rsid w:val="007A3A53"/>
    <w:rsid w:val="007A3F23"/>
    <w:rsid w:val="007A514A"/>
    <w:rsid w:val="007A580D"/>
    <w:rsid w:val="007A5A9F"/>
    <w:rsid w:val="007A5BCB"/>
    <w:rsid w:val="007A62C7"/>
    <w:rsid w:val="007A6426"/>
    <w:rsid w:val="007A700C"/>
    <w:rsid w:val="007A761C"/>
    <w:rsid w:val="007A773B"/>
    <w:rsid w:val="007A78D1"/>
    <w:rsid w:val="007B097D"/>
    <w:rsid w:val="007B2075"/>
    <w:rsid w:val="007B28BE"/>
    <w:rsid w:val="007B2B9C"/>
    <w:rsid w:val="007B3058"/>
    <w:rsid w:val="007B33EE"/>
    <w:rsid w:val="007B3593"/>
    <w:rsid w:val="007B38F1"/>
    <w:rsid w:val="007B3CEF"/>
    <w:rsid w:val="007B3F5A"/>
    <w:rsid w:val="007B4030"/>
    <w:rsid w:val="007B5151"/>
    <w:rsid w:val="007B5653"/>
    <w:rsid w:val="007B5B28"/>
    <w:rsid w:val="007B612C"/>
    <w:rsid w:val="007B7291"/>
    <w:rsid w:val="007B7683"/>
    <w:rsid w:val="007B76CE"/>
    <w:rsid w:val="007C0793"/>
    <w:rsid w:val="007C0CC8"/>
    <w:rsid w:val="007C0D60"/>
    <w:rsid w:val="007C0E1F"/>
    <w:rsid w:val="007C0F55"/>
    <w:rsid w:val="007C13D0"/>
    <w:rsid w:val="007C2182"/>
    <w:rsid w:val="007C2BE0"/>
    <w:rsid w:val="007C3446"/>
    <w:rsid w:val="007C359C"/>
    <w:rsid w:val="007C3609"/>
    <w:rsid w:val="007C3D69"/>
    <w:rsid w:val="007C3E6D"/>
    <w:rsid w:val="007C3E86"/>
    <w:rsid w:val="007C42A8"/>
    <w:rsid w:val="007C435F"/>
    <w:rsid w:val="007C4B98"/>
    <w:rsid w:val="007C4BAB"/>
    <w:rsid w:val="007C4F75"/>
    <w:rsid w:val="007C5623"/>
    <w:rsid w:val="007C5718"/>
    <w:rsid w:val="007C591D"/>
    <w:rsid w:val="007C5B5C"/>
    <w:rsid w:val="007C74BD"/>
    <w:rsid w:val="007C7A5F"/>
    <w:rsid w:val="007C7C55"/>
    <w:rsid w:val="007C7E6A"/>
    <w:rsid w:val="007D0C36"/>
    <w:rsid w:val="007D0F58"/>
    <w:rsid w:val="007D1372"/>
    <w:rsid w:val="007D337A"/>
    <w:rsid w:val="007D34CF"/>
    <w:rsid w:val="007D4791"/>
    <w:rsid w:val="007D5055"/>
    <w:rsid w:val="007D6162"/>
    <w:rsid w:val="007D7756"/>
    <w:rsid w:val="007D7DAF"/>
    <w:rsid w:val="007D7DD6"/>
    <w:rsid w:val="007E106A"/>
    <w:rsid w:val="007E1164"/>
    <w:rsid w:val="007E12E9"/>
    <w:rsid w:val="007E1362"/>
    <w:rsid w:val="007E1502"/>
    <w:rsid w:val="007E1900"/>
    <w:rsid w:val="007E2344"/>
    <w:rsid w:val="007E25C7"/>
    <w:rsid w:val="007E2CB6"/>
    <w:rsid w:val="007E2D8C"/>
    <w:rsid w:val="007E3FDA"/>
    <w:rsid w:val="007E4373"/>
    <w:rsid w:val="007E4BAC"/>
    <w:rsid w:val="007E4DE3"/>
    <w:rsid w:val="007E51B7"/>
    <w:rsid w:val="007E5240"/>
    <w:rsid w:val="007E5250"/>
    <w:rsid w:val="007E541D"/>
    <w:rsid w:val="007E5816"/>
    <w:rsid w:val="007E5D7D"/>
    <w:rsid w:val="007E5F31"/>
    <w:rsid w:val="007E66F6"/>
    <w:rsid w:val="007E6F9F"/>
    <w:rsid w:val="007E714B"/>
    <w:rsid w:val="007E715E"/>
    <w:rsid w:val="007E7272"/>
    <w:rsid w:val="007E76E6"/>
    <w:rsid w:val="007E77B7"/>
    <w:rsid w:val="007F0732"/>
    <w:rsid w:val="007F0A43"/>
    <w:rsid w:val="007F1546"/>
    <w:rsid w:val="007F1984"/>
    <w:rsid w:val="007F1A4C"/>
    <w:rsid w:val="007F1E4E"/>
    <w:rsid w:val="007F22C4"/>
    <w:rsid w:val="007F2310"/>
    <w:rsid w:val="007F330C"/>
    <w:rsid w:val="007F3769"/>
    <w:rsid w:val="007F4346"/>
    <w:rsid w:val="007F47C5"/>
    <w:rsid w:val="007F5B40"/>
    <w:rsid w:val="007F67A5"/>
    <w:rsid w:val="007F6AFF"/>
    <w:rsid w:val="007F6E1C"/>
    <w:rsid w:val="007F7181"/>
    <w:rsid w:val="007F7362"/>
    <w:rsid w:val="007F74A4"/>
    <w:rsid w:val="007F773B"/>
    <w:rsid w:val="007F7932"/>
    <w:rsid w:val="00800142"/>
    <w:rsid w:val="008002FE"/>
    <w:rsid w:val="00801607"/>
    <w:rsid w:val="0080162E"/>
    <w:rsid w:val="008016F1"/>
    <w:rsid w:val="008017E2"/>
    <w:rsid w:val="00801A87"/>
    <w:rsid w:val="00802A80"/>
    <w:rsid w:val="00802BD6"/>
    <w:rsid w:val="00802CDE"/>
    <w:rsid w:val="00802D1C"/>
    <w:rsid w:val="00802DEC"/>
    <w:rsid w:val="00803145"/>
    <w:rsid w:val="00803C1A"/>
    <w:rsid w:val="00803EF1"/>
    <w:rsid w:val="0080419B"/>
    <w:rsid w:val="00804505"/>
    <w:rsid w:val="00804897"/>
    <w:rsid w:val="00804AAC"/>
    <w:rsid w:val="00804B12"/>
    <w:rsid w:val="00804D7A"/>
    <w:rsid w:val="00804F1D"/>
    <w:rsid w:val="00805764"/>
    <w:rsid w:val="00805A77"/>
    <w:rsid w:val="008063A4"/>
    <w:rsid w:val="00806B42"/>
    <w:rsid w:val="00806C98"/>
    <w:rsid w:val="008071F5"/>
    <w:rsid w:val="008076F3"/>
    <w:rsid w:val="008078E3"/>
    <w:rsid w:val="00807F71"/>
    <w:rsid w:val="008107CF"/>
    <w:rsid w:val="008109B0"/>
    <w:rsid w:val="00810A8B"/>
    <w:rsid w:val="00810C5F"/>
    <w:rsid w:val="00811157"/>
    <w:rsid w:val="008113D5"/>
    <w:rsid w:val="00812210"/>
    <w:rsid w:val="008127E7"/>
    <w:rsid w:val="008135C1"/>
    <w:rsid w:val="00813EBB"/>
    <w:rsid w:val="0081450A"/>
    <w:rsid w:val="00814E55"/>
    <w:rsid w:val="00814FDE"/>
    <w:rsid w:val="00815A11"/>
    <w:rsid w:val="00815FA4"/>
    <w:rsid w:val="00816AB9"/>
    <w:rsid w:val="00816CB3"/>
    <w:rsid w:val="008170ED"/>
    <w:rsid w:val="0081710E"/>
    <w:rsid w:val="008174A5"/>
    <w:rsid w:val="00817512"/>
    <w:rsid w:val="00817518"/>
    <w:rsid w:val="008177EA"/>
    <w:rsid w:val="008179C6"/>
    <w:rsid w:val="0082010D"/>
    <w:rsid w:val="0082041C"/>
    <w:rsid w:val="00820C84"/>
    <w:rsid w:val="008210E1"/>
    <w:rsid w:val="00821557"/>
    <w:rsid w:val="00821573"/>
    <w:rsid w:val="00821CE9"/>
    <w:rsid w:val="00822286"/>
    <w:rsid w:val="00823021"/>
    <w:rsid w:val="00823E19"/>
    <w:rsid w:val="00824AA3"/>
    <w:rsid w:val="00824D2D"/>
    <w:rsid w:val="0082501F"/>
    <w:rsid w:val="0082563F"/>
    <w:rsid w:val="00825898"/>
    <w:rsid w:val="00825B60"/>
    <w:rsid w:val="00825C18"/>
    <w:rsid w:val="0082601E"/>
    <w:rsid w:val="008260F4"/>
    <w:rsid w:val="008266AE"/>
    <w:rsid w:val="0082673E"/>
    <w:rsid w:val="00826FEE"/>
    <w:rsid w:val="00827579"/>
    <w:rsid w:val="00827799"/>
    <w:rsid w:val="00827880"/>
    <w:rsid w:val="00830510"/>
    <w:rsid w:val="00830937"/>
    <w:rsid w:val="00830CBA"/>
    <w:rsid w:val="00831C60"/>
    <w:rsid w:val="00831D0E"/>
    <w:rsid w:val="00831D59"/>
    <w:rsid w:val="00831E69"/>
    <w:rsid w:val="00831F52"/>
    <w:rsid w:val="008320BB"/>
    <w:rsid w:val="0083238D"/>
    <w:rsid w:val="00832445"/>
    <w:rsid w:val="00832453"/>
    <w:rsid w:val="00832DAA"/>
    <w:rsid w:val="00833B9E"/>
    <w:rsid w:val="00833BA7"/>
    <w:rsid w:val="00833CC4"/>
    <w:rsid w:val="00833DD8"/>
    <w:rsid w:val="0083454B"/>
    <w:rsid w:val="008345A2"/>
    <w:rsid w:val="00834625"/>
    <w:rsid w:val="00834679"/>
    <w:rsid w:val="008348C6"/>
    <w:rsid w:val="00834CC2"/>
    <w:rsid w:val="00835448"/>
    <w:rsid w:val="00835644"/>
    <w:rsid w:val="00835E60"/>
    <w:rsid w:val="00835ECC"/>
    <w:rsid w:val="00836247"/>
    <w:rsid w:val="0083647B"/>
    <w:rsid w:val="00836731"/>
    <w:rsid w:val="00836B92"/>
    <w:rsid w:val="00836F8F"/>
    <w:rsid w:val="0084044E"/>
    <w:rsid w:val="00840719"/>
    <w:rsid w:val="0084088B"/>
    <w:rsid w:val="00840E72"/>
    <w:rsid w:val="00841AAC"/>
    <w:rsid w:val="00841F65"/>
    <w:rsid w:val="00842F2B"/>
    <w:rsid w:val="0084303B"/>
    <w:rsid w:val="00843A2A"/>
    <w:rsid w:val="00843CCB"/>
    <w:rsid w:val="0084401B"/>
    <w:rsid w:val="0084436E"/>
    <w:rsid w:val="0084479C"/>
    <w:rsid w:val="00844919"/>
    <w:rsid w:val="00844951"/>
    <w:rsid w:val="00845055"/>
    <w:rsid w:val="008452DA"/>
    <w:rsid w:val="0084600E"/>
    <w:rsid w:val="008461CA"/>
    <w:rsid w:val="0084627D"/>
    <w:rsid w:val="008462B7"/>
    <w:rsid w:val="008464CD"/>
    <w:rsid w:val="0084675D"/>
    <w:rsid w:val="008467BF"/>
    <w:rsid w:val="00846AA1"/>
    <w:rsid w:val="008478DE"/>
    <w:rsid w:val="0084798B"/>
    <w:rsid w:val="00847D0A"/>
    <w:rsid w:val="008506FF"/>
    <w:rsid w:val="008507C6"/>
    <w:rsid w:val="00850D3C"/>
    <w:rsid w:val="008512D3"/>
    <w:rsid w:val="008512DE"/>
    <w:rsid w:val="0085169F"/>
    <w:rsid w:val="00851AE4"/>
    <w:rsid w:val="00851D36"/>
    <w:rsid w:val="00851F58"/>
    <w:rsid w:val="00851F83"/>
    <w:rsid w:val="00852772"/>
    <w:rsid w:val="008530B6"/>
    <w:rsid w:val="00853542"/>
    <w:rsid w:val="008536D0"/>
    <w:rsid w:val="00853896"/>
    <w:rsid w:val="00853DF2"/>
    <w:rsid w:val="008541B9"/>
    <w:rsid w:val="008546B8"/>
    <w:rsid w:val="008555BF"/>
    <w:rsid w:val="00857413"/>
    <w:rsid w:val="00857DA8"/>
    <w:rsid w:val="008604E3"/>
    <w:rsid w:val="008606AB"/>
    <w:rsid w:val="00860720"/>
    <w:rsid w:val="00860845"/>
    <w:rsid w:val="008608D6"/>
    <w:rsid w:val="008610A4"/>
    <w:rsid w:val="00861B0A"/>
    <w:rsid w:val="00861B23"/>
    <w:rsid w:val="00861DB8"/>
    <w:rsid w:val="00862347"/>
    <w:rsid w:val="00862482"/>
    <w:rsid w:val="008627C6"/>
    <w:rsid w:val="00862CD0"/>
    <w:rsid w:val="008630C4"/>
    <w:rsid w:val="0086317A"/>
    <w:rsid w:val="00863312"/>
    <w:rsid w:val="00863862"/>
    <w:rsid w:val="00864336"/>
    <w:rsid w:val="00864388"/>
    <w:rsid w:val="00864A5D"/>
    <w:rsid w:val="00865215"/>
    <w:rsid w:val="0086545A"/>
    <w:rsid w:val="008656EC"/>
    <w:rsid w:val="0086593B"/>
    <w:rsid w:val="00865DC9"/>
    <w:rsid w:val="008667D6"/>
    <w:rsid w:val="00866B95"/>
    <w:rsid w:val="00866DFA"/>
    <w:rsid w:val="00866F48"/>
    <w:rsid w:val="008674D9"/>
    <w:rsid w:val="008679A1"/>
    <w:rsid w:val="00867C55"/>
    <w:rsid w:val="00867C5E"/>
    <w:rsid w:val="008702DF"/>
    <w:rsid w:val="00870758"/>
    <w:rsid w:val="008708A1"/>
    <w:rsid w:val="00870E57"/>
    <w:rsid w:val="00870F0F"/>
    <w:rsid w:val="0087183A"/>
    <w:rsid w:val="008719E2"/>
    <w:rsid w:val="00871D3B"/>
    <w:rsid w:val="008735B6"/>
    <w:rsid w:val="00873944"/>
    <w:rsid w:val="00873EEA"/>
    <w:rsid w:val="00874BE7"/>
    <w:rsid w:val="00874C60"/>
    <w:rsid w:val="00874CD1"/>
    <w:rsid w:val="00874D99"/>
    <w:rsid w:val="00874FA1"/>
    <w:rsid w:val="0087615E"/>
    <w:rsid w:val="00876190"/>
    <w:rsid w:val="00876758"/>
    <w:rsid w:val="00877424"/>
    <w:rsid w:val="00877E03"/>
    <w:rsid w:val="00880297"/>
    <w:rsid w:val="00880CF8"/>
    <w:rsid w:val="00880F9E"/>
    <w:rsid w:val="0088119B"/>
    <w:rsid w:val="00881333"/>
    <w:rsid w:val="00881481"/>
    <w:rsid w:val="008815C9"/>
    <w:rsid w:val="008829B0"/>
    <w:rsid w:val="00882B55"/>
    <w:rsid w:val="00882C4B"/>
    <w:rsid w:val="00883038"/>
    <w:rsid w:val="00883074"/>
    <w:rsid w:val="00884099"/>
    <w:rsid w:val="008840F6"/>
    <w:rsid w:val="00884FB8"/>
    <w:rsid w:val="008850C1"/>
    <w:rsid w:val="008852B5"/>
    <w:rsid w:val="00886D12"/>
    <w:rsid w:val="00886DBA"/>
    <w:rsid w:val="008870A3"/>
    <w:rsid w:val="00887AAB"/>
    <w:rsid w:val="0089037E"/>
    <w:rsid w:val="008906FC"/>
    <w:rsid w:val="00890A01"/>
    <w:rsid w:val="00890F26"/>
    <w:rsid w:val="0089113C"/>
    <w:rsid w:val="008914E2"/>
    <w:rsid w:val="00891C85"/>
    <w:rsid w:val="00891CA7"/>
    <w:rsid w:val="0089217E"/>
    <w:rsid w:val="00892A0A"/>
    <w:rsid w:val="00892C93"/>
    <w:rsid w:val="00893230"/>
    <w:rsid w:val="008934D8"/>
    <w:rsid w:val="00893991"/>
    <w:rsid w:val="008939A0"/>
    <w:rsid w:val="00893A2C"/>
    <w:rsid w:val="00893A7E"/>
    <w:rsid w:val="00893D9C"/>
    <w:rsid w:val="00893ECC"/>
    <w:rsid w:val="00894435"/>
    <w:rsid w:val="0089524E"/>
    <w:rsid w:val="008953BE"/>
    <w:rsid w:val="0089554F"/>
    <w:rsid w:val="00895F37"/>
    <w:rsid w:val="00896042"/>
    <w:rsid w:val="008966C1"/>
    <w:rsid w:val="00896E7A"/>
    <w:rsid w:val="00897155"/>
    <w:rsid w:val="0089753A"/>
    <w:rsid w:val="00897719"/>
    <w:rsid w:val="00897867"/>
    <w:rsid w:val="008A031C"/>
    <w:rsid w:val="008A038C"/>
    <w:rsid w:val="008A0667"/>
    <w:rsid w:val="008A0806"/>
    <w:rsid w:val="008A0A43"/>
    <w:rsid w:val="008A0D90"/>
    <w:rsid w:val="008A0EFB"/>
    <w:rsid w:val="008A114D"/>
    <w:rsid w:val="008A133D"/>
    <w:rsid w:val="008A15EA"/>
    <w:rsid w:val="008A1643"/>
    <w:rsid w:val="008A1791"/>
    <w:rsid w:val="008A1CAB"/>
    <w:rsid w:val="008A2E1B"/>
    <w:rsid w:val="008A3086"/>
    <w:rsid w:val="008A3932"/>
    <w:rsid w:val="008A49FE"/>
    <w:rsid w:val="008A54F9"/>
    <w:rsid w:val="008A5610"/>
    <w:rsid w:val="008A5B57"/>
    <w:rsid w:val="008A6085"/>
    <w:rsid w:val="008A7880"/>
    <w:rsid w:val="008A7C0D"/>
    <w:rsid w:val="008A7EF1"/>
    <w:rsid w:val="008B0A28"/>
    <w:rsid w:val="008B0B82"/>
    <w:rsid w:val="008B0D52"/>
    <w:rsid w:val="008B0F62"/>
    <w:rsid w:val="008B10A8"/>
    <w:rsid w:val="008B10B0"/>
    <w:rsid w:val="008B12CA"/>
    <w:rsid w:val="008B162B"/>
    <w:rsid w:val="008B1EEC"/>
    <w:rsid w:val="008B2399"/>
    <w:rsid w:val="008B27E7"/>
    <w:rsid w:val="008B27FA"/>
    <w:rsid w:val="008B2E44"/>
    <w:rsid w:val="008B30F0"/>
    <w:rsid w:val="008B3A5A"/>
    <w:rsid w:val="008B3AAC"/>
    <w:rsid w:val="008B3DD4"/>
    <w:rsid w:val="008B404D"/>
    <w:rsid w:val="008B42B1"/>
    <w:rsid w:val="008B4725"/>
    <w:rsid w:val="008B4C52"/>
    <w:rsid w:val="008B514A"/>
    <w:rsid w:val="008B51C3"/>
    <w:rsid w:val="008B541E"/>
    <w:rsid w:val="008B6630"/>
    <w:rsid w:val="008B674F"/>
    <w:rsid w:val="008B7400"/>
    <w:rsid w:val="008B75CF"/>
    <w:rsid w:val="008B76BD"/>
    <w:rsid w:val="008C000E"/>
    <w:rsid w:val="008C05D1"/>
    <w:rsid w:val="008C0A7F"/>
    <w:rsid w:val="008C0BF6"/>
    <w:rsid w:val="008C0CEF"/>
    <w:rsid w:val="008C0F6A"/>
    <w:rsid w:val="008C118A"/>
    <w:rsid w:val="008C1482"/>
    <w:rsid w:val="008C163E"/>
    <w:rsid w:val="008C20CB"/>
    <w:rsid w:val="008C2CB4"/>
    <w:rsid w:val="008C2DAD"/>
    <w:rsid w:val="008C2FDB"/>
    <w:rsid w:val="008C3C70"/>
    <w:rsid w:val="008C3D88"/>
    <w:rsid w:val="008C4276"/>
    <w:rsid w:val="008C5820"/>
    <w:rsid w:val="008C5875"/>
    <w:rsid w:val="008C6272"/>
    <w:rsid w:val="008C63A4"/>
    <w:rsid w:val="008C6433"/>
    <w:rsid w:val="008C6453"/>
    <w:rsid w:val="008C6A91"/>
    <w:rsid w:val="008C7455"/>
    <w:rsid w:val="008C7567"/>
    <w:rsid w:val="008C7E50"/>
    <w:rsid w:val="008C7E99"/>
    <w:rsid w:val="008D0295"/>
    <w:rsid w:val="008D0C58"/>
    <w:rsid w:val="008D0F9D"/>
    <w:rsid w:val="008D1066"/>
    <w:rsid w:val="008D121B"/>
    <w:rsid w:val="008D1400"/>
    <w:rsid w:val="008D1787"/>
    <w:rsid w:val="008D2BF3"/>
    <w:rsid w:val="008D38BA"/>
    <w:rsid w:val="008D3CA6"/>
    <w:rsid w:val="008D53E9"/>
    <w:rsid w:val="008D5F73"/>
    <w:rsid w:val="008D62AB"/>
    <w:rsid w:val="008D6305"/>
    <w:rsid w:val="008D6536"/>
    <w:rsid w:val="008D6CC0"/>
    <w:rsid w:val="008D6E45"/>
    <w:rsid w:val="008D6EF0"/>
    <w:rsid w:val="008D7123"/>
    <w:rsid w:val="008D76C3"/>
    <w:rsid w:val="008D7F37"/>
    <w:rsid w:val="008E0A13"/>
    <w:rsid w:val="008E1431"/>
    <w:rsid w:val="008E1A1D"/>
    <w:rsid w:val="008E205E"/>
    <w:rsid w:val="008E225B"/>
    <w:rsid w:val="008E25A6"/>
    <w:rsid w:val="008E38BB"/>
    <w:rsid w:val="008E3A24"/>
    <w:rsid w:val="008E3F01"/>
    <w:rsid w:val="008E4763"/>
    <w:rsid w:val="008E4D28"/>
    <w:rsid w:val="008E5317"/>
    <w:rsid w:val="008E570C"/>
    <w:rsid w:val="008E5D56"/>
    <w:rsid w:val="008E6D8A"/>
    <w:rsid w:val="008E734B"/>
    <w:rsid w:val="008E7433"/>
    <w:rsid w:val="008E7B42"/>
    <w:rsid w:val="008F0D55"/>
    <w:rsid w:val="008F144F"/>
    <w:rsid w:val="008F15FD"/>
    <w:rsid w:val="008F18F8"/>
    <w:rsid w:val="008F2482"/>
    <w:rsid w:val="008F24EB"/>
    <w:rsid w:val="008F2C57"/>
    <w:rsid w:val="008F3B33"/>
    <w:rsid w:val="008F42AF"/>
    <w:rsid w:val="008F59B6"/>
    <w:rsid w:val="008F617A"/>
    <w:rsid w:val="008F7159"/>
    <w:rsid w:val="008F794C"/>
    <w:rsid w:val="008F7A58"/>
    <w:rsid w:val="008F7E8E"/>
    <w:rsid w:val="00900967"/>
    <w:rsid w:val="00900F9D"/>
    <w:rsid w:val="00901349"/>
    <w:rsid w:val="0090216D"/>
    <w:rsid w:val="00902ACE"/>
    <w:rsid w:val="00902F7C"/>
    <w:rsid w:val="00903334"/>
    <w:rsid w:val="009034C9"/>
    <w:rsid w:val="009040AC"/>
    <w:rsid w:val="009042A5"/>
    <w:rsid w:val="009042F3"/>
    <w:rsid w:val="00904493"/>
    <w:rsid w:val="00904716"/>
    <w:rsid w:val="00904D86"/>
    <w:rsid w:val="00904E87"/>
    <w:rsid w:val="00904FFF"/>
    <w:rsid w:val="00905365"/>
    <w:rsid w:val="009053B9"/>
    <w:rsid w:val="00905428"/>
    <w:rsid w:val="00905F6F"/>
    <w:rsid w:val="00906650"/>
    <w:rsid w:val="00906CCD"/>
    <w:rsid w:val="00906E4B"/>
    <w:rsid w:val="009070F6"/>
    <w:rsid w:val="009072AB"/>
    <w:rsid w:val="0090781A"/>
    <w:rsid w:val="0091007C"/>
    <w:rsid w:val="0091011F"/>
    <w:rsid w:val="00910328"/>
    <w:rsid w:val="0091035F"/>
    <w:rsid w:val="00910B14"/>
    <w:rsid w:val="00910C63"/>
    <w:rsid w:val="00910F54"/>
    <w:rsid w:val="009112C4"/>
    <w:rsid w:val="00911751"/>
    <w:rsid w:val="00911A42"/>
    <w:rsid w:val="00911BBC"/>
    <w:rsid w:val="00911ED8"/>
    <w:rsid w:val="00911EFD"/>
    <w:rsid w:val="009120CD"/>
    <w:rsid w:val="0091225B"/>
    <w:rsid w:val="009125A9"/>
    <w:rsid w:val="00912B32"/>
    <w:rsid w:val="0091331C"/>
    <w:rsid w:val="00913B0A"/>
    <w:rsid w:val="009141F5"/>
    <w:rsid w:val="009151A5"/>
    <w:rsid w:val="0091581E"/>
    <w:rsid w:val="00915DBC"/>
    <w:rsid w:val="00916093"/>
    <w:rsid w:val="009165CE"/>
    <w:rsid w:val="009165E4"/>
    <w:rsid w:val="0091681B"/>
    <w:rsid w:val="00916D35"/>
    <w:rsid w:val="0091714B"/>
    <w:rsid w:val="0091761A"/>
    <w:rsid w:val="009178AA"/>
    <w:rsid w:val="00920152"/>
    <w:rsid w:val="00920243"/>
    <w:rsid w:val="00920699"/>
    <w:rsid w:val="0092184D"/>
    <w:rsid w:val="00922528"/>
    <w:rsid w:val="00922990"/>
    <w:rsid w:val="009232B0"/>
    <w:rsid w:val="00924549"/>
    <w:rsid w:val="0092464F"/>
    <w:rsid w:val="009248D6"/>
    <w:rsid w:val="00924AB6"/>
    <w:rsid w:val="00924ACA"/>
    <w:rsid w:val="00925118"/>
    <w:rsid w:val="0092578C"/>
    <w:rsid w:val="00925EBC"/>
    <w:rsid w:val="0092620C"/>
    <w:rsid w:val="00926273"/>
    <w:rsid w:val="009264FE"/>
    <w:rsid w:val="00926FFF"/>
    <w:rsid w:val="0092709E"/>
    <w:rsid w:val="009272A7"/>
    <w:rsid w:val="00930CCE"/>
    <w:rsid w:val="00930E4C"/>
    <w:rsid w:val="00930EA3"/>
    <w:rsid w:val="00931176"/>
    <w:rsid w:val="00932057"/>
    <w:rsid w:val="009320CD"/>
    <w:rsid w:val="00932453"/>
    <w:rsid w:val="0093260F"/>
    <w:rsid w:val="00932919"/>
    <w:rsid w:val="00932EE0"/>
    <w:rsid w:val="009330BC"/>
    <w:rsid w:val="009335E5"/>
    <w:rsid w:val="00934230"/>
    <w:rsid w:val="009345E6"/>
    <w:rsid w:val="00934E8C"/>
    <w:rsid w:val="0093564A"/>
    <w:rsid w:val="0093605A"/>
    <w:rsid w:val="00936485"/>
    <w:rsid w:val="009366A3"/>
    <w:rsid w:val="00936852"/>
    <w:rsid w:val="00937392"/>
    <w:rsid w:val="009373BA"/>
    <w:rsid w:val="009374AF"/>
    <w:rsid w:val="0093758D"/>
    <w:rsid w:val="00937C73"/>
    <w:rsid w:val="0094023E"/>
    <w:rsid w:val="00940356"/>
    <w:rsid w:val="00941472"/>
    <w:rsid w:val="00941A89"/>
    <w:rsid w:val="00941E35"/>
    <w:rsid w:val="0094208F"/>
    <w:rsid w:val="00942384"/>
    <w:rsid w:val="00942772"/>
    <w:rsid w:val="00942CE9"/>
    <w:rsid w:val="00942ED0"/>
    <w:rsid w:val="00943AE9"/>
    <w:rsid w:val="009441B1"/>
    <w:rsid w:val="009441B8"/>
    <w:rsid w:val="009443DC"/>
    <w:rsid w:val="00944446"/>
    <w:rsid w:val="00944790"/>
    <w:rsid w:val="0094497A"/>
    <w:rsid w:val="00944C10"/>
    <w:rsid w:val="00944F15"/>
    <w:rsid w:val="00944F77"/>
    <w:rsid w:val="00945168"/>
    <w:rsid w:val="00945A4F"/>
    <w:rsid w:val="00945AF8"/>
    <w:rsid w:val="00945E04"/>
    <w:rsid w:val="00946571"/>
    <w:rsid w:val="0094664A"/>
    <w:rsid w:val="009468A9"/>
    <w:rsid w:val="00946A43"/>
    <w:rsid w:val="00946E41"/>
    <w:rsid w:val="0094732D"/>
    <w:rsid w:val="00947682"/>
    <w:rsid w:val="00947959"/>
    <w:rsid w:val="00947F71"/>
    <w:rsid w:val="009502C1"/>
    <w:rsid w:val="00950377"/>
    <w:rsid w:val="00950A5F"/>
    <w:rsid w:val="0095182C"/>
    <w:rsid w:val="00951B09"/>
    <w:rsid w:val="0095311B"/>
    <w:rsid w:val="00953595"/>
    <w:rsid w:val="009537BF"/>
    <w:rsid w:val="00953ABE"/>
    <w:rsid w:val="00953CA3"/>
    <w:rsid w:val="00953D98"/>
    <w:rsid w:val="00954055"/>
    <w:rsid w:val="0095476B"/>
    <w:rsid w:val="00954DD5"/>
    <w:rsid w:val="00954E91"/>
    <w:rsid w:val="009553D6"/>
    <w:rsid w:val="00955580"/>
    <w:rsid w:val="00956671"/>
    <w:rsid w:val="00956885"/>
    <w:rsid w:val="00957742"/>
    <w:rsid w:val="0095775B"/>
    <w:rsid w:val="00960B71"/>
    <w:rsid w:val="00960C7B"/>
    <w:rsid w:val="00961224"/>
    <w:rsid w:val="009614C9"/>
    <w:rsid w:val="009614F3"/>
    <w:rsid w:val="009616AF"/>
    <w:rsid w:val="009617FC"/>
    <w:rsid w:val="00961DA8"/>
    <w:rsid w:val="00962C43"/>
    <w:rsid w:val="00962FDB"/>
    <w:rsid w:val="0096345C"/>
    <w:rsid w:val="0096377B"/>
    <w:rsid w:val="00963C56"/>
    <w:rsid w:val="0096540F"/>
    <w:rsid w:val="00965534"/>
    <w:rsid w:val="00965A36"/>
    <w:rsid w:val="00965CC6"/>
    <w:rsid w:val="009664E7"/>
    <w:rsid w:val="00966643"/>
    <w:rsid w:val="0096685C"/>
    <w:rsid w:val="00966BEC"/>
    <w:rsid w:val="009677CC"/>
    <w:rsid w:val="0097066C"/>
    <w:rsid w:val="0097092C"/>
    <w:rsid w:val="009713A2"/>
    <w:rsid w:val="009713CA"/>
    <w:rsid w:val="0097217C"/>
    <w:rsid w:val="009722E0"/>
    <w:rsid w:val="00973033"/>
    <w:rsid w:val="00973932"/>
    <w:rsid w:val="00973A98"/>
    <w:rsid w:val="009743AD"/>
    <w:rsid w:val="0097446A"/>
    <w:rsid w:val="00974BD8"/>
    <w:rsid w:val="00974F47"/>
    <w:rsid w:val="00974F73"/>
    <w:rsid w:val="009752BD"/>
    <w:rsid w:val="00975669"/>
    <w:rsid w:val="00976169"/>
    <w:rsid w:val="00977058"/>
    <w:rsid w:val="00980975"/>
    <w:rsid w:val="00980B6C"/>
    <w:rsid w:val="00980CE0"/>
    <w:rsid w:val="00981159"/>
    <w:rsid w:val="0098198A"/>
    <w:rsid w:val="0098219B"/>
    <w:rsid w:val="009826A4"/>
    <w:rsid w:val="00982823"/>
    <w:rsid w:val="0098290F"/>
    <w:rsid w:val="00982CF3"/>
    <w:rsid w:val="00982F48"/>
    <w:rsid w:val="00983381"/>
    <w:rsid w:val="00983A89"/>
    <w:rsid w:val="00984499"/>
    <w:rsid w:val="00984601"/>
    <w:rsid w:val="00984C4C"/>
    <w:rsid w:val="00985AEC"/>
    <w:rsid w:val="00986051"/>
    <w:rsid w:val="00986B07"/>
    <w:rsid w:val="0098701A"/>
    <w:rsid w:val="009909F3"/>
    <w:rsid w:val="00990D8F"/>
    <w:rsid w:val="009910A8"/>
    <w:rsid w:val="009910CE"/>
    <w:rsid w:val="009915C4"/>
    <w:rsid w:val="00991799"/>
    <w:rsid w:val="00991A80"/>
    <w:rsid w:val="00991BD0"/>
    <w:rsid w:val="009920FC"/>
    <w:rsid w:val="009922C1"/>
    <w:rsid w:val="0099347C"/>
    <w:rsid w:val="00993875"/>
    <w:rsid w:val="00993B7F"/>
    <w:rsid w:val="0099429F"/>
    <w:rsid w:val="00994673"/>
    <w:rsid w:val="0099521E"/>
    <w:rsid w:val="00995733"/>
    <w:rsid w:val="00995905"/>
    <w:rsid w:val="00996008"/>
    <w:rsid w:val="009961F4"/>
    <w:rsid w:val="009962BA"/>
    <w:rsid w:val="00996453"/>
    <w:rsid w:val="009964F8"/>
    <w:rsid w:val="00996DE8"/>
    <w:rsid w:val="00996DF6"/>
    <w:rsid w:val="00997463"/>
    <w:rsid w:val="009A02F5"/>
    <w:rsid w:val="009A0A80"/>
    <w:rsid w:val="009A0C78"/>
    <w:rsid w:val="009A1095"/>
    <w:rsid w:val="009A19E5"/>
    <w:rsid w:val="009A1DCB"/>
    <w:rsid w:val="009A1E82"/>
    <w:rsid w:val="009A24FE"/>
    <w:rsid w:val="009A33F5"/>
    <w:rsid w:val="009A36A5"/>
    <w:rsid w:val="009A3E9A"/>
    <w:rsid w:val="009A45C3"/>
    <w:rsid w:val="009A4C76"/>
    <w:rsid w:val="009A554D"/>
    <w:rsid w:val="009A5A29"/>
    <w:rsid w:val="009A6B4D"/>
    <w:rsid w:val="009A6BAB"/>
    <w:rsid w:val="009A7A26"/>
    <w:rsid w:val="009B04D9"/>
    <w:rsid w:val="009B0B3D"/>
    <w:rsid w:val="009B0B8A"/>
    <w:rsid w:val="009B1324"/>
    <w:rsid w:val="009B149B"/>
    <w:rsid w:val="009B1911"/>
    <w:rsid w:val="009B21F1"/>
    <w:rsid w:val="009B2B1D"/>
    <w:rsid w:val="009B2BA9"/>
    <w:rsid w:val="009B2BD1"/>
    <w:rsid w:val="009B395F"/>
    <w:rsid w:val="009B3991"/>
    <w:rsid w:val="009B3999"/>
    <w:rsid w:val="009B39D7"/>
    <w:rsid w:val="009B4030"/>
    <w:rsid w:val="009B511E"/>
    <w:rsid w:val="009B538D"/>
    <w:rsid w:val="009B57A4"/>
    <w:rsid w:val="009B5E3D"/>
    <w:rsid w:val="009B6C34"/>
    <w:rsid w:val="009B6CA8"/>
    <w:rsid w:val="009B6CC4"/>
    <w:rsid w:val="009B6EB8"/>
    <w:rsid w:val="009C09A0"/>
    <w:rsid w:val="009C0A7E"/>
    <w:rsid w:val="009C0DD8"/>
    <w:rsid w:val="009C1222"/>
    <w:rsid w:val="009C1760"/>
    <w:rsid w:val="009C2438"/>
    <w:rsid w:val="009C24A5"/>
    <w:rsid w:val="009C26B4"/>
    <w:rsid w:val="009C2BB4"/>
    <w:rsid w:val="009C3065"/>
    <w:rsid w:val="009C37E9"/>
    <w:rsid w:val="009C3B5F"/>
    <w:rsid w:val="009C475D"/>
    <w:rsid w:val="009C4D4C"/>
    <w:rsid w:val="009C59F4"/>
    <w:rsid w:val="009C5E97"/>
    <w:rsid w:val="009C6037"/>
    <w:rsid w:val="009C6777"/>
    <w:rsid w:val="009C6A08"/>
    <w:rsid w:val="009C6A11"/>
    <w:rsid w:val="009C6E3A"/>
    <w:rsid w:val="009C721E"/>
    <w:rsid w:val="009C74E1"/>
    <w:rsid w:val="009C79DF"/>
    <w:rsid w:val="009D06B0"/>
    <w:rsid w:val="009D0D5C"/>
    <w:rsid w:val="009D215B"/>
    <w:rsid w:val="009D392F"/>
    <w:rsid w:val="009D3FE5"/>
    <w:rsid w:val="009D400C"/>
    <w:rsid w:val="009D48D4"/>
    <w:rsid w:val="009D496F"/>
    <w:rsid w:val="009D511A"/>
    <w:rsid w:val="009D522B"/>
    <w:rsid w:val="009D5B62"/>
    <w:rsid w:val="009D5D83"/>
    <w:rsid w:val="009D6344"/>
    <w:rsid w:val="009D711D"/>
    <w:rsid w:val="009D759C"/>
    <w:rsid w:val="009D7EB0"/>
    <w:rsid w:val="009D7F38"/>
    <w:rsid w:val="009E0DBE"/>
    <w:rsid w:val="009E10FB"/>
    <w:rsid w:val="009E1F3D"/>
    <w:rsid w:val="009E2A22"/>
    <w:rsid w:val="009E2E8A"/>
    <w:rsid w:val="009E34A3"/>
    <w:rsid w:val="009E36D9"/>
    <w:rsid w:val="009E3917"/>
    <w:rsid w:val="009E3AD6"/>
    <w:rsid w:val="009E3EE7"/>
    <w:rsid w:val="009E4588"/>
    <w:rsid w:val="009E5153"/>
    <w:rsid w:val="009E548F"/>
    <w:rsid w:val="009E54A7"/>
    <w:rsid w:val="009E5650"/>
    <w:rsid w:val="009E57FA"/>
    <w:rsid w:val="009E5833"/>
    <w:rsid w:val="009E5C51"/>
    <w:rsid w:val="009E6005"/>
    <w:rsid w:val="009E6207"/>
    <w:rsid w:val="009E672E"/>
    <w:rsid w:val="009E68BC"/>
    <w:rsid w:val="009E6AAA"/>
    <w:rsid w:val="009E7C7C"/>
    <w:rsid w:val="009E7D62"/>
    <w:rsid w:val="009E7EF8"/>
    <w:rsid w:val="009F0262"/>
    <w:rsid w:val="009F067C"/>
    <w:rsid w:val="009F0D8A"/>
    <w:rsid w:val="009F0E6F"/>
    <w:rsid w:val="009F1018"/>
    <w:rsid w:val="009F1144"/>
    <w:rsid w:val="009F1460"/>
    <w:rsid w:val="009F1C2C"/>
    <w:rsid w:val="009F2399"/>
    <w:rsid w:val="009F2417"/>
    <w:rsid w:val="009F2F5D"/>
    <w:rsid w:val="009F3061"/>
    <w:rsid w:val="009F3254"/>
    <w:rsid w:val="009F3499"/>
    <w:rsid w:val="009F3D23"/>
    <w:rsid w:val="009F449F"/>
    <w:rsid w:val="009F482C"/>
    <w:rsid w:val="009F6135"/>
    <w:rsid w:val="009F61AA"/>
    <w:rsid w:val="009F63F9"/>
    <w:rsid w:val="009F6450"/>
    <w:rsid w:val="009F6781"/>
    <w:rsid w:val="009F6D52"/>
    <w:rsid w:val="009F707A"/>
    <w:rsid w:val="009F7B06"/>
    <w:rsid w:val="009F7B90"/>
    <w:rsid w:val="009F7D12"/>
    <w:rsid w:val="009F7FB5"/>
    <w:rsid w:val="00A01058"/>
    <w:rsid w:val="00A01519"/>
    <w:rsid w:val="00A01758"/>
    <w:rsid w:val="00A02D7B"/>
    <w:rsid w:val="00A0315B"/>
    <w:rsid w:val="00A0323F"/>
    <w:rsid w:val="00A03526"/>
    <w:rsid w:val="00A03947"/>
    <w:rsid w:val="00A03991"/>
    <w:rsid w:val="00A03FA5"/>
    <w:rsid w:val="00A0471E"/>
    <w:rsid w:val="00A04BB6"/>
    <w:rsid w:val="00A04F8B"/>
    <w:rsid w:val="00A0605C"/>
    <w:rsid w:val="00A0633E"/>
    <w:rsid w:val="00A068DE"/>
    <w:rsid w:val="00A076B4"/>
    <w:rsid w:val="00A076CE"/>
    <w:rsid w:val="00A1002B"/>
    <w:rsid w:val="00A104C6"/>
    <w:rsid w:val="00A10A45"/>
    <w:rsid w:val="00A122C9"/>
    <w:rsid w:val="00A124D7"/>
    <w:rsid w:val="00A125C1"/>
    <w:rsid w:val="00A12979"/>
    <w:rsid w:val="00A12B55"/>
    <w:rsid w:val="00A13897"/>
    <w:rsid w:val="00A13FC1"/>
    <w:rsid w:val="00A143F9"/>
    <w:rsid w:val="00A144F9"/>
    <w:rsid w:val="00A14581"/>
    <w:rsid w:val="00A14A5F"/>
    <w:rsid w:val="00A15245"/>
    <w:rsid w:val="00A153A5"/>
    <w:rsid w:val="00A15EB2"/>
    <w:rsid w:val="00A1614C"/>
    <w:rsid w:val="00A1625B"/>
    <w:rsid w:val="00A1663B"/>
    <w:rsid w:val="00A16DB8"/>
    <w:rsid w:val="00A17AD9"/>
    <w:rsid w:val="00A20A5B"/>
    <w:rsid w:val="00A2127D"/>
    <w:rsid w:val="00A21A72"/>
    <w:rsid w:val="00A22D67"/>
    <w:rsid w:val="00A23604"/>
    <w:rsid w:val="00A23E61"/>
    <w:rsid w:val="00A23F13"/>
    <w:rsid w:val="00A2416A"/>
    <w:rsid w:val="00A248B6"/>
    <w:rsid w:val="00A251E6"/>
    <w:rsid w:val="00A252B4"/>
    <w:rsid w:val="00A253C9"/>
    <w:rsid w:val="00A254D0"/>
    <w:rsid w:val="00A25950"/>
    <w:rsid w:val="00A25D9C"/>
    <w:rsid w:val="00A25E68"/>
    <w:rsid w:val="00A26A96"/>
    <w:rsid w:val="00A26DCC"/>
    <w:rsid w:val="00A26E49"/>
    <w:rsid w:val="00A26F09"/>
    <w:rsid w:val="00A27040"/>
    <w:rsid w:val="00A277B8"/>
    <w:rsid w:val="00A27A08"/>
    <w:rsid w:val="00A3016D"/>
    <w:rsid w:val="00A30977"/>
    <w:rsid w:val="00A30D86"/>
    <w:rsid w:val="00A31214"/>
    <w:rsid w:val="00A32112"/>
    <w:rsid w:val="00A32405"/>
    <w:rsid w:val="00A33B8E"/>
    <w:rsid w:val="00A34684"/>
    <w:rsid w:val="00A34F08"/>
    <w:rsid w:val="00A34F40"/>
    <w:rsid w:val="00A356D6"/>
    <w:rsid w:val="00A35933"/>
    <w:rsid w:val="00A359D0"/>
    <w:rsid w:val="00A35B5B"/>
    <w:rsid w:val="00A35E44"/>
    <w:rsid w:val="00A35E4C"/>
    <w:rsid w:val="00A365B1"/>
    <w:rsid w:val="00A37148"/>
    <w:rsid w:val="00A378A9"/>
    <w:rsid w:val="00A3798B"/>
    <w:rsid w:val="00A37B15"/>
    <w:rsid w:val="00A37F47"/>
    <w:rsid w:val="00A4001C"/>
    <w:rsid w:val="00A405D1"/>
    <w:rsid w:val="00A40789"/>
    <w:rsid w:val="00A40FC1"/>
    <w:rsid w:val="00A41517"/>
    <w:rsid w:val="00A41BF9"/>
    <w:rsid w:val="00A42E0E"/>
    <w:rsid w:val="00A43E80"/>
    <w:rsid w:val="00A449B3"/>
    <w:rsid w:val="00A44ED4"/>
    <w:rsid w:val="00A4553E"/>
    <w:rsid w:val="00A459A8"/>
    <w:rsid w:val="00A46B31"/>
    <w:rsid w:val="00A46B65"/>
    <w:rsid w:val="00A4734D"/>
    <w:rsid w:val="00A4735E"/>
    <w:rsid w:val="00A47822"/>
    <w:rsid w:val="00A47865"/>
    <w:rsid w:val="00A47948"/>
    <w:rsid w:val="00A479A9"/>
    <w:rsid w:val="00A47F10"/>
    <w:rsid w:val="00A502D8"/>
    <w:rsid w:val="00A50D7A"/>
    <w:rsid w:val="00A50F6D"/>
    <w:rsid w:val="00A50FDB"/>
    <w:rsid w:val="00A51B5E"/>
    <w:rsid w:val="00A51C9B"/>
    <w:rsid w:val="00A51DC9"/>
    <w:rsid w:val="00A52112"/>
    <w:rsid w:val="00A524BF"/>
    <w:rsid w:val="00A52B07"/>
    <w:rsid w:val="00A52DD8"/>
    <w:rsid w:val="00A531C2"/>
    <w:rsid w:val="00A53571"/>
    <w:rsid w:val="00A53601"/>
    <w:rsid w:val="00A5369B"/>
    <w:rsid w:val="00A53A1A"/>
    <w:rsid w:val="00A53FAD"/>
    <w:rsid w:val="00A542B8"/>
    <w:rsid w:val="00A54548"/>
    <w:rsid w:val="00A54767"/>
    <w:rsid w:val="00A54BEE"/>
    <w:rsid w:val="00A55291"/>
    <w:rsid w:val="00A55888"/>
    <w:rsid w:val="00A55B01"/>
    <w:rsid w:val="00A56772"/>
    <w:rsid w:val="00A569B1"/>
    <w:rsid w:val="00A569B7"/>
    <w:rsid w:val="00A573B7"/>
    <w:rsid w:val="00A606F6"/>
    <w:rsid w:val="00A607F0"/>
    <w:rsid w:val="00A60DFA"/>
    <w:rsid w:val="00A61E06"/>
    <w:rsid w:val="00A6283A"/>
    <w:rsid w:val="00A62AE0"/>
    <w:rsid w:val="00A6359A"/>
    <w:rsid w:val="00A63A72"/>
    <w:rsid w:val="00A63CC6"/>
    <w:rsid w:val="00A63E7D"/>
    <w:rsid w:val="00A63F64"/>
    <w:rsid w:val="00A6447E"/>
    <w:rsid w:val="00A6461F"/>
    <w:rsid w:val="00A64836"/>
    <w:rsid w:val="00A64B18"/>
    <w:rsid w:val="00A6536C"/>
    <w:rsid w:val="00A65D7B"/>
    <w:rsid w:val="00A665B9"/>
    <w:rsid w:val="00A6663E"/>
    <w:rsid w:val="00A669DE"/>
    <w:rsid w:val="00A66CE5"/>
    <w:rsid w:val="00A66F58"/>
    <w:rsid w:val="00A6721F"/>
    <w:rsid w:val="00A675A5"/>
    <w:rsid w:val="00A67707"/>
    <w:rsid w:val="00A679A6"/>
    <w:rsid w:val="00A67CC8"/>
    <w:rsid w:val="00A67F61"/>
    <w:rsid w:val="00A7064A"/>
    <w:rsid w:val="00A70669"/>
    <w:rsid w:val="00A708A3"/>
    <w:rsid w:val="00A70D0F"/>
    <w:rsid w:val="00A71084"/>
    <w:rsid w:val="00A71248"/>
    <w:rsid w:val="00A71AFE"/>
    <w:rsid w:val="00A71B52"/>
    <w:rsid w:val="00A71CA8"/>
    <w:rsid w:val="00A71D90"/>
    <w:rsid w:val="00A71EA4"/>
    <w:rsid w:val="00A7264C"/>
    <w:rsid w:val="00A72E4C"/>
    <w:rsid w:val="00A73794"/>
    <w:rsid w:val="00A74D90"/>
    <w:rsid w:val="00A74DAF"/>
    <w:rsid w:val="00A74FDD"/>
    <w:rsid w:val="00A75015"/>
    <w:rsid w:val="00A7648C"/>
    <w:rsid w:val="00A76935"/>
    <w:rsid w:val="00A7693A"/>
    <w:rsid w:val="00A76BE7"/>
    <w:rsid w:val="00A771F7"/>
    <w:rsid w:val="00A77B57"/>
    <w:rsid w:val="00A8019D"/>
    <w:rsid w:val="00A80220"/>
    <w:rsid w:val="00A80614"/>
    <w:rsid w:val="00A80CF3"/>
    <w:rsid w:val="00A80D5B"/>
    <w:rsid w:val="00A81121"/>
    <w:rsid w:val="00A811E2"/>
    <w:rsid w:val="00A81D5F"/>
    <w:rsid w:val="00A82312"/>
    <w:rsid w:val="00A8250B"/>
    <w:rsid w:val="00A828FA"/>
    <w:rsid w:val="00A83A30"/>
    <w:rsid w:val="00A83BBE"/>
    <w:rsid w:val="00A83C94"/>
    <w:rsid w:val="00A83CA9"/>
    <w:rsid w:val="00A83CF9"/>
    <w:rsid w:val="00A84E9E"/>
    <w:rsid w:val="00A8566C"/>
    <w:rsid w:val="00A85869"/>
    <w:rsid w:val="00A85F72"/>
    <w:rsid w:val="00A8623F"/>
    <w:rsid w:val="00A86417"/>
    <w:rsid w:val="00A864FF"/>
    <w:rsid w:val="00A86A68"/>
    <w:rsid w:val="00A8717D"/>
    <w:rsid w:val="00A8719D"/>
    <w:rsid w:val="00A87DFE"/>
    <w:rsid w:val="00A87EC1"/>
    <w:rsid w:val="00A90DC8"/>
    <w:rsid w:val="00A91896"/>
    <w:rsid w:val="00A918CF"/>
    <w:rsid w:val="00A91CA6"/>
    <w:rsid w:val="00A91F59"/>
    <w:rsid w:val="00A923A0"/>
    <w:rsid w:val="00A923FF"/>
    <w:rsid w:val="00A92431"/>
    <w:rsid w:val="00A926CA"/>
    <w:rsid w:val="00A931E6"/>
    <w:rsid w:val="00A9330B"/>
    <w:rsid w:val="00A93378"/>
    <w:rsid w:val="00A9451E"/>
    <w:rsid w:val="00A94E1A"/>
    <w:rsid w:val="00A95035"/>
    <w:rsid w:val="00A95507"/>
    <w:rsid w:val="00A957BF"/>
    <w:rsid w:val="00A95B49"/>
    <w:rsid w:val="00A961D2"/>
    <w:rsid w:val="00A974B0"/>
    <w:rsid w:val="00A9751E"/>
    <w:rsid w:val="00A97594"/>
    <w:rsid w:val="00A9770F"/>
    <w:rsid w:val="00A978F3"/>
    <w:rsid w:val="00A97D82"/>
    <w:rsid w:val="00AA0CF4"/>
    <w:rsid w:val="00AA15E1"/>
    <w:rsid w:val="00AA19A5"/>
    <w:rsid w:val="00AA1A43"/>
    <w:rsid w:val="00AA1AAD"/>
    <w:rsid w:val="00AA1E3C"/>
    <w:rsid w:val="00AA3454"/>
    <w:rsid w:val="00AA39B3"/>
    <w:rsid w:val="00AA3D86"/>
    <w:rsid w:val="00AA3E45"/>
    <w:rsid w:val="00AA4318"/>
    <w:rsid w:val="00AA5988"/>
    <w:rsid w:val="00AA5E99"/>
    <w:rsid w:val="00AA5F39"/>
    <w:rsid w:val="00AA620F"/>
    <w:rsid w:val="00AA6227"/>
    <w:rsid w:val="00AA6816"/>
    <w:rsid w:val="00AA6848"/>
    <w:rsid w:val="00AA688D"/>
    <w:rsid w:val="00AA72BA"/>
    <w:rsid w:val="00AA753B"/>
    <w:rsid w:val="00AA7A9C"/>
    <w:rsid w:val="00AA7F74"/>
    <w:rsid w:val="00AB09EC"/>
    <w:rsid w:val="00AB0D3C"/>
    <w:rsid w:val="00AB0D3F"/>
    <w:rsid w:val="00AB0DA7"/>
    <w:rsid w:val="00AB154E"/>
    <w:rsid w:val="00AB237D"/>
    <w:rsid w:val="00AB24FB"/>
    <w:rsid w:val="00AB2898"/>
    <w:rsid w:val="00AB2C0F"/>
    <w:rsid w:val="00AB31CB"/>
    <w:rsid w:val="00AB3735"/>
    <w:rsid w:val="00AB3898"/>
    <w:rsid w:val="00AB3E0C"/>
    <w:rsid w:val="00AB417D"/>
    <w:rsid w:val="00AB418E"/>
    <w:rsid w:val="00AB4306"/>
    <w:rsid w:val="00AB4419"/>
    <w:rsid w:val="00AB52B6"/>
    <w:rsid w:val="00AB590A"/>
    <w:rsid w:val="00AB5935"/>
    <w:rsid w:val="00AB595F"/>
    <w:rsid w:val="00AB6586"/>
    <w:rsid w:val="00AB6EE5"/>
    <w:rsid w:val="00AB7793"/>
    <w:rsid w:val="00AB7A94"/>
    <w:rsid w:val="00AC02EC"/>
    <w:rsid w:val="00AC0965"/>
    <w:rsid w:val="00AC0AA2"/>
    <w:rsid w:val="00AC124F"/>
    <w:rsid w:val="00AC18AB"/>
    <w:rsid w:val="00AC1A56"/>
    <w:rsid w:val="00AC1A92"/>
    <w:rsid w:val="00AC1ACF"/>
    <w:rsid w:val="00AC2B48"/>
    <w:rsid w:val="00AC3F0D"/>
    <w:rsid w:val="00AC4C3A"/>
    <w:rsid w:val="00AC4F4D"/>
    <w:rsid w:val="00AC5119"/>
    <w:rsid w:val="00AC58EA"/>
    <w:rsid w:val="00AC5DB8"/>
    <w:rsid w:val="00AC5FEE"/>
    <w:rsid w:val="00AC6435"/>
    <w:rsid w:val="00AC6B12"/>
    <w:rsid w:val="00AC6BBD"/>
    <w:rsid w:val="00AC6D64"/>
    <w:rsid w:val="00AC6FAE"/>
    <w:rsid w:val="00AC7246"/>
    <w:rsid w:val="00AC7800"/>
    <w:rsid w:val="00AC7858"/>
    <w:rsid w:val="00AD00C7"/>
    <w:rsid w:val="00AD066D"/>
    <w:rsid w:val="00AD10FE"/>
    <w:rsid w:val="00AD12C7"/>
    <w:rsid w:val="00AD1B8A"/>
    <w:rsid w:val="00AD29DA"/>
    <w:rsid w:val="00AD2FD5"/>
    <w:rsid w:val="00AD309A"/>
    <w:rsid w:val="00AD30B3"/>
    <w:rsid w:val="00AD32A5"/>
    <w:rsid w:val="00AD339D"/>
    <w:rsid w:val="00AD3CD7"/>
    <w:rsid w:val="00AD4005"/>
    <w:rsid w:val="00AD4942"/>
    <w:rsid w:val="00AD4A38"/>
    <w:rsid w:val="00AD53AE"/>
    <w:rsid w:val="00AD64BA"/>
    <w:rsid w:val="00AD68C0"/>
    <w:rsid w:val="00AD69CC"/>
    <w:rsid w:val="00AD6CED"/>
    <w:rsid w:val="00AD7077"/>
    <w:rsid w:val="00AD7114"/>
    <w:rsid w:val="00AD7619"/>
    <w:rsid w:val="00AE0201"/>
    <w:rsid w:val="00AE0552"/>
    <w:rsid w:val="00AE0D8B"/>
    <w:rsid w:val="00AE10DB"/>
    <w:rsid w:val="00AE18E5"/>
    <w:rsid w:val="00AE1A0C"/>
    <w:rsid w:val="00AE2198"/>
    <w:rsid w:val="00AE2521"/>
    <w:rsid w:val="00AE26D3"/>
    <w:rsid w:val="00AE2D9F"/>
    <w:rsid w:val="00AE2E17"/>
    <w:rsid w:val="00AE3080"/>
    <w:rsid w:val="00AE32AE"/>
    <w:rsid w:val="00AE40C6"/>
    <w:rsid w:val="00AE41FE"/>
    <w:rsid w:val="00AE4247"/>
    <w:rsid w:val="00AE4987"/>
    <w:rsid w:val="00AE4B36"/>
    <w:rsid w:val="00AE51D2"/>
    <w:rsid w:val="00AE53DB"/>
    <w:rsid w:val="00AE55E2"/>
    <w:rsid w:val="00AE5A58"/>
    <w:rsid w:val="00AE5B35"/>
    <w:rsid w:val="00AE6191"/>
    <w:rsid w:val="00AE6569"/>
    <w:rsid w:val="00AE6828"/>
    <w:rsid w:val="00AE6969"/>
    <w:rsid w:val="00AE6A4A"/>
    <w:rsid w:val="00AE6E7F"/>
    <w:rsid w:val="00AE6F2A"/>
    <w:rsid w:val="00AE71F6"/>
    <w:rsid w:val="00AF05AA"/>
    <w:rsid w:val="00AF0700"/>
    <w:rsid w:val="00AF0790"/>
    <w:rsid w:val="00AF1B2D"/>
    <w:rsid w:val="00AF1CE4"/>
    <w:rsid w:val="00AF1D2E"/>
    <w:rsid w:val="00AF1F66"/>
    <w:rsid w:val="00AF2629"/>
    <w:rsid w:val="00AF3FD1"/>
    <w:rsid w:val="00AF48D1"/>
    <w:rsid w:val="00AF5195"/>
    <w:rsid w:val="00AF51D2"/>
    <w:rsid w:val="00AF51E3"/>
    <w:rsid w:val="00AF5293"/>
    <w:rsid w:val="00AF565A"/>
    <w:rsid w:val="00AF5691"/>
    <w:rsid w:val="00AF63CF"/>
    <w:rsid w:val="00AF6455"/>
    <w:rsid w:val="00AF7426"/>
    <w:rsid w:val="00AF79B4"/>
    <w:rsid w:val="00AF7CD7"/>
    <w:rsid w:val="00AF7EAF"/>
    <w:rsid w:val="00B00AA1"/>
    <w:rsid w:val="00B00B34"/>
    <w:rsid w:val="00B013B9"/>
    <w:rsid w:val="00B0156E"/>
    <w:rsid w:val="00B01BEA"/>
    <w:rsid w:val="00B021FE"/>
    <w:rsid w:val="00B02D1F"/>
    <w:rsid w:val="00B030F7"/>
    <w:rsid w:val="00B03789"/>
    <w:rsid w:val="00B03BBA"/>
    <w:rsid w:val="00B03C6D"/>
    <w:rsid w:val="00B03C80"/>
    <w:rsid w:val="00B04246"/>
    <w:rsid w:val="00B04D35"/>
    <w:rsid w:val="00B04EB0"/>
    <w:rsid w:val="00B0543F"/>
    <w:rsid w:val="00B054EE"/>
    <w:rsid w:val="00B05676"/>
    <w:rsid w:val="00B05BC9"/>
    <w:rsid w:val="00B05F50"/>
    <w:rsid w:val="00B065F3"/>
    <w:rsid w:val="00B077FC"/>
    <w:rsid w:val="00B07B9B"/>
    <w:rsid w:val="00B07C55"/>
    <w:rsid w:val="00B101F7"/>
    <w:rsid w:val="00B103C4"/>
    <w:rsid w:val="00B11055"/>
    <w:rsid w:val="00B110B1"/>
    <w:rsid w:val="00B111BA"/>
    <w:rsid w:val="00B11886"/>
    <w:rsid w:val="00B11F4D"/>
    <w:rsid w:val="00B12553"/>
    <w:rsid w:val="00B12A6B"/>
    <w:rsid w:val="00B12B38"/>
    <w:rsid w:val="00B13893"/>
    <w:rsid w:val="00B13ADA"/>
    <w:rsid w:val="00B13E74"/>
    <w:rsid w:val="00B13FE3"/>
    <w:rsid w:val="00B14096"/>
    <w:rsid w:val="00B14580"/>
    <w:rsid w:val="00B14753"/>
    <w:rsid w:val="00B14B0B"/>
    <w:rsid w:val="00B14B2E"/>
    <w:rsid w:val="00B150C7"/>
    <w:rsid w:val="00B150DA"/>
    <w:rsid w:val="00B154F3"/>
    <w:rsid w:val="00B15A9D"/>
    <w:rsid w:val="00B1661E"/>
    <w:rsid w:val="00B170D9"/>
    <w:rsid w:val="00B173B7"/>
    <w:rsid w:val="00B17BD8"/>
    <w:rsid w:val="00B201D0"/>
    <w:rsid w:val="00B20584"/>
    <w:rsid w:val="00B20D7B"/>
    <w:rsid w:val="00B2185A"/>
    <w:rsid w:val="00B219ED"/>
    <w:rsid w:val="00B22893"/>
    <w:rsid w:val="00B22BE4"/>
    <w:rsid w:val="00B22E34"/>
    <w:rsid w:val="00B23175"/>
    <w:rsid w:val="00B23387"/>
    <w:rsid w:val="00B24832"/>
    <w:rsid w:val="00B24843"/>
    <w:rsid w:val="00B24B00"/>
    <w:rsid w:val="00B24FA8"/>
    <w:rsid w:val="00B2501B"/>
    <w:rsid w:val="00B25E51"/>
    <w:rsid w:val="00B26274"/>
    <w:rsid w:val="00B26F2B"/>
    <w:rsid w:val="00B2725F"/>
    <w:rsid w:val="00B273A9"/>
    <w:rsid w:val="00B27766"/>
    <w:rsid w:val="00B2799C"/>
    <w:rsid w:val="00B27E67"/>
    <w:rsid w:val="00B306D3"/>
    <w:rsid w:val="00B3076B"/>
    <w:rsid w:val="00B30CFE"/>
    <w:rsid w:val="00B30F0C"/>
    <w:rsid w:val="00B31387"/>
    <w:rsid w:val="00B31482"/>
    <w:rsid w:val="00B315B6"/>
    <w:rsid w:val="00B3164D"/>
    <w:rsid w:val="00B31734"/>
    <w:rsid w:val="00B31F10"/>
    <w:rsid w:val="00B32B51"/>
    <w:rsid w:val="00B32FDA"/>
    <w:rsid w:val="00B33B86"/>
    <w:rsid w:val="00B343F3"/>
    <w:rsid w:val="00B34605"/>
    <w:rsid w:val="00B34F70"/>
    <w:rsid w:val="00B35014"/>
    <w:rsid w:val="00B35482"/>
    <w:rsid w:val="00B354FD"/>
    <w:rsid w:val="00B35545"/>
    <w:rsid w:val="00B356AF"/>
    <w:rsid w:val="00B35E5F"/>
    <w:rsid w:val="00B3640C"/>
    <w:rsid w:val="00B36603"/>
    <w:rsid w:val="00B36F20"/>
    <w:rsid w:val="00B37610"/>
    <w:rsid w:val="00B37CD1"/>
    <w:rsid w:val="00B37DC4"/>
    <w:rsid w:val="00B40AA3"/>
    <w:rsid w:val="00B4110F"/>
    <w:rsid w:val="00B41382"/>
    <w:rsid w:val="00B421D2"/>
    <w:rsid w:val="00B426A7"/>
    <w:rsid w:val="00B42B11"/>
    <w:rsid w:val="00B43CE8"/>
    <w:rsid w:val="00B43D3E"/>
    <w:rsid w:val="00B44189"/>
    <w:rsid w:val="00B44594"/>
    <w:rsid w:val="00B458C8"/>
    <w:rsid w:val="00B46522"/>
    <w:rsid w:val="00B467D1"/>
    <w:rsid w:val="00B46A39"/>
    <w:rsid w:val="00B46DEB"/>
    <w:rsid w:val="00B46FA0"/>
    <w:rsid w:val="00B47068"/>
    <w:rsid w:val="00B501EF"/>
    <w:rsid w:val="00B50646"/>
    <w:rsid w:val="00B50907"/>
    <w:rsid w:val="00B50AD1"/>
    <w:rsid w:val="00B50C89"/>
    <w:rsid w:val="00B51370"/>
    <w:rsid w:val="00B515F4"/>
    <w:rsid w:val="00B51B7E"/>
    <w:rsid w:val="00B51CB8"/>
    <w:rsid w:val="00B51DD5"/>
    <w:rsid w:val="00B52413"/>
    <w:rsid w:val="00B52EEF"/>
    <w:rsid w:val="00B53A16"/>
    <w:rsid w:val="00B53B2E"/>
    <w:rsid w:val="00B548B2"/>
    <w:rsid w:val="00B54BEC"/>
    <w:rsid w:val="00B54DE6"/>
    <w:rsid w:val="00B554AC"/>
    <w:rsid w:val="00B55831"/>
    <w:rsid w:val="00B56017"/>
    <w:rsid w:val="00B562C5"/>
    <w:rsid w:val="00B567F3"/>
    <w:rsid w:val="00B56F52"/>
    <w:rsid w:val="00B5701F"/>
    <w:rsid w:val="00B5764A"/>
    <w:rsid w:val="00B57DDC"/>
    <w:rsid w:val="00B60DB7"/>
    <w:rsid w:val="00B613A2"/>
    <w:rsid w:val="00B61BC9"/>
    <w:rsid w:val="00B61C15"/>
    <w:rsid w:val="00B6255B"/>
    <w:rsid w:val="00B626B3"/>
    <w:rsid w:val="00B628DD"/>
    <w:rsid w:val="00B62A82"/>
    <w:rsid w:val="00B62D1F"/>
    <w:rsid w:val="00B62DC9"/>
    <w:rsid w:val="00B634E3"/>
    <w:rsid w:val="00B634F6"/>
    <w:rsid w:val="00B64B8D"/>
    <w:rsid w:val="00B64BB9"/>
    <w:rsid w:val="00B65226"/>
    <w:rsid w:val="00B657BC"/>
    <w:rsid w:val="00B659F7"/>
    <w:rsid w:val="00B65D5F"/>
    <w:rsid w:val="00B660C0"/>
    <w:rsid w:val="00B66B3B"/>
    <w:rsid w:val="00B66D78"/>
    <w:rsid w:val="00B6712F"/>
    <w:rsid w:val="00B67C5F"/>
    <w:rsid w:val="00B70384"/>
    <w:rsid w:val="00B7038C"/>
    <w:rsid w:val="00B70D8C"/>
    <w:rsid w:val="00B71147"/>
    <w:rsid w:val="00B7136D"/>
    <w:rsid w:val="00B713B2"/>
    <w:rsid w:val="00B71A12"/>
    <w:rsid w:val="00B71C12"/>
    <w:rsid w:val="00B721B6"/>
    <w:rsid w:val="00B72AE5"/>
    <w:rsid w:val="00B72E57"/>
    <w:rsid w:val="00B731C6"/>
    <w:rsid w:val="00B731FF"/>
    <w:rsid w:val="00B73335"/>
    <w:rsid w:val="00B734A5"/>
    <w:rsid w:val="00B73581"/>
    <w:rsid w:val="00B73838"/>
    <w:rsid w:val="00B73D2E"/>
    <w:rsid w:val="00B742BE"/>
    <w:rsid w:val="00B74714"/>
    <w:rsid w:val="00B74826"/>
    <w:rsid w:val="00B74838"/>
    <w:rsid w:val="00B74939"/>
    <w:rsid w:val="00B74A08"/>
    <w:rsid w:val="00B74B66"/>
    <w:rsid w:val="00B74DA9"/>
    <w:rsid w:val="00B75254"/>
    <w:rsid w:val="00B7596F"/>
    <w:rsid w:val="00B75A19"/>
    <w:rsid w:val="00B76229"/>
    <w:rsid w:val="00B76F11"/>
    <w:rsid w:val="00B775CD"/>
    <w:rsid w:val="00B77785"/>
    <w:rsid w:val="00B77F0B"/>
    <w:rsid w:val="00B77F0C"/>
    <w:rsid w:val="00B77F83"/>
    <w:rsid w:val="00B80571"/>
    <w:rsid w:val="00B814BA"/>
    <w:rsid w:val="00B81761"/>
    <w:rsid w:val="00B822B9"/>
    <w:rsid w:val="00B8233F"/>
    <w:rsid w:val="00B82816"/>
    <w:rsid w:val="00B828C7"/>
    <w:rsid w:val="00B83137"/>
    <w:rsid w:val="00B8353E"/>
    <w:rsid w:val="00B83BE1"/>
    <w:rsid w:val="00B845E0"/>
    <w:rsid w:val="00B847D4"/>
    <w:rsid w:val="00B85225"/>
    <w:rsid w:val="00B853BE"/>
    <w:rsid w:val="00B85C16"/>
    <w:rsid w:val="00B85C5F"/>
    <w:rsid w:val="00B85DF6"/>
    <w:rsid w:val="00B86002"/>
    <w:rsid w:val="00B864E6"/>
    <w:rsid w:val="00B8669B"/>
    <w:rsid w:val="00B86E02"/>
    <w:rsid w:val="00B86E71"/>
    <w:rsid w:val="00B86FAA"/>
    <w:rsid w:val="00B876A4"/>
    <w:rsid w:val="00B87854"/>
    <w:rsid w:val="00B87AA2"/>
    <w:rsid w:val="00B87FAA"/>
    <w:rsid w:val="00B9043C"/>
    <w:rsid w:val="00B9171E"/>
    <w:rsid w:val="00B91D20"/>
    <w:rsid w:val="00B927F0"/>
    <w:rsid w:val="00B92C04"/>
    <w:rsid w:val="00B93220"/>
    <w:rsid w:val="00B93D6C"/>
    <w:rsid w:val="00B93E12"/>
    <w:rsid w:val="00B93E1E"/>
    <w:rsid w:val="00B941A8"/>
    <w:rsid w:val="00B94641"/>
    <w:rsid w:val="00B94A44"/>
    <w:rsid w:val="00B94B60"/>
    <w:rsid w:val="00B94D36"/>
    <w:rsid w:val="00B94EB5"/>
    <w:rsid w:val="00B9572C"/>
    <w:rsid w:val="00B9589D"/>
    <w:rsid w:val="00B958F9"/>
    <w:rsid w:val="00B95B5A"/>
    <w:rsid w:val="00B96371"/>
    <w:rsid w:val="00B96940"/>
    <w:rsid w:val="00B97B3F"/>
    <w:rsid w:val="00B97B8D"/>
    <w:rsid w:val="00BA01DB"/>
    <w:rsid w:val="00BA0A0A"/>
    <w:rsid w:val="00BA0AB5"/>
    <w:rsid w:val="00BA0D93"/>
    <w:rsid w:val="00BA0E21"/>
    <w:rsid w:val="00BA0F9F"/>
    <w:rsid w:val="00BA11F5"/>
    <w:rsid w:val="00BA14F4"/>
    <w:rsid w:val="00BA1ABA"/>
    <w:rsid w:val="00BA1B3D"/>
    <w:rsid w:val="00BA1C28"/>
    <w:rsid w:val="00BA1E6A"/>
    <w:rsid w:val="00BA1F42"/>
    <w:rsid w:val="00BA2241"/>
    <w:rsid w:val="00BA22A7"/>
    <w:rsid w:val="00BA257E"/>
    <w:rsid w:val="00BA2654"/>
    <w:rsid w:val="00BA3983"/>
    <w:rsid w:val="00BA3A6E"/>
    <w:rsid w:val="00BA3AA9"/>
    <w:rsid w:val="00BA3E7B"/>
    <w:rsid w:val="00BA4104"/>
    <w:rsid w:val="00BA418C"/>
    <w:rsid w:val="00BA4E39"/>
    <w:rsid w:val="00BA4FB9"/>
    <w:rsid w:val="00BA5021"/>
    <w:rsid w:val="00BA5771"/>
    <w:rsid w:val="00BA5A8F"/>
    <w:rsid w:val="00BA5F0B"/>
    <w:rsid w:val="00BA6163"/>
    <w:rsid w:val="00BA6345"/>
    <w:rsid w:val="00BA683F"/>
    <w:rsid w:val="00BA6884"/>
    <w:rsid w:val="00BA6D44"/>
    <w:rsid w:val="00BA6F1B"/>
    <w:rsid w:val="00BA6F4B"/>
    <w:rsid w:val="00BA749B"/>
    <w:rsid w:val="00BB00D4"/>
    <w:rsid w:val="00BB0218"/>
    <w:rsid w:val="00BB0A63"/>
    <w:rsid w:val="00BB103E"/>
    <w:rsid w:val="00BB12DB"/>
    <w:rsid w:val="00BB1D9D"/>
    <w:rsid w:val="00BB296F"/>
    <w:rsid w:val="00BB2DC5"/>
    <w:rsid w:val="00BB2F49"/>
    <w:rsid w:val="00BB30D9"/>
    <w:rsid w:val="00BB31F2"/>
    <w:rsid w:val="00BB3566"/>
    <w:rsid w:val="00BB36A0"/>
    <w:rsid w:val="00BB3952"/>
    <w:rsid w:val="00BB3BC2"/>
    <w:rsid w:val="00BB4137"/>
    <w:rsid w:val="00BB4EC8"/>
    <w:rsid w:val="00BB50CA"/>
    <w:rsid w:val="00BB583F"/>
    <w:rsid w:val="00BB5BF8"/>
    <w:rsid w:val="00BB69E5"/>
    <w:rsid w:val="00BB6B0E"/>
    <w:rsid w:val="00BB6CF0"/>
    <w:rsid w:val="00BB6D59"/>
    <w:rsid w:val="00BB6ED4"/>
    <w:rsid w:val="00BB77C8"/>
    <w:rsid w:val="00BB7AB3"/>
    <w:rsid w:val="00BC032B"/>
    <w:rsid w:val="00BC08F1"/>
    <w:rsid w:val="00BC0B2C"/>
    <w:rsid w:val="00BC14F2"/>
    <w:rsid w:val="00BC1ECF"/>
    <w:rsid w:val="00BC226A"/>
    <w:rsid w:val="00BC2C65"/>
    <w:rsid w:val="00BC38A8"/>
    <w:rsid w:val="00BC3AD1"/>
    <w:rsid w:val="00BC3CCB"/>
    <w:rsid w:val="00BC4002"/>
    <w:rsid w:val="00BC41DF"/>
    <w:rsid w:val="00BC4770"/>
    <w:rsid w:val="00BC49AD"/>
    <w:rsid w:val="00BC4FCC"/>
    <w:rsid w:val="00BC5020"/>
    <w:rsid w:val="00BC509D"/>
    <w:rsid w:val="00BC519E"/>
    <w:rsid w:val="00BC586E"/>
    <w:rsid w:val="00BC59D5"/>
    <w:rsid w:val="00BC5E13"/>
    <w:rsid w:val="00BC5FAF"/>
    <w:rsid w:val="00BC61D0"/>
    <w:rsid w:val="00BC663A"/>
    <w:rsid w:val="00BC6770"/>
    <w:rsid w:val="00BC6799"/>
    <w:rsid w:val="00BC6A70"/>
    <w:rsid w:val="00BC763D"/>
    <w:rsid w:val="00BC7A4E"/>
    <w:rsid w:val="00BC7B1B"/>
    <w:rsid w:val="00BD0A4D"/>
    <w:rsid w:val="00BD11F2"/>
    <w:rsid w:val="00BD17B2"/>
    <w:rsid w:val="00BD1D4A"/>
    <w:rsid w:val="00BD210D"/>
    <w:rsid w:val="00BD21B0"/>
    <w:rsid w:val="00BD22CC"/>
    <w:rsid w:val="00BD319B"/>
    <w:rsid w:val="00BD3248"/>
    <w:rsid w:val="00BD3837"/>
    <w:rsid w:val="00BD3BDC"/>
    <w:rsid w:val="00BD3F50"/>
    <w:rsid w:val="00BD43F6"/>
    <w:rsid w:val="00BD4400"/>
    <w:rsid w:val="00BD4715"/>
    <w:rsid w:val="00BD4A0F"/>
    <w:rsid w:val="00BD4CFB"/>
    <w:rsid w:val="00BD4FCE"/>
    <w:rsid w:val="00BD5CED"/>
    <w:rsid w:val="00BD5CF9"/>
    <w:rsid w:val="00BD6526"/>
    <w:rsid w:val="00BD6580"/>
    <w:rsid w:val="00BD65DD"/>
    <w:rsid w:val="00BD71ED"/>
    <w:rsid w:val="00BD74BA"/>
    <w:rsid w:val="00BD7518"/>
    <w:rsid w:val="00BE00E0"/>
    <w:rsid w:val="00BE057E"/>
    <w:rsid w:val="00BE0866"/>
    <w:rsid w:val="00BE1493"/>
    <w:rsid w:val="00BE16C8"/>
    <w:rsid w:val="00BE1747"/>
    <w:rsid w:val="00BE1FC1"/>
    <w:rsid w:val="00BE21FF"/>
    <w:rsid w:val="00BE2B5A"/>
    <w:rsid w:val="00BE2F89"/>
    <w:rsid w:val="00BE3580"/>
    <w:rsid w:val="00BE3D5E"/>
    <w:rsid w:val="00BE43B2"/>
    <w:rsid w:val="00BE4561"/>
    <w:rsid w:val="00BE45E6"/>
    <w:rsid w:val="00BE5A74"/>
    <w:rsid w:val="00BE5B4F"/>
    <w:rsid w:val="00BE5D81"/>
    <w:rsid w:val="00BE60F0"/>
    <w:rsid w:val="00BE63C2"/>
    <w:rsid w:val="00BE668C"/>
    <w:rsid w:val="00BE6981"/>
    <w:rsid w:val="00BE72DB"/>
    <w:rsid w:val="00BE754E"/>
    <w:rsid w:val="00BE78AD"/>
    <w:rsid w:val="00BE7C43"/>
    <w:rsid w:val="00BF000F"/>
    <w:rsid w:val="00BF044E"/>
    <w:rsid w:val="00BF06D2"/>
    <w:rsid w:val="00BF0924"/>
    <w:rsid w:val="00BF10C8"/>
    <w:rsid w:val="00BF1ECA"/>
    <w:rsid w:val="00BF2027"/>
    <w:rsid w:val="00BF2BF7"/>
    <w:rsid w:val="00BF35D6"/>
    <w:rsid w:val="00BF37F7"/>
    <w:rsid w:val="00BF3A98"/>
    <w:rsid w:val="00BF42D9"/>
    <w:rsid w:val="00BF478B"/>
    <w:rsid w:val="00BF493D"/>
    <w:rsid w:val="00BF4BDE"/>
    <w:rsid w:val="00BF4CC0"/>
    <w:rsid w:val="00BF564E"/>
    <w:rsid w:val="00BF5B38"/>
    <w:rsid w:val="00BF5CF0"/>
    <w:rsid w:val="00BF5D2F"/>
    <w:rsid w:val="00BF6C1F"/>
    <w:rsid w:val="00BF6D79"/>
    <w:rsid w:val="00BF78DA"/>
    <w:rsid w:val="00BF7AF5"/>
    <w:rsid w:val="00BF7C6D"/>
    <w:rsid w:val="00C00449"/>
    <w:rsid w:val="00C00506"/>
    <w:rsid w:val="00C00651"/>
    <w:rsid w:val="00C00B6F"/>
    <w:rsid w:val="00C00C11"/>
    <w:rsid w:val="00C013A1"/>
    <w:rsid w:val="00C0205E"/>
    <w:rsid w:val="00C02881"/>
    <w:rsid w:val="00C02E6E"/>
    <w:rsid w:val="00C03010"/>
    <w:rsid w:val="00C0325B"/>
    <w:rsid w:val="00C03427"/>
    <w:rsid w:val="00C03EE9"/>
    <w:rsid w:val="00C0465F"/>
    <w:rsid w:val="00C04738"/>
    <w:rsid w:val="00C04ED2"/>
    <w:rsid w:val="00C05214"/>
    <w:rsid w:val="00C055AE"/>
    <w:rsid w:val="00C05824"/>
    <w:rsid w:val="00C058AC"/>
    <w:rsid w:val="00C05C16"/>
    <w:rsid w:val="00C05C62"/>
    <w:rsid w:val="00C0657E"/>
    <w:rsid w:val="00C06752"/>
    <w:rsid w:val="00C06CFB"/>
    <w:rsid w:val="00C075B0"/>
    <w:rsid w:val="00C07FB5"/>
    <w:rsid w:val="00C10C28"/>
    <w:rsid w:val="00C10FFF"/>
    <w:rsid w:val="00C11949"/>
    <w:rsid w:val="00C11F93"/>
    <w:rsid w:val="00C12036"/>
    <w:rsid w:val="00C12167"/>
    <w:rsid w:val="00C1261F"/>
    <w:rsid w:val="00C12D03"/>
    <w:rsid w:val="00C12D16"/>
    <w:rsid w:val="00C134EF"/>
    <w:rsid w:val="00C136B1"/>
    <w:rsid w:val="00C1411A"/>
    <w:rsid w:val="00C149F4"/>
    <w:rsid w:val="00C14B4D"/>
    <w:rsid w:val="00C15227"/>
    <w:rsid w:val="00C152F6"/>
    <w:rsid w:val="00C1573B"/>
    <w:rsid w:val="00C15B70"/>
    <w:rsid w:val="00C16409"/>
    <w:rsid w:val="00C16D22"/>
    <w:rsid w:val="00C1761B"/>
    <w:rsid w:val="00C178DC"/>
    <w:rsid w:val="00C20584"/>
    <w:rsid w:val="00C20EC6"/>
    <w:rsid w:val="00C21429"/>
    <w:rsid w:val="00C215A6"/>
    <w:rsid w:val="00C216DE"/>
    <w:rsid w:val="00C2182B"/>
    <w:rsid w:val="00C21F14"/>
    <w:rsid w:val="00C21FCA"/>
    <w:rsid w:val="00C22796"/>
    <w:rsid w:val="00C22AEC"/>
    <w:rsid w:val="00C22E90"/>
    <w:rsid w:val="00C23353"/>
    <w:rsid w:val="00C2396C"/>
    <w:rsid w:val="00C24ADD"/>
    <w:rsid w:val="00C24BAA"/>
    <w:rsid w:val="00C24F38"/>
    <w:rsid w:val="00C2614E"/>
    <w:rsid w:val="00C26706"/>
    <w:rsid w:val="00C269F1"/>
    <w:rsid w:val="00C26D71"/>
    <w:rsid w:val="00C26DC3"/>
    <w:rsid w:val="00C26F85"/>
    <w:rsid w:val="00C274DA"/>
    <w:rsid w:val="00C27696"/>
    <w:rsid w:val="00C309D3"/>
    <w:rsid w:val="00C30EE8"/>
    <w:rsid w:val="00C3130A"/>
    <w:rsid w:val="00C31AEE"/>
    <w:rsid w:val="00C31D43"/>
    <w:rsid w:val="00C32115"/>
    <w:rsid w:val="00C323E3"/>
    <w:rsid w:val="00C32D0C"/>
    <w:rsid w:val="00C32EFA"/>
    <w:rsid w:val="00C32FE5"/>
    <w:rsid w:val="00C33149"/>
    <w:rsid w:val="00C332AE"/>
    <w:rsid w:val="00C333EF"/>
    <w:rsid w:val="00C336A6"/>
    <w:rsid w:val="00C34B24"/>
    <w:rsid w:val="00C373F4"/>
    <w:rsid w:val="00C3770A"/>
    <w:rsid w:val="00C378C5"/>
    <w:rsid w:val="00C37AD6"/>
    <w:rsid w:val="00C37E49"/>
    <w:rsid w:val="00C40B18"/>
    <w:rsid w:val="00C40C6C"/>
    <w:rsid w:val="00C40CD7"/>
    <w:rsid w:val="00C40DF8"/>
    <w:rsid w:val="00C41208"/>
    <w:rsid w:val="00C43C14"/>
    <w:rsid w:val="00C444F3"/>
    <w:rsid w:val="00C44897"/>
    <w:rsid w:val="00C44D35"/>
    <w:rsid w:val="00C461BE"/>
    <w:rsid w:val="00C46F1D"/>
    <w:rsid w:val="00C470BB"/>
    <w:rsid w:val="00C4745D"/>
    <w:rsid w:val="00C4761D"/>
    <w:rsid w:val="00C47BB6"/>
    <w:rsid w:val="00C47FD4"/>
    <w:rsid w:val="00C5021B"/>
    <w:rsid w:val="00C50D27"/>
    <w:rsid w:val="00C50E00"/>
    <w:rsid w:val="00C51F90"/>
    <w:rsid w:val="00C52498"/>
    <w:rsid w:val="00C527D9"/>
    <w:rsid w:val="00C5298C"/>
    <w:rsid w:val="00C52A20"/>
    <w:rsid w:val="00C52B18"/>
    <w:rsid w:val="00C52BA9"/>
    <w:rsid w:val="00C52BBE"/>
    <w:rsid w:val="00C52F5D"/>
    <w:rsid w:val="00C53422"/>
    <w:rsid w:val="00C5346E"/>
    <w:rsid w:val="00C539C2"/>
    <w:rsid w:val="00C546EE"/>
    <w:rsid w:val="00C54991"/>
    <w:rsid w:val="00C55512"/>
    <w:rsid w:val="00C5615D"/>
    <w:rsid w:val="00C5705B"/>
    <w:rsid w:val="00C5712F"/>
    <w:rsid w:val="00C57717"/>
    <w:rsid w:val="00C57DFB"/>
    <w:rsid w:val="00C60393"/>
    <w:rsid w:val="00C60DA2"/>
    <w:rsid w:val="00C60E1B"/>
    <w:rsid w:val="00C60FA4"/>
    <w:rsid w:val="00C61103"/>
    <w:rsid w:val="00C614BF"/>
    <w:rsid w:val="00C615C9"/>
    <w:rsid w:val="00C621AD"/>
    <w:rsid w:val="00C624B1"/>
    <w:rsid w:val="00C62856"/>
    <w:rsid w:val="00C6319B"/>
    <w:rsid w:val="00C632A9"/>
    <w:rsid w:val="00C640A9"/>
    <w:rsid w:val="00C64421"/>
    <w:rsid w:val="00C6459B"/>
    <w:rsid w:val="00C64C56"/>
    <w:rsid w:val="00C65472"/>
    <w:rsid w:val="00C65514"/>
    <w:rsid w:val="00C66464"/>
    <w:rsid w:val="00C66E8A"/>
    <w:rsid w:val="00C677F3"/>
    <w:rsid w:val="00C67999"/>
    <w:rsid w:val="00C67F5E"/>
    <w:rsid w:val="00C703AE"/>
    <w:rsid w:val="00C7076B"/>
    <w:rsid w:val="00C70B1A"/>
    <w:rsid w:val="00C70B51"/>
    <w:rsid w:val="00C70FFD"/>
    <w:rsid w:val="00C7198B"/>
    <w:rsid w:val="00C721A8"/>
    <w:rsid w:val="00C721C4"/>
    <w:rsid w:val="00C72514"/>
    <w:rsid w:val="00C72C01"/>
    <w:rsid w:val="00C72CD4"/>
    <w:rsid w:val="00C740B6"/>
    <w:rsid w:val="00C74998"/>
    <w:rsid w:val="00C75803"/>
    <w:rsid w:val="00C75ABD"/>
    <w:rsid w:val="00C76098"/>
    <w:rsid w:val="00C76582"/>
    <w:rsid w:val="00C7681F"/>
    <w:rsid w:val="00C76F48"/>
    <w:rsid w:val="00C77A1A"/>
    <w:rsid w:val="00C801A5"/>
    <w:rsid w:val="00C80431"/>
    <w:rsid w:val="00C80AAD"/>
    <w:rsid w:val="00C80ECA"/>
    <w:rsid w:val="00C81DB9"/>
    <w:rsid w:val="00C81F0F"/>
    <w:rsid w:val="00C82CBA"/>
    <w:rsid w:val="00C82F81"/>
    <w:rsid w:val="00C8340E"/>
    <w:rsid w:val="00C836AB"/>
    <w:rsid w:val="00C83993"/>
    <w:rsid w:val="00C83E4D"/>
    <w:rsid w:val="00C849E8"/>
    <w:rsid w:val="00C84F53"/>
    <w:rsid w:val="00C859A2"/>
    <w:rsid w:val="00C859F6"/>
    <w:rsid w:val="00C85BBB"/>
    <w:rsid w:val="00C85D5F"/>
    <w:rsid w:val="00C85DCE"/>
    <w:rsid w:val="00C85EFC"/>
    <w:rsid w:val="00C86480"/>
    <w:rsid w:val="00C86500"/>
    <w:rsid w:val="00C865BA"/>
    <w:rsid w:val="00C867DC"/>
    <w:rsid w:val="00C870FC"/>
    <w:rsid w:val="00C87156"/>
    <w:rsid w:val="00C87322"/>
    <w:rsid w:val="00C902A1"/>
    <w:rsid w:val="00C906FD"/>
    <w:rsid w:val="00C90947"/>
    <w:rsid w:val="00C90AD2"/>
    <w:rsid w:val="00C90F2A"/>
    <w:rsid w:val="00C9143B"/>
    <w:rsid w:val="00C91481"/>
    <w:rsid w:val="00C91FF0"/>
    <w:rsid w:val="00C921C4"/>
    <w:rsid w:val="00C922C4"/>
    <w:rsid w:val="00C923B6"/>
    <w:rsid w:val="00C92694"/>
    <w:rsid w:val="00C92A83"/>
    <w:rsid w:val="00C92C88"/>
    <w:rsid w:val="00C9314E"/>
    <w:rsid w:val="00C9337B"/>
    <w:rsid w:val="00C9348F"/>
    <w:rsid w:val="00C94370"/>
    <w:rsid w:val="00C943B4"/>
    <w:rsid w:val="00C94DDB"/>
    <w:rsid w:val="00C94F0F"/>
    <w:rsid w:val="00C953E6"/>
    <w:rsid w:val="00C95558"/>
    <w:rsid w:val="00C9562C"/>
    <w:rsid w:val="00C958E7"/>
    <w:rsid w:val="00C9593A"/>
    <w:rsid w:val="00C95EDC"/>
    <w:rsid w:val="00C96674"/>
    <w:rsid w:val="00C969DD"/>
    <w:rsid w:val="00C96BBF"/>
    <w:rsid w:val="00C96DFA"/>
    <w:rsid w:val="00C97108"/>
    <w:rsid w:val="00CA01EA"/>
    <w:rsid w:val="00CA0526"/>
    <w:rsid w:val="00CA06C1"/>
    <w:rsid w:val="00CA087D"/>
    <w:rsid w:val="00CA0908"/>
    <w:rsid w:val="00CA0A2F"/>
    <w:rsid w:val="00CA0C5B"/>
    <w:rsid w:val="00CA102A"/>
    <w:rsid w:val="00CA123A"/>
    <w:rsid w:val="00CA1449"/>
    <w:rsid w:val="00CA1607"/>
    <w:rsid w:val="00CA1AD2"/>
    <w:rsid w:val="00CA1BF3"/>
    <w:rsid w:val="00CA216F"/>
    <w:rsid w:val="00CA21A2"/>
    <w:rsid w:val="00CA23BA"/>
    <w:rsid w:val="00CA2809"/>
    <w:rsid w:val="00CA2AF2"/>
    <w:rsid w:val="00CA2EA2"/>
    <w:rsid w:val="00CA3111"/>
    <w:rsid w:val="00CA3221"/>
    <w:rsid w:val="00CA3BF4"/>
    <w:rsid w:val="00CA4569"/>
    <w:rsid w:val="00CA4B19"/>
    <w:rsid w:val="00CA5728"/>
    <w:rsid w:val="00CA6380"/>
    <w:rsid w:val="00CA6806"/>
    <w:rsid w:val="00CA68A9"/>
    <w:rsid w:val="00CA6B1B"/>
    <w:rsid w:val="00CA6CC7"/>
    <w:rsid w:val="00CA7208"/>
    <w:rsid w:val="00CA751A"/>
    <w:rsid w:val="00CA7F36"/>
    <w:rsid w:val="00CB0084"/>
    <w:rsid w:val="00CB03B5"/>
    <w:rsid w:val="00CB0BE7"/>
    <w:rsid w:val="00CB256E"/>
    <w:rsid w:val="00CB298C"/>
    <w:rsid w:val="00CB3052"/>
    <w:rsid w:val="00CB3296"/>
    <w:rsid w:val="00CB3916"/>
    <w:rsid w:val="00CB3DB9"/>
    <w:rsid w:val="00CB4D29"/>
    <w:rsid w:val="00CB4D79"/>
    <w:rsid w:val="00CB4F20"/>
    <w:rsid w:val="00CB5006"/>
    <w:rsid w:val="00CB57FE"/>
    <w:rsid w:val="00CB62D2"/>
    <w:rsid w:val="00CB6F65"/>
    <w:rsid w:val="00CB71B0"/>
    <w:rsid w:val="00CB73A0"/>
    <w:rsid w:val="00CB77B9"/>
    <w:rsid w:val="00CB7A86"/>
    <w:rsid w:val="00CB7E67"/>
    <w:rsid w:val="00CC01E2"/>
    <w:rsid w:val="00CC025F"/>
    <w:rsid w:val="00CC084B"/>
    <w:rsid w:val="00CC0C16"/>
    <w:rsid w:val="00CC1C48"/>
    <w:rsid w:val="00CC1EE7"/>
    <w:rsid w:val="00CC27EA"/>
    <w:rsid w:val="00CC282D"/>
    <w:rsid w:val="00CC2A30"/>
    <w:rsid w:val="00CC301E"/>
    <w:rsid w:val="00CC4600"/>
    <w:rsid w:val="00CC4818"/>
    <w:rsid w:val="00CC4A45"/>
    <w:rsid w:val="00CC4C2F"/>
    <w:rsid w:val="00CC5DDE"/>
    <w:rsid w:val="00CC5E7C"/>
    <w:rsid w:val="00CC5F5C"/>
    <w:rsid w:val="00CC6267"/>
    <w:rsid w:val="00CC633F"/>
    <w:rsid w:val="00CC6725"/>
    <w:rsid w:val="00CC72FC"/>
    <w:rsid w:val="00CC73D3"/>
    <w:rsid w:val="00CD0B6C"/>
    <w:rsid w:val="00CD0D91"/>
    <w:rsid w:val="00CD0EE5"/>
    <w:rsid w:val="00CD0EF0"/>
    <w:rsid w:val="00CD1006"/>
    <w:rsid w:val="00CD284D"/>
    <w:rsid w:val="00CD2ADB"/>
    <w:rsid w:val="00CD2E9B"/>
    <w:rsid w:val="00CD3E29"/>
    <w:rsid w:val="00CD3ECF"/>
    <w:rsid w:val="00CD3ED6"/>
    <w:rsid w:val="00CD46CF"/>
    <w:rsid w:val="00CD509C"/>
    <w:rsid w:val="00CD5601"/>
    <w:rsid w:val="00CD5824"/>
    <w:rsid w:val="00CD6044"/>
    <w:rsid w:val="00CD68F0"/>
    <w:rsid w:val="00CD6B82"/>
    <w:rsid w:val="00CD765D"/>
    <w:rsid w:val="00CD769E"/>
    <w:rsid w:val="00CD7AD4"/>
    <w:rsid w:val="00CD7D9E"/>
    <w:rsid w:val="00CD7F23"/>
    <w:rsid w:val="00CE0452"/>
    <w:rsid w:val="00CE123D"/>
    <w:rsid w:val="00CE1682"/>
    <w:rsid w:val="00CE285A"/>
    <w:rsid w:val="00CE2B9B"/>
    <w:rsid w:val="00CE2E63"/>
    <w:rsid w:val="00CE3017"/>
    <w:rsid w:val="00CE319F"/>
    <w:rsid w:val="00CE380E"/>
    <w:rsid w:val="00CE3E32"/>
    <w:rsid w:val="00CE4110"/>
    <w:rsid w:val="00CE41FC"/>
    <w:rsid w:val="00CE44F2"/>
    <w:rsid w:val="00CE4BF1"/>
    <w:rsid w:val="00CE4D47"/>
    <w:rsid w:val="00CE4ED0"/>
    <w:rsid w:val="00CE504B"/>
    <w:rsid w:val="00CE5207"/>
    <w:rsid w:val="00CE5436"/>
    <w:rsid w:val="00CE5682"/>
    <w:rsid w:val="00CE58F7"/>
    <w:rsid w:val="00CE6F48"/>
    <w:rsid w:val="00CE76B8"/>
    <w:rsid w:val="00CE7CB5"/>
    <w:rsid w:val="00CF006D"/>
    <w:rsid w:val="00CF01B0"/>
    <w:rsid w:val="00CF05BD"/>
    <w:rsid w:val="00CF1213"/>
    <w:rsid w:val="00CF125F"/>
    <w:rsid w:val="00CF13A7"/>
    <w:rsid w:val="00CF1868"/>
    <w:rsid w:val="00CF1B67"/>
    <w:rsid w:val="00CF1CA7"/>
    <w:rsid w:val="00CF1E4D"/>
    <w:rsid w:val="00CF22DA"/>
    <w:rsid w:val="00CF2618"/>
    <w:rsid w:val="00CF2927"/>
    <w:rsid w:val="00CF368C"/>
    <w:rsid w:val="00CF3B0E"/>
    <w:rsid w:val="00CF3D22"/>
    <w:rsid w:val="00CF44D0"/>
    <w:rsid w:val="00CF48FF"/>
    <w:rsid w:val="00CF4BBD"/>
    <w:rsid w:val="00CF68D2"/>
    <w:rsid w:val="00CF69CC"/>
    <w:rsid w:val="00CF7B06"/>
    <w:rsid w:val="00CF7D07"/>
    <w:rsid w:val="00D007BE"/>
    <w:rsid w:val="00D00C17"/>
    <w:rsid w:val="00D01711"/>
    <w:rsid w:val="00D01907"/>
    <w:rsid w:val="00D01C4E"/>
    <w:rsid w:val="00D01CEC"/>
    <w:rsid w:val="00D021DC"/>
    <w:rsid w:val="00D025EA"/>
    <w:rsid w:val="00D027CB"/>
    <w:rsid w:val="00D02A5A"/>
    <w:rsid w:val="00D02D4F"/>
    <w:rsid w:val="00D0382F"/>
    <w:rsid w:val="00D03F9A"/>
    <w:rsid w:val="00D043F0"/>
    <w:rsid w:val="00D04533"/>
    <w:rsid w:val="00D045BC"/>
    <w:rsid w:val="00D045D8"/>
    <w:rsid w:val="00D04E18"/>
    <w:rsid w:val="00D05253"/>
    <w:rsid w:val="00D05C58"/>
    <w:rsid w:val="00D06191"/>
    <w:rsid w:val="00D06354"/>
    <w:rsid w:val="00D06CF4"/>
    <w:rsid w:val="00D072FC"/>
    <w:rsid w:val="00D07562"/>
    <w:rsid w:val="00D0772B"/>
    <w:rsid w:val="00D07A03"/>
    <w:rsid w:val="00D07EB0"/>
    <w:rsid w:val="00D100C6"/>
    <w:rsid w:val="00D107D2"/>
    <w:rsid w:val="00D10A2E"/>
    <w:rsid w:val="00D10CAE"/>
    <w:rsid w:val="00D11023"/>
    <w:rsid w:val="00D113AB"/>
    <w:rsid w:val="00D11427"/>
    <w:rsid w:val="00D11A0E"/>
    <w:rsid w:val="00D11DFE"/>
    <w:rsid w:val="00D124CD"/>
    <w:rsid w:val="00D125DF"/>
    <w:rsid w:val="00D128C6"/>
    <w:rsid w:val="00D12D30"/>
    <w:rsid w:val="00D13370"/>
    <w:rsid w:val="00D13400"/>
    <w:rsid w:val="00D1404D"/>
    <w:rsid w:val="00D14DEB"/>
    <w:rsid w:val="00D14F25"/>
    <w:rsid w:val="00D14F59"/>
    <w:rsid w:val="00D1503F"/>
    <w:rsid w:val="00D15768"/>
    <w:rsid w:val="00D16756"/>
    <w:rsid w:val="00D174AA"/>
    <w:rsid w:val="00D17A3C"/>
    <w:rsid w:val="00D200AE"/>
    <w:rsid w:val="00D2077B"/>
    <w:rsid w:val="00D2116F"/>
    <w:rsid w:val="00D219E1"/>
    <w:rsid w:val="00D21A50"/>
    <w:rsid w:val="00D21A5D"/>
    <w:rsid w:val="00D21A72"/>
    <w:rsid w:val="00D22775"/>
    <w:rsid w:val="00D23053"/>
    <w:rsid w:val="00D23071"/>
    <w:rsid w:val="00D231EE"/>
    <w:rsid w:val="00D2349D"/>
    <w:rsid w:val="00D24D8F"/>
    <w:rsid w:val="00D2509E"/>
    <w:rsid w:val="00D25290"/>
    <w:rsid w:val="00D252A3"/>
    <w:rsid w:val="00D25A1D"/>
    <w:rsid w:val="00D25C11"/>
    <w:rsid w:val="00D25F6A"/>
    <w:rsid w:val="00D27026"/>
    <w:rsid w:val="00D27236"/>
    <w:rsid w:val="00D27247"/>
    <w:rsid w:val="00D27963"/>
    <w:rsid w:val="00D27D93"/>
    <w:rsid w:val="00D30D63"/>
    <w:rsid w:val="00D315AD"/>
    <w:rsid w:val="00D3193F"/>
    <w:rsid w:val="00D31D17"/>
    <w:rsid w:val="00D32126"/>
    <w:rsid w:val="00D32366"/>
    <w:rsid w:val="00D3255D"/>
    <w:rsid w:val="00D32832"/>
    <w:rsid w:val="00D328E9"/>
    <w:rsid w:val="00D32D0B"/>
    <w:rsid w:val="00D33435"/>
    <w:rsid w:val="00D33AFF"/>
    <w:rsid w:val="00D33B38"/>
    <w:rsid w:val="00D33D60"/>
    <w:rsid w:val="00D33F02"/>
    <w:rsid w:val="00D33F83"/>
    <w:rsid w:val="00D342B7"/>
    <w:rsid w:val="00D34413"/>
    <w:rsid w:val="00D349A2"/>
    <w:rsid w:val="00D349CC"/>
    <w:rsid w:val="00D34A2F"/>
    <w:rsid w:val="00D34BFB"/>
    <w:rsid w:val="00D353BA"/>
    <w:rsid w:val="00D35F21"/>
    <w:rsid w:val="00D36BE3"/>
    <w:rsid w:val="00D36D3E"/>
    <w:rsid w:val="00D37358"/>
    <w:rsid w:val="00D402A7"/>
    <w:rsid w:val="00D4049C"/>
    <w:rsid w:val="00D40560"/>
    <w:rsid w:val="00D4067B"/>
    <w:rsid w:val="00D40B8C"/>
    <w:rsid w:val="00D410CF"/>
    <w:rsid w:val="00D410F1"/>
    <w:rsid w:val="00D41409"/>
    <w:rsid w:val="00D4262C"/>
    <w:rsid w:val="00D42752"/>
    <w:rsid w:val="00D43919"/>
    <w:rsid w:val="00D43A51"/>
    <w:rsid w:val="00D43AA5"/>
    <w:rsid w:val="00D43BB4"/>
    <w:rsid w:val="00D43F9A"/>
    <w:rsid w:val="00D44E9E"/>
    <w:rsid w:val="00D450B6"/>
    <w:rsid w:val="00D452F0"/>
    <w:rsid w:val="00D4584B"/>
    <w:rsid w:val="00D459BE"/>
    <w:rsid w:val="00D463B3"/>
    <w:rsid w:val="00D47290"/>
    <w:rsid w:val="00D474AA"/>
    <w:rsid w:val="00D47725"/>
    <w:rsid w:val="00D47DA8"/>
    <w:rsid w:val="00D501B4"/>
    <w:rsid w:val="00D50A52"/>
    <w:rsid w:val="00D5108F"/>
    <w:rsid w:val="00D51282"/>
    <w:rsid w:val="00D513BA"/>
    <w:rsid w:val="00D51740"/>
    <w:rsid w:val="00D51CDF"/>
    <w:rsid w:val="00D51E25"/>
    <w:rsid w:val="00D51EC3"/>
    <w:rsid w:val="00D52B3C"/>
    <w:rsid w:val="00D52B63"/>
    <w:rsid w:val="00D52BC3"/>
    <w:rsid w:val="00D52BDB"/>
    <w:rsid w:val="00D52C92"/>
    <w:rsid w:val="00D52DE4"/>
    <w:rsid w:val="00D535AD"/>
    <w:rsid w:val="00D5366C"/>
    <w:rsid w:val="00D53F2E"/>
    <w:rsid w:val="00D5431D"/>
    <w:rsid w:val="00D54A5E"/>
    <w:rsid w:val="00D564A3"/>
    <w:rsid w:val="00D57303"/>
    <w:rsid w:val="00D57398"/>
    <w:rsid w:val="00D601CF"/>
    <w:rsid w:val="00D60676"/>
    <w:rsid w:val="00D606FB"/>
    <w:rsid w:val="00D60AAD"/>
    <w:rsid w:val="00D60E66"/>
    <w:rsid w:val="00D620A6"/>
    <w:rsid w:val="00D62ED6"/>
    <w:rsid w:val="00D63310"/>
    <w:rsid w:val="00D639D2"/>
    <w:rsid w:val="00D63CEA"/>
    <w:rsid w:val="00D63E29"/>
    <w:rsid w:val="00D6442B"/>
    <w:rsid w:val="00D64482"/>
    <w:rsid w:val="00D65756"/>
    <w:rsid w:val="00D657C4"/>
    <w:rsid w:val="00D66328"/>
    <w:rsid w:val="00D665C9"/>
    <w:rsid w:val="00D666FD"/>
    <w:rsid w:val="00D6686F"/>
    <w:rsid w:val="00D66B42"/>
    <w:rsid w:val="00D66B78"/>
    <w:rsid w:val="00D66CE0"/>
    <w:rsid w:val="00D6720C"/>
    <w:rsid w:val="00D672E3"/>
    <w:rsid w:val="00D675F2"/>
    <w:rsid w:val="00D67A71"/>
    <w:rsid w:val="00D67CA4"/>
    <w:rsid w:val="00D67F53"/>
    <w:rsid w:val="00D67F79"/>
    <w:rsid w:val="00D700D3"/>
    <w:rsid w:val="00D700F4"/>
    <w:rsid w:val="00D70184"/>
    <w:rsid w:val="00D7080A"/>
    <w:rsid w:val="00D70841"/>
    <w:rsid w:val="00D708CE"/>
    <w:rsid w:val="00D70AC5"/>
    <w:rsid w:val="00D70CBE"/>
    <w:rsid w:val="00D70D6D"/>
    <w:rsid w:val="00D70EDB"/>
    <w:rsid w:val="00D70EEB"/>
    <w:rsid w:val="00D71F47"/>
    <w:rsid w:val="00D722F0"/>
    <w:rsid w:val="00D72B23"/>
    <w:rsid w:val="00D72EDA"/>
    <w:rsid w:val="00D73714"/>
    <w:rsid w:val="00D749BB"/>
    <w:rsid w:val="00D74A19"/>
    <w:rsid w:val="00D7573E"/>
    <w:rsid w:val="00D75AB0"/>
    <w:rsid w:val="00D76109"/>
    <w:rsid w:val="00D768D6"/>
    <w:rsid w:val="00D77419"/>
    <w:rsid w:val="00D7745A"/>
    <w:rsid w:val="00D775D4"/>
    <w:rsid w:val="00D77723"/>
    <w:rsid w:val="00D77BAA"/>
    <w:rsid w:val="00D77C86"/>
    <w:rsid w:val="00D8139D"/>
    <w:rsid w:val="00D8260E"/>
    <w:rsid w:val="00D82E1C"/>
    <w:rsid w:val="00D83AFA"/>
    <w:rsid w:val="00D83DF9"/>
    <w:rsid w:val="00D843DE"/>
    <w:rsid w:val="00D84434"/>
    <w:rsid w:val="00D84CB1"/>
    <w:rsid w:val="00D852CA"/>
    <w:rsid w:val="00D8551E"/>
    <w:rsid w:val="00D85ACD"/>
    <w:rsid w:val="00D85BA7"/>
    <w:rsid w:val="00D85F79"/>
    <w:rsid w:val="00D8612D"/>
    <w:rsid w:val="00D86677"/>
    <w:rsid w:val="00D872E3"/>
    <w:rsid w:val="00D87F53"/>
    <w:rsid w:val="00D904B6"/>
    <w:rsid w:val="00D90852"/>
    <w:rsid w:val="00D90ED3"/>
    <w:rsid w:val="00D915E7"/>
    <w:rsid w:val="00D91BCA"/>
    <w:rsid w:val="00D91EE0"/>
    <w:rsid w:val="00D925F9"/>
    <w:rsid w:val="00D92646"/>
    <w:rsid w:val="00D92902"/>
    <w:rsid w:val="00D92FAD"/>
    <w:rsid w:val="00D9311E"/>
    <w:rsid w:val="00D93651"/>
    <w:rsid w:val="00D9372F"/>
    <w:rsid w:val="00D93C98"/>
    <w:rsid w:val="00D9453F"/>
    <w:rsid w:val="00D948DA"/>
    <w:rsid w:val="00D94B8E"/>
    <w:rsid w:val="00D94D00"/>
    <w:rsid w:val="00D95353"/>
    <w:rsid w:val="00D960CE"/>
    <w:rsid w:val="00D965D5"/>
    <w:rsid w:val="00D970B6"/>
    <w:rsid w:val="00D970EE"/>
    <w:rsid w:val="00D974AC"/>
    <w:rsid w:val="00D97556"/>
    <w:rsid w:val="00D9760A"/>
    <w:rsid w:val="00D97B28"/>
    <w:rsid w:val="00D97DDE"/>
    <w:rsid w:val="00D97F91"/>
    <w:rsid w:val="00DA0296"/>
    <w:rsid w:val="00DA06FF"/>
    <w:rsid w:val="00DA074D"/>
    <w:rsid w:val="00DA0AC7"/>
    <w:rsid w:val="00DA1FF2"/>
    <w:rsid w:val="00DA258D"/>
    <w:rsid w:val="00DA294A"/>
    <w:rsid w:val="00DA29D3"/>
    <w:rsid w:val="00DA2C97"/>
    <w:rsid w:val="00DA2FF6"/>
    <w:rsid w:val="00DA3074"/>
    <w:rsid w:val="00DA32C8"/>
    <w:rsid w:val="00DA3772"/>
    <w:rsid w:val="00DA40F6"/>
    <w:rsid w:val="00DA4417"/>
    <w:rsid w:val="00DA44EB"/>
    <w:rsid w:val="00DA47A5"/>
    <w:rsid w:val="00DA4B41"/>
    <w:rsid w:val="00DA4BE7"/>
    <w:rsid w:val="00DA4BF4"/>
    <w:rsid w:val="00DA4F48"/>
    <w:rsid w:val="00DA5250"/>
    <w:rsid w:val="00DA5831"/>
    <w:rsid w:val="00DA5BAB"/>
    <w:rsid w:val="00DA6262"/>
    <w:rsid w:val="00DA6872"/>
    <w:rsid w:val="00DA7295"/>
    <w:rsid w:val="00DA72B5"/>
    <w:rsid w:val="00DA7424"/>
    <w:rsid w:val="00DA781F"/>
    <w:rsid w:val="00DA7BB0"/>
    <w:rsid w:val="00DB13C5"/>
    <w:rsid w:val="00DB1502"/>
    <w:rsid w:val="00DB2054"/>
    <w:rsid w:val="00DB241D"/>
    <w:rsid w:val="00DB24A3"/>
    <w:rsid w:val="00DB2A63"/>
    <w:rsid w:val="00DB2A74"/>
    <w:rsid w:val="00DB2F4A"/>
    <w:rsid w:val="00DB3002"/>
    <w:rsid w:val="00DB3091"/>
    <w:rsid w:val="00DB3531"/>
    <w:rsid w:val="00DB3651"/>
    <w:rsid w:val="00DB37FF"/>
    <w:rsid w:val="00DB44ED"/>
    <w:rsid w:val="00DB511F"/>
    <w:rsid w:val="00DB539A"/>
    <w:rsid w:val="00DB5470"/>
    <w:rsid w:val="00DB5D3B"/>
    <w:rsid w:val="00DB5E24"/>
    <w:rsid w:val="00DB6232"/>
    <w:rsid w:val="00DB664D"/>
    <w:rsid w:val="00DB66AF"/>
    <w:rsid w:val="00DB697C"/>
    <w:rsid w:val="00DB6F75"/>
    <w:rsid w:val="00DB7098"/>
    <w:rsid w:val="00DC0401"/>
    <w:rsid w:val="00DC0FDF"/>
    <w:rsid w:val="00DC106E"/>
    <w:rsid w:val="00DC1188"/>
    <w:rsid w:val="00DC14F3"/>
    <w:rsid w:val="00DC1975"/>
    <w:rsid w:val="00DC1F68"/>
    <w:rsid w:val="00DC2233"/>
    <w:rsid w:val="00DC2350"/>
    <w:rsid w:val="00DC2470"/>
    <w:rsid w:val="00DC2590"/>
    <w:rsid w:val="00DC3290"/>
    <w:rsid w:val="00DC349E"/>
    <w:rsid w:val="00DC37E2"/>
    <w:rsid w:val="00DC4233"/>
    <w:rsid w:val="00DC4593"/>
    <w:rsid w:val="00DC4E51"/>
    <w:rsid w:val="00DC51A2"/>
    <w:rsid w:val="00DC57BA"/>
    <w:rsid w:val="00DC5A7F"/>
    <w:rsid w:val="00DC66BA"/>
    <w:rsid w:val="00DC74B1"/>
    <w:rsid w:val="00DC75A6"/>
    <w:rsid w:val="00DC771C"/>
    <w:rsid w:val="00DC779E"/>
    <w:rsid w:val="00DC7CDE"/>
    <w:rsid w:val="00DC7F21"/>
    <w:rsid w:val="00DD0203"/>
    <w:rsid w:val="00DD04E2"/>
    <w:rsid w:val="00DD061D"/>
    <w:rsid w:val="00DD19DF"/>
    <w:rsid w:val="00DD20EF"/>
    <w:rsid w:val="00DD2110"/>
    <w:rsid w:val="00DD2119"/>
    <w:rsid w:val="00DD2A36"/>
    <w:rsid w:val="00DD30D1"/>
    <w:rsid w:val="00DD314E"/>
    <w:rsid w:val="00DD36C4"/>
    <w:rsid w:val="00DD4718"/>
    <w:rsid w:val="00DD47E9"/>
    <w:rsid w:val="00DD48A0"/>
    <w:rsid w:val="00DD495C"/>
    <w:rsid w:val="00DD5D28"/>
    <w:rsid w:val="00DD5E7E"/>
    <w:rsid w:val="00DD68D1"/>
    <w:rsid w:val="00DD6D85"/>
    <w:rsid w:val="00DD7078"/>
    <w:rsid w:val="00DD762E"/>
    <w:rsid w:val="00DD7841"/>
    <w:rsid w:val="00DD7F44"/>
    <w:rsid w:val="00DE02F9"/>
    <w:rsid w:val="00DE094E"/>
    <w:rsid w:val="00DE125B"/>
    <w:rsid w:val="00DE1936"/>
    <w:rsid w:val="00DE205C"/>
    <w:rsid w:val="00DE2232"/>
    <w:rsid w:val="00DE235C"/>
    <w:rsid w:val="00DE2CC0"/>
    <w:rsid w:val="00DE33D8"/>
    <w:rsid w:val="00DE36B6"/>
    <w:rsid w:val="00DE3BAD"/>
    <w:rsid w:val="00DE3DF2"/>
    <w:rsid w:val="00DE3DF5"/>
    <w:rsid w:val="00DE42F0"/>
    <w:rsid w:val="00DE4568"/>
    <w:rsid w:val="00DE468F"/>
    <w:rsid w:val="00DE48BB"/>
    <w:rsid w:val="00DE5348"/>
    <w:rsid w:val="00DE64C3"/>
    <w:rsid w:val="00DE6A65"/>
    <w:rsid w:val="00DE6F70"/>
    <w:rsid w:val="00DE75E3"/>
    <w:rsid w:val="00DE7948"/>
    <w:rsid w:val="00DE7B46"/>
    <w:rsid w:val="00DE7CA2"/>
    <w:rsid w:val="00DF0C73"/>
    <w:rsid w:val="00DF13BB"/>
    <w:rsid w:val="00DF1A8C"/>
    <w:rsid w:val="00DF2486"/>
    <w:rsid w:val="00DF2919"/>
    <w:rsid w:val="00DF2A82"/>
    <w:rsid w:val="00DF338F"/>
    <w:rsid w:val="00DF35BB"/>
    <w:rsid w:val="00DF49A1"/>
    <w:rsid w:val="00DF5962"/>
    <w:rsid w:val="00DF5A0D"/>
    <w:rsid w:val="00DF6236"/>
    <w:rsid w:val="00DF6AB1"/>
    <w:rsid w:val="00DF7EF2"/>
    <w:rsid w:val="00E005E3"/>
    <w:rsid w:val="00E00769"/>
    <w:rsid w:val="00E013B6"/>
    <w:rsid w:val="00E01A63"/>
    <w:rsid w:val="00E021E3"/>
    <w:rsid w:val="00E03A59"/>
    <w:rsid w:val="00E042EB"/>
    <w:rsid w:val="00E04472"/>
    <w:rsid w:val="00E04B62"/>
    <w:rsid w:val="00E04BC7"/>
    <w:rsid w:val="00E04FD0"/>
    <w:rsid w:val="00E051B3"/>
    <w:rsid w:val="00E051DD"/>
    <w:rsid w:val="00E053C9"/>
    <w:rsid w:val="00E057EB"/>
    <w:rsid w:val="00E05959"/>
    <w:rsid w:val="00E06525"/>
    <w:rsid w:val="00E06D32"/>
    <w:rsid w:val="00E07137"/>
    <w:rsid w:val="00E076D7"/>
    <w:rsid w:val="00E078E6"/>
    <w:rsid w:val="00E07B63"/>
    <w:rsid w:val="00E07CDD"/>
    <w:rsid w:val="00E07EE8"/>
    <w:rsid w:val="00E10023"/>
    <w:rsid w:val="00E1036D"/>
    <w:rsid w:val="00E107D2"/>
    <w:rsid w:val="00E10A35"/>
    <w:rsid w:val="00E10D22"/>
    <w:rsid w:val="00E11349"/>
    <w:rsid w:val="00E116E5"/>
    <w:rsid w:val="00E11BDD"/>
    <w:rsid w:val="00E11E0B"/>
    <w:rsid w:val="00E1227F"/>
    <w:rsid w:val="00E124D6"/>
    <w:rsid w:val="00E12AFD"/>
    <w:rsid w:val="00E13ED5"/>
    <w:rsid w:val="00E14145"/>
    <w:rsid w:val="00E14388"/>
    <w:rsid w:val="00E1499E"/>
    <w:rsid w:val="00E14B47"/>
    <w:rsid w:val="00E1512D"/>
    <w:rsid w:val="00E1562E"/>
    <w:rsid w:val="00E15CF8"/>
    <w:rsid w:val="00E15E63"/>
    <w:rsid w:val="00E160A6"/>
    <w:rsid w:val="00E16BCB"/>
    <w:rsid w:val="00E16CE9"/>
    <w:rsid w:val="00E172E5"/>
    <w:rsid w:val="00E17FEB"/>
    <w:rsid w:val="00E20474"/>
    <w:rsid w:val="00E210E3"/>
    <w:rsid w:val="00E214F9"/>
    <w:rsid w:val="00E219E8"/>
    <w:rsid w:val="00E21AAE"/>
    <w:rsid w:val="00E2297D"/>
    <w:rsid w:val="00E22DA8"/>
    <w:rsid w:val="00E23D90"/>
    <w:rsid w:val="00E23E22"/>
    <w:rsid w:val="00E24408"/>
    <w:rsid w:val="00E24567"/>
    <w:rsid w:val="00E2467E"/>
    <w:rsid w:val="00E247D7"/>
    <w:rsid w:val="00E24979"/>
    <w:rsid w:val="00E25545"/>
    <w:rsid w:val="00E25BD1"/>
    <w:rsid w:val="00E25DE7"/>
    <w:rsid w:val="00E268CB"/>
    <w:rsid w:val="00E272E1"/>
    <w:rsid w:val="00E276D5"/>
    <w:rsid w:val="00E2773D"/>
    <w:rsid w:val="00E2789E"/>
    <w:rsid w:val="00E30278"/>
    <w:rsid w:val="00E30619"/>
    <w:rsid w:val="00E30DBC"/>
    <w:rsid w:val="00E30E1D"/>
    <w:rsid w:val="00E318B5"/>
    <w:rsid w:val="00E31C60"/>
    <w:rsid w:val="00E32222"/>
    <w:rsid w:val="00E32869"/>
    <w:rsid w:val="00E329CB"/>
    <w:rsid w:val="00E32CDB"/>
    <w:rsid w:val="00E3304B"/>
    <w:rsid w:val="00E3330B"/>
    <w:rsid w:val="00E33929"/>
    <w:rsid w:val="00E339A2"/>
    <w:rsid w:val="00E33E05"/>
    <w:rsid w:val="00E33F3D"/>
    <w:rsid w:val="00E343DB"/>
    <w:rsid w:val="00E34484"/>
    <w:rsid w:val="00E34C06"/>
    <w:rsid w:val="00E3534E"/>
    <w:rsid w:val="00E35469"/>
    <w:rsid w:val="00E35E7B"/>
    <w:rsid w:val="00E36517"/>
    <w:rsid w:val="00E36A0B"/>
    <w:rsid w:val="00E36A31"/>
    <w:rsid w:val="00E36D26"/>
    <w:rsid w:val="00E3702F"/>
    <w:rsid w:val="00E377E9"/>
    <w:rsid w:val="00E37D1D"/>
    <w:rsid w:val="00E4031B"/>
    <w:rsid w:val="00E409CF"/>
    <w:rsid w:val="00E40AC9"/>
    <w:rsid w:val="00E41A28"/>
    <w:rsid w:val="00E41B34"/>
    <w:rsid w:val="00E42560"/>
    <w:rsid w:val="00E4353A"/>
    <w:rsid w:val="00E43EAA"/>
    <w:rsid w:val="00E44003"/>
    <w:rsid w:val="00E451F9"/>
    <w:rsid w:val="00E45312"/>
    <w:rsid w:val="00E45457"/>
    <w:rsid w:val="00E45941"/>
    <w:rsid w:val="00E45D7E"/>
    <w:rsid w:val="00E46303"/>
    <w:rsid w:val="00E46571"/>
    <w:rsid w:val="00E4674C"/>
    <w:rsid w:val="00E4687E"/>
    <w:rsid w:val="00E4712A"/>
    <w:rsid w:val="00E47415"/>
    <w:rsid w:val="00E5059B"/>
    <w:rsid w:val="00E5087B"/>
    <w:rsid w:val="00E50E6C"/>
    <w:rsid w:val="00E511F5"/>
    <w:rsid w:val="00E51222"/>
    <w:rsid w:val="00E5137C"/>
    <w:rsid w:val="00E51FF3"/>
    <w:rsid w:val="00E539F7"/>
    <w:rsid w:val="00E54C91"/>
    <w:rsid w:val="00E574CD"/>
    <w:rsid w:val="00E579EB"/>
    <w:rsid w:val="00E57D63"/>
    <w:rsid w:val="00E57DED"/>
    <w:rsid w:val="00E60080"/>
    <w:rsid w:val="00E60B19"/>
    <w:rsid w:val="00E61335"/>
    <w:rsid w:val="00E61CBC"/>
    <w:rsid w:val="00E62039"/>
    <w:rsid w:val="00E6265E"/>
    <w:rsid w:val="00E62789"/>
    <w:rsid w:val="00E63D46"/>
    <w:rsid w:val="00E63DC9"/>
    <w:rsid w:val="00E63DDA"/>
    <w:rsid w:val="00E64155"/>
    <w:rsid w:val="00E64351"/>
    <w:rsid w:val="00E656AE"/>
    <w:rsid w:val="00E65732"/>
    <w:rsid w:val="00E65745"/>
    <w:rsid w:val="00E665F6"/>
    <w:rsid w:val="00E669D5"/>
    <w:rsid w:val="00E675B6"/>
    <w:rsid w:val="00E67954"/>
    <w:rsid w:val="00E679B5"/>
    <w:rsid w:val="00E700BB"/>
    <w:rsid w:val="00E7041C"/>
    <w:rsid w:val="00E70667"/>
    <w:rsid w:val="00E7131F"/>
    <w:rsid w:val="00E71802"/>
    <w:rsid w:val="00E71DEE"/>
    <w:rsid w:val="00E730FD"/>
    <w:rsid w:val="00E73328"/>
    <w:rsid w:val="00E7378A"/>
    <w:rsid w:val="00E73B11"/>
    <w:rsid w:val="00E740AE"/>
    <w:rsid w:val="00E75369"/>
    <w:rsid w:val="00E75C41"/>
    <w:rsid w:val="00E76293"/>
    <w:rsid w:val="00E763E6"/>
    <w:rsid w:val="00E76417"/>
    <w:rsid w:val="00E7654F"/>
    <w:rsid w:val="00E765D1"/>
    <w:rsid w:val="00E76E0F"/>
    <w:rsid w:val="00E76F2C"/>
    <w:rsid w:val="00E77218"/>
    <w:rsid w:val="00E77283"/>
    <w:rsid w:val="00E77B9A"/>
    <w:rsid w:val="00E77D30"/>
    <w:rsid w:val="00E8166A"/>
    <w:rsid w:val="00E82471"/>
    <w:rsid w:val="00E82E9C"/>
    <w:rsid w:val="00E83417"/>
    <w:rsid w:val="00E842B6"/>
    <w:rsid w:val="00E84532"/>
    <w:rsid w:val="00E84546"/>
    <w:rsid w:val="00E84BEF"/>
    <w:rsid w:val="00E8538C"/>
    <w:rsid w:val="00E85601"/>
    <w:rsid w:val="00E85E05"/>
    <w:rsid w:val="00E85F1A"/>
    <w:rsid w:val="00E86A17"/>
    <w:rsid w:val="00E86A20"/>
    <w:rsid w:val="00E87B46"/>
    <w:rsid w:val="00E87B47"/>
    <w:rsid w:val="00E87CBD"/>
    <w:rsid w:val="00E9047C"/>
    <w:rsid w:val="00E90870"/>
    <w:rsid w:val="00E9107A"/>
    <w:rsid w:val="00E911B3"/>
    <w:rsid w:val="00E91479"/>
    <w:rsid w:val="00E9158F"/>
    <w:rsid w:val="00E9166A"/>
    <w:rsid w:val="00E91B3B"/>
    <w:rsid w:val="00E92AE9"/>
    <w:rsid w:val="00E93846"/>
    <w:rsid w:val="00E9398B"/>
    <w:rsid w:val="00E947CD"/>
    <w:rsid w:val="00E94928"/>
    <w:rsid w:val="00E94A87"/>
    <w:rsid w:val="00E94C45"/>
    <w:rsid w:val="00E94D23"/>
    <w:rsid w:val="00E94EFE"/>
    <w:rsid w:val="00E963C9"/>
    <w:rsid w:val="00E96A53"/>
    <w:rsid w:val="00E96ABB"/>
    <w:rsid w:val="00E96B79"/>
    <w:rsid w:val="00E96BC2"/>
    <w:rsid w:val="00E972BF"/>
    <w:rsid w:val="00E972DC"/>
    <w:rsid w:val="00EA084C"/>
    <w:rsid w:val="00EA0C42"/>
    <w:rsid w:val="00EA0D34"/>
    <w:rsid w:val="00EA157A"/>
    <w:rsid w:val="00EA1A4A"/>
    <w:rsid w:val="00EA1D88"/>
    <w:rsid w:val="00EA1E0C"/>
    <w:rsid w:val="00EA222A"/>
    <w:rsid w:val="00EA2328"/>
    <w:rsid w:val="00EA25AA"/>
    <w:rsid w:val="00EA2F6B"/>
    <w:rsid w:val="00EA3336"/>
    <w:rsid w:val="00EA337A"/>
    <w:rsid w:val="00EA3601"/>
    <w:rsid w:val="00EA3AF9"/>
    <w:rsid w:val="00EA3D3B"/>
    <w:rsid w:val="00EA3EFB"/>
    <w:rsid w:val="00EA3F2C"/>
    <w:rsid w:val="00EA406D"/>
    <w:rsid w:val="00EA614F"/>
    <w:rsid w:val="00EA640C"/>
    <w:rsid w:val="00EA67C1"/>
    <w:rsid w:val="00EA6FBF"/>
    <w:rsid w:val="00EA74F6"/>
    <w:rsid w:val="00EA7B5B"/>
    <w:rsid w:val="00EB02A3"/>
    <w:rsid w:val="00EB0D50"/>
    <w:rsid w:val="00EB11CD"/>
    <w:rsid w:val="00EB127A"/>
    <w:rsid w:val="00EB1663"/>
    <w:rsid w:val="00EB1721"/>
    <w:rsid w:val="00EB197A"/>
    <w:rsid w:val="00EB1EEE"/>
    <w:rsid w:val="00EB247F"/>
    <w:rsid w:val="00EB2E81"/>
    <w:rsid w:val="00EB33CF"/>
    <w:rsid w:val="00EB3A09"/>
    <w:rsid w:val="00EB4341"/>
    <w:rsid w:val="00EB4574"/>
    <w:rsid w:val="00EB4EEA"/>
    <w:rsid w:val="00EB4F3C"/>
    <w:rsid w:val="00EB550B"/>
    <w:rsid w:val="00EB5694"/>
    <w:rsid w:val="00EB5903"/>
    <w:rsid w:val="00EB6050"/>
    <w:rsid w:val="00EB6638"/>
    <w:rsid w:val="00EB6A6F"/>
    <w:rsid w:val="00EB6AB3"/>
    <w:rsid w:val="00EB6B56"/>
    <w:rsid w:val="00EB7522"/>
    <w:rsid w:val="00EB7D5E"/>
    <w:rsid w:val="00EC039E"/>
    <w:rsid w:val="00EC064F"/>
    <w:rsid w:val="00EC0687"/>
    <w:rsid w:val="00EC0716"/>
    <w:rsid w:val="00EC0D5C"/>
    <w:rsid w:val="00EC1485"/>
    <w:rsid w:val="00EC1FAF"/>
    <w:rsid w:val="00EC2197"/>
    <w:rsid w:val="00EC2ADC"/>
    <w:rsid w:val="00EC2B74"/>
    <w:rsid w:val="00EC2B81"/>
    <w:rsid w:val="00EC2D05"/>
    <w:rsid w:val="00EC2F7C"/>
    <w:rsid w:val="00EC43F2"/>
    <w:rsid w:val="00EC44AC"/>
    <w:rsid w:val="00EC5045"/>
    <w:rsid w:val="00EC5666"/>
    <w:rsid w:val="00EC5BAB"/>
    <w:rsid w:val="00EC64C1"/>
    <w:rsid w:val="00EC6649"/>
    <w:rsid w:val="00EC6E04"/>
    <w:rsid w:val="00EC6F2F"/>
    <w:rsid w:val="00EC74E9"/>
    <w:rsid w:val="00EC76DB"/>
    <w:rsid w:val="00EC770A"/>
    <w:rsid w:val="00ED00D2"/>
    <w:rsid w:val="00ED09E4"/>
    <w:rsid w:val="00ED0AC6"/>
    <w:rsid w:val="00ED0EDF"/>
    <w:rsid w:val="00ED24C0"/>
    <w:rsid w:val="00ED258C"/>
    <w:rsid w:val="00ED2621"/>
    <w:rsid w:val="00ED32E2"/>
    <w:rsid w:val="00ED3325"/>
    <w:rsid w:val="00ED35E0"/>
    <w:rsid w:val="00ED41F7"/>
    <w:rsid w:val="00ED4933"/>
    <w:rsid w:val="00ED4ABF"/>
    <w:rsid w:val="00ED57A2"/>
    <w:rsid w:val="00ED5908"/>
    <w:rsid w:val="00ED5F92"/>
    <w:rsid w:val="00ED5FE1"/>
    <w:rsid w:val="00ED6908"/>
    <w:rsid w:val="00ED77B5"/>
    <w:rsid w:val="00ED7850"/>
    <w:rsid w:val="00ED7D49"/>
    <w:rsid w:val="00EE0010"/>
    <w:rsid w:val="00EE0161"/>
    <w:rsid w:val="00EE031B"/>
    <w:rsid w:val="00EE078D"/>
    <w:rsid w:val="00EE12B9"/>
    <w:rsid w:val="00EE20E2"/>
    <w:rsid w:val="00EE2779"/>
    <w:rsid w:val="00EE29A7"/>
    <w:rsid w:val="00EE30BC"/>
    <w:rsid w:val="00EE32CD"/>
    <w:rsid w:val="00EE341D"/>
    <w:rsid w:val="00EE3983"/>
    <w:rsid w:val="00EE3DA3"/>
    <w:rsid w:val="00EE3EE3"/>
    <w:rsid w:val="00EE4806"/>
    <w:rsid w:val="00EE534A"/>
    <w:rsid w:val="00EE5361"/>
    <w:rsid w:val="00EE5586"/>
    <w:rsid w:val="00EE5D28"/>
    <w:rsid w:val="00EE7594"/>
    <w:rsid w:val="00EE7EFA"/>
    <w:rsid w:val="00EF0108"/>
    <w:rsid w:val="00EF0456"/>
    <w:rsid w:val="00EF0A4A"/>
    <w:rsid w:val="00EF0F6D"/>
    <w:rsid w:val="00EF1110"/>
    <w:rsid w:val="00EF25AB"/>
    <w:rsid w:val="00EF3B8A"/>
    <w:rsid w:val="00EF428D"/>
    <w:rsid w:val="00EF4914"/>
    <w:rsid w:val="00EF4B26"/>
    <w:rsid w:val="00EF5102"/>
    <w:rsid w:val="00EF5151"/>
    <w:rsid w:val="00EF55E2"/>
    <w:rsid w:val="00EF5C49"/>
    <w:rsid w:val="00EF6668"/>
    <w:rsid w:val="00EF6A33"/>
    <w:rsid w:val="00EF6AEC"/>
    <w:rsid w:val="00EF6D75"/>
    <w:rsid w:val="00EF6F2C"/>
    <w:rsid w:val="00EF7005"/>
    <w:rsid w:val="00EF7061"/>
    <w:rsid w:val="00EF711D"/>
    <w:rsid w:val="00EF72E1"/>
    <w:rsid w:val="00EF734B"/>
    <w:rsid w:val="00EF73A6"/>
    <w:rsid w:val="00EF73D6"/>
    <w:rsid w:val="00EF7455"/>
    <w:rsid w:val="00EF7F9B"/>
    <w:rsid w:val="00EF7FB6"/>
    <w:rsid w:val="00F015B1"/>
    <w:rsid w:val="00F02824"/>
    <w:rsid w:val="00F028D8"/>
    <w:rsid w:val="00F02A3E"/>
    <w:rsid w:val="00F02D35"/>
    <w:rsid w:val="00F03273"/>
    <w:rsid w:val="00F050F3"/>
    <w:rsid w:val="00F05794"/>
    <w:rsid w:val="00F05AC0"/>
    <w:rsid w:val="00F05B65"/>
    <w:rsid w:val="00F05E70"/>
    <w:rsid w:val="00F06380"/>
    <w:rsid w:val="00F063F0"/>
    <w:rsid w:val="00F0640F"/>
    <w:rsid w:val="00F0708B"/>
    <w:rsid w:val="00F0761D"/>
    <w:rsid w:val="00F07D60"/>
    <w:rsid w:val="00F1057C"/>
    <w:rsid w:val="00F10603"/>
    <w:rsid w:val="00F10922"/>
    <w:rsid w:val="00F11058"/>
    <w:rsid w:val="00F1137D"/>
    <w:rsid w:val="00F119B0"/>
    <w:rsid w:val="00F11AF3"/>
    <w:rsid w:val="00F11B6B"/>
    <w:rsid w:val="00F126EF"/>
    <w:rsid w:val="00F1292E"/>
    <w:rsid w:val="00F13309"/>
    <w:rsid w:val="00F1358F"/>
    <w:rsid w:val="00F14D4B"/>
    <w:rsid w:val="00F15205"/>
    <w:rsid w:val="00F1580F"/>
    <w:rsid w:val="00F15A9E"/>
    <w:rsid w:val="00F15B2A"/>
    <w:rsid w:val="00F16751"/>
    <w:rsid w:val="00F1755D"/>
    <w:rsid w:val="00F201DE"/>
    <w:rsid w:val="00F20384"/>
    <w:rsid w:val="00F21290"/>
    <w:rsid w:val="00F21316"/>
    <w:rsid w:val="00F21321"/>
    <w:rsid w:val="00F2138F"/>
    <w:rsid w:val="00F21842"/>
    <w:rsid w:val="00F21997"/>
    <w:rsid w:val="00F219D0"/>
    <w:rsid w:val="00F21A30"/>
    <w:rsid w:val="00F2200F"/>
    <w:rsid w:val="00F22304"/>
    <w:rsid w:val="00F226C2"/>
    <w:rsid w:val="00F227C9"/>
    <w:rsid w:val="00F22DD0"/>
    <w:rsid w:val="00F233E0"/>
    <w:rsid w:val="00F236F6"/>
    <w:rsid w:val="00F23753"/>
    <w:rsid w:val="00F23E3C"/>
    <w:rsid w:val="00F248BB"/>
    <w:rsid w:val="00F252FF"/>
    <w:rsid w:val="00F254C5"/>
    <w:rsid w:val="00F25548"/>
    <w:rsid w:val="00F25FCC"/>
    <w:rsid w:val="00F260EB"/>
    <w:rsid w:val="00F26991"/>
    <w:rsid w:val="00F26B2D"/>
    <w:rsid w:val="00F26E62"/>
    <w:rsid w:val="00F26F22"/>
    <w:rsid w:val="00F27781"/>
    <w:rsid w:val="00F302C7"/>
    <w:rsid w:val="00F3035C"/>
    <w:rsid w:val="00F303BE"/>
    <w:rsid w:val="00F3053A"/>
    <w:rsid w:val="00F31843"/>
    <w:rsid w:val="00F31D2F"/>
    <w:rsid w:val="00F31D44"/>
    <w:rsid w:val="00F31FCF"/>
    <w:rsid w:val="00F32559"/>
    <w:rsid w:val="00F3261F"/>
    <w:rsid w:val="00F32945"/>
    <w:rsid w:val="00F32B7E"/>
    <w:rsid w:val="00F3307D"/>
    <w:rsid w:val="00F331B5"/>
    <w:rsid w:val="00F333A9"/>
    <w:rsid w:val="00F3343B"/>
    <w:rsid w:val="00F347B0"/>
    <w:rsid w:val="00F34FE8"/>
    <w:rsid w:val="00F35201"/>
    <w:rsid w:val="00F35219"/>
    <w:rsid w:val="00F35AF0"/>
    <w:rsid w:val="00F36082"/>
    <w:rsid w:val="00F364A0"/>
    <w:rsid w:val="00F366F8"/>
    <w:rsid w:val="00F36759"/>
    <w:rsid w:val="00F36A6F"/>
    <w:rsid w:val="00F36CCD"/>
    <w:rsid w:val="00F36D3D"/>
    <w:rsid w:val="00F379B2"/>
    <w:rsid w:val="00F40043"/>
    <w:rsid w:val="00F4038F"/>
    <w:rsid w:val="00F404E6"/>
    <w:rsid w:val="00F406EB"/>
    <w:rsid w:val="00F40986"/>
    <w:rsid w:val="00F40D84"/>
    <w:rsid w:val="00F410F7"/>
    <w:rsid w:val="00F415C1"/>
    <w:rsid w:val="00F41A1A"/>
    <w:rsid w:val="00F41FFB"/>
    <w:rsid w:val="00F42D73"/>
    <w:rsid w:val="00F432B2"/>
    <w:rsid w:val="00F434B3"/>
    <w:rsid w:val="00F43DBF"/>
    <w:rsid w:val="00F440CC"/>
    <w:rsid w:val="00F446AF"/>
    <w:rsid w:val="00F44944"/>
    <w:rsid w:val="00F44C05"/>
    <w:rsid w:val="00F44C1D"/>
    <w:rsid w:val="00F44CC8"/>
    <w:rsid w:val="00F451FA"/>
    <w:rsid w:val="00F4563B"/>
    <w:rsid w:val="00F46784"/>
    <w:rsid w:val="00F467E3"/>
    <w:rsid w:val="00F46A1B"/>
    <w:rsid w:val="00F46E9C"/>
    <w:rsid w:val="00F47530"/>
    <w:rsid w:val="00F47D79"/>
    <w:rsid w:val="00F50A4B"/>
    <w:rsid w:val="00F50EF5"/>
    <w:rsid w:val="00F51EFE"/>
    <w:rsid w:val="00F52111"/>
    <w:rsid w:val="00F521CE"/>
    <w:rsid w:val="00F522BF"/>
    <w:rsid w:val="00F52689"/>
    <w:rsid w:val="00F52B50"/>
    <w:rsid w:val="00F53165"/>
    <w:rsid w:val="00F53C45"/>
    <w:rsid w:val="00F54B44"/>
    <w:rsid w:val="00F55D64"/>
    <w:rsid w:val="00F55DFD"/>
    <w:rsid w:val="00F56290"/>
    <w:rsid w:val="00F5651D"/>
    <w:rsid w:val="00F56A3D"/>
    <w:rsid w:val="00F56DF6"/>
    <w:rsid w:val="00F5759E"/>
    <w:rsid w:val="00F57E39"/>
    <w:rsid w:val="00F57EC8"/>
    <w:rsid w:val="00F6023C"/>
    <w:rsid w:val="00F60258"/>
    <w:rsid w:val="00F6034A"/>
    <w:rsid w:val="00F60BE1"/>
    <w:rsid w:val="00F60D43"/>
    <w:rsid w:val="00F60E15"/>
    <w:rsid w:val="00F60E9C"/>
    <w:rsid w:val="00F613DC"/>
    <w:rsid w:val="00F62937"/>
    <w:rsid w:val="00F6304B"/>
    <w:rsid w:val="00F631DE"/>
    <w:rsid w:val="00F632C7"/>
    <w:rsid w:val="00F63E44"/>
    <w:rsid w:val="00F6417A"/>
    <w:rsid w:val="00F65302"/>
    <w:rsid w:val="00F6565F"/>
    <w:rsid w:val="00F6606A"/>
    <w:rsid w:val="00F664A8"/>
    <w:rsid w:val="00F6657A"/>
    <w:rsid w:val="00F6723E"/>
    <w:rsid w:val="00F67907"/>
    <w:rsid w:val="00F67FC8"/>
    <w:rsid w:val="00F70A29"/>
    <w:rsid w:val="00F70FC1"/>
    <w:rsid w:val="00F70FC2"/>
    <w:rsid w:val="00F7184E"/>
    <w:rsid w:val="00F720AF"/>
    <w:rsid w:val="00F7274D"/>
    <w:rsid w:val="00F72919"/>
    <w:rsid w:val="00F72D6F"/>
    <w:rsid w:val="00F72F46"/>
    <w:rsid w:val="00F72FB3"/>
    <w:rsid w:val="00F739F9"/>
    <w:rsid w:val="00F73CE1"/>
    <w:rsid w:val="00F73F18"/>
    <w:rsid w:val="00F74849"/>
    <w:rsid w:val="00F748B5"/>
    <w:rsid w:val="00F74926"/>
    <w:rsid w:val="00F74DE0"/>
    <w:rsid w:val="00F75372"/>
    <w:rsid w:val="00F759BF"/>
    <w:rsid w:val="00F75B5C"/>
    <w:rsid w:val="00F75DCA"/>
    <w:rsid w:val="00F76CD9"/>
    <w:rsid w:val="00F77469"/>
    <w:rsid w:val="00F80064"/>
    <w:rsid w:val="00F805C1"/>
    <w:rsid w:val="00F805EB"/>
    <w:rsid w:val="00F80B37"/>
    <w:rsid w:val="00F80CA0"/>
    <w:rsid w:val="00F81B26"/>
    <w:rsid w:val="00F81D65"/>
    <w:rsid w:val="00F81FC3"/>
    <w:rsid w:val="00F82B72"/>
    <w:rsid w:val="00F82D86"/>
    <w:rsid w:val="00F82E60"/>
    <w:rsid w:val="00F83F6A"/>
    <w:rsid w:val="00F8403B"/>
    <w:rsid w:val="00F84201"/>
    <w:rsid w:val="00F8420E"/>
    <w:rsid w:val="00F84A28"/>
    <w:rsid w:val="00F855BC"/>
    <w:rsid w:val="00F85636"/>
    <w:rsid w:val="00F85CAA"/>
    <w:rsid w:val="00F86C85"/>
    <w:rsid w:val="00F87077"/>
    <w:rsid w:val="00F87188"/>
    <w:rsid w:val="00F873C9"/>
    <w:rsid w:val="00F87702"/>
    <w:rsid w:val="00F90159"/>
    <w:rsid w:val="00F90869"/>
    <w:rsid w:val="00F90AEB"/>
    <w:rsid w:val="00F90DB9"/>
    <w:rsid w:val="00F90F5B"/>
    <w:rsid w:val="00F90F7E"/>
    <w:rsid w:val="00F90F96"/>
    <w:rsid w:val="00F91F34"/>
    <w:rsid w:val="00F926DB"/>
    <w:rsid w:val="00F92939"/>
    <w:rsid w:val="00F92B0C"/>
    <w:rsid w:val="00F92CF8"/>
    <w:rsid w:val="00F9301F"/>
    <w:rsid w:val="00F933D8"/>
    <w:rsid w:val="00F934AA"/>
    <w:rsid w:val="00F93B3B"/>
    <w:rsid w:val="00F9416F"/>
    <w:rsid w:val="00F945E9"/>
    <w:rsid w:val="00F94BAB"/>
    <w:rsid w:val="00F958F5"/>
    <w:rsid w:val="00F9612D"/>
    <w:rsid w:val="00F9664F"/>
    <w:rsid w:val="00F966A8"/>
    <w:rsid w:val="00F9690A"/>
    <w:rsid w:val="00F96B17"/>
    <w:rsid w:val="00F976D3"/>
    <w:rsid w:val="00F9770B"/>
    <w:rsid w:val="00F97A6E"/>
    <w:rsid w:val="00F97B16"/>
    <w:rsid w:val="00F97CAD"/>
    <w:rsid w:val="00FA06DA"/>
    <w:rsid w:val="00FA0B9A"/>
    <w:rsid w:val="00FA0CE2"/>
    <w:rsid w:val="00FA0D5A"/>
    <w:rsid w:val="00FA1046"/>
    <w:rsid w:val="00FA18F3"/>
    <w:rsid w:val="00FA1D9D"/>
    <w:rsid w:val="00FA2967"/>
    <w:rsid w:val="00FA32FE"/>
    <w:rsid w:val="00FA33D6"/>
    <w:rsid w:val="00FA4AFD"/>
    <w:rsid w:val="00FA4EC3"/>
    <w:rsid w:val="00FA51EF"/>
    <w:rsid w:val="00FA5593"/>
    <w:rsid w:val="00FA6374"/>
    <w:rsid w:val="00FA684F"/>
    <w:rsid w:val="00FA689D"/>
    <w:rsid w:val="00FA6F08"/>
    <w:rsid w:val="00FA7402"/>
    <w:rsid w:val="00FA7797"/>
    <w:rsid w:val="00FA7D53"/>
    <w:rsid w:val="00FA7EB8"/>
    <w:rsid w:val="00FB09BF"/>
    <w:rsid w:val="00FB0B2C"/>
    <w:rsid w:val="00FB0CBF"/>
    <w:rsid w:val="00FB13B2"/>
    <w:rsid w:val="00FB145B"/>
    <w:rsid w:val="00FB2004"/>
    <w:rsid w:val="00FB2E54"/>
    <w:rsid w:val="00FB35E6"/>
    <w:rsid w:val="00FB3B31"/>
    <w:rsid w:val="00FB433E"/>
    <w:rsid w:val="00FB5164"/>
    <w:rsid w:val="00FB593F"/>
    <w:rsid w:val="00FB5B10"/>
    <w:rsid w:val="00FB601A"/>
    <w:rsid w:val="00FB642F"/>
    <w:rsid w:val="00FB65CB"/>
    <w:rsid w:val="00FB754F"/>
    <w:rsid w:val="00FB7669"/>
    <w:rsid w:val="00FC0744"/>
    <w:rsid w:val="00FC0C6E"/>
    <w:rsid w:val="00FC129E"/>
    <w:rsid w:val="00FC17AB"/>
    <w:rsid w:val="00FC285C"/>
    <w:rsid w:val="00FC2A57"/>
    <w:rsid w:val="00FC2B8E"/>
    <w:rsid w:val="00FC2BB4"/>
    <w:rsid w:val="00FC39A5"/>
    <w:rsid w:val="00FC44FB"/>
    <w:rsid w:val="00FC4636"/>
    <w:rsid w:val="00FC522D"/>
    <w:rsid w:val="00FC5376"/>
    <w:rsid w:val="00FC55CB"/>
    <w:rsid w:val="00FC5821"/>
    <w:rsid w:val="00FC5D85"/>
    <w:rsid w:val="00FC5FA1"/>
    <w:rsid w:val="00FC652B"/>
    <w:rsid w:val="00FC65EE"/>
    <w:rsid w:val="00FC68D7"/>
    <w:rsid w:val="00FC7625"/>
    <w:rsid w:val="00FC78A0"/>
    <w:rsid w:val="00FC7D7B"/>
    <w:rsid w:val="00FD10E3"/>
    <w:rsid w:val="00FD119C"/>
    <w:rsid w:val="00FD1CDF"/>
    <w:rsid w:val="00FD21CF"/>
    <w:rsid w:val="00FD2A1D"/>
    <w:rsid w:val="00FD2D8D"/>
    <w:rsid w:val="00FD359B"/>
    <w:rsid w:val="00FD36B5"/>
    <w:rsid w:val="00FD3A33"/>
    <w:rsid w:val="00FD4365"/>
    <w:rsid w:val="00FD4A0A"/>
    <w:rsid w:val="00FD4D4B"/>
    <w:rsid w:val="00FD4D51"/>
    <w:rsid w:val="00FD5AF0"/>
    <w:rsid w:val="00FD5B30"/>
    <w:rsid w:val="00FD684A"/>
    <w:rsid w:val="00FD699D"/>
    <w:rsid w:val="00FD6BF8"/>
    <w:rsid w:val="00FD6EED"/>
    <w:rsid w:val="00FD7159"/>
    <w:rsid w:val="00FD71F1"/>
    <w:rsid w:val="00FD7550"/>
    <w:rsid w:val="00FD7FCF"/>
    <w:rsid w:val="00FE0136"/>
    <w:rsid w:val="00FE013A"/>
    <w:rsid w:val="00FE0937"/>
    <w:rsid w:val="00FE0EF4"/>
    <w:rsid w:val="00FE0F82"/>
    <w:rsid w:val="00FE1743"/>
    <w:rsid w:val="00FE1F67"/>
    <w:rsid w:val="00FE2C34"/>
    <w:rsid w:val="00FE32EF"/>
    <w:rsid w:val="00FE4122"/>
    <w:rsid w:val="00FE4B3D"/>
    <w:rsid w:val="00FE4D0F"/>
    <w:rsid w:val="00FE5199"/>
    <w:rsid w:val="00FE5247"/>
    <w:rsid w:val="00FE565D"/>
    <w:rsid w:val="00FE59A1"/>
    <w:rsid w:val="00FE5F3D"/>
    <w:rsid w:val="00FE5FF7"/>
    <w:rsid w:val="00FE62CC"/>
    <w:rsid w:val="00FE637F"/>
    <w:rsid w:val="00FE63E7"/>
    <w:rsid w:val="00FE66BD"/>
    <w:rsid w:val="00FE6A22"/>
    <w:rsid w:val="00FE6B86"/>
    <w:rsid w:val="00FE6DFE"/>
    <w:rsid w:val="00FE6F14"/>
    <w:rsid w:val="00FE70B6"/>
    <w:rsid w:val="00FE72C0"/>
    <w:rsid w:val="00FE75FC"/>
    <w:rsid w:val="00FE7DA6"/>
    <w:rsid w:val="00FF03E6"/>
    <w:rsid w:val="00FF07F6"/>
    <w:rsid w:val="00FF16E6"/>
    <w:rsid w:val="00FF1866"/>
    <w:rsid w:val="00FF18D8"/>
    <w:rsid w:val="00FF23B4"/>
    <w:rsid w:val="00FF241A"/>
    <w:rsid w:val="00FF2B8E"/>
    <w:rsid w:val="00FF3E72"/>
    <w:rsid w:val="00FF45AF"/>
    <w:rsid w:val="00FF45D0"/>
    <w:rsid w:val="00FF4BD2"/>
    <w:rsid w:val="00FF4E02"/>
    <w:rsid w:val="00FF5F02"/>
    <w:rsid w:val="00FF6131"/>
    <w:rsid w:val="00FF69DC"/>
    <w:rsid w:val="00FF6BEA"/>
    <w:rsid w:val="00FF7252"/>
    <w:rsid w:val="00FF7410"/>
    <w:rsid w:val="00FF7D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3010" fillcolor="white" strokecolor="none [3213]">
      <v:fill color="white"/>
      <v:stroke color="none [3213]"/>
    </o:shapedefaults>
    <o:shapelayout v:ext="edit">
      <o:idmap v:ext="edit" data="1"/>
      <o:rules v:ext="edit">
        <o:r id="V:Rule55" type="connector" idref="#_x0000_s1165"/>
        <o:r id="V:Rule56" type="connector" idref="#_x0000_s1251"/>
        <o:r id="V:Rule57" type="connector" idref="#_x0000_s1232"/>
        <o:r id="V:Rule58" type="connector" idref="#_x0000_s1199"/>
        <o:r id="V:Rule59" type="connector" idref="#_x0000_s1033"/>
        <o:r id="V:Rule60" type="connector" idref="#_x0000_s1258"/>
        <o:r id="V:Rule61" type="connector" idref="#_x0000_s1134"/>
        <o:r id="V:Rule62" type="connector" idref="#_x0000_s1031"/>
        <o:r id="V:Rule63" type="connector" idref="#_x0000_s1198"/>
        <o:r id="V:Rule64" type="connector" idref="#_x0000_s1213"/>
        <o:r id="V:Rule65" type="connector" idref="#_x0000_s1230"/>
        <o:r id="V:Rule66" type="connector" idref="#_x0000_s1257"/>
        <o:r id="V:Rule67" type="connector" idref="#_x0000_s1200"/>
        <o:r id="V:Rule68" type="connector" idref="#_x0000_s1256"/>
        <o:r id="V:Rule69" type="connector" idref="#_x0000_s1053"/>
        <o:r id="V:Rule70" type="connector" idref="#_x0000_s1030"/>
        <o:r id="V:Rule71" type="connector" idref="#_x0000_s1179"/>
        <o:r id="V:Rule72" type="connector" idref="#_x0000_s1229"/>
        <o:r id="V:Rule73" type="connector" idref="#_x0000_s1181"/>
        <o:r id="V:Rule74" type="connector" idref="#_x0000_s1049"/>
        <o:r id="V:Rule75" type="connector" idref="#_x0000_s1194"/>
        <o:r id="V:Rule76" type="connector" idref="#_x0000_s1149"/>
        <o:r id="V:Rule77" type="connector" idref="#_x0000_s1260"/>
        <o:r id="V:Rule78" type="connector" idref="#_x0000_s1032"/>
        <o:r id="V:Rule79" type="connector" idref="#_x0000_s1252"/>
        <o:r id="V:Rule80" type="connector" idref="#_x0000_s1104"/>
        <o:r id="V:Rule81" type="connector" idref="#_x0000_s1137"/>
        <o:r id="V:Rule82" type="connector" idref="#_x0000_s1218"/>
        <o:r id="V:Rule83" type="connector" idref="#_x0000_s1167"/>
        <o:r id="V:Rule84" type="connector" idref="#_x0000_s1254"/>
        <o:r id="V:Rule85" type="connector" idref="#_x0000_s1135"/>
        <o:r id="V:Rule86" type="connector" idref="#_x0000_s1253"/>
        <o:r id="V:Rule87" type="connector" idref="#_x0000_s1193"/>
        <o:r id="V:Rule88" type="connector" idref="#_x0000_s1250"/>
        <o:r id="V:Rule89" type="connector" idref="#_x0000_s1228"/>
        <o:r id="V:Rule90" type="connector" idref="#_x0000_s1212"/>
        <o:r id="V:Rule91" type="connector" idref="#_x0000_s1243"/>
        <o:r id="V:Rule92" type="connector" idref="#_x0000_s1151"/>
        <o:r id="V:Rule93" type="connector" idref="#_x0000_s1171"/>
        <o:r id="V:Rule94" type="connector" idref="#_x0000_s1214"/>
        <o:r id="V:Rule95" type="connector" idref="#_x0000_s1225"/>
        <o:r id="V:Rule96" type="connector" idref="#_x0000_s1102"/>
        <o:r id="V:Rule97" type="connector" idref="#_x0000_s1168"/>
        <o:r id="V:Rule98" type="connector" idref="#_x0000_s1040"/>
        <o:r id="V:Rule99" type="connector" idref="#_x0000_s1211"/>
        <o:r id="V:Rule100" type="connector" idref="#_x0000_s1241"/>
        <o:r id="V:Rule101" type="connector" idref="#_x0000_s1057"/>
        <o:r id="V:Rule102" type="connector" idref="#_x0000_s1231"/>
        <o:r id="V:Rule103" type="connector" idref="#_x0000_s1215"/>
        <o:r id="V:Rule104" type="connector" idref="#_x0000_s1197"/>
        <o:r id="V:Rule105" type="connector" idref="#_x0000_s1166"/>
        <o:r id="V:Rule106" type="connector" idref="#_x0000_s1052"/>
        <o:r id="V:Rule107" type="connector" idref="#_x0000_s1226"/>
        <o:r id="V:Rule108"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E8"/>
  </w:style>
  <w:style w:type="paragraph" w:styleId="Heading1">
    <w:name w:val="heading 1"/>
    <w:basedOn w:val="Normal"/>
    <w:link w:val="Heading1Char"/>
    <w:uiPriority w:val="9"/>
    <w:qFormat/>
    <w:rsid w:val="00DF24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A16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57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F85"/>
    <w:pPr>
      <w:ind w:left="720"/>
      <w:contextualSpacing/>
    </w:pPr>
  </w:style>
  <w:style w:type="character" w:styleId="Emphasis">
    <w:name w:val="Emphasis"/>
    <w:basedOn w:val="DefaultParagraphFont"/>
    <w:uiPriority w:val="20"/>
    <w:qFormat/>
    <w:rsid w:val="00C26F85"/>
    <w:rPr>
      <w:i/>
      <w:iCs/>
    </w:rPr>
  </w:style>
  <w:style w:type="paragraph" w:customStyle="1" w:styleId="Default">
    <w:name w:val="Default"/>
    <w:rsid w:val="009739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3B2CFB"/>
  </w:style>
  <w:style w:type="character" w:styleId="Hyperlink">
    <w:name w:val="Hyperlink"/>
    <w:basedOn w:val="DefaultParagraphFont"/>
    <w:uiPriority w:val="99"/>
    <w:unhideWhenUsed/>
    <w:rsid w:val="003B2CFB"/>
    <w:rPr>
      <w:color w:val="0000FF"/>
      <w:u w:val="single"/>
    </w:rPr>
  </w:style>
  <w:style w:type="paragraph" w:styleId="Header">
    <w:name w:val="header"/>
    <w:basedOn w:val="Normal"/>
    <w:link w:val="HeaderChar"/>
    <w:uiPriority w:val="99"/>
    <w:unhideWhenUsed/>
    <w:rsid w:val="005B6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62C"/>
  </w:style>
  <w:style w:type="paragraph" w:styleId="Footer">
    <w:name w:val="footer"/>
    <w:basedOn w:val="Normal"/>
    <w:link w:val="FooterChar"/>
    <w:uiPriority w:val="99"/>
    <w:unhideWhenUsed/>
    <w:rsid w:val="005B6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62C"/>
  </w:style>
  <w:style w:type="character" w:customStyle="1" w:styleId="sthspedding">
    <w:name w:val="sth_spedding"/>
    <w:basedOn w:val="DefaultParagraphFont"/>
    <w:rsid w:val="005A4B18"/>
  </w:style>
  <w:style w:type="character" w:customStyle="1" w:styleId="sthrose">
    <w:name w:val="sth_rose"/>
    <w:basedOn w:val="DefaultParagraphFont"/>
    <w:rsid w:val="005A4B18"/>
  </w:style>
  <w:style w:type="character" w:customStyle="1" w:styleId="sth2008">
    <w:name w:val="sth_2008"/>
    <w:basedOn w:val="DefaultParagraphFont"/>
    <w:rsid w:val="005A4B18"/>
  </w:style>
  <w:style w:type="paragraph" w:styleId="BalloonText">
    <w:name w:val="Balloon Text"/>
    <w:basedOn w:val="Normal"/>
    <w:link w:val="BalloonTextChar"/>
    <w:uiPriority w:val="99"/>
    <w:semiHidden/>
    <w:unhideWhenUsed/>
    <w:rsid w:val="00851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8"/>
    <w:rPr>
      <w:rFonts w:ascii="Tahoma" w:hAnsi="Tahoma" w:cs="Tahoma"/>
      <w:sz w:val="16"/>
      <w:szCs w:val="16"/>
    </w:rPr>
  </w:style>
  <w:style w:type="character" w:customStyle="1" w:styleId="Heading1Char">
    <w:name w:val="Heading 1 Char"/>
    <w:basedOn w:val="DefaultParagraphFont"/>
    <w:link w:val="Heading1"/>
    <w:uiPriority w:val="9"/>
    <w:rsid w:val="00DF24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A1672"/>
    <w:rPr>
      <w:rFonts w:asciiTheme="majorHAnsi" w:eastAsiaTheme="majorEastAsia" w:hAnsiTheme="majorHAnsi" w:cstheme="majorBidi"/>
      <w:b/>
      <w:bCs/>
      <w:color w:val="4F81BD" w:themeColor="accent1"/>
      <w:sz w:val="26"/>
      <w:szCs w:val="26"/>
    </w:rPr>
  </w:style>
  <w:style w:type="paragraph" w:styleId="NoSpacing">
    <w:name w:val="No Spacing"/>
    <w:uiPriority w:val="99"/>
    <w:qFormat/>
    <w:rsid w:val="00E94EFE"/>
    <w:pPr>
      <w:spacing w:after="0" w:line="240" w:lineRule="auto"/>
    </w:pPr>
  </w:style>
  <w:style w:type="paragraph" w:styleId="NormalWeb">
    <w:name w:val="Normal (Web)"/>
    <w:basedOn w:val="Normal"/>
    <w:uiPriority w:val="99"/>
    <w:unhideWhenUsed/>
    <w:rsid w:val="007573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BF9"/>
    <w:rPr>
      <w:b/>
      <w:bCs/>
    </w:rPr>
  </w:style>
  <w:style w:type="character" w:styleId="FootnoteReference">
    <w:name w:val="footnote reference"/>
    <w:uiPriority w:val="99"/>
    <w:rsid w:val="0069064B"/>
    <w:rPr>
      <w:color w:val="000000"/>
      <w:sz w:val="14"/>
      <w:szCs w:val="14"/>
    </w:rPr>
  </w:style>
  <w:style w:type="paragraph" w:styleId="Subtitle">
    <w:name w:val="Subtitle"/>
    <w:basedOn w:val="Normal"/>
    <w:next w:val="Normal"/>
    <w:link w:val="SubtitleChar"/>
    <w:uiPriority w:val="11"/>
    <w:qFormat/>
    <w:rsid w:val="00A74D90"/>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4D90"/>
    <w:rPr>
      <w:rFonts w:asciiTheme="majorHAnsi" w:eastAsiaTheme="majorEastAsia" w:hAnsiTheme="majorHAnsi" w:cstheme="majorBidi"/>
      <w:i/>
      <w:iCs/>
      <w:color w:val="4F81BD" w:themeColor="accent1"/>
      <w:spacing w:val="15"/>
      <w:sz w:val="24"/>
      <w:szCs w:val="24"/>
    </w:rPr>
  </w:style>
  <w:style w:type="character" w:styleId="SubtleEmphasis">
    <w:name w:val="Subtle Emphasis"/>
    <w:uiPriority w:val="19"/>
    <w:qFormat/>
    <w:rsid w:val="00A74D90"/>
    <w:rPr>
      <w:i/>
      <w:iCs w:val="0"/>
      <w:color w:val="5A5A5A"/>
    </w:rPr>
  </w:style>
  <w:style w:type="table" w:styleId="TableGrid">
    <w:name w:val="Table Grid"/>
    <w:basedOn w:val="TableNormal"/>
    <w:uiPriority w:val="59"/>
    <w:rsid w:val="0001449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157AE"/>
    <w:rPr>
      <w:rFonts w:asciiTheme="majorHAnsi" w:eastAsiaTheme="majorEastAsia" w:hAnsiTheme="majorHAnsi" w:cstheme="majorBidi"/>
      <w:b/>
      <w:bCs/>
      <w:color w:val="4F81BD" w:themeColor="accent1"/>
    </w:rPr>
  </w:style>
  <w:style w:type="character" w:customStyle="1" w:styleId="hps">
    <w:name w:val="hps"/>
    <w:basedOn w:val="DefaultParagraphFont"/>
    <w:rsid w:val="00312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480573">
      <w:bodyDiv w:val="1"/>
      <w:marLeft w:val="0"/>
      <w:marRight w:val="0"/>
      <w:marTop w:val="0"/>
      <w:marBottom w:val="0"/>
      <w:divBdr>
        <w:top w:val="none" w:sz="0" w:space="0" w:color="auto"/>
        <w:left w:val="none" w:sz="0" w:space="0" w:color="auto"/>
        <w:bottom w:val="none" w:sz="0" w:space="0" w:color="auto"/>
        <w:right w:val="none" w:sz="0" w:space="0" w:color="auto"/>
      </w:divBdr>
      <w:divsChild>
        <w:div w:id="1321159468">
          <w:marLeft w:val="0"/>
          <w:marRight w:val="0"/>
          <w:marTop w:val="0"/>
          <w:marBottom w:val="0"/>
          <w:divBdr>
            <w:top w:val="none" w:sz="0" w:space="0" w:color="auto"/>
            <w:left w:val="none" w:sz="0" w:space="0" w:color="auto"/>
            <w:bottom w:val="none" w:sz="0" w:space="0" w:color="auto"/>
            <w:right w:val="none" w:sz="0" w:space="0" w:color="auto"/>
          </w:divBdr>
          <w:divsChild>
            <w:div w:id="398094012">
              <w:marLeft w:val="0"/>
              <w:marRight w:val="0"/>
              <w:marTop w:val="630"/>
              <w:marBottom w:val="0"/>
              <w:divBdr>
                <w:top w:val="single" w:sz="12" w:space="0" w:color="EBEFF9"/>
                <w:left w:val="none" w:sz="0" w:space="0" w:color="auto"/>
                <w:bottom w:val="none" w:sz="0" w:space="0" w:color="auto"/>
                <w:right w:val="none" w:sz="0" w:space="0" w:color="auto"/>
              </w:divBdr>
              <w:divsChild>
                <w:div w:id="33820877">
                  <w:marLeft w:val="0"/>
                  <w:marRight w:val="0"/>
                  <w:marTop w:val="0"/>
                  <w:marBottom w:val="0"/>
                  <w:divBdr>
                    <w:top w:val="none" w:sz="0" w:space="0" w:color="auto"/>
                    <w:left w:val="none" w:sz="0" w:space="0" w:color="auto"/>
                    <w:bottom w:val="none" w:sz="0" w:space="0" w:color="auto"/>
                    <w:right w:val="none" w:sz="0" w:space="0" w:color="auto"/>
                  </w:divBdr>
                  <w:divsChild>
                    <w:div w:id="2083092535">
                      <w:marLeft w:val="0"/>
                      <w:marRight w:val="150"/>
                      <w:marTop w:val="0"/>
                      <w:marBottom w:val="90"/>
                      <w:divBdr>
                        <w:top w:val="none" w:sz="0" w:space="0" w:color="auto"/>
                        <w:left w:val="none" w:sz="0" w:space="0" w:color="auto"/>
                        <w:bottom w:val="none" w:sz="0" w:space="0" w:color="auto"/>
                        <w:right w:val="none" w:sz="0" w:space="0" w:color="auto"/>
                      </w:divBdr>
                      <w:divsChild>
                        <w:div w:id="10993707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1894764">
      <w:bodyDiv w:val="1"/>
      <w:marLeft w:val="0"/>
      <w:marRight w:val="0"/>
      <w:marTop w:val="0"/>
      <w:marBottom w:val="0"/>
      <w:divBdr>
        <w:top w:val="none" w:sz="0" w:space="0" w:color="auto"/>
        <w:left w:val="none" w:sz="0" w:space="0" w:color="auto"/>
        <w:bottom w:val="none" w:sz="0" w:space="0" w:color="auto"/>
        <w:right w:val="none" w:sz="0" w:space="0" w:color="auto"/>
      </w:divBdr>
      <w:divsChild>
        <w:div w:id="1720400944">
          <w:marLeft w:val="0"/>
          <w:marRight w:val="0"/>
          <w:marTop w:val="0"/>
          <w:marBottom w:val="0"/>
          <w:divBdr>
            <w:top w:val="none" w:sz="0" w:space="0" w:color="auto"/>
            <w:left w:val="none" w:sz="0" w:space="0" w:color="auto"/>
            <w:bottom w:val="none" w:sz="0" w:space="0" w:color="auto"/>
            <w:right w:val="none" w:sz="0" w:space="0" w:color="auto"/>
          </w:divBdr>
          <w:divsChild>
            <w:div w:id="1009601701">
              <w:marLeft w:val="0"/>
              <w:marRight w:val="0"/>
              <w:marTop w:val="0"/>
              <w:marBottom w:val="0"/>
              <w:divBdr>
                <w:top w:val="none" w:sz="0" w:space="0" w:color="auto"/>
                <w:left w:val="none" w:sz="0" w:space="0" w:color="auto"/>
                <w:bottom w:val="none" w:sz="0" w:space="0" w:color="auto"/>
                <w:right w:val="none" w:sz="0" w:space="0" w:color="auto"/>
              </w:divBdr>
              <w:divsChild>
                <w:div w:id="1083644995">
                  <w:marLeft w:val="0"/>
                  <w:marRight w:val="0"/>
                  <w:marTop w:val="0"/>
                  <w:marBottom w:val="0"/>
                  <w:divBdr>
                    <w:top w:val="none" w:sz="0" w:space="0" w:color="auto"/>
                    <w:left w:val="none" w:sz="0" w:space="0" w:color="auto"/>
                    <w:bottom w:val="none" w:sz="0" w:space="0" w:color="auto"/>
                    <w:right w:val="none" w:sz="0" w:space="0" w:color="auto"/>
                  </w:divBdr>
                  <w:divsChild>
                    <w:div w:id="1138306216">
                      <w:marLeft w:val="0"/>
                      <w:marRight w:val="0"/>
                      <w:marTop w:val="0"/>
                      <w:marBottom w:val="0"/>
                      <w:divBdr>
                        <w:top w:val="none" w:sz="0" w:space="0" w:color="auto"/>
                        <w:left w:val="none" w:sz="0" w:space="0" w:color="auto"/>
                        <w:bottom w:val="none" w:sz="0" w:space="0" w:color="auto"/>
                        <w:right w:val="none" w:sz="0" w:space="0" w:color="auto"/>
                      </w:divBdr>
                      <w:divsChild>
                        <w:div w:id="393554318">
                          <w:marLeft w:val="0"/>
                          <w:marRight w:val="0"/>
                          <w:marTop w:val="0"/>
                          <w:marBottom w:val="0"/>
                          <w:divBdr>
                            <w:top w:val="none" w:sz="0" w:space="0" w:color="auto"/>
                            <w:left w:val="none" w:sz="0" w:space="0" w:color="auto"/>
                            <w:bottom w:val="none" w:sz="0" w:space="0" w:color="auto"/>
                            <w:right w:val="none" w:sz="0" w:space="0" w:color="auto"/>
                          </w:divBdr>
                          <w:divsChild>
                            <w:div w:id="8327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2428">
      <w:bodyDiv w:val="1"/>
      <w:marLeft w:val="0"/>
      <w:marRight w:val="0"/>
      <w:marTop w:val="0"/>
      <w:marBottom w:val="0"/>
      <w:divBdr>
        <w:top w:val="none" w:sz="0" w:space="0" w:color="auto"/>
        <w:left w:val="none" w:sz="0" w:space="0" w:color="auto"/>
        <w:bottom w:val="none" w:sz="0" w:space="0" w:color="auto"/>
        <w:right w:val="none" w:sz="0" w:space="0" w:color="auto"/>
      </w:divBdr>
      <w:divsChild>
        <w:div w:id="1179003413">
          <w:marLeft w:val="0"/>
          <w:marRight w:val="0"/>
          <w:marTop w:val="0"/>
          <w:marBottom w:val="0"/>
          <w:divBdr>
            <w:top w:val="none" w:sz="0" w:space="0" w:color="auto"/>
            <w:left w:val="none" w:sz="0" w:space="0" w:color="auto"/>
            <w:bottom w:val="none" w:sz="0" w:space="0" w:color="auto"/>
            <w:right w:val="none" w:sz="0" w:space="0" w:color="auto"/>
          </w:divBdr>
          <w:divsChild>
            <w:div w:id="1836914218">
              <w:marLeft w:val="0"/>
              <w:marRight w:val="0"/>
              <w:marTop w:val="0"/>
              <w:marBottom w:val="0"/>
              <w:divBdr>
                <w:top w:val="none" w:sz="0" w:space="0" w:color="auto"/>
                <w:left w:val="none" w:sz="0" w:space="0" w:color="auto"/>
                <w:bottom w:val="none" w:sz="0" w:space="0" w:color="auto"/>
                <w:right w:val="none" w:sz="0" w:space="0" w:color="auto"/>
              </w:divBdr>
              <w:divsChild>
                <w:div w:id="541331119">
                  <w:marLeft w:val="0"/>
                  <w:marRight w:val="0"/>
                  <w:marTop w:val="0"/>
                  <w:marBottom w:val="0"/>
                  <w:divBdr>
                    <w:top w:val="none" w:sz="0" w:space="0" w:color="auto"/>
                    <w:left w:val="none" w:sz="0" w:space="0" w:color="auto"/>
                    <w:bottom w:val="none" w:sz="0" w:space="0" w:color="auto"/>
                    <w:right w:val="none" w:sz="0" w:space="0" w:color="auto"/>
                  </w:divBdr>
                  <w:divsChild>
                    <w:div w:id="1327709476">
                      <w:marLeft w:val="0"/>
                      <w:marRight w:val="0"/>
                      <w:marTop w:val="0"/>
                      <w:marBottom w:val="0"/>
                      <w:divBdr>
                        <w:top w:val="none" w:sz="0" w:space="0" w:color="auto"/>
                        <w:left w:val="none" w:sz="0" w:space="0" w:color="auto"/>
                        <w:bottom w:val="none" w:sz="0" w:space="0" w:color="auto"/>
                        <w:right w:val="none" w:sz="0" w:space="0" w:color="auto"/>
                      </w:divBdr>
                      <w:divsChild>
                        <w:div w:id="1929461703">
                          <w:marLeft w:val="0"/>
                          <w:marRight w:val="0"/>
                          <w:marTop w:val="0"/>
                          <w:marBottom w:val="0"/>
                          <w:divBdr>
                            <w:top w:val="none" w:sz="0" w:space="0" w:color="auto"/>
                            <w:left w:val="none" w:sz="0" w:space="0" w:color="auto"/>
                            <w:bottom w:val="none" w:sz="0" w:space="0" w:color="auto"/>
                            <w:right w:val="none" w:sz="0" w:space="0" w:color="auto"/>
                          </w:divBdr>
                          <w:divsChild>
                            <w:div w:id="609703595">
                              <w:marLeft w:val="0"/>
                              <w:marRight w:val="0"/>
                              <w:marTop w:val="0"/>
                              <w:marBottom w:val="0"/>
                              <w:divBdr>
                                <w:top w:val="none" w:sz="0" w:space="0" w:color="auto"/>
                                <w:left w:val="none" w:sz="0" w:space="0" w:color="auto"/>
                                <w:bottom w:val="none" w:sz="0" w:space="0" w:color="auto"/>
                                <w:right w:val="none" w:sz="0" w:space="0" w:color="auto"/>
                              </w:divBdr>
                              <w:divsChild>
                                <w:div w:id="1406144681">
                                  <w:marLeft w:val="0"/>
                                  <w:marRight w:val="0"/>
                                  <w:marTop w:val="0"/>
                                  <w:marBottom w:val="0"/>
                                  <w:divBdr>
                                    <w:top w:val="none" w:sz="0" w:space="0" w:color="auto"/>
                                    <w:left w:val="none" w:sz="0" w:space="0" w:color="auto"/>
                                    <w:bottom w:val="none" w:sz="0" w:space="0" w:color="auto"/>
                                    <w:right w:val="none" w:sz="0" w:space="0" w:color="auto"/>
                                  </w:divBdr>
                                  <w:divsChild>
                                    <w:div w:id="1411779060">
                                      <w:marLeft w:val="0"/>
                                      <w:marRight w:val="50"/>
                                      <w:marTop w:val="0"/>
                                      <w:marBottom w:val="0"/>
                                      <w:divBdr>
                                        <w:top w:val="none" w:sz="0" w:space="0" w:color="auto"/>
                                        <w:left w:val="none" w:sz="0" w:space="0" w:color="auto"/>
                                        <w:bottom w:val="none" w:sz="0" w:space="0" w:color="auto"/>
                                        <w:right w:val="none" w:sz="0" w:space="0" w:color="auto"/>
                                      </w:divBdr>
                                      <w:divsChild>
                                        <w:div w:id="936401802">
                                          <w:marLeft w:val="0"/>
                                          <w:marRight w:val="0"/>
                                          <w:marTop w:val="0"/>
                                          <w:marBottom w:val="0"/>
                                          <w:divBdr>
                                            <w:top w:val="none" w:sz="0" w:space="0" w:color="auto"/>
                                            <w:left w:val="none" w:sz="0" w:space="0" w:color="auto"/>
                                            <w:bottom w:val="none" w:sz="0" w:space="0" w:color="auto"/>
                                            <w:right w:val="none" w:sz="0" w:space="0" w:color="auto"/>
                                          </w:divBdr>
                                          <w:divsChild>
                                            <w:div w:id="306059911">
                                              <w:marLeft w:val="0"/>
                                              <w:marRight w:val="0"/>
                                              <w:marTop w:val="0"/>
                                              <w:marBottom w:val="100"/>
                                              <w:divBdr>
                                                <w:top w:val="single" w:sz="4" w:space="0" w:color="F5F5F5"/>
                                                <w:left w:val="single" w:sz="4" w:space="0" w:color="F5F5F5"/>
                                                <w:bottom w:val="single" w:sz="4" w:space="0" w:color="F5F5F5"/>
                                                <w:right w:val="single" w:sz="4" w:space="0" w:color="F5F5F5"/>
                                              </w:divBdr>
                                              <w:divsChild>
                                                <w:div w:id="238834594">
                                                  <w:marLeft w:val="0"/>
                                                  <w:marRight w:val="0"/>
                                                  <w:marTop w:val="0"/>
                                                  <w:marBottom w:val="0"/>
                                                  <w:divBdr>
                                                    <w:top w:val="none" w:sz="0" w:space="0" w:color="auto"/>
                                                    <w:left w:val="none" w:sz="0" w:space="0" w:color="auto"/>
                                                    <w:bottom w:val="none" w:sz="0" w:space="0" w:color="auto"/>
                                                    <w:right w:val="none" w:sz="0" w:space="0" w:color="auto"/>
                                                  </w:divBdr>
                                                  <w:divsChild>
                                                    <w:div w:id="4170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41023">
      <w:bodyDiv w:val="1"/>
      <w:marLeft w:val="0"/>
      <w:marRight w:val="0"/>
      <w:marTop w:val="0"/>
      <w:marBottom w:val="0"/>
      <w:divBdr>
        <w:top w:val="none" w:sz="0" w:space="0" w:color="auto"/>
        <w:left w:val="none" w:sz="0" w:space="0" w:color="auto"/>
        <w:bottom w:val="none" w:sz="0" w:space="0" w:color="auto"/>
        <w:right w:val="none" w:sz="0" w:space="0" w:color="auto"/>
      </w:divBdr>
      <w:divsChild>
        <w:div w:id="687409847">
          <w:marLeft w:val="0"/>
          <w:marRight w:val="0"/>
          <w:marTop w:val="0"/>
          <w:marBottom w:val="0"/>
          <w:divBdr>
            <w:top w:val="none" w:sz="0" w:space="0" w:color="auto"/>
            <w:left w:val="none" w:sz="0" w:space="0" w:color="auto"/>
            <w:bottom w:val="none" w:sz="0" w:space="0" w:color="auto"/>
            <w:right w:val="none" w:sz="0" w:space="0" w:color="auto"/>
          </w:divBdr>
          <w:divsChild>
            <w:div w:id="1069155890">
              <w:marLeft w:val="0"/>
              <w:marRight w:val="0"/>
              <w:marTop w:val="0"/>
              <w:marBottom w:val="0"/>
              <w:divBdr>
                <w:top w:val="none" w:sz="0" w:space="0" w:color="auto"/>
                <w:left w:val="none" w:sz="0" w:space="0" w:color="auto"/>
                <w:bottom w:val="none" w:sz="0" w:space="0" w:color="auto"/>
                <w:right w:val="none" w:sz="0" w:space="0" w:color="auto"/>
              </w:divBdr>
              <w:divsChild>
                <w:div w:id="765198471">
                  <w:marLeft w:val="0"/>
                  <w:marRight w:val="0"/>
                  <w:marTop w:val="0"/>
                  <w:marBottom w:val="0"/>
                  <w:divBdr>
                    <w:top w:val="none" w:sz="0" w:space="0" w:color="auto"/>
                    <w:left w:val="none" w:sz="0" w:space="0" w:color="auto"/>
                    <w:bottom w:val="none" w:sz="0" w:space="0" w:color="auto"/>
                    <w:right w:val="none" w:sz="0" w:space="0" w:color="auto"/>
                  </w:divBdr>
                  <w:divsChild>
                    <w:div w:id="907418223">
                      <w:marLeft w:val="0"/>
                      <w:marRight w:val="0"/>
                      <w:marTop w:val="0"/>
                      <w:marBottom w:val="0"/>
                      <w:divBdr>
                        <w:top w:val="none" w:sz="0" w:space="0" w:color="auto"/>
                        <w:left w:val="none" w:sz="0" w:space="0" w:color="auto"/>
                        <w:bottom w:val="none" w:sz="0" w:space="0" w:color="auto"/>
                        <w:right w:val="none" w:sz="0" w:space="0" w:color="auto"/>
                      </w:divBdr>
                      <w:divsChild>
                        <w:div w:id="1524203327">
                          <w:marLeft w:val="0"/>
                          <w:marRight w:val="0"/>
                          <w:marTop w:val="0"/>
                          <w:marBottom w:val="0"/>
                          <w:divBdr>
                            <w:top w:val="none" w:sz="0" w:space="0" w:color="auto"/>
                            <w:left w:val="none" w:sz="0" w:space="0" w:color="auto"/>
                            <w:bottom w:val="none" w:sz="0" w:space="0" w:color="auto"/>
                            <w:right w:val="none" w:sz="0" w:space="0" w:color="auto"/>
                          </w:divBdr>
                          <w:divsChild>
                            <w:div w:id="1086078439">
                              <w:marLeft w:val="0"/>
                              <w:marRight w:val="0"/>
                              <w:marTop w:val="0"/>
                              <w:marBottom w:val="0"/>
                              <w:divBdr>
                                <w:top w:val="none" w:sz="0" w:space="0" w:color="auto"/>
                                <w:left w:val="none" w:sz="0" w:space="0" w:color="auto"/>
                                <w:bottom w:val="none" w:sz="0" w:space="0" w:color="auto"/>
                                <w:right w:val="none" w:sz="0" w:space="0" w:color="auto"/>
                              </w:divBdr>
                              <w:divsChild>
                                <w:div w:id="1556430330">
                                  <w:marLeft w:val="0"/>
                                  <w:marRight w:val="0"/>
                                  <w:marTop w:val="0"/>
                                  <w:marBottom w:val="0"/>
                                  <w:divBdr>
                                    <w:top w:val="none" w:sz="0" w:space="0" w:color="auto"/>
                                    <w:left w:val="none" w:sz="0" w:space="0" w:color="auto"/>
                                    <w:bottom w:val="none" w:sz="0" w:space="0" w:color="auto"/>
                                    <w:right w:val="none" w:sz="0" w:space="0" w:color="auto"/>
                                  </w:divBdr>
                                  <w:divsChild>
                                    <w:div w:id="165176026">
                                      <w:marLeft w:val="50"/>
                                      <w:marRight w:val="0"/>
                                      <w:marTop w:val="0"/>
                                      <w:marBottom w:val="0"/>
                                      <w:divBdr>
                                        <w:top w:val="none" w:sz="0" w:space="0" w:color="auto"/>
                                        <w:left w:val="none" w:sz="0" w:space="0" w:color="auto"/>
                                        <w:bottom w:val="none" w:sz="0" w:space="0" w:color="auto"/>
                                        <w:right w:val="none" w:sz="0" w:space="0" w:color="auto"/>
                                      </w:divBdr>
                                      <w:divsChild>
                                        <w:div w:id="129246908">
                                          <w:marLeft w:val="0"/>
                                          <w:marRight w:val="0"/>
                                          <w:marTop w:val="0"/>
                                          <w:marBottom w:val="0"/>
                                          <w:divBdr>
                                            <w:top w:val="none" w:sz="0" w:space="0" w:color="auto"/>
                                            <w:left w:val="none" w:sz="0" w:space="0" w:color="auto"/>
                                            <w:bottom w:val="none" w:sz="0" w:space="0" w:color="auto"/>
                                            <w:right w:val="none" w:sz="0" w:space="0" w:color="auto"/>
                                          </w:divBdr>
                                          <w:divsChild>
                                            <w:div w:id="1706439090">
                                              <w:marLeft w:val="0"/>
                                              <w:marRight w:val="0"/>
                                              <w:marTop w:val="0"/>
                                              <w:marBottom w:val="100"/>
                                              <w:divBdr>
                                                <w:top w:val="single" w:sz="4" w:space="0" w:color="F5F5F5"/>
                                                <w:left w:val="single" w:sz="4" w:space="0" w:color="F5F5F5"/>
                                                <w:bottom w:val="single" w:sz="4" w:space="0" w:color="F5F5F5"/>
                                                <w:right w:val="single" w:sz="4" w:space="0" w:color="F5F5F5"/>
                                              </w:divBdr>
                                              <w:divsChild>
                                                <w:div w:id="258370950">
                                                  <w:marLeft w:val="0"/>
                                                  <w:marRight w:val="0"/>
                                                  <w:marTop w:val="0"/>
                                                  <w:marBottom w:val="0"/>
                                                  <w:divBdr>
                                                    <w:top w:val="none" w:sz="0" w:space="0" w:color="auto"/>
                                                    <w:left w:val="none" w:sz="0" w:space="0" w:color="auto"/>
                                                    <w:bottom w:val="none" w:sz="0" w:space="0" w:color="auto"/>
                                                    <w:right w:val="none" w:sz="0" w:space="0" w:color="auto"/>
                                                  </w:divBdr>
                                                  <w:divsChild>
                                                    <w:div w:id="8442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6393183">
      <w:bodyDiv w:val="1"/>
      <w:marLeft w:val="0"/>
      <w:marRight w:val="0"/>
      <w:marTop w:val="0"/>
      <w:marBottom w:val="0"/>
      <w:divBdr>
        <w:top w:val="none" w:sz="0" w:space="0" w:color="auto"/>
        <w:left w:val="none" w:sz="0" w:space="0" w:color="auto"/>
        <w:bottom w:val="none" w:sz="0" w:space="0" w:color="auto"/>
        <w:right w:val="none" w:sz="0" w:space="0" w:color="auto"/>
      </w:divBdr>
    </w:div>
    <w:div w:id="438918697">
      <w:bodyDiv w:val="1"/>
      <w:marLeft w:val="0"/>
      <w:marRight w:val="0"/>
      <w:marTop w:val="0"/>
      <w:marBottom w:val="0"/>
      <w:divBdr>
        <w:top w:val="none" w:sz="0" w:space="0" w:color="auto"/>
        <w:left w:val="none" w:sz="0" w:space="0" w:color="auto"/>
        <w:bottom w:val="none" w:sz="0" w:space="0" w:color="auto"/>
        <w:right w:val="none" w:sz="0" w:space="0" w:color="auto"/>
      </w:divBdr>
      <w:divsChild>
        <w:div w:id="888027651">
          <w:marLeft w:val="0"/>
          <w:marRight w:val="0"/>
          <w:marTop w:val="0"/>
          <w:marBottom w:val="0"/>
          <w:divBdr>
            <w:top w:val="none" w:sz="0" w:space="0" w:color="auto"/>
            <w:left w:val="none" w:sz="0" w:space="0" w:color="auto"/>
            <w:bottom w:val="none" w:sz="0" w:space="0" w:color="auto"/>
            <w:right w:val="none" w:sz="0" w:space="0" w:color="auto"/>
          </w:divBdr>
          <w:divsChild>
            <w:div w:id="1440375246">
              <w:marLeft w:val="0"/>
              <w:marRight w:val="0"/>
              <w:marTop w:val="0"/>
              <w:marBottom w:val="0"/>
              <w:divBdr>
                <w:top w:val="none" w:sz="0" w:space="0" w:color="auto"/>
                <w:left w:val="none" w:sz="0" w:space="0" w:color="auto"/>
                <w:bottom w:val="none" w:sz="0" w:space="0" w:color="auto"/>
                <w:right w:val="none" w:sz="0" w:space="0" w:color="auto"/>
              </w:divBdr>
              <w:divsChild>
                <w:div w:id="2028754505">
                  <w:marLeft w:val="0"/>
                  <w:marRight w:val="0"/>
                  <w:marTop w:val="0"/>
                  <w:marBottom w:val="0"/>
                  <w:divBdr>
                    <w:top w:val="none" w:sz="0" w:space="0" w:color="auto"/>
                    <w:left w:val="none" w:sz="0" w:space="0" w:color="auto"/>
                    <w:bottom w:val="none" w:sz="0" w:space="0" w:color="auto"/>
                    <w:right w:val="none" w:sz="0" w:space="0" w:color="auto"/>
                  </w:divBdr>
                  <w:divsChild>
                    <w:div w:id="226496399">
                      <w:marLeft w:val="0"/>
                      <w:marRight w:val="0"/>
                      <w:marTop w:val="0"/>
                      <w:marBottom w:val="0"/>
                      <w:divBdr>
                        <w:top w:val="none" w:sz="0" w:space="0" w:color="auto"/>
                        <w:left w:val="none" w:sz="0" w:space="0" w:color="auto"/>
                        <w:bottom w:val="none" w:sz="0" w:space="0" w:color="auto"/>
                        <w:right w:val="none" w:sz="0" w:space="0" w:color="auto"/>
                      </w:divBdr>
                      <w:divsChild>
                        <w:div w:id="2122721009">
                          <w:marLeft w:val="0"/>
                          <w:marRight w:val="0"/>
                          <w:marTop w:val="0"/>
                          <w:marBottom w:val="0"/>
                          <w:divBdr>
                            <w:top w:val="none" w:sz="0" w:space="0" w:color="auto"/>
                            <w:left w:val="none" w:sz="0" w:space="0" w:color="auto"/>
                            <w:bottom w:val="none" w:sz="0" w:space="0" w:color="auto"/>
                            <w:right w:val="none" w:sz="0" w:space="0" w:color="auto"/>
                          </w:divBdr>
                          <w:divsChild>
                            <w:div w:id="1300497685">
                              <w:marLeft w:val="0"/>
                              <w:marRight w:val="0"/>
                              <w:marTop w:val="0"/>
                              <w:marBottom w:val="0"/>
                              <w:divBdr>
                                <w:top w:val="none" w:sz="0" w:space="0" w:color="auto"/>
                                <w:left w:val="none" w:sz="0" w:space="0" w:color="auto"/>
                                <w:bottom w:val="none" w:sz="0" w:space="0" w:color="auto"/>
                                <w:right w:val="none" w:sz="0" w:space="0" w:color="auto"/>
                              </w:divBdr>
                              <w:divsChild>
                                <w:div w:id="749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066801">
      <w:bodyDiv w:val="1"/>
      <w:marLeft w:val="0"/>
      <w:marRight w:val="0"/>
      <w:marTop w:val="0"/>
      <w:marBottom w:val="0"/>
      <w:divBdr>
        <w:top w:val="none" w:sz="0" w:space="0" w:color="auto"/>
        <w:left w:val="none" w:sz="0" w:space="0" w:color="auto"/>
        <w:bottom w:val="none" w:sz="0" w:space="0" w:color="auto"/>
        <w:right w:val="none" w:sz="0" w:space="0" w:color="auto"/>
      </w:divBdr>
      <w:divsChild>
        <w:div w:id="778568548">
          <w:marLeft w:val="0"/>
          <w:marRight w:val="0"/>
          <w:marTop w:val="0"/>
          <w:marBottom w:val="0"/>
          <w:divBdr>
            <w:top w:val="none" w:sz="0" w:space="0" w:color="auto"/>
            <w:left w:val="none" w:sz="0" w:space="0" w:color="auto"/>
            <w:bottom w:val="none" w:sz="0" w:space="0" w:color="auto"/>
            <w:right w:val="none" w:sz="0" w:space="0" w:color="auto"/>
          </w:divBdr>
        </w:div>
      </w:divsChild>
    </w:div>
    <w:div w:id="704717186">
      <w:bodyDiv w:val="1"/>
      <w:marLeft w:val="0"/>
      <w:marRight w:val="0"/>
      <w:marTop w:val="0"/>
      <w:marBottom w:val="0"/>
      <w:divBdr>
        <w:top w:val="none" w:sz="0" w:space="0" w:color="auto"/>
        <w:left w:val="none" w:sz="0" w:space="0" w:color="auto"/>
        <w:bottom w:val="none" w:sz="0" w:space="0" w:color="auto"/>
        <w:right w:val="none" w:sz="0" w:space="0" w:color="auto"/>
      </w:divBdr>
      <w:divsChild>
        <w:div w:id="872576122">
          <w:marLeft w:val="0"/>
          <w:marRight w:val="0"/>
          <w:marTop w:val="0"/>
          <w:marBottom w:val="0"/>
          <w:divBdr>
            <w:top w:val="none" w:sz="0" w:space="0" w:color="auto"/>
            <w:left w:val="none" w:sz="0" w:space="0" w:color="auto"/>
            <w:bottom w:val="none" w:sz="0" w:space="0" w:color="auto"/>
            <w:right w:val="none" w:sz="0" w:space="0" w:color="auto"/>
          </w:divBdr>
        </w:div>
      </w:divsChild>
    </w:div>
    <w:div w:id="772171366">
      <w:bodyDiv w:val="1"/>
      <w:marLeft w:val="0"/>
      <w:marRight w:val="0"/>
      <w:marTop w:val="0"/>
      <w:marBottom w:val="0"/>
      <w:divBdr>
        <w:top w:val="none" w:sz="0" w:space="0" w:color="auto"/>
        <w:left w:val="none" w:sz="0" w:space="0" w:color="auto"/>
        <w:bottom w:val="none" w:sz="0" w:space="0" w:color="auto"/>
        <w:right w:val="none" w:sz="0" w:space="0" w:color="auto"/>
      </w:divBdr>
    </w:div>
    <w:div w:id="799804750">
      <w:bodyDiv w:val="1"/>
      <w:marLeft w:val="0"/>
      <w:marRight w:val="0"/>
      <w:marTop w:val="0"/>
      <w:marBottom w:val="0"/>
      <w:divBdr>
        <w:top w:val="none" w:sz="0" w:space="0" w:color="auto"/>
        <w:left w:val="none" w:sz="0" w:space="0" w:color="auto"/>
        <w:bottom w:val="none" w:sz="0" w:space="0" w:color="auto"/>
        <w:right w:val="none" w:sz="0" w:space="0" w:color="auto"/>
      </w:divBdr>
      <w:divsChild>
        <w:div w:id="1951007542">
          <w:marLeft w:val="0"/>
          <w:marRight w:val="0"/>
          <w:marTop w:val="0"/>
          <w:marBottom w:val="0"/>
          <w:divBdr>
            <w:top w:val="none" w:sz="0" w:space="0" w:color="auto"/>
            <w:left w:val="none" w:sz="0" w:space="0" w:color="auto"/>
            <w:bottom w:val="none" w:sz="0" w:space="0" w:color="auto"/>
            <w:right w:val="none" w:sz="0" w:space="0" w:color="auto"/>
          </w:divBdr>
          <w:divsChild>
            <w:div w:id="1362630384">
              <w:marLeft w:val="0"/>
              <w:marRight w:val="0"/>
              <w:marTop w:val="0"/>
              <w:marBottom w:val="0"/>
              <w:divBdr>
                <w:top w:val="none" w:sz="0" w:space="0" w:color="auto"/>
                <w:left w:val="none" w:sz="0" w:space="0" w:color="auto"/>
                <w:bottom w:val="none" w:sz="0" w:space="0" w:color="auto"/>
                <w:right w:val="none" w:sz="0" w:space="0" w:color="auto"/>
              </w:divBdr>
              <w:divsChild>
                <w:div w:id="1829058783">
                  <w:marLeft w:val="0"/>
                  <w:marRight w:val="0"/>
                  <w:marTop w:val="0"/>
                  <w:marBottom w:val="0"/>
                  <w:divBdr>
                    <w:top w:val="none" w:sz="0" w:space="0" w:color="auto"/>
                    <w:left w:val="none" w:sz="0" w:space="0" w:color="auto"/>
                    <w:bottom w:val="none" w:sz="0" w:space="0" w:color="auto"/>
                    <w:right w:val="none" w:sz="0" w:space="0" w:color="auto"/>
                  </w:divBdr>
                  <w:divsChild>
                    <w:div w:id="2075544461">
                      <w:marLeft w:val="0"/>
                      <w:marRight w:val="0"/>
                      <w:marTop w:val="0"/>
                      <w:marBottom w:val="0"/>
                      <w:divBdr>
                        <w:top w:val="none" w:sz="0" w:space="0" w:color="auto"/>
                        <w:left w:val="none" w:sz="0" w:space="0" w:color="auto"/>
                        <w:bottom w:val="none" w:sz="0" w:space="0" w:color="auto"/>
                        <w:right w:val="none" w:sz="0" w:space="0" w:color="auto"/>
                      </w:divBdr>
                      <w:divsChild>
                        <w:div w:id="451175898">
                          <w:marLeft w:val="0"/>
                          <w:marRight w:val="0"/>
                          <w:marTop w:val="0"/>
                          <w:marBottom w:val="0"/>
                          <w:divBdr>
                            <w:top w:val="none" w:sz="0" w:space="0" w:color="auto"/>
                            <w:left w:val="none" w:sz="0" w:space="0" w:color="auto"/>
                            <w:bottom w:val="none" w:sz="0" w:space="0" w:color="auto"/>
                            <w:right w:val="none" w:sz="0" w:space="0" w:color="auto"/>
                          </w:divBdr>
                          <w:divsChild>
                            <w:div w:id="1488127594">
                              <w:marLeft w:val="0"/>
                              <w:marRight w:val="0"/>
                              <w:marTop w:val="0"/>
                              <w:marBottom w:val="0"/>
                              <w:divBdr>
                                <w:top w:val="none" w:sz="0" w:space="0" w:color="auto"/>
                                <w:left w:val="none" w:sz="0" w:space="0" w:color="auto"/>
                                <w:bottom w:val="none" w:sz="0" w:space="0" w:color="auto"/>
                                <w:right w:val="none" w:sz="0" w:space="0" w:color="auto"/>
                              </w:divBdr>
                              <w:divsChild>
                                <w:div w:id="1882787086">
                                  <w:marLeft w:val="0"/>
                                  <w:marRight w:val="0"/>
                                  <w:marTop w:val="0"/>
                                  <w:marBottom w:val="0"/>
                                  <w:divBdr>
                                    <w:top w:val="none" w:sz="0" w:space="0" w:color="auto"/>
                                    <w:left w:val="none" w:sz="0" w:space="0" w:color="auto"/>
                                    <w:bottom w:val="none" w:sz="0" w:space="0" w:color="auto"/>
                                    <w:right w:val="none" w:sz="0" w:space="0" w:color="auto"/>
                                  </w:divBdr>
                                  <w:divsChild>
                                    <w:div w:id="1457792996">
                                      <w:marLeft w:val="0"/>
                                      <w:marRight w:val="50"/>
                                      <w:marTop w:val="0"/>
                                      <w:marBottom w:val="0"/>
                                      <w:divBdr>
                                        <w:top w:val="none" w:sz="0" w:space="0" w:color="auto"/>
                                        <w:left w:val="none" w:sz="0" w:space="0" w:color="auto"/>
                                        <w:bottom w:val="none" w:sz="0" w:space="0" w:color="auto"/>
                                        <w:right w:val="none" w:sz="0" w:space="0" w:color="auto"/>
                                      </w:divBdr>
                                      <w:divsChild>
                                        <w:div w:id="1069230806">
                                          <w:marLeft w:val="0"/>
                                          <w:marRight w:val="0"/>
                                          <w:marTop w:val="0"/>
                                          <w:marBottom w:val="0"/>
                                          <w:divBdr>
                                            <w:top w:val="none" w:sz="0" w:space="0" w:color="auto"/>
                                            <w:left w:val="none" w:sz="0" w:space="0" w:color="auto"/>
                                            <w:bottom w:val="none" w:sz="0" w:space="0" w:color="auto"/>
                                            <w:right w:val="none" w:sz="0" w:space="0" w:color="auto"/>
                                          </w:divBdr>
                                          <w:divsChild>
                                            <w:div w:id="1534226098">
                                              <w:marLeft w:val="0"/>
                                              <w:marRight w:val="0"/>
                                              <w:marTop w:val="0"/>
                                              <w:marBottom w:val="100"/>
                                              <w:divBdr>
                                                <w:top w:val="single" w:sz="4" w:space="0" w:color="F5F5F5"/>
                                                <w:left w:val="single" w:sz="4" w:space="0" w:color="F5F5F5"/>
                                                <w:bottom w:val="single" w:sz="4" w:space="0" w:color="F5F5F5"/>
                                                <w:right w:val="single" w:sz="4" w:space="0" w:color="F5F5F5"/>
                                              </w:divBdr>
                                              <w:divsChild>
                                                <w:div w:id="1148286263">
                                                  <w:marLeft w:val="0"/>
                                                  <w:marRight w:val="0"/>
                                                  <w:marTop w:val="0"/>
                                                  <w:marBottom w:val="0"/>
                                                  <w:divBdr>
                                                    <w:top w:val="none" w:sz="0" w:space="0" w:color="auto"/>
                                                    <w:left w:val="none" w:sz="0" w:space="0" w:color="auto"/>
                                                    <w:bottom w:val="none" w:sz="0" w:space="0" w:color="auto"/>
                                                    <w:right w:val="none" w:sz="0" w:space="0" w:color="auto"/>
                                                  </w:divBdr>
                                                  <w:divsChild>
                                                    <w:div w:id="154686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361108">
      <w:bodyDiv w:val="1"/>
      <w:marLeft w:val="0"/>
      <w:marRight w:val="0"/>
      <w:marTop w:val="0"/>
      <w:marBottom w:val="0"/>
      <w:divBdr>
        <w:top w:val="none" w:sz="0" w:space="0" w:color="auto"/>
        <w:left w:val="none" w:sz="0" w:space="0" w:color="auto"/>
        <w:bottom w:val="none" w:sz="0" w:space="0" w:color="auto"/>
        <w:right w:val="none" w:sz="0" w:space="0" w:color="auto"/>
      </w:divBdr>
      <w:divsChild>
        <w:div w:id="161547879">
          <w:marLeft w:val="0"/>
          <w:marRight w:val="0"/>
          <w:marTop w:val="0"/>
          <w:marBottom w:val="0"/>
          <w:divBdr>
            <w:top w:val="none" w:sz="0" w:space="0" w:color="auto"/>
            <w:left w:val="none" w:sz="0" w:space="0" w:color="auto"/>
            <w:bottom w:val="none" w:sz="0" w:space="0" w:color="auto"/>
            <w:right w:val="none" w:sz="0" w:space="0" w:color="auto"/>
          </w:divBdr>
          <w:divsChild>
            <w:div w:id="618148327">
              <w:marLeft w:val="0"/>
              <w:marRight w:val="0"/>
              <w:marTop w:val="0"/>
              <w:marBottom w:val="0"/>
              <w:divBdr>
                <w:top w:val="none" w:sz="0" w:space="0" w:color="auto"/>
                <w:left w:val="none" w:sz="0" w:space="0" w:color="auto"/>
                <w:bottom w:val="none" w:sz="0" w:space="0" w:color="auto"/>
                <w:right w:val="none" w:sz="0" w:space="0" w:color="auto"/>
              </w:divBdr>
              <w:divsChild>
                <w:div w:id="1107501967">
                  <w:marLeft w:val="0"/>
                  <w:marRight w:val="0"/>
                  <w:marTop w:val="0"/>
                  <w:marBottom w:val="0"/>
                  <w:divBdr>
                    <w:top w:val="none" w:sz="0" w:space="0" w:color="auto"/>
                    <w:left w:val="none" w:sz="0" w:space="0" w:color="auto"/>
                    <w:bottom w:val="none" w:sz="0" w:space="0" w:color="auto"/>
                    <w:right w:val="none" w:sz="0" w:space="0" w:color="auto"/>
                  </w:divBdr>
                  <w:divsChild>
                    <w:div w:id="1263997351">
                      <w:marLeft w:val="0"/>
                      <w:marRight w:val="0"/>
                      <w:marTop w:val="0"/>
                      <w:marBottom w:val="0"/>
                      <w:divBdr>
                        <w:top w:val="none" w:sz="0" w:space="0" w:color="auto"/>
                        <w:left w:val="none" w:sz="0" w:space="0" w:color="auto"/>
                        <w:bottom w:val="none" w:sz="0" w:space="0" w:color="auto"/>
                        <w:right w:val="none" w:sz="0" w:space="0" w:color="auto"/>
                      </w:divBdr>
                      <w:divsChild>
                        <w:div w:id="68115808">
                          <w:marLeft w:val="0"/>
                          <w:marRight w:val="0"/>
                          <w:marTop w:val="0"/>
                          <w:marBottom w:val="0"/>
                          <w:divBdr>
                            <w:top w:val="none" w:sz="0" w:space="0" w:color="auto"/>
                            <w:left w:val="none" w:sz="0" w:space="0" w:color="auto"/>
                            <w:bottom w:val="none" w:sz="0" w:space="0" w:color="auto"/>
                            <w:right w:val="none" w:sz="0" w:space="0" w:color="auto"/>
                          </w:divBdr>
                          <w:divsChild>
                            <w:div w:id="17268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212441">
      <w:bodyDiv w:val="1"/>
      <w:marLeft w:val="0"/>
      <w:marRight w:val="0"/>
      <w:marTop w:val="0"/>
      <w:marBottom w:val="0"/>
      <w:divBdr>
        <w:top w:val="none" w:sz="0" w:space="0" w:color="auto"/>
        <w:left w:val="none" w:sz="0" w:space="0" w:color="auto"/>
        <w:bottom w:val="none" w:sz="0" w:space="0" w:color="auto"/>
        <w:right w:val="none" w:sz="0" w:space="0" w:color="auto"/>
      </w:divBdr>
      <w:divsChild>
        <w:div w:id="1319531843">
          <w:marLeft w:val="0"/>
          <w:marRight w:val="0"/>
          <w:marTop w:val="0"/>
          <w:marBottom w:val="180"/>
          <w:divBdr>
            <w:top w:val="single" w:sz="12" w:space="0" w:color="FF3300"/>
            <w:left w:val="none" w:sz="0" w:space="0" w:color="auto"/>
            <w:bottom w:val="none" w:sz="0" w:space="0" w:color="auto"/>
            <w:right w:val="none" w:sz="0" w:space="0" w:color="auto"/>
          </w:divBdr>
          <w:divsChild>
            <w:div w:id="1676297947">
              <w:marLeft w:val="0"/>
              <w:marRight w:val="0"/>
              <w:marTop w:val="0"/>
              <w:marBottom w:val="0"/>
              <w:divBdr>
                <w:top w:val="none" w:sz="0" w:space="0" w:color="auto"/>
                <w:left w:val="none" w:sz="0" w:space="0" w:color="auto"/>
                <w:bottom w:val="none" w:sz="0" w:space="0" w:color="auto"/>
                <w:right w:val="none" w:sz="0" w:space="0" w:color="auto"/>
              </w:divBdr>
              <w:divsChild>
                <w:div w:id="887029842">
                  <w:marLeft w:val="0"/>
                  <w:marRight w:val="0"/>
                  <w:marTop w:val="0"/>
                  <w:marBottom w:val="0"/>
                  <w:divBdr>
                    <w:top w:val="none" w:sz="0" w:space="0" w:color="auto"/>
                    <w:left w:val="none" w:sz="0" w:space="0" w:color="auto"/>
                    <w:bottom w:val="none" w:sz="0" w:space="0" w:color="auto"/>
                    <w:right w:val="none" w:sz="0" w:space="0" w:color="auto"/>
                  </w:divBdr>
                  <w:divsChild>
                    <w:div w:id="1587228536">
                      <w:marLeft w:val="0"/>
                      <w:marRight w:val="-3871"/>
                      <w:marTop w:val="0"/>
                      <w:marBottom w:val="0"/>
                      <w:divBdr>
                        <w:top w:val="none" w:sz="0" w:space="0" w:color="auto"/>
                        <w:left w:val="none" w:sz="0" w:space="0" w:color="auto"/>
                        <w:bottom w:val="none" w:sz="0" w:space="0" w:color="auto"/>
                        <w:right w:val="none" w:sz="0" w:space="0" w:color="auto"/>
                      </w:divBdr>
                      <w:divsChild>
                        <w:div w:id="184028477">
                          <w:marLeft w:val="0"/>
                          <w:marRight w:val="0"/>
                          <w:marTop w:val="360"/>
                          <w:marBottom w:val="360"/>
                          <w:divBdr>
                            <w:top w:val="none" w:sz="0" w:space="0" w:color="auto"/>
                            <w:left w:val="none" w:sz="0" w:space="0" w:color="auto"/>
                            <w:bottom w:val="none" w:sz="0" w:space="0" w:color="auto"/>
                            <w:right w:val="none" w:sz="0" w:space="0" w:color="auto"/>
                          </w:divBdr>
                          <w:divsChild>
                            <w:div w:id="5587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81122">
      <w:bodyDiv w:val="1"/>
      <w:marLeft w:val="0"/>
      <w:marRight w:val="0"/>
      <w:marTop w:val="0"/>
      <w:marBottom w:val="0"/>
      <w:divBdr>
        <w:top w:val="none" w:sz="0" w:space="0" w:color="auto"/>
        <w:left w:val="none" w:sz="0" w:space="0" w:color="auto"/>
        <w:bottom w:val="none" w:sz="0" w:space="0" w:color="auto"/>
        <w:right w:val="none" w:sz="0" w:space="0" w:color="auto"/>
      </w:divBdr>
      <w:divsChild>
        <w:div w:id="1548030445">
          <w:marLeft w:val="0"/>
          <w:marRight w:val="0"/>
          <w:marTop w:val="0"/>
          <w:marBottom w:val="0"/>
          <w:divBdr>
            <w:top w:val="none" w:sz="0" w:space="0" w:color="auto"/>
            <w:left w:val="none" w:sz="0" w:space="0" w:color="auto"/>
            <w:bottom w:val="none" w:sz="0" w:space="0" w:color="auto"/>
            <w:right w:val="none" w:sz="0" w:space="0" w:color="auto"/>
          </w:divBdr>
        </w:div>
      </w:divsChild>
    </w:div>
    <w:div w:id="949239101">
      <w:bodyDiv w:val="1"/>
      <w:marLeft w:val="0"/>
      <w:marRight w:val="0"/>
      <w:marTop w:val="0"/>
      <w:marBottom w:val="0"/>
      <w:divBdr>
        <w:top w:val="none" w:sz="0" w:space="0" w:color="auto"/>
        <w:left w:val="none" w:sz="0" w:space="0" w:color="auto"/>
        <w:bottom w:val="none" w:sz="0" w:space="0" w:color="auto"/>
        <w:right w:val="none" w:sz="0" w:space="0" w:color="auto"/>
      </w:divBdr>
      <w:divsChild>
        <w:div w:id="1229146467">
          <w:marLeft w:val="0"/>
          <w:marRight w:val="0"/>
          <w:marTop w:val="0"/>
          <w:marBottom w:val="0"/>
          <w:divBdr>
            <w:top w:val="none" w:sz="0" w:space="0" w:color="auto"/>
            <w:left w:val="none" w:sz="0" w:space="0" w:color="auto"/>
            <w:bottom w:val="none" w:sz="0" w:space="0" w:color="auto"/>
            <w:right w:val="none" w:sz="0" w:space="0" w:color="auto"/>
          </w:divBdr>
          <w:divsChild>
            <w:div w:id="474025270">
              <w:marLeft w:val="0"/>
              <w:marRight w:val="0"/>
              <w:marTop w:val="630"/>
              <w:marBottom w:val="0"/>
              <w:divBdr>
                <w:top w:val="single" w:sz="12" w:space="0" w:color="EBEFF9"/>
                <w:left w:val="none" w:sz="0" w:space="0" w:color="auto"/>
                <w:bottom w:val="none" w:sz="0" w:space="0" w:color="auto"/>
                <w:right w:val="none" w:sz="0" w:space="0" w:color="auto"/>
              </w:divBdr>
              <w:divsChild>
                <w:div w:id="1893804643">
                  <w:marLeft w:val="0"/>
                  <w:marRight w:val="0"/>
                  <w:marTop w:val="0"/>
                  <w:marBottom w:val="0"/>
                  <w:divBdr>
                    <w:top w:val="none" w:sz="0" w:space="0" w:color="auto"/>
                    <w:left w:val="none" w:sz="0" w:space="0" w:color="auto"/>
                    <w:bottom w:val="none" w:sz="0" w:space="0" w:color="auto"/>
                    <w:right w:val="none" w:sz="0" w:space="0" w:color="auto"/>
                  </w:divBdr>
                  <w:divsChild>
                    <w:div w:id="1082146136">
                      <w:marLeft w:val="0"/>
                      <w:marRight w:val="150"/>
                      <w:marTop w:val="0"/>
                      <w:marBottom w:val="90"/>
                      <w:divBdr>
                        <w:top w:val="none" w:sz="0" w:space="0" w:color="auto"/>
                        <w:left w:val="none" w:sz="0" w:space="0" w:color="auto"/>
                        <w:bottom w:val="none" w:sz="0" w:space="0" w:color="auto"/>
                        <w:right w:val="none" w:sz="0" w:space="0" w:color="auto"/>
                      </w:divBdr>
                      <w:divsChild>
                        <w:div w:id="14594480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51284744">
      <w:bodyDiv w:val="1"/>
      <w:marLeft w:val="0"/>
      <w:marRight w:val="0"/>
      <w:marTop w:val="0"/>
      <w:marBottom w:val="0"/>
      <w:divBdr>
        <w:top w:val="none" w:sz="0" w:space="0" w:color="auto"/>
        <w:left w:val="none" w:sz="0" w:space="0" w:color="auto"/>
        <w:bottom w:val="none" w:sz="0" w:space="0" w:color="auto"/>
        <w:right w:val="none" w:sz="0" w:space="0" w:color="auto"/>
      </w:divBdr>
    </w:div>
    <w:div w:id="974795302">
      <w:bodyDiv w:val="1"/>
      <w:marLeft w:val="0"/>
      <w:marRight w:val="0"/>
      <w:marTop w:val="0"/>
      <w:marBottom w:val="0"/>
      <w:divBdr>
        <w:top w:val="none" w:sz="0" w:space="0" w:color="auto"/>
        <w:left w:val="none" w:sz="0" w:space="0" w:color="auto"/>
        <w:bottom w:val="none" w:sz="0" w:space="0" w:color="auto"/>
        <w:right w:val="none" w:sz="0" w:space="0" w:color="auto"/>
      </w:divBdr>
      <w:divsChild>
        <w:div w:id="283654706">
          <w:marLeft w:val="0"/>
          <w:marRight w:val="0"/>
          <w:marTop w:val="0"/>
          <w:marBottom w:val="0"/>
          <w:divBdr>
            <w:top w:val="none" w:sz="0" w:space="0" w:color="auto"/>
            <w:left w:val="none" w:sz="0" w:space="0" w:color="auto"/>
            <w:bottom w:val="none" w:sz="0" w:space="0" w:color="auto"/>
            <w:right w:val="none" w:sz="0" w:space="0" w:color="auto"/>
          </w:divBdr>
        </w:div>
      </w:divsChild>
    </w:div>
    <w:div w:id="989403772">
      <w:bodyDiv w:val="1"/>
      <w:marLeft w:val="0"/>
      <w:marRight w:val="0"/>
      <w:marTop w:val="0"/>
      <w:marBottom w:val="0"/>
      <w:divBdr>
        <w:top w:val="none" w:sz="0" w:space="0" w:color="auto"/>
        <w:left w:val="none" w:sz="0" w:space="0" w:color="auto"/>
        <w:bottom w:val="none" w:sz="0" w:space="0" w:color="auto"/>
        <w:right w:val="none" w:sz="0" w:space="0" w:color="auto"/>
      </w:divBdr>
      <w:divsChild>
        <w:div w:id="2051227647">
          <w:marLeft w:val="0"/>
          <w:marRight w:val="0"/>
          <w:marTop w:val="0"/>
          <w:marBottom w:val="0"/>
          <w:divBdr>
            <w:top w:val="none" w:sz="0" w:space="0" w:color="auto"/>
            <w:left w:val="none" w:sz="0" w:space="0" w:color="auto"/>
            <w:bottom w:val="none" w:sz="0" w:space="0" w:color="auto"/>
            <w:right w:val="none" w:sz="0" w:space="0" w:color="auto"/>
          </w:divBdr>
          <w:divsChild>
            <w:div w:id="122122741">
              <w:marLeft w:val="0"/>
              <w:marRight w:val="0"/>
              <w:marTop w:val="0"/>
              <w:marBottom w:val="0"/>
              <w:divBdr>
                <w:top w:val="none" w:sz="0" w:space="0" w:color="auto"/>
                <w:left w:val="none" w:sz="0" w:space="0" w:color="auto"/>
                <w:bottom w:val="none" w:sz="0" w:space="0" w:color="auto"/>
                <w:right w:val="none" w:sz="0" w:space="0" w:color="auto"/>
              </w:divBdr>
              <w:divsChild>
                <w:div w:id="1707288886">
                  <w:marLeft w:val="0"/>
                  <w:marRight w:val="0"/>
                  <w:marTop w:val="0"/>
                  <w:marBottom w:val="0"/>
                  <w:divBdr>
                    <w:top w:val="none" w:sz="0" w:space="0" w:color="auto"/>
                    <w:left w:val="none" w:sz="0" w:space="0" w:color="auto"/>
                    <w:bottom w:val="none" w:sz="0" w:space="0" w:color="auto"/>
                    <w:right w:val="none" w:sz="0" w:space="0" w:color="auto"/>
                  </w:divBdr>
                  <w:divsChild>
                    <w:div w:id="1949267655">
                      <w:marLeft w:val="0"/>
                      <w:marRight w:val="0"/>
                      <w:marTop w:val="0"/>
                      <w:marBottom w:val="0"/>
                      <w:divBdr>
                        <w:top w:val="none" w:sz="0" w:space="0" w:color="auto"/>
                        <w:left w:val="none" w:sz="0" w:space="0" w:color="auto"/>
                        <w:bottom w:val="none" w:sz="0" w:space="0" w:color="auto"/>
                        <w:right w:val="none" w:sz="0" w:space="0" w:color="auto"/>
                      </w:divBdr>
                      <w:divsChild>
                        <w:div w:id="832792266">
                          <w:marLeft w:val="0"/>
                          <w:marRight w:val="0"/>
                          <w:marTop w:val="0"/>
                          <w:marBottom w:val="0"/>
                          <w:divBdr>
                            <w:top w:val="none" w:sz="0" w:space="0" w:color="auto"/>
                            <w:left w:val="none" w:sz="0" w:space="0" w:color="auto"/>
                            <w:bottom w:val="none" w:sz="0" w:space="0" w:color="auto"/>
                            <w:right w:val="none" w:sz="0" w:space="0" w:color="auto"/>
                          </w:divBdr>
                          <w:divsChild>
                            <w:div w:id="820317139">
                              <w:marLeft w:val="0"/>
                              <w:marRight w:val="0"/>
                              <w:marTop w:val="0"/>
                              <w:marBottom w:val="0"/>
                              <w:divBdr>
                                <w:top w:val="none" w:sz="0" w:space="0" w:color="auto"/>
                                <w:left w:val="none" w:sz="0" w:space="0" w:color="auto"/>
                                <w:bottom w:val="none" w:sz="0" w:space="0" w:color="auto"/>
                                <w:right w:val="none" w:sz="0" w:space="0" w:color="auto"/>
                              </w:divBdr>
                              <w:divsChild>
                                <w:div w:id="54473723">
                                  <w:marLeft w:val="0"/>
                                  <w:marRight w:val="0"/>
                                  <w:marTop w:val="0"/>
                                  <w:marBottom w:val="0"/>
                                  <w:divBdr>
                                    <w:top w:val="none" w:sz="0" w:space="0" w:color="auto"/>
                                    <w:left w:val="none" w:sz="0" w:space="0" w:color="auto"/>
                                    <w:bottom w:val="none" w:sz="0" w:space="0" w:color="auto"/>
                                    <w:right w:val="none" w:sz="0" w:space="0" w:color="auto"/>
                                  </w:divBdr>
                                  <w:divsChild>
                                    <w:div w:id="358362799">
                                      <w:marLeft w:val="0"/>
                                      <w:marRight w:val="50"/>
                                      <w:marTop w:val="0"/>
                                      <w:marBottom w:val="0"/>
                                      <w:divBdr>
                                        <w:top w:val="none" w:sz="0" w:space="0" w:color="auto"/>
                                        <w:left w:val="none" w:sz="0" w:space="0" w:color="auto"/>
                                        <w:bottom w:val="none" w:sz="0" w:space="0" w:color="auto"/>
                                        <w:right w:val="none" w:sz="0" w:space="0" w:color="auto"/>
                                      </w:divBdr>
                                      <w:divsChild>
                                        <w:div w:id="1594318205">
                                          <w:marLeft w:val="0"/>
                                          <w:marRight w:val="0"/>
                                          <w:marTop w:val="0"/>
                                          <w:marBottom w:val="0"/>
                                          <w:divBdr>
                                            <w:top w:val="none" w:sz="0" w:space="0" w:color="auto"/>
                                            <w:left w:val="none" w:sz="0" w:space="0" w:color="auto"/>
                                            <w:bottom w:val="none" w:sz="0" w:space="0" w:color="auto"/>
                                            <w:right w:val="none" w:sz="0" w:space="0" w:color="auto"/>
                                          </w:divBdr>
                                          <w:divsChild>
                                            <w:div w:id="82578692">
                                              <w:marLeft w:val="0"/>
                                              <w:marRight w:val="0"/>
                                              <w:marTop w:val="0"/>
                                              <w:marBottom w:val="100"/>
                                              <w:divBdr>
                                                <w:top w:val="single" w:sz="4" w:space="0" w:color="F5F5F5"/>
                                                <w:left w:val="single" w:sz="4" w:space="0" w:color="F5F5F5"/>
                                                <w:bottom w:val="single" w:sz="4" w:space="0" w:color="F5F5F5"/>
                                                <w:right w:val="single" w:sz="4" w:space="0" w:color="F5F5F5"/>
                                              </w:divBdr>
                                              <w:divsChild>
                                                <w:div w:id="956451922">
                                                  <w:marLeft w:val="0"/>
                                                  <w:marRight w:val="0"/>
                                                  <w:marTop w:val="0"/>
                                                  <w:marBottom w:val="0"/>
                                                  <w:divBdr>
                                                    <w:top w:val="none" w:sz="0" w:space="0" w:color="auto"/>
                                                    <w:left w:val="none" w:sz="0" w:space="0" w:color="auto"/>
                                                    <w:bottom w:val="none" w:sz="0" w:space="0" w:color="auto"/>
                                                    <w:right w:val="none" w:sz="0" w:space="0" w:color="auto"/>
                                                  </w:divBdr>
                                                  <w:divsChild>
                                                    <w:div w:id="16059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4561850">
      <w:bodyDiv w:val="1"/>
      <w:marLeft w:val="0"/>
      <w:marRight w:val="0"/>
      <w:marTop w:val="0"/>
      <w:marBottom w:val="0"/>
      <w:divBdr>
        <w:top w:val="none" w:sz="0" w:space="0" w:color="auto"/>
        <w:left w:val="none" w:sz="0" w:space="0" w:color="auto"/>
        <w:bottom w:val="none" w:sz="0" w:space="0" w:color="auto"/>
        <w:right w:val="none" w:sz="0" w:space="0" w:color="auto"/>
      </w:divBdr>
      <w:divsChild>
        <w:div w:id="488988080">
          <w:marLeft w:val="0"/>
          <w:marRight w:val="0"/>
          <w:marTop w:val="0"/>
          <w:marBottom w:val="0"/>
          <w:divBdr>
            <w:top w:val="none" w:sz="0" w:space="0" w:color="auto"/>
            <w:left w:val="none" w:sz="0" w:space="0" w:color="auto"/>
            <w:bottom w:val="none" w:sz="0" w:space="0" w:color="auto"/>
            <w:right w:val="none" w:sz="0" w:space="0" w:color="auto"/>
          </w:divBdr>
          <w:divsChild>
            <w:div w:id="1002003016">
              <w:marLeft w:val="0"/>
              <w:marRight w:val="0"/>
              <w:marTop w:val="0"/>
              <w:marBottom w:val="0"/>
              <w:divBdr>
                <w:top w:val="none" w:sz="0" w:space="0" w:color="auto"/>
                <w:left w:val="none" w:sz="0" w:space="0" w:color="auto"/>
                <w:bottom w:val="none" w:sz="0" w:space="0" w:color="auto"/>
                <w:right w:val="none" w:sz="0" w:space="0" w:color="auto"/>
              </w:divBdr>
              <w:divsChild>
                <w:div w:id="1934700125">
                  <w:marLeft w:val="0"/>
                  <w:marRight w:val="0"/>
                  <w:marTop w:val="0"/>
                  <w:marBottom w:val="0"/>
                  <w:divBdr>
                    <w:top w:val="none" w:sz="0" w:space="0" w:color="auto"/>
                    <w:left w:val="none" w:sz="0" w:space="0" w:color="auto"/>
                    <w:bottom w:val="none" w:sz="0" w:space="0" w:color="auto"/>
                    <w:right w:val="none" w:sz="0" w:space="0" w:color="auto"/>
                  </w:divBdr>
                  <w:divsChild>
                    <w:div w:id="351566993">
                      <w:marLeft w:val="0"/>
                      <w:marRight w:val="0"/>
                      <w:marTop w:val="0"/>
                      <w:marBottom w:val="0"/>
                      <w:divBdr>
                        <w:top w:val="none" w:sz="0" w:space="0" w:color="auto"/>
                        <w:left w:val="none" w:sz="0" w:space="0" w:color="auto"/>
                        <w:bottom w:val="none" w:sz="0" w:space="0" w:color="auto"/>
                        <w:right w:val="none" w:sz="0" w:space="0" w:color="auto"/>
                      </w:divBdr>
                      <w:divsChild>
                        <w:div w:id="816645878">
                          <w:marLeft w:val="0"/>
                          <w:marRight w:val="0"/>
                          <w:marTop w:val="0"/>
                          <w:marBottom w:val="0"/>
                          <w:divBdr>
                            <w:top w:val="none" w:sz="0" w:space="0" w:color="auto"/>
                            <w:left w:val="none" w:sz="0" w:space="0" w:color="auto"/>
                            <w:bottom w:val="none" w:sz="0" w:space="0" w:color="auto"/>
                            <w:right w:val="none" w:sz="0" w:space="0" w:color="auto"/>
                          </w:divBdr>
                          <w:divsChild>
                            <w:div w:id="1315328714">
                              <w:marLeft w:val="0"/>
                              <w:marRight w:val="0"/>
                              <w:marTop w:val="0"/>
                              <w:marBottom w:val="0"/>
                              <w:divBdr>
                                <w:top w:val="none" w:sz="0" w:space="0" w:color="auto"/>
                                <w:left w:val="none" w:sz="0" w:space="0" w:color="auto"/>
                                <w:bottom w:val="none" w:sz="0" w:space="0" w:color="auto"/>
                                <w:right w:val="none" w:sz="0" w:space="0" w:color="auto"/>
                              </w:divBdr>
                              <w:divsChild>
                                <w:div w:id="883492686">
                                  <w:marLeft w:val="0"/>
                                  <w:marRight w:val="0"/>
                                  <w:marTop w:val="0"/>
                                  <w:marBottom w:val="0"/>
                                  <w:divBdr>
                                    <w:top w:val="none" w:sz="0" w:space="0" w:color="auto"/>
                                    <w:left w:val="none" w:sz="0" w:space="0" w:color="auto"/>
                                    <w:bottom w:val="none" w:sz="0" w:space="0" w:color="auto"/>
                                    <w:right w:val="none" w:sz="0" w:space="0" w:color="auto"/>
                                  </w:divBdr>
                                  <w:divsChild>
                                    <w:div w:id="1621688928">
                                      <w:marLeft w:val="0"/>
                                      <w:marRight w:val="50"/>
                                      <w:marTop w:val="0"/>
                                      <w:marBottom w:val="0"/>
                                      <w:divBdr>
                                        <w:top w:val="none" w:sz="0" w:space="0" w:color="auto"/>
                                        <w:left w:val="none" w:sz="0" w:space="0" w:color="auto"/>
                                        <w:bottom w:val="none" w:sz="0" w:space="0" w:color="auto"/>
                                        <w:right w:val="none" w:sz="0" w:space="0" w:color="auto"/>
                                      </w:divBdr>
                                      <w:divsChild>
                                        <w:div w:id="269053322">
                                          <w:marLeft w:val="0"/>
                                          <w:marRight w:val="0"/>
                                          <w:marTop w:val="0"/>
                                          <w:marBottom w:val="0"/>
                                          <w:divBdr>
                                            <w:top w:val="none" w:sz="0" w:space="0" w:color="auto"/>
                                            <w:left w:val="none" w:sz="0" w:space="0" w:color="auto"/>
                                            <w:bottom w:val="none" w:sz="0" w:space="0" w:color="auto"/>
                                            <w:right w:val="none" w:sz="0" w:space="0" w:color="auto"/>
                                          </w:divBdr>
                                          <w:divsChild>
                                            <w:div w:id="184443915">
                                              <w:marLeft w:val="0"/>
                                              <w:marRight w:val="0"/>
                                              <w:marTop w:val="0"/>
                                              <w:marBottom w:val="100"/>
                                              <w:divBdr>
                                                <w:top w:val="single" w:sz="4" w:space="0" w:color="F5F5F5"/>
                                                <w:left w:val="single" w:sz="4" w:space="0" w:color="F5F5F5"/>
                                                <w:bottom w:val="single" w:sz="4" w:space="0" w:color="F5F5F5"/>
                                                <w:right w:val="single" w:sz="4" w:space="0" w:color="F5F5F5"/>
                                              </w:divBdr>
                                              <w:divsChild>
                                                <w:div w:id="219563543">
                                                  <w:marLeft w:val="0"/>
                                                  <w:marRight w:val="0"/>
                                                  <w:marTop w:val="0"/>
                                                  <w:marBottom w:val="0"/>
                                                  <w:divBdr>
                                                    <w:top w:val="none" w:sz="0" w:space="0" w:color="auto"/>
                                                    <w:left w:val="none" w:sz="0" w:space="0" w:color="auto"/>
                                                    <w:bottom w:val="none" w:sz="0" w:space="0" w:color="auto"/>
                                                    <w:right w:val="none" w:sz="0" w:space="0" w:color="auto"/>
                                                  </w:divBdr>
                                                  <w:divsChild>
                                                    <w:div w:id="12801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149553">
      <w:bodyDiv w:val="1"/>
      <w:marLeft w:val="0"/>
      <w:marRight w:val="0"/>
      <w:marTop w:val="0"/>
      <w:marBottom w:val="0"/>
      <w:divBdr>
        <w:top w:val="none" w:sz="0" w:space="0" w:color="auto"/>
        <w:left w:val="none" w:sz="0" w:space="0" w:color="auto"/>
        <w:bottom w:val="none" w:sz="0" w:space="0" w:color="auto"/>
        <w:right w:val="none" w:sz="0" w:space="0" w:color="auto"/>
      </w:divBdr>
      <w:divsChild>
        <w:div w:id="1699429038">
          <w:marLeft w:val="0"/>
          <w:marRight w:val="0"/>
          <w:marTop w:val="0"/>
          <w:marBottom w:val="0"/>
          <w:divBdr>
            <w:top w:val="none" w:sz="0" w:space="0" w:color="auto"/>
            <w:left w:val="none" w:sz="0" w:space="0" w:color="auto"/>
            <w:bottom w:val="none" w:sz="0" w:space="0" w:color="auto"/>
            <w:right w:val="none" w:sz="0" w:space="0" w:color="auto"/>
          </w:divBdr>
        </w:div>
      </w:divsChild>
    </w:div>
    <w:div w:id="1238245057">
      <w:bodyDiv w:val="1"/>
      <w:marLeft w:val="0"/>
      <w:marRight w:val="0"/>
      <w:marTop w:val="0"/>
      <w:marBottom w:val="0"/>
      <w:divBdr>
        <w:top w:val="none" w:sz="0" w:space="0" w:color="auto"/>
        <w:left w:val="none" w:sz="0" w:space="0" w:color="auto"/>
        <w:bottom w:val="none" w:sz="0" w:space="0" w:color="auto"/>
        <w:right w:val="none" w:sz="0" w:space="0" w:color="auto"/>
      </w:divBdr>
    </w:div>
    <w:div w:id="1246723695">
      <w:bodyDiv w:val="1"/>
      <w:marLeft w:val="0"/>
      <w:marRight w:val="0"/>
      <w:marTop w:val="0"/>
      <w:marBottom w:val="0"/>
      <w:divBdr>
        <w:top w:val="none" w:sz="0" w:space="0" w:color="auto"/>
        <w:left w:val="none" w:sz="0" w:space="0" w:color="auto"/>
        <w:bottom w:val="none" w:sz="0" w:space="0" w:color="auto"/>
        <w:right w:val="none" w:sz="0" w:space="0" w:color="auto"/>
      </w:divBdr>
      <w:divsChild>
        <w:div w:id="2036878737">
          <w:marLeft w:val="0"/>
          <w:marRight w:val="0"/>
          <w:marTop w:val="0"/>
          <w:marBottom w:val="0"/>
          <w:divBdr>
            <w:top w:val="none" w:sz="0" w:space="0" w:color="auto"/>
            <w:left w:val="none" w:sz="0" w:space="0" w:color="auto"/>
            <w:bottom w:val="none" w:sz="0" w:space="0" w:color="auto"/>
            <w:right w:val="none" w:sz="0" w:space="0" w:color="auto"/>
          </w:divBdr>
          <w:divsChild>
            <w:div w:id="2143183235">
              <w:marLeft w:val="0"/>
              <w:marRight w:val="0"/>
              <w:marTop w:val="0"/>
              <w:marBottom w:val="0"/>
              <w:divBdr>
                <w:top w:val="none" w:sz="0" w:space="0" w:color="auto"/>
                <w:left w:val="none" w:sz="0" w:space="0" w:color="auto"/>
                <w:bottom w:val="none" w:sz="0" w:space="0" w:color="auto"/>
                <w:right w:val="none" w:sz="0" w:space="0" w:color="auto"/>
              </w:divBdr>
              <w:divsChild>
                <w:div w:id="2001230904">
                  <w:marLeft w:val="0"/>
                  <w:marRight w:val="0"/>
                  <w:marTop w:val="0"/>
                  <w:marBottom w:val="0"/>
                  <w:divBdr>
                    <w:top w:val="none" w:sz="0" w:space="0" w:color="auto"/>
                    <w:left w:val="none" w:sz="0" w:space="0" w:color="auto"/>
                    <w:bottom w:val="none" w:sz="0" w:space="0" w:color="auto"/>
                    <w:right w:val="none" w:sz="0" w:space="0" w:color="auto"/>
                  </w:divBdr>
                  <w:divsChild>
                    <w:div w:id="1824733501">
                      <w:marLeft w:val="0"/>
                      <w:marRight w:val="0"/>
                      <w:marTop w:val="0"/>
                      <w:marBottom w:val="0"/>
                      <w:divBdr>
                        <w:top w:val="none" w:sz="0" w:space="0" w:color="auto"/>
                        <w:left w:val="none" w:sz="0" w:space="0" w:color="auto"/>
                        <w:bottom w:val="none" w:sz="0" w:space="0" w:color="auto"/>
                        <w:right w:val="none" w:sz="0" w:space="0" w:color="auto"/>
                      </w:divBdr>
                      <w:divsChild>
                        <w:div w:id="857230811">
                          <w:marLeft w:val="0"/>
                          <w:marRight w:val="0"/>
                          <w:marTop w:val="0"/>
                          <w:marBottom w:val="0"/>
                          <w:divBdr>
                            <w:top w:val="none" w:sz="0" w:space="0" w:color="auto"/>
                            <w:left w:val="none" w:sz="0" w:space="0" w:color="auto"/>
                            <w:bottom w:val="none" w:sz="0" w:space="0" w:color="auto"/>
                            <w:right w:val="none" w:sz="0" w:space="0" w:color="auto"/>
                          </w:divBdr>
                          <w:divsChild>
                            <w:div w:id="621807991">
                              <w:marLeft w:val="0"/>
                              <w:marRight w:val="0"/>
                              <w:marTop w:val="0"/>
                              <w:marBottom w:val="0"/>
                              <w:divBdr>
                                <w:top w:val="none" w:sz="0" w:space="0" w:color="auto"/>
                                <w:left w:val="none" w:sz="0" w:space="0" w:color="auto"/>
                                <w:bottom w:val="none" w:sz="0" w:space="0" w:color="auto"/>
                                <w:right w:val="none" w:sz="0" w:space="0" w:color="auto"/>
                              </w:divBdr>
                              <w:divsChild>
                                <w:div w:id="294915357">
                                  <w:marLeft w:val="0"/>
                                  <w:marRight w:val="0"/>
                                  <w:marTop w:val="0"/>
                                  <w:marBottom w:val="0"/>
                                  <w:divBdr>
                                    <w:top w:val="none" w:sz="0" w:space="0" w:color="auto"/>
                                    <w:left w:val="none" w:sz="0" w:space="0" w:color="auto"/>
                                    <w:bottom w:val="none" w:sz="0" w:space="0" w:color="auto"/>
                                    <w:right w:val="none" w:sz="0" w:space="0" w:color="auto"/>
                                  </w:divBdr>
                                  <w:divsChild>
                                    <w:div w:id="291910413">
                                      <w:marLeft w:val="0"/>
                                      <w:marRight w:val="50"/>
                                      <w:marTop w:val="0"/>
                                      <w:marBottom w:val="0"/>
                                      <w:divBdr>
                                        <w:top w:val="none" w:sz="0" w:space="0" w:color="auto"/>
                                        <w:left w:val="none" w:sz="0" w:space="0" w:color="auto"/>
                                        <w:bottom w:val="none" w:sz="0" w:space="0" w:color="auto"/>
                                        <w:right w:val="none" w:sz="0" w:space="0" w:color="auto"/>
                                      </w:divBdr>
                                      <w:divsChild>
                                        <w:div w:id="628828704">
                                          <w:marLeft w:val="0"/>
                                          <w:marRight w:val="0"/>
                                          <w:marTop w:val="0"/>
                                          <w:marBottom w:val="0"/>
                                          <w:divBdr>
                                            <w:top w:val="none" w:sz="0" w:space="0" w:color="auto"/>
                                            <w:left w:val="none" w:sz="0" w:space="0" w:color="auto"/>
                                            <w:bottom w:val="none" w:sz="0" w:space="0" w:color="auto"/>
                                            <w:right w:val="none" w:sz="0" w:space="0" w:color="auto"/>
                                          </w:divBdr>
                                          <w:divsChild>
                                            <w:div w:id="1289778572">
                                              <w:marLeft w:val="0"/>
                                              <w:marRight w:val="0"/>
                                              <w:marTop w:val="0"/>
                                              <w:marBottom w:val="100"/>
                                              <w:divBdr>
                                                <w:top w:val="single" w:sz="4" w:space="0" w:color="F5F5F5"/>
                                                <w:left w:val="single" w:sz="4" w:space="0" w:color="F5F5F5"/>
                                                <w:bottom w:val="single" w:sz="4" w:space="0" w:color="F5F5F5"/>
                                                <w:right w:val="single" w:sz="4" w:space="0" w:color="F5F5F5"/>
                                              </w:divBdr>
                                              <w:divsChild>
                                                <w:div w:id="1402676582">
                                                  <w:marLeft w:val="0"/>
                                                  <w:marRight w:val="0"/>
                                                  <w:marTop w:val="0"/>
                                                  <w:marBottom w:val="0"/>
                                                  <w:divBdr>
                                                    <w:top w:val="none" w:sz="0" w:space="0" w:color="auto"/>
                                                    <w:left w:val="none" w:sz="0" w:space="0" w:color="auto"/>
                                                    <w:bottom w:val="none" w:sz="0" w:space="0" w:color="auto"/>
                                                    <w:right w:val="none" w:sz="0" w:space="0" w:color="auto"/>
                                                  </w:divBdr>
                                                  <w:divsChild>
                                                    <w:div w:id="6132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86">
      <w:bodyDiv w:val="1"/>
      <w:marLeft w:val="0"/>
      <w:marRight w:val="0"/>
      <w:marTop w:val="0"/>
      <w:marBottom w:val="0"/>
      <w:divBdr>
        <w:top w:val="none" w:sz="0" w:space="0" w:color="auto"/>
        <w:left w:val="none" w:sz="0" w:space="0" w:color="auto"/>
        <w:bottom w:val="none" w:sz="0" w:space="0" w:color="auto"/>
        <w:right w:val="none" w:sz="0" w:space="0" w:color="auto"/>
      </w:divBdr>
    </w:div>
    <w:div w:id="1437752086">
      <w:bodyDiv w:val="1"/>
      <w:marLeft w:val="0"/>
      <w:marRight w:val="0"/>
      <w:marTop w:val="0"/>
      <w:marBottom w:val="0"/>
      <w:divBdr>
        <w:top w:val="none" w:sz="0" w:space="0" w:color="auto"/>
        <w:left w:val="none" w:sz="0" w:space="0" w:color="auto"/>
        <w:bottom w:val="none" w:sz="0" w:space="0" w:color="auto"/>
        <w:right w:val="none" w:sz="0" w:space="0" w:color="auto"/>
      </w:divBdr>
      <w:divsChild>
        <w:div w:id="653725152">
          <w:marLeft w:val="0"/>
          <w:marRight w:val="0"/>
          <w:marTop w:val="0"/>
          <w:marBottom w:val="0"/>
          <w:divBdr>
            <w:top w:val="none" w:sz="0" w:space="0" w:color="auto"/>
            <w:left w:val="none" w:sz="0" w:space="0" w:color="auto"/>
            <w:bottom w:val="none" w:sz="0" w:space="0" w:color="auto"/>
            <w:right w:val="none" w:sz="0" w:space="0" w:color="auto"/>
          </w:divBdr>
          <w:divsChild>
            <w:div w:id="2111196523">
              <w:marLeft w:val="0"/>
              <w:marRight w:val="0"/>
              <w:marTop w:val="0"/>
              <w:marBottom w:val="0"/>
              <w:divBdr>
                <w:top w:val="none" w:sz="0" w:space="0" w:color="auto"/>
                <w:left w:val="none" w:sz="0" w:space="0" w:color="auto"/>
                <w:bottom w:val="none" w:sz="0" w:space="0" w:color="auto"/>
                <w:right w:val="none" w:sz="0" w:space="0" w:color="auto"/>
              </w:divBdr>
              <w:divsChild>
                <w:div w:id="1331250925">
                  <w:marLeft w:val="0"/>
                  <w:marRight w:val="0"/>
                  <w:marTop w:val="0"/>
                  <w:marBottom w:val="0"/>
                  <w:divBdr>
                    <w:top w:val="none" w:sz="0" w:space="0" w:color="auto"/>
                    <w:left w:val="none" w:sz="0" w:space="0" w:color="auto"/>
                    <w:bottom w:val="none" w:sz="0" w:space="0" w:color="auto"/>
                    <w:right w:val="none" w:sz="0" w:space="0" w:color="auto"/>
                  </w:divBdr>
                  <w:divsChild>
                    <w:div w:id="1950968514">
                      <w:marLeft w:val="0"/>
                      <w:marRight w:val="0"/>
                      <w:marTop w:val="0"/>
                      <w:marBottom w:val="0"/>
                      <w:divBdr>
                        <w:top w:val="none" w:sz="0" w:space="0" w:color="auto"/>
                        <w:left w:val="none" w:sz="0" w:space="0" w:color="auto"/>
                        <w:bottom w:val="none" w:sz="0" w:space="0" w:color="auto"/>
                        <w:right w:val="none" w:sz="0" w:space="0" w:color="auto"/>
                      </w:divBdr>
                      <w:divsChild>
                        <w:div w:id="805783864">
                          <w:marLeft w:val="0"/>
                          <w:marRight w:val="0"/>
                          <w:marTop w:val="0"/>
                          <w:marBottom w:val="0"/>
                          <w:divBdr>
                            <w:top w:val="none" w:sz="0" w:space="0" w:color="auto"/>
                            <w:left w:val="none" w:sz="0" w:space="0" w:color="auto"/>
                            <w:bottom w:val="none" w:sz="0" w:space="0" w:color="auto"/>
                            <w:right w:val="none" w:sz="0" w:space="0" w:color="auto"/>
                          </w:divBdr>
                          <w:divsChild>
                            <w:div w:id="7029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573115">
      <w:bodyDiv w:val="1"/>
      <w:marLeft w:val="0"/>
      <w:marRight w:val="0"/>
      <w:marTop w:val="0"/>
      <w:marBottom w:val="0"/>
      <w:divBdr>
        <w:top w:val="none" w:sz="0" w:space="0" w:color="auto"/>
        <w:left w:val="none" w:sz="0" w:space="0" w:color="auto"/>
        <w:bottom w:val="none" w:sz="0" w:space="0" w:color="auto"/>
        <w:right w:val="none" w:sz="0" w:space="0" w:color="auto"/>
      </w:divBdr>
      <w:divsChild>
        <w:div w:id="1316178704">
          <w:marLeft w:val="0"/>
          <w:marRight w:val="0"/>
          <w:marTop w:val="0"/>
          <w:marBottom w:val="0"/>
          <w:divBdr>
            <w:top w:val="none" w:sz="0" w:space="0" w:color="auto"/>
            <w:left w:val="none" w:sz="0" w:space="0" w:color="auto"/>
            <w:bottom w:val="none" w:sz="0" w:space="0" w:color="auto"/>
            <w:right w:val="none" w:sz="0" w:space="0" w:color="auto"/>
          </w:divBdr>
        </w:div>
      </w:divsChild>
    </w:div>
    <w:div w:id="1529416041">
      <w:bodyDiv w:val="1"/>
      <w:marLeft w:val="0"/>
      <w:marRight w:val="0"/>
      <w:marTop w:val="0"/>
      <w:marBottom w:val="0"/>
      <w:divBdr>
        <w:top w:val="none" w:sz="0" w:space="0" w:color="auto"/>
        <w:left w:val="none" w:sz="0" w:space="0" w:color="auto"/>
        <w:bottom w:val="none" w:sz="0" w:space="0" w:color="auto"/>
        <w:right w:val="none" w:sz="0" w:space="0" w:color="auto"/>
      </w:divBdr>
      <w:divsChild>
        <w:div w:id="917255351">
          <w:marLeft w:val="0"/>
          <w:marRight w:val="0"/>
          <w:marTop w:val="0"/>
          <w:marBottom w:val="0"/>
          <w:divBdr>
            <w:top w:val="none" w:sz="0" w:space="0" w:color="auto"/>
            <w:left w:val="none" w:sz="0" w:space="0" w:color="auto"/>
            <w:bottom w:val="none" w:sz="0" w:space="0" w:color="auto"/>
            <w:right w:val="none" w:sz="0" w:space="0" w:color="auto"/>
          </w:divBdr>
          <w:divsChild>
            <w:div w:id="842669193">
              <w:marLeft w:val="0"/>
              <w:marRight w:val="0"/>
              <w:marTop w:val="0"/>
              <w:marBottom w:val="0"/>
              <w:divBdr>
                <w:top w:val="none" w:sz="0" w:space="0" w:color="auto"/>
                <w:left w:val="none" w:sz="0" w:space="0" w:color="auto"/>
                <w:bottom w:val="none" w:sz="0" w:space="0" w:color="auto"/>
                <w:right w:val="none" w:sz="0" w:space="0" w:color="auto"/>
              </w:divBdr>
              <w:divsChild>
                <w:div w:id="374233329">
                  <w:marLeft w:val="0"/>
                  <w:marRight w:val="0"/>
                  <w:marTop w:val="0"/>
                  <w:marBottom w:val="0"/>
                  <w:divBdr>
                    <w:top w:val="none" w:sz="0" w:space="0" w:color="auto"/>
                    <w:left w:val="none" w:sz="0" w:space="0" w:color="auto"/>
                    <w:bottom w:val="none" w:sz="0" w:space="0" w:color="auto"/>
                    <w:right w:val="none" w:sz="0" w:space="0" w:color="auto"/>
                  </w:divBdr>
                  <w:divsChild>
                    <w:div w:id="1227254275">
                      <w:marLeft w:val="0"/>
                      <w:marRight w:val="0"/>
                      <w:marTop w:val="0"/>
                      <w:marBottom w:val="0"/>
                      <w:divBdr>
                        <w:top w:val="none" w:sz="0" w:space="0" w:color="auto"/>
                        <w:left w:val="none" w:sz="0" w:space="0" w:color="auto"/>
                        <w:bottom w:val="none" w:sz="0" w:space="0" w:color="auto"/>
                        <w:right w:val="none" w:sz="0" w:space="0" w:color="auto"/>
                      </w:divBdr>
                      <w:divsChild>
                        <w:div w:id="1971474840">
                          <w:marLeft w:val="0"/>
                          <w:marRight w:val="0"/>
                          <w:marTop w:val="0"/>
                          <w:marBottom w:val="0"/>
                          <w:divBdr>
                            <w:top w:val="none" w:sz="0" w:space="0" w:color="auto"/>
                            <w:left w:val="none" w:sz="0" w:space="0" w:color="auto"/>
                            <w:bottom w:val="none" w:sz="0" w:space="0" w:color="auto"/>
                            <w:right w:val="none" w:sz="0" w:space="0" w:color="auto"/>
                          </w:divBdr>
                          <w:divsChild>
                            <w:div w:id="932324554">
                              <w:marLeft w:val="0"/>
                              <w:marRight w:val="0"/>
                              <w:marTop w:val="0"/>
                              <w:marBottom w:val="0"/>
                              <w:divBdr>
                                <w:top w:val="none" w:sz="0" w:space="0" w:color="auto"/>
                                <w:left w:val="none" w:sz="0" w:space="0" w:color="auto"/>
                                <w:bottom w:val="none" w:sz="0" w:space="0" w:color="auto"/>
                                <w:right w:val="none" w:sz="0" w:space="0" w:color="auto"/>
                              </w:divBdr>
                              <w:divsChild>
                                <w:div w:id="12889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032239">
      <w:bodyDiv w:val="1"/>
      <w:marLeft w:val="0"/>
      <w:marRight w:val="0"/>
      <w:marTop w:val="0"/>
      <w:marBottom w:val="0"/>
      <w:divBdr>
        <w:top w:val="none" w:sz="0" w:space="0" w:color="auto"/>
        <w:left w:val="none" w:sz="0" w:space="0" w:color="auto"/>
        <w:bottom w:val="none" w:sz="0" w:space="0" w:color="auto"/>
        <w:right w:val="none" w:sz="0" w:space="0" w:color="auto"/>
      </w:divBdr>
    </w:div>
    <w:div w:id="1730567236">
      <w:bodyDiv w:val="1"/>
      <w:marLeft w:val="0"/>
      <w:marRight w:val="0"/>
      <w:marTop w:val="0"/>
      <w:marBottom w:val="0"/>
      <w:divBdr>
        <w:top w:val="none" w:sz="0" w:space="0" w:color="auto"/>
        <w:left w:val="none" w:sz="0" w:space="0" w:color="auto"/>
        <w:bottom w:val="none" w:sz="0" w:space="0" w:color="auto"/>
        <w:right w:val="none" w:sz="0" w:space="0" w:color="auto"/>
      </w:divBdr>
      <w:divsChild>
        <w:div w:id="1069841776">
          <w:marLeft w:val="0"/>
          <w:marRight w:val="0"/>
          <w:marTop w:val="0"/>
          <w:marBottom w:val="0"/>
          <w:divBdr>
            <w:top w:val="none" w:sz="0" w:space="0" w:color="auto"/>
            <w:left w:val="none" w:sz="0" w:space="0" w:color="auto"/>
            <w:bottom w:val="none" w:sz="0" w:space="0" w:color="auto"/>
            <w:right w:val="none" w:sz="0" w:space="0" w:color="auto"/>
          </w:divBdr>
          <w:divsChild>
            <w:div w:id="426582677">
              <w:marLeft w:val="0"/>
              <w:marRight w:val="0"/>
              <w:marTop w:val="0"/>
              <w:marBottom w:val="0"/>
              <w:divBdr>
                <w:top w:val="none" w:sz="0" w:space="0" w:color="auto"/>
                <w:left w:val="none" w:sz="0" w:space="0" w:color="auto"/>
                <w:bottom w:val="none" w:sz="0" w:space="0" w:color="auto"/>
                <w:right w:val="none" w:sz="0" w:space="0" w:color="auto"/>
              </w:divBdr>
              <w:divsChild>
                <w:div w:id="1378318849">
                  <w:marLeft w:val="0"/>
                  <w:marRight w:val="0"/>
                  <w:marTop w:val="0"/>
                  <w:marBottom w:val="0"/>
                  <w:divBdr>
                    <w:top w:val="none" w:sz="0" w:space="0" w:color="auto"/>
                    <w:left w:val="none" w:sz="0" w:space="0" w:color="auto"/>
                    <w:bottom w:val="none" w:sz="0" w:space="0" w:color="auto"/>
                    <w:right w:val="none" w:sz="0" w:space="0" w:color="auto"/>
                  </w:divBdr>
                  <w:divsChild>
                    <w:div w:id="891891474">
                      <w:marLeft w:val="0"/>
                      <w:marRight w:val="0"/>
                      <w:marTop w:val="0"/>
                      <w:marBottom w:val="0"/>
                      <w:divBdr>
                        <w:top w:val="none" w:sz="0" w:space="0" w:color="auto"/>
                        <w:left w:val="none" w:sz="0" w:space="0" w:color="auto"/>
                        <w:bottom w:val="none" w:sz="0" w:space="0" w:color="auto"/>
                        <w:right w:val="none" w:sz="0" w:space="0" w:color="auto"/>
                      </w:divBdr>
                      <w:divsChild>
                        <w:div w:id="1502622188">
                          <w:marLeft w:val="0"/>
                          <w:marRight w:val="0"/>
                          <w:marTop w:val="0"/>
                          <w:marBottom w:val="0"/>
                          <w:divBdr>
                            <w:top w:val="none" w:sz="0" w:space="0" w:color="auto"/>
                            <w:left w:val="none" w:sz="0" w:space="0" w:color="auto"/>
                            <w:bottom w:val="none" w:sz="0" w:space="0" w:color="auto"/>
                            <w:right w:val="none" w:sz="0" w:space="0" w:color="auto"/>
                          </w:divBdr>
                          <w:divsChild>
                            <w:div w:id="20448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459511">
      <w:bodyDiv w:val="1"/>
      <w:marLeft w:val="0"/>
      <w:marRight w:val="0"/>
      <w:marTop w:val="0"/>
      <w:marBottom w:val="0"/>
      <w:divBdr>
        <w:top w:val="none" w:sz="0" w:space="0" w:color="auto"/>
        <w:left w:val="none" w:sz="0" w:space="0" w:color="auto"/>
        <w:bottom w:val="none" w:sz="0" w:space="0" w:color="auto"/>
        <w:right w:val="none" w:sz="0" w:space="0" w:color="auto"/>
      </w:divBdr>
      <w:divsChild>
        <w:div w:id="2024546179">
          <w:marLeft w:val="0"/>
          <w:marRight w:val="0"/>
          <w:marTop w:val="0"/>
          <w:marBottom w:val="0"/>
          <w:divBdr>
            <w:top w:val="none" w:sz="0" w:space="0" w:color="auto"/>
            <w:left w:val="none" w:sz="0" w:space="0" w:color="auto"/>
            <w:bottom w:val="none" w:sz="0" w:space="0" w:color="auto"/>
            <w:right w:val="none" w:sz="0" w:space="0" w:color="auto"/>
          </w:divBdr>
          <w:divsChild>
            <w:div w:id="2143963918">
              <w:marLeft w:val="0"/>
              <w:marRight w:val="0"/>
              <w:marTop w:val="0"/>
              <w:marBottom w:val="0"/>
              <w:divBdr>
                <w:top w:val="none" w:sz="0" w:space="0" w:color="auto"/>
                <w:left w:val="none" w:sz="0" w:space="0" w:color="auto"/>
                <w:bottom w:val="none" w:sz="0" w:space="0" w:color="auto"/>
                <w:right w:val="none" w:sz="0" w:space="0" w:color="auto"/>
              </w:divBdr>
              <w:divsChild>
                <w:div w:id="760024345">
                  <w:marLeft w:val="0"/>
                  <w:marRight w:val="0"/>
                  <w:marTop w:val="0"/>
                  <w:marBottom w:val="0"/>
                  <w:divBdr>
                    <w:top w:val="none" w:sz="0" w:space="0" w:color="auto"/>
                    <w:left w:val="none" w:sz="0" w:space="0" w:color="auto"/>
                    <w:bottom w:val="none" w:sz="0" w:space="0" w:color="auto"/>
                    <w:right w:val="none" w:sz="0" w:space="0" w:color="auto"/>
                  </w:divBdr>
                  <w:divsChild>
                    <w:div w:id="1326593239">
                      <w:marLeft w:val="0"/>
                      <w:marRight w:val="0"/>
                      <w:marTop w:val="0"/>
                      <w:marBottom w:val="0"/>
                      <w:divBdr>
                        <w:top w:val="none" w:sz="0" w:space="0" w:color="auto"/>
                        <w:left w:val="none" w:sz="0" w:space="0" w:color="auto"/>
                        <w:bottom w:val="none" w:sz="0" w:space="0" w:color="auto"/>
                        <w:right w:val="none" w:sz="0" w:space="0" w:color="auto"/>
                      </w:divBdr>
                      <w:divsChild>
                        <w:div w:id="1678265735">
                          <w:marLeft w:val="0"/>
                          <w:marRight w:val="0"/>
                          <w:marTop w:val="0"/>
                          <w:marBottom w:val="0"/>
                          <w:divBdr>
                            <w:top w:val="none" w:sz="0" w:space="0" w:color="auto"/>
                            <w:left w:val="none" w:sz="0" w:space="0" w:color="auto"/>
                            <w:bottom w:val="none" w:sz="0" w:space="0" w:color="auto"/>
                            <w:right w:val="none" w:sz="0" w:space="0" w:color="auto"/>
                          </w:divBdr>
                          <w:divsChild>
                            <w:div w:id="1320502987">
                              <w:marLeft w:val="0"/>
                              <w:marRight w:val="0"/>
                              <w:marTop w:val="0"/>
                              <w:marBottom w:val="0"/>
                              <w:divBdr>
                                <w:top w:val="none" w:sz="0" w:space="0" w:color="auto"/>
                                <w:left w:val="none" w:sz="0" w:space="0" w:color="auto"/>
                                <w:bottom w:val="none" w:sz="0" w:space="0" w:color="auto"/>
                                <w:right w:val="none" w:sz="0" w:space="0" w:color="auto"/>
                              </w:divBdr>
                              <w:divsChild>
                                <w:div w:id="954407866">
                                  <w:marLeft w:val="0"/>
                                  <w:marRight w:val="0"/>
                                  <w:marTop w:val="0"/>
                                  <w:marBottom w:val="0"/>
                                  <w:divBdr>
                                    <w:top w:val="none" w:sz="0" w:space="0" w:color="auto"/>
                                    <w:left w:val="none" w:sz="0" w:space="0" w:color="auto"/>
                                    <w:bottom w:val="none" w:sz="0" w:space="0" w:color="auto"/>
                                    <w:right w:val="none" w:sz="0" w:space="0" w:color="auto"/>
                                  </w:divBdr>
                                  <w:divsChild>
                                    <w:div w:id="1897888965">
                                      <w:marLeft w:val="0"/>
                                      <w:marRight w:val="50"/>
                                      <w:marTop w:val="0"/>
                                      <w:marBottom w:val="0"/>
                                      <w:divBdr>
                                        <w:top w:val="none" w:sz="0" w:space="0" w:color="auto"/>
                                        <w:left w:val="none" w:sz="0" w:space="0" w:color="auto"/>
                                        <w:bottom w:val="none" w:sz="0" w:space="0" w:color="auto"/>
                                        <w:right w:val="none" w:sz="0" w:space="0" w:color="auto"/>
                                      </w:divBdr>
                                      <w:divsChild>
                                        <w:div w:id="1128816619">
                                          <w:marLeft w:val="0"/>
                                          <w:marRight w:val="0"/>
                                          <w:marTop w:val="0"/>
                                          <w:marBottom w:val="0"/>
                                          <w:divBdr>
                                            <w:top w:val="none" w:sz="0" w:space="0" w:color="auto"/>
                                            <w:left w:val="none" w:sz="0" w:space="0" w:color="auto"/>
                                            <w:bottom w:val="none" w:sz="0" w:space="0" w:color="auto"/>
                                            <w:right w:val="none" w:sz="0" w:space="0" w:color="auto"/>
                                          </w:divBdr>
                                          <w:divsChild>
                                            <w:div w:id="131793014">
                                              <w:marLeft w:val="0"/>
                                              <w:marRight w:val="0"/>
                                              <w:marTop w:val="0"/>
                                              <w:marBottom w:val="100"/>
                                              <w:divBdr>
                                                <w:top w:val="single" w:sz="4" w:space="0" w:color="F5F5F5"/>
                                                <w:left w:val="single" w:sz="4" w:space="0" w:color="F5F5F5"/>
                                                <w:bottom w:val="single" w:sz="4" w:space="0" w:color="F5F5F5"/>
                                                <w:right w:val="single" w:sz="4" w:space="0" w:color="F5F5F5"/>
                                              </w:divBdr>
                                              <w:divsChild>
                                                <w:div w:id="1963733119">
                                                  <w:marLeft w:val="0"/>
                                                  <w:marRight w:val="0"/>
                                                  <w:marTop w:val="0"/>
                                                  <w:marBottom w:val="0"/>
                                                  <w:divBdr>
                                                    <w:top w:val="none" w:sz="0" w:space="0" w:color="auto"/>
                                                    <w:left w:val="none" w:sz="0" w:space="0" w:color="auto"/>
                                                    <w:bottom w:val="none" w:sz="0" w:space="0" w:color="auto"/>
                                                    <w:right w:val="none" w:sz="0" w:space="0" w:color="auto"/>
                                                  </w:divBdr>
                                                  <w:divsChild>
                                                    <w:div w:id="15633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159686">
      <w:bodyDiv w:val="1"/>
      <w:marLeft w:val="0"/>
      <w:marRight w:val="0"/>
      <w:marTop w:val="0"/>
      <w:marBottom w:val="0"/>
      <w:divBdr>
        <w:top w:val="none" w:sz="0" w:space="0" w:color="auto"/>
        <w:left w:val="none" w:sz="0" w:space="0" w:color="auto"/>
        <w:bottom w:val="none" w:sz="0" w:space="0" w:color="auto"/>
        <w:right w:val="none" w:sz="0" w:space="0" w:color="auto"/>
      </w:divBdr>
    </w:div>
    <w:div w:id="1870025214">
      <w:bodyDiv w:val="1"/>
      <w:marLeft w:val="0"/>
      <w:marRight w:val="0"/>
      <w:marTop w:val="0"/>
      <w:marBottom w:val="0"/>
      <w:divBdr>
        <w:top w:val="none" w:sz="0" w:space="0" w:color="auto"/>
        <w:left w:val="none" w:sz="0" w:space="0" w:color="auto"/>
        <w:bottom w:val="none" w:sz="0" w:space="0" w:color="auto"/>
        <w:right w:val="none" w:sz="0" w:space="0" w:color="auto"/>
      </w:divBdr>
      <w:divsChild>
        <w:div w:id="1607155202">
          <w:marLeft w:val="0"/>
          <w:marRight w:val="0"/>
          <w:marTop w:val="0"/>
          <w:marBottom w:val="0"/>
          <w:divBdr>
            <w:top w:val="none" w:sz="0" w:space="0" w:color="auto"/>
            <w:left w:val="none" w:sz="0" w:space="0" w:color="auto"/>
            <w:bottom w:val="none" w:sz="0" w:space="0" w:color="auto"/>
            <w:right w:val="none" w:sz="0" w:space="0" w:color="auto"/>
          </w:divBdr>
        </w:div>
      </w:divsChild>
    </w:div>
    <w:div w:id="2097701816">
      <w:bodyDiv w:val="1"/>
      <w:marLeft w:val="0"/>
      <w:marRight w:val="0"/>
      <w:marTop w:val="0"/>
      <w:marBottom w:val="0"/>
      <w:divBdr>
        <w:top w:val="none" w:sz="0" w:space="0" w:color="auto"/>
        <w:left w:val="none" w:sz="0" w:space="0" w:color="auto"/>
        <w:bottom w:val="none" w:sz="0" w:space="0" w:color="auto"/>
        <w:right w:val="none" w:sz="0" w:space="0" w:color="auto"/>
      </w:divBdr>
      <w:divsChild>
        <w:div w:id="1494948262">
          <w:marLeft w:val="0"/>
          <w:marRight w:val="0"/>
          <w:marTop w:val="0"/>
          <w:marBottom w:val="0"/>
          <w:divBdr>
            <w:top w:val="none" w:sz="0" w:space="0" w:color="auto"/>
            <w:left w:val="none" w:sz="0" w:space="0" w:color="auto"/>
            <w:bottom w:val="none" w:sz="0" w:space="0" w:color="auto"/>
            <w:right w:val="none" w:sz="0" w:space="0" w:color="auto"/>
          </w:divBdr>
        </w:div>
      </w:divsChild>
    </w:div>
    <w:div w:id="2117627209">
      <w:bodyDiv w:val="1"/>
      <w:marLeft w:val="0"/>
      <w:marRight w:val="0"/>
      <w:marTop w:val="0"/>
      <w:marBottom w:val="0"/>
      <w:divBdr>
        <w:top w:val="none" w:sz="0" w:space="0" w:color="auto"/>
        <w:left w:val="none" w:sz="0" w:space="0" w:color="auto"/>
        <w:bottom w:val="none" w:sz="0" w:space="0" w:color="auto"/>
        <w:right w:val="none" w:sz="0" w:space="0" w:color="auto"/>
      </w:divBdr>
      <w:divsChild>
        <w:div w:id="933705575">
          <w:marLeft w:val="0"/>
          <w:marRight w:val="0"/>
          <w:marTop w:val="0"/>
          <w:marBottom w:val="0"/>
          <w:divBdr>
            <w:top w:val="none" w:sz="0" w:space="0" w:color="auto"/>
            <w:left w:val="none" w:sz="0" w:space="0" w:color="auto"/>
            <w:bottom w:val="none" w:sz="0" w:space="0" w:color="auto"/>
            <w:right w:val="none" w:sz="0" w:space="0" w:color="auto"/>
          </w:divBdr>
          <w:divsChild>
            <w:div w:id="793403637">
              <w:marLeft w:val="0"/>
              <w:marRight w:val="0"/>
              <w:marTop w:val="0"/>
              <w:marBottom w:val="0"/>
              <w:divBdr>
                <w:top w:val="none" w:sz="0" w:space="0" w:color="auto"/>
                <w:left w:val="none" w:sz="0" w:space="0" w:color="auto"/>
                <w:bottom w:val="none" w:sz="0" w:space="0" w:color="auto"/>
                <w:right w:val="none" w:sz="0" w:space="0" w:color="auto"/>
              </w:divBdr>
              <w:divsChild>
                <w:div w:id="1893078739">
                  <w:marLeft w:val="0"/>
                  <w:marRight w:val="0"/>
                  <w:marTop w:val="0"/>
                  <w:marBottom w:val="0"/>
                  <w:divBdr>
                    <w:top w:val="none" w:sz="0" w:space="0" w:color="auto"/>
                    <w:left w:val="none" w:sz="0" w:space="0" w:color="auto"/>
                    <w:bottom w:val="none" w:sz="0" w:space="0" w:color="auto"/>
                    <w:right w:val="none" w:sz="0" w:space="0" w:color="auto"/>
                  </w:divBdr>
                  <w:divsChild>
                    <w:div w:id="2113159409">
                      <w:marLeft w:val="0"/>
                      <w:marRight w:val="0"/>
                      <w:marTop w:val="0"/>
                      <w:marBottom w:val="0"/>
                      <w:divBdr>
                        <w:top w:val="none" w:sz="0" w:space="0" w:color="auto"/>
                        <w:left w:val="none" w:sz="0" w:space="0" w:color="auto"/>
                        <w:bottom w:val="none" w:sz="0" w:space="0" w:color="auto"/>
                        <w:right w:val="none" w:sz="0" w:space="0" w:color="auto"/>
                      </w:divBdr>
                      <w:divsChild>
                        <w:div w:id="1244875337">
                          <w:marLeft w:val="0"/>
                          <w:marRight w:val="0"/>
                          <w:marTop w:val="0"/>
                          <w:marBottom w:val="0"/>
                          <w:divBdr>
                            <w:top w:val="none" w:sz="0" w:space="0" w:color="auto"/>
                            <w:left w:val="none" w:sz="0" w:space="0" w:color="auto"/>
                            <w:bottom w:val="none" w:sz="0" w:space="0" w:color="auto"/>
                            <w:right w:val="none" w:sz="0" w:space="0" w:color="auto"/>
                          </w:divBdr>
                          <w:divsChild>
                            <w:div w:id="693768749">
                              <w:marLeft w:val="0"/>
                              <w:marRight w:val="0"/>
                              <w:marTop w:val="0"/>
                              <w:marBottom w:val="0"/>
                              <w:divBdr>
                                <w:top w:val="none" w:sz="0" w:space="0" w:color="auto"/>
                                <w:left w:val="none" w:sz="0" w:space="0" w:color="auto"/>
                                <w:bottom w:val="none" w:sz="0" w:space="0" w:color="auto"/>
                                <w:right w:val="none" w:sz="0" w:space="0" w:color="auto"/>
                              </w:divBdr>
                              <w:divsChild>
                                <w:div w:id="684283881">
                                  <w:marLeft w:val="0"/>
                                  <w:marRight w:val="0"/>
                                  <w:marTop w:val="0"/>
                                  <w:marBottom w:val="0"/>
                                  <w:divBdr>
                                    <w:top w:val="none" w:sz="0" w:space="0" w:color="auto"/>
                                    <w:left w:val="none" w:sz="0" w:space="0" w:color="auto"/>
                                    <w:bottom w:val="none" w:sz="0" w:space="0" w:color="auto"/>
                                    <w:right w:val="none" w:sz="0" w:space="0" w:color="auto"/>
                                  </w:divBdr>
                                  <w:divsChild>
                                    <w:div w:id="1821195750">
                                      <w:marLeft w:val="0"/>
                                      <w:marRight w:val="50"/>
                                      <w:marTop w:val="0"/>
                                      <w:marBottom w:val="0"/>
                                      <w:divBdr>
                                        <w:top w:val="none" w:sz="0" w:space="0" w:color="auto"/>
                                        <w:left w:val="none" w:sz="0" w:space="0" w:color="auto"/>
                                        <w:bottom w:val="none" w:sz="0" w:space="0" w:color="auto"/>
                                        <w:right w:val="none" w:sz="0" w:space="0" w:color="auto"/>
                                      </w:divBdr>
                                      <w:divsChild>
                                        <w:div w:id="398478030">
                                          <w:marLeft w:val="0"/>
                                          <w:marRight w:val="0"/>
                                          <w:marTop w:val="0"/>
                                          <w:marBottom w:val="0"/>
                                          <w:divBdr>
                                            <w:top w:val="none" w:sz="0" w:space="0" w:color="auto"/>
                                            <w:left w:val="none" w:sz="0" w:space="0" w:color="auto"/>
                                            <w:bottom w:val="none" w:sz="0" w:space="0" w:color="auto"/>
                                            <w:right w:val="none" w:sz="0" w:space="0" w:color="auto"/>
                                          </w:divBdr>
                                          <w:divsChild>
                                            <w:div w:id="922644932">
                                              <w:marLeft w:val="0"/>
                                              <w:marRight w:val="0"/>
                                              <w:marTop w:val="0"/>
                                              <w:marBottom w:val="100"/>
                                              <w:divBdr>
                                                <w:top w:val="single" w:sz="4" w:space="0" w:color="F5F5F5"/>
                                                <w:left w:val="single" w:sz="4" w:space="0" w:color="F5F5F5"/>
                                                <w:bottom w:val="single" w:sz="4" w:space="0" w:color="F5F5F5"/>
                                                <w:right w:val="single" w:sz="4" w:space="0" w:color="F5F5F5"/>
                                              </w:divBdr>
                                              <w:divsChild>
                                                <w:div w:id="1773626630">
                                                  <w:marLeft w:val="0"/>
                                                  <w:marRight w:val="0"/>
                                                  <w:marTop w:val="0"/>
                                                  <w:marBottom w:val="0"/>
                                                  <w:divBdr>
                                                    <w:top w:val="none" w:sz="0" w:space="0" w:color="auto"/>
                                                    <w:left w:val="none" w:sz="0" w:space="0" w:color="auto"/>
                                                    <w:bottom w:val="none" w:sz="0" w:space="0" w:color="auto"/>
                                                    <w:right w:val="none" w:sz="0" w:space="0" w:color="auto"/>
                                                  </w:divBdr>
                                                  <w:divsChild>
                                                    <w:div w:id="17236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chart" Target="charts/chart9.xml"/><Relationship Id="rId21" Type="http://schemas.openxmlformats.org/officeDocument/2006/relationships/image" Target="media/image8.emf"/><Relationship Id="rId34" Type="http://schemas.openxmlformats.org/officeDocument/2006/relationships/chart" Target="charts/chart5.xml"/><Relationship Id="rId42" Type="http://schemas.openxmlformats.org/officeDocument/2006/relationships/chart" Target="charts/chart12.xml"/><Relationship Id="rId47" Type="http://schemas.openxmlformats.org/officeDocument/2006/relationships/hyperlink" Target="http://www.ccsenet.org/journal.html" TargetMode="External"/><Relationship Id="rId50" Type="http://schemas.openxmlformats.org/officeDocument/2006/relationships/hyperlink" Target="http://papers.ssrn.com/sol3/papers.cfm?abstract_id=1463168" TargetMode="External"/><Relationship Id="rId55" Type="http://schemas.openxmlformats.org/officeDocument/2006/relationships/hyperlink" Target="http://www.ewf.be/media/documentosDocs/doc_16_ewf-644-08-fundamentals-of-risk-management.pdf" TargetMode="External"/><Relationship Id="rId63" Type="http://schemas.openxmlformats.org/officeDocument/2006/relationships/hyperlink" Target="http://www.nao.org.uk/publications/9900/managing_risk_in_gov_depts.aspx" TargetMode="External"/><Relationship Id="rId68" Type="http://schemas.openxmlformats.org/officeDocument/2006/relationships/hyperlink" Target="http://www.amcm.gov.mo/publication/quarterly/July2009/macaoprof_en.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emf"/><Relationship Id="rId32" Type="http://schemas.openxmlformats.org/officeDocument/2006/relationships/chart" Target="charts/chart3.xml"/><Relationship Id="rId37" Type="http://schemas.openxmlformats.org/officeDocument/2006/relationships/image" Target="media/image16.emf"/><Relationship Id="rId40" Type="http://schemas.openxmlformats.org/officeDocument/2006/relationships/chart" Target="charts/chart10.xml"/><Relationship Id="rId45" Type="http://schemas.openxmlformats.org/officeDocument/2006/relationships/chart" Target="charts/chart13.xml"/><Relationship Id="rId53" Type="http://schemas.openxmlformats.org/officeDocument/2006/relationships/hyperlink" Target="http://www.ams.sunysb.edu/~rachev/publication/benzin_trueck.pdf" TargetMode="External"/><Relationship Id="rId58" Type="http://schemas.openxmlformats.org/officeDocument/2006/relationships/hyperlink" Target="javascript:%20display_('July2011-26');" TargetMode="External"/><Relationship Id="rId66" Type="http://schemas.openxmlformats.org/officeDocument/2006/relationships/hyperlink" Target="http://www.hertig.ethz.ch/Woo_Super_Disclosure_Mar11.pdf"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chart" Target="charts/chart7.xml"/><Relationship Id="rId49" Type="http://schemas.openxmlformats.org/officeDocument/2006/relationships/hyperlink" Target="http://www.appraisers.org/Files/Education/ARM/CollateralandRiskBasedCapitalStandardsJC.pdf" TargetMode="External"/><Relationship Id="rId57" Type="http://schemas.openxmlformats.org/officeDocument/2006/relationships/hyperlink" Target="http://89.96.248.67/credit/credit2006/poster/8_Hayden_Porath_vWesternhagen.pdf" TargetMode="External"/><Relationship Id="rId61" Type="http://schemas.openxmlformats.org/officeDocument/2006/relationships/hyperlink" Target="http://www.emeraldinsight.com" TargetMode="External"/><Relationship Id="rId10" Type="http://schemas.openxmlformats.org/officeDocument/2006/relationships/diagramData" Target="diagrams/data1.xml"/><Relationship Id="rId19" Type="http://schemas.openxmlformats.org/officeDocument/2006/relationships/image" Target="media/image6.emf"/><Relationship Id="rId31" Type="http://schemas.openxmlformats.org/officeDocument/2006/relationships/chart" Target="charts/chart2.xml"/><Relationship Id="rId44" Type="http://schemas.openxmlformats.org/officeDocument/2006/relationships/image" Target="media/image18.emf"/><Relationship Id="rId52" Type="http://schemas.openxmlformats.org/officeDocument/2006/relationships/hyperlink" Target="http://www.sbp.org.pk/bsrvd/2007/Annex-C8.pdf" TargetMode="External"/><Relationship Id="rId60" Type="http://schemas.openxmlformats.org/officeDocument/2006/relationships/hyperlink" Target="http://www.hmtreasury" TargetMode="External"/><Relationship Id="rId65" Type="http://schemas.openxmlformats.org/officeDocument/2006/relationships/hyperlink" Target="http://www.uu.nl/EN/informationfor/internationalstudents/inteconomics/studyprogramme/track2/Pages/default.aspx"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17.emf"/><Relationship Id="rId48" Type="http://schemas.openxmlformats.org/officeDocument/2006/relationships/hyperlink" Target="http://www.scribd.com/doc/36905178/Thesis-Final-Draft" TargetMode="External"/><Relationship Id="rId56" Type="http://schemas.openxmlformats.org/officeDocument/2006/relationships/hyperlink" Target="http://www.clevelandfed.org/Research/Workpaper/Index.cfm" TargetMode="External"/><Relationship Id="rId64" Type="http://schemas.openxmlformats.org/officeDocument/2006/relationships/hyperlink" Target="http://www.pma.ps/Portals/1/Users/002/02/2/Publications/English/Annual%20Reports/Financial%20Stability%20Reports/FSR_2011_English.pdf" TargetMode="External"/><Relationship Id="rId69" Type="http://schemas.openxmlformats.org/officeDocument/2006/relationships/image" Target="media/image19.emf"/><Relationship Id="rId8" Type="http://schemas.openxmlformats.org/officeDocument/2006/relationships/image" Target="media/image1.png"/><Relationship Id="rId51" Type="http://schemas.openxmlformats.org/officeDocument/2006/relationships/hyperlink" Target="http://papers.ssrn.com/sol3/papers.cfm?abstract_id=1446264"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chart" Target="charts/chart14.xml"/><Relationship Id="rId59" Type="http://schemas.openxmlformats.org/officeDocument/2006/relationships/hyperlink" Target="http://www.rmia.org.au/LinkClick.aspx?fileticket=AWkZuS%2BB6Wc%3D&amp;tabid=85&amp;mid=634" TargetMode="External"/><Relationship Id="rId67" Type="http://schemas.openxmlformats.org/officeDocument/2006/relationships/hyperlink" Target="http://www.bankofengland.co.uk/publications/quarterlybulletin/qb940204.pdf" TargetMode="External"/><Relationship Id="rId20" Type="http://schemas.openxmlformats.org/officeDocument/2006/relationships/image" Target="media/image7.emf"/><Relationship Id="rId41" Type="http://schemas.openxmlformats.org/officeDocument/2006/relationships/chart" Target="charts/chart11.xml"/><Relationship Id="rId54" Type="http://schemas.openxmlformats.org/officeDocument/2006/relationships/hyperlink" Target="http://ifs.u-strasbg.fr/large/publications/2006/2006-03.pdf" TargetMode="External"/><Relationship Id="rId62" Type="http://schemas.openxmlformats.org/officeDocument/2006/relationships/hyperlink" Target="http://siteresources.worldbank.org/EXTLACOFFICEOFCE/Resources/870892-1206537144004/MarquezIntroductionCreditScoring.pdf"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t>ROA</a:t>
            </a:r>
            <a:r>
              <a:rPr lang="en-US" sz="1200" baseline="0"/>
              <a:t> IN %</a:t>
            </a:r>
            <a:endParaRPr lang="en-US" sz="1200"/>
          </a:p>
        </c:rich>
      </c:tx>
    </c:title>
    <c:plotArea>
      <c:layout>
        <c:manualLayout>
          <c:layoutTarget val="inner"/>
          <c:xMode val="edge"/>
          <c:yMode val="edge"/>
          <c:x val="7.1118907326044534E-2"/>
          <c:y val="0.2281371828644306"/>
          <c:w val="0.90134068742981865"/>
          <c:h val="0.72506975005901864"/>
        </c:manualLayout>
      </c:layout>
      <c:barChart>
        <c:barDir val="col"/>
        <c:grouping val="stacked"/>
        <c:ser>
          <c:idx val="0"/>
          <c:order val="0"/>
          <c:tx>
            <c:strRef>
              <c:f>Sheet1!$B$1</c:f>
              <c:strCache>
                <c:ptCount val="1"/>
                <c:pt idx="0">
                  <c:v>Series 1</c:v>
                </c:pt>
              </c:strCache>
            </c:strRef>
          </c:tx>
          <c:spPr>
            <a:solidFill>
              <a:srgbClr val="C00000"/>
            </a:solidFill>
          </c:spPr>
          <c:cat>
            <c:strRef>
              <c:f>Sheet1!$A$2:$A$9</c:f>
              <c:strCache>
                <c:ptCount val="7"/>
                <c:pt idx="0">
                  <c:v>Y2005</c:v>
                </c:pt>
                <c:pt idx="1">
                  <c:v>Y2006</c:v>
                </c:pt>
                <c:pt idx="2">
                  <c:v>Y2007</c:v>
                </c:pt>
                <c:pt idx="3">
                  <c:v>Y2008</c:v>
                </c:pt>
                <c:pt idx="4">
                  <c:v>Y2009</c:v>
                </c:pt>
                <c:pt idx="5">
                  <c:v>Y2010</c:v>
                </c:pt>
                <c:pt idx="6">
                  <c:v>Y2011</c:v>
                </c:pt>
              </c:strCache>
            </c:strRef>
          </c:cat>
          <c:val>
            <c:numRef>
              <c:f>Sheet1!$B$2:$B$9</c:f>
              <c:numCache>
                <c:formatCode>General</c:formatCode>
                <c:ptCount val="8"/>
                <c:pt idx="0">
                  <c:v>0.78</c:v>
                </c:pt>
                <c:pt idx="1">
                  <c:v>0.43000000000000038</c:v>
                </c:pt>
                <c:pt idx="2">
                  <c:v>1.08</c:v>
                </c:pt>
                <c:pt idx="3">
                  <c:v>-1.8</c:v>
                </c:pt>
                <c:pt idx="4">
                  <c:v>1.4</c:v>
                </c:pt>
                <c:pt idx="5">
                  <c:v>0.92</c:v>
                </c:pt>
                <c:pt idx="6">
                  <c:v>0.92</c:v>
                </c:pt>
              </c:numCache>
            </c:numRef>
          </c:val>
        </c:ser>
        <c:overlap val="100"/>
        <c:axId val="92756992"/>
        <c:axId val="92775168"/>
      </c:barChart>
      <c:catAx>
        <c:axId val="92756992"/>
        <c:scaling>
          <c:orientation val="minMax"/>
        </c:scaling>
        <c:axPos val="b"/>
        <c:tickLblPos val="nextTo"/>
        <c:txPr>
          <a:bodyPr/>
          <a:lstStyle/>
          <a:p>
            <a:pPr>
              <a:defRPr lang="en-US"/>
            </a:pPr>
            <a:endParaRPr lang="en-US"/>
          </a:p>
        </c:txPr>
        <c:crossAx val="92775168"/>
        <c:crosses val="autoZero"/>
        <c:auto val="1"/>
        <c:lblAlgn val="ctr"/>
        <c:lblOffset val="100"/>
      </c:catAx>
      <c:valAx>
        <c:axId val="92775168"/>
        <c:scaling>
          <c:orientation val="minMax"/>
        </c:scaling>
        <c:axPos val="l"/>
        <c:majorGridlines/>
        <c:numFmt formatCode="General" sourceLinked="1"/>
        <c:tickLblPos val="nextTo"/>
        <c:txPr>
          <a:bodyPr/>
          <a:lstStyle/>
          <a:p>
            <a:pPr>
              <a:defRPr lang="en-US"/>
            </a:pPr>
            <a:endParaRPr lang="en-US"/>
          </a:p>
        </c:txPr>
        <c:crossAx val="92756992"/>
        <c:crosses val="autoZero"/>
        <c:crossBetween val="between"/>
      </c:valAx>
      <c:spPr>
        <a:solidFill>
          <a:srgbClr val="002060"/>
        </a:solidFill>
      </c:spPr>
    </c:plotArea>
    <c:plotVisOnly val="1"/>
    <c:dispBlanksAs val="gap"/>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Series 1</c:v>
                </c:pt>
              </c:strCache>
            </c:strRef>
          </c:tx>
          <c:spPr>
            <a:solidFill>
              <a:srgbClr val="C00000"/>
            </a:solidFill>
          </c:spPr>
          <c:cat>
            <c:strRef>
              <c:f>Sheet1!$A$2:$A$18</c:f>
              <c:strCache>
                <c:ptCount val="7"/>
                <c:pt idx="0">
                  <c:v>Financial</c:v>
                </c:pt>
                <c:pt idx="1">
                  <c:v>Industrial</c:v>
                </c:pt>
                <c:pt idx="2">
                  <c:v>Commerce</c:v>
                </c:pt>
                <c:pt idx="3">
                  <c:v>Real estate</c:v>
                </c:pt>
                <c:pt idx="4">
                  <c:v>Financial securities</c:v>
                </c:pt>
                <c:pt idx="5">
                  <c:v>Public sector</c:v>
                </c:pt>
                <c:pt idx="6">
                  <c:v>Others</c:v>
                </c:pt>
              </c:strCache>
            </c:strRef>
          </c:cat>
          <c:val>
            <c:numRef>
              <c:f>Sheet1!$B$2:$B$18</c:f>
              <c:numCache>
                <c:formatCode>General</c:formatCode>
                <c:ptCount val="17"/>
                <c:pt idx="0">
                  <c:v>38.800000000000004</c:v>
                </c:pt>
                <c:pt idx="1">
                  <c:v>4.8</c:v>
                </c:pt>
                <c:pt idx="2">
                  <c:v>5.6</c:v>
                </c:pt>
                <c:pt idx="3">
                  <c:v>4.3</c:v>
                </c:pt>
                <c:pt idx="4">
                  <c:v>2.7</c:v>
                </c:pt>
                <c:pt idx="5">
                  <c:v>18.7</c:v>
                </c:pt>
                <c:pt idx="6">
                  <c:v>26.5</c:v>
                </c:pt>
              </c:numCache>
            </c:numRef>
          </c:val>
        </c:ser>
        <c:overlap val="100"/>
        <c:axId val="127503744"/>
        <c:axId val="121898112"/>
      </c:barChart>
      <c:catAx>
        <c:axId val="127503744"/>
        <c:scaling>
          <c:orientation val="minMax"/>
        </c:scaling>
        <c:axPos val="l"/>
        <c:tickLblPos val="nextTo"/>
        <c:txPr>
          <a:bodyPr/>
          <a:lstStyle/>
          <a:p>
            <a:pPr>
              <a:defRPr lang="en-US"/>
            </a:pPr>
            <a:endParaRPr lang="en-US"/>
          </a:p>
        </c:txPr>
        <c:crossAx val="121898112"/>
        <c:crosses val="autoZero"/>
        <c:auto val="1"/>
        <c:lblAlgn val="ctr"/>
        <c:lblOffset val="100"/>
      </c:catAx>
      <c:valAx>
        <c:axId val="121898112"/>
        <c:scaling>
          <c:orientation val="minMax"/>
        </c:scaling>
        <c:axPos val="b"/>
        <c:majorGridlines/>
        <c:numFmt formatCode="General" sourceLinked="1"/>
        <c:tickLblPos val="nextTo"/>
        <c:txPr>
          <a:bodyPr/>
          <a:lstStyle/>
          <a:p>
            <a:pPr>
              <a:defRPr lang="en-US"/>
            </a:pPr>
            <a:endParaRPr lang="en-US"/>
          </a:p>
        </c:txPr>
        <c:crossAx val="127503744"/>
        <c:crosses val="autoZero"/>
        <c:crossBetween val="between"/>
      </c:valAx>
      <c:spPr>
        <a:solidFill>
          <a:srgbClr val="002060"/>
        </a:solidFill>
      </c:spPr>
    </c:plotArea>
    <c:plotVisOnly val="1"/>
    <c:dispBlanksAs val="gap"/>
  </c:chart>
  <c:spPr>
    <a:no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Series 1</c:v>
                </c:pt>
              </c:strCache>
            </c:strRef>
          </c:tx>
          <c:spPr>
            <a:solidFill>
              <a:srgbClr val="FF0000"/>
            </a:solidFill>
          </c:spPr>
          <c:cat>
            <c:strRef>
              <c:f>Sheet1!$A$2:$A$17</c:f>
              <c:strCache>
                <c:ptCount val="12"/>
                <c:pt idx="0">
                  <c:v>Public sector</c:v>
                </c:pt>
                <c:pt idx="1">
                  <c:v>Construction</c:v>
                </c:pt>
                <c:pt idx="2">
                  <c:v>Land</c:v>
                </c:pt>
                <c:pt idx="3">
                  <c:v>Industry</c:v>
                </c:pt>
                <c:pt idx="4">
                  <c:v>General trading</c:v>
                </c:pt>
                <c:pt idx="5">
                  <c:v>Agriculture</c:v>
                </c:pt>
                <c:pt idx="6">
                  <c:v>tourism</c:v>
                </c:pt>
                <c:pt idx="7">
                  <c:v>Transportation</c:v>
                </c:pt>
                <c:pt idx="8">
                  <c:v>Srvices</c:v>
                </c:pt>
                <c:pt idx="9">
                  <c:v>Investment in financial assets</c:v>
                </c:pt>
                <c:pt idx="10">
                  <c:v>Cars financing</c:v>
                </c:pt>
                <c:pt idx="11">
                  <c:v>Others</c:v>
                </c:pt>
              </c:strCache>
            </c:strRef>
          </c:cat>
          <c:val>
            <c:numRef>
              <c:f>Sheet1!$B$2:$B$17</c:f>
              <c:numCache>
                <c:formatCode>General</c:formatCode>
                <c:ptCount val="16"/>
                <c:pt idx="0">
                  <c:v>43</c:v>
                </c:pt>
                <c:pt idx="1">
                  <c:v>6.8</c:v>
                </c:pt>
                <c:pt idx="2">
                  <c:v>0.2</c:v>
                </c:pt>
                <c:pt idx="3">
                  <c:v>3.6</c:v>
                </c:pt>
                <c:pt idx="4">
                  <c:v>9.1</c:v>
                </c:pt>
                <c:pt idx="5">
                  <c:v>1.6</c:v>
                </c:pt>
                <c:pt idx="6">
                  <c:v>2</c:v>
                </c:pt>
                <c:pt idx="7">
                  <c:v>0.4</c:v>
                </c:pt>
                <c:pt idx="8">
                  <c:v>6</c:v>
                </c:pt>
                <c:pt idx="10">
                  <c:v>1</c:v>
                </c:pt>
                <c:pt idx="11">
                  <c:v>26</c:v>
                </c:pt>
              </c:numCache>
            </c:numRef>
          </c:val>
        </c:ser>
        <c:overlap val="100"/>
        <c:axId val="121917440"/>
        <c:axId val="121918976"/>
      </c:barChart>
      <c:catAx>
        <c:axId val="121917440"/>
        <c:scaling>
          <c:orientation val="minMax"/>
        </c:scaling>
        <c:axPos val="l"/>
        <c:tickLblPos val="nextTo"/>
        <c:txPr>
          <a:bodyPr/>
          <a:lstStyle/>
          <a:p>
            <a:pPr>
              <a:defRPr lang="en-US"/>
            </a:pPr>
            <a:endParaRPr lang="en-US"/>
          </a:p>
        </c:txPr>
        <c:crossAx val="121918976"/>
        <c:crosses val="autoZero"/>
        <c:auto val="1"/>
        <c:lblAlgn val="ctr"/>
        <c:lblOffset val="100"/>
      </c:catAx>
      <c:valAx>
        <c:axId val="121918976"/>
        <c:scaling>
          <c:orientation val="minMax"/>
        </c:scaling>
        <c:axPos val="b"/>
        <c:majorGridlines/>
        <c:numFmt formatCode="General" sourceLinked="1"/>
        <c:tickLblPos val="nextTo"/>
        <c:txPr>
          <a:bodyPr/>
          <a:lstStyle/>
          <a:p>
            <a:pPr>
              <a:defRPr lang="en-US"/>
            </a:pPr>
            <a:endParaRPr lang="en-US"/>
          </a:p>
        </c:txPr>
        <c:crossAx val="121917440"/>
        <c:crosses val="autoZero"/>
        <c:crossBetween val="between"/>
      </c:valAx>
      <c:spPr>
        <a:solidFill>
          <a:srgbClr val="002060"/>
        </a:solidFill>
      </c:spPr>
    </c:plotArea>
    <c:plotVisOnly val="1"/>
    <c:dispBlanksAs val="gap"/>
  </c:chart>
  <c:spPr>
    <a:no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Series 1</c:v>
                </c:pt>
              </c:strCache>
            </c:strRef>
          </c:tx>
          <c:spPr>
            <a:solidFill>
              <a:srgbClr val="C00000"/>
            </a:solidFill>
          </c:spPr>
          <c:cat>
            <c:strRef>
              <c:f>Sheet1!$A$2:$A$5</c:f>
              <c:strCache>
                <c:ptCount val="4"/>
                <c:pt idx="0">
                  <c:v>Palestine</c:v>
                </c:pt>
                <c:pt idx="1">
                  <c:v>Jordan</c:v>
                </c:pt>
                <c:pt idx="2">
                  <c:v>Israel</c:v>
                </c:pt>
                <c:pt idx="3">
                  <c:v>Other</c:v>
                </c:pt>
              </c:strCache>
            </c:strRef>
          </c:cat>
          <c:val>
            <c:numRef>
              <c:f>Sheet1!$B$2:$B$5</c:f>
              <c:numCache>
                <c:formatCode>General</c:formatCode>
                <c:ptCount val="4"/>
                <c:pt idx="0">
                  <c:v>85</c:v>
                </c:pt>
                <c:pt idx="1">
                  <c:v>1.6</c:v>
                </c:pt>
                <c:pt idx="2">
                  <c:v>4</c:v>
                </c:pt>
                <c:pt idx="3">
                  <c:v>8.8000000000000007</c:v>
                </c:pt>
              </c:numCache>
            </c:numRef>
          </c:val>
        </c:ser>
        <c:overlap val="100"/>
        <c:axId val="133050752"/>
        <c:axId val="133052288"/>
      </c:barChart>
      <c:catAx>
        <c:axId val="133050752"/>
        <c:scaling>
          <c:orientation val="minMax"/>
        </c:scaling>
        <c:axPos val="l"/>
        <c:tickLblPos val="nextTo"/>
        <c:txPr>
          <a:bodyPr/>
          <a:lstStyle/>
          <a:p>
            <a:pPr>
              <a:defRPr lang="en-US"/>
            </a:pPr>
            <a:endParaRPr lang="en-US"/>
          </a:p>
        </c:txPr>
        <c:crossAx val="133052288"/>
        <c:crosses val="autoZero"/>
        <c:auto val="1"/>
        <c:lblAlgn val="ctr"/>
        <c:lblOffset val="100"/>
      </c:catAx>
      <c:valAx>
        <c:axId val="133052288"/>
        <c:scaling>
          <c:orientation val="minMax"/>
        </c:scaling>
        <c:axPos val="b"/>
        <c:majorGridlines/>
        <c:numFmt formatCode="General" sourceLinked="1"/>
        <c:tickLblPos val="nextTo"/>
        <c:txPr>
          <a:bodyPr/>
          <a:lstStyle/>
          <a:p>
            <a:pPr>
              <a:defRPr lang="en-US"/>
            </a:pPr>
            <a:endParaRPr lang="en-US"/>
          </a:p>
        </c:txPr>
        <c:crossAx val="133050752"/>
        <c:crosses val="autoZero"/>
        <c:crossBetween val="between"/>
      </c:valAx>
      <c:spPr>
        <a:solidFill>
          <a:srgbClr val="002060"/>
        </a:solidFill>
      </c:spPr>
    </c:plotArea>
    <c:plotVisOnly val="1"/>
    <c:dispBlanksAs val="gap"/>
  </c:chart>
  <c:spPr>
    <a:no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Sheet1!$B$1</c:f>
              <c:strCache>
                <c:ptCount val="1"/>
                <c:pt idx="0">
                  <c:v>Series 1</c:v>
                </c:pt>
              </c:strCache>
            </c:strRef>
          </c:tx>
          <c:spPr>
            <a:solidFill>
              <a:srgbClr val="C00000"/>
            </a:solidFill>
          </c:spPr>
          <c:cat>
            <c:strRef>
              <c:f>Sheet1!$A$2:$A$14</c:f>
              <c:strCache>
                <c:ptCount val="6"/>
                <c:pt idx="0">
                  <c:v>Palestine</c:v>
                </c:pt>
                <c:pt idx="1">
                  <c:v>Jordan</c:v>
                </c:pt>
                <c:pt idx="2">
                  <c:v>Israel</c:v>
                </c:pt>
                <c:pt idx="3">
                  <c:v>Europ</c:v>
                </c:pt>
                <c:pt idx="4">
                  <c:v>USA</c:v>
                </c:pt>
                <c:pt idx="5">
                  <c:v>Others</c:v>
                </c:pt>
              </c:strCache>
            </c:strRef>
          </c:cat>
          <c:val>
            <c:numRef>
              <c:f>Sheet1!$B$2:$B$14</c:f>
              <c:numCache>
                <c:formatCode>General</c:formatCode>
                <c:ptCount val="13"/>
                <c:pt idx="0">
                  <c:v>85.75</c:v>
                </c:pt>
                <c:pt idx="1">
                  <c:v>3.9</c:v>
                </c:pt>
                <c:pt idx="2">
                  <c:v>2.46</c:v>
                </c:pt>
                <c:pt idx="3">
                  <c:v>7</c:v>
                </c:pt>
                <c:pt idx="4">
                  <c:v>0</c:v>
                </c:pt>
                <c:pt idx="5">
                  <c:v>0.8</c:v>
                </c:pt>
                <c:pt idx="6">
                  <c:v>0</c:v>
                </c:pt>
              </c:numCache>
            </c:numRef>
          </c:val>
        </c:ser>
        <c:overlap val="100"/>
        <c:axId val="133083904"/>
        <c:axId val="133085440"/>
      </c:barChart>
      <c:catAx>
        <c:axId val="133083904"/>
        <c:scaling>
          <c:orientation val="minMax"/>
        </c:scaling>
        <c:axPos val="b"/>
        <c:tickLblPos val="nextTo"/>
        <c:txPr>
          <a:bodyPr/>
          <a:lstStyle/>
          <a:p>
            <a:pPr>
              <a:defRPr lang="en-US"/>
            </a:pPr>
            <a:endParaRPr lang="en-US"/>
          </a:p>
        </c:txPr>
        <c:crossAx val="133085440"/>
        <c:crosses val="autoZero"/>
        <c:auto val="1"/>
        <c:lblAlgn val="ctr"/>
        <c:lblOffset val="100"/>
      </c:catAx>
      <c:valAx>
        <c:axId val="133085440"/>
        <c:scaling>
          <c:orientation val="minMax"/>
        </c:scaling>
        <c:axPos val="l"/>
        <c:majorGridlines/>
        <c:numFmt formatCode="General" sourceLinked="1"/>
        <c:tickLblPos val="nextTo"/>
        <c:txPr>
          <a:bodyPr/>
          <a:lstStyle/>
          <a:p>
            <a:pPr>
              <a:defRPr lang="en-US"/>
            </a:pPr>
            <a:endParaRPr lang="en-US"/>
          </a:p>
        </c:txPr>
        <c:crossAx val="133083904"/>
        <c:crosses val="autoZero"/>
        <c:crossBetween val="between"/>
      </c:valAx>
      <c:spPr>
        <a:solidFill>
          <a:srgbClr val="002060"/>
        </a:solidFill>
      </c:spPr>
    </c:plotArea>
    <c:plotVisOnly val="1"/>
    <c:dispBlanksAs val="gap"/>
  </c:chart>
  <c:spPr>
    <a:no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000"/>
              <a:t>credit</a:t>
            </a:r>
            <a:r>
              <a:rPr lang="en-US" sz="1000" baseline="0"/>
              <a:t> facility in %</a:t>
            </a:r>
            <a:endParaRPr lang="en-US" sz="1000"/>
          </a:p>
        </c:rich>
      </c:tx>
    </c:title>
    <c:plotArea>
      <c:layout/>
      <c:barChart>
        <c:barDir val="bar"/>
        <c:grouping val="stacked"/>
        <c:ser>
          <c:idx val="0"/>
          <c:order val="0"/>
          <c:tx>
            <c:strRef>
              <c:f>Sheet1!$B$1</c:f>
              <c:strCache>
                <c:ptCount val="1"/>
                <c:pt idx="0">
                  <c:v>Series 1</c:v>
                </c:pt>
              </c:strCache>
            </c:strRef>
          </c:tx>
          <c:spPr>
            <a:solidFill>
              <a:srgbClr val="C00000"/>
            </a:solidFill>
          </c:spPr>
          <c:cat>
            <c:strRef>
              <c:f>Sheet1!$A$2:$A$17</c:f>
              <c:strCache>
                <c:ptCount val="10"/>
                <c:pt idx="0">
                  <c:v>Industry and trade</c:v>
                </c:pt>
                <c:pt idx="1">
                  <c:v>Services</c:v>
                </c:pt>
                <c:pt idx="2">
                  <c:v>Retail and wholesale</c:v>
                </c:pt>
                <c:pt idx="3">
                  <c:v>Real estate and construction</c:v>
                </c:pt>
                <c:pt idx="4">
                  <c:v>Transportation</c:v>
                </c:pt>
                <c:pt idx="5">
                  <c:v>Agriculture</c:v>
                </c:pt>
                <c:pt idx="6">
                  <c:v>Tourism</c:v>
                </c:pt>
                <c:pt idx="7">
                  <c:v>Financial services</c:v>
                </c:pt>
                <c:pt idx="8">
                  <c:v>Public sector</c:v>
                </c:pt>
                <c:pt idx="9">
                  <c:v>Consumer commodities</c:v>
                </c:pt>
              </c:strCache>
            </c:strRef>
          </c:cat>
          <c:val>
            <c:numRef>
              <c:f>Sheet1!$B$2:$B$17</c:f>
              <c:numCache>
                <c:formatCode>General</c:formatCode>
                <c:ptCount val="16"/>
                <c:pt idx="0">
                  <c:v>2.8</c:v>
                </c:pt>
                <c:pt idx="1">
                  <c:v>6.9</c:v>
                </c:pt>
                <c:pt idx="2">
                  <c:v>9.8000000000000007</c:v>
                </c:pt>
                <c:pt idx="3">
                  <c:v>7.7</c:v>
                </c:pt>
                <c:pt idx="4">
                  <c:v>0.1</c:v>
                </c:pt>
                <c:pt idx="5">
                  <c:v>0.1</c:v>
                </c:pt>
                <c:pt idx="6">
                  <c:v>1.4</c:v>
                </c:pt>
                <c:pt idx="7">
                  <c:v>1.4</c:v>
                </c:pt>
                <c:pt idx="8">
                  <c:v>32.5</c:v>
                </c:pt>
                <c:pt idx="9">
                  <c:v>36.5</c:v>
                </c:pt>
              </c:numCache>
            </c:numRef>
          </c:val>
        </c:ser>
        <c:overlap val="100"/>
        <c:axId val="129668224"/>
        <c:axId val="129669760"/>
      </c:barChart>
      <c:catAx>
        <c:axId val="129668224"/>
        <c:scaling>
          <c:orientation val="minMax"/>
        </c:scaling>
        <c:axPos val="l"/>
        <c:tickLblPos val="nextTo"/>
        <c:txPr>
          <a:bodyPr/>
          <a:lstStyle/>
          <a:p>
            <a:pPr>
              <a:defRPr lang="en-US"/>
            </a:pPr>
            <a:endParaRPr lang="en-US"/>
          </a:p>
        </c:txPr>
        <c:crossAx val="129669760"/>
        <c:crosses val="autoZero"/>
        <c:auto val="1"/>
        <c:lblAlgn val="ctr"/>
        <c:lblOffset val="100"/>
      </c:catAx>
      <c:valAx>
        <c:axId val="129669760"/>
        <c:scaling>
          <c:orientation val="minMax"/>
        </c:scaling>
        <c:axPos val="b"/>
        <c:majorGridlines/>
        <c:numFmt formatCode="General" sourceLinked="1"/>
        <c:tickLblPos val="nextTo"/>
        <c:txPr>
          <a:bodyPr/>
          <a:lstStyle/>
          <a:p>
            <a:pPr>
              <a:defRPr lang="en-US"/>
            </a:pPr>
            <a:endParaRPr lang="en-US"/>
          </a:p>
        </c:txPr>
        <c:crossAx val="129668224"/>
        <c:crosses val="autoZero"/>
        <c:crossBetween val="between"/>
      </c:valAx>
      <c:spPr>
        <a:solidFill>
          <a:srgbClr val="002060"/>
        </a:solidFill>
      </c:spPr>
    </c:plotArea>
    <c:plotVisOnly val="1"/>
    <c:dispBlanksAs val="gap"/>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000"/>
              <a:t>ROE</a:t>
            </a:r>
            <a:r>
              <a:rPr lang="en-US" sz="1000" baseline="0"/>
              <a:t> in %</a:t>
            </a:r>
            <a:endParaRPr lang="en-US"/>
          </a:p>
        </c:rich>
      </c:tx>
    </c:title>
    <c:plotArea>
      <c:layout/>
      <c:barChart>
        <c:barDir val="col"/>
        <c:grouping val="stacked"/>
        <c:ser>
          <c:idx val="0"/>
          <c:order val="0"/>
          <c:tx>
            <c:strRef>
              <c:f>Sheet1!$B$1</c:f>
              <c:strCache>
                <c:ptCount val="1"/>
                <c:pt idx="0">
                  <c:v>Series 1</c:v>
                </c:pt>
              </c:strCache>
            </c:strRef>
          </c:tx>
          <c:spPr>
            <a:solidFill>
              <a:srgbClr val="C00000"/>
            </a:solidFill>
          </c:spPr>
          <c:cat>
            <c:strRef>
              <c:f>Sheet1!$A$2:$A$8</c:f>
              <c:strCache>
                <c:ptCount val="7"/>
                <c:pt idx="0">
                  <c:v>Y2005</c:v>
                </c:pt>
                <c:pt idx="1">
                  <c:v>Y2006</c:v>
                </c:pt>
                <c:pt idx="2">
                  <c:v>Y2007</c:v>
                </c:pt>
                <c:pt idx="3">
                  <c:v>Y2008</c:v>
                </c:pt>
                <c:pt idx="4">
                  <c:v>Y2009</c:v>
                </c:pt>
                <c:pt idx="5">
                  <c:v>Y2010</c:v>
                </c:pt>
                <c:pt idx="6">
                  <c:v>Y2011</c:v>
                </c:pt>
              </c:strCache>
            </c:strRef>
          </c:cat>
          <c:val>
            <c:numRef>
              <c:f>Sheet1!$B$2:$B$8</c:f>
              <c:numCache>
                <c:formatCode>General</c:formatCode>
                <c:ptCount val="7"/>
                <c:pt idx="0">
                  <c:v>18</c:v>
                </c:pt>
                <c:pt idx="1">
                  <c:v>6.33</c:v>
                </c:pt>
                <c:pt idx="2">
                  <c:v>6.83</c:v>
                </c:pt>
                <c:pt idx="3">
                  <c:v>0.4</c:v>
                </c:pt>
                <c:pt idx="4">
                  <c:v>8.8000000000000007</c:v>
                </c:pt>
                <c:pt idx="5">
                  <c:v>7.4</c:v>
                </c:pt>
                <c:pt idx="6">
                  <c:v>6.98</c:v>
                </c:pt>
              </c:numCache>
            </c:numRef>
          </c:val>
        </c:ser>
        <c:overlap val="100"/>
        <c:axId val="116678656"/>
        <c:axId val="116680192"/>
      </c:barChart>
      <c:catAx>
        <c:axId val="116678656"/>
        <c:scaling>
          <c:orientation val="minMax"/>
        </c:scaling>
        <c:axPos val="b"/>
        <c:tickLblPos val="nextTo"/>
        <c:txPr>
          <a:bodyPr/>
          <a:lstStyle/>
          <a:p>
            <a:pPr>
              <a:defRPr lang="en-US"/>
            </a:pPr>
            <a:endParaRPr lang="en-US"/>
          </a:p>
        </c:txPr>
        <c:crossAx val="116680192"/>
        <c:crosses val="autoZero"/>
        <c:auto val="1"/>
        <c:lblAlgn val="ctr"/>
        <c:lblOffset val="100"/>
      </c:catAx>
      <c:valAx>
        <c:axId val="116680192"/>
        <c:scaling>
          <c:orientation val="minMax"/>
        </c:scaling>
        <c:axPos val="l"/>
        <c:majorGridlines/>
        <c:numFmt formatCode="General" sourceLinked="1"/>
        <c:tickLblPos val="nextTo"/>
        <c:txPr>
          <a:bodyPr/>
          <a:lstStyle/>
          <a:p>
            <a:pPr>
              <a:defRPr lang="en-US"/>
            </a:pPr>
            <a:endParaRPr lang="en-US"/>
          </a:p>
        </c:txPr>
        <c:crossAx val="116678656"/>
        <c:crosses val="autoZero"/>
        <c:crossBetween val="between"/>
      </c:valAx>
      <c:spPr>
        <a:solidFill>
          <a:srgbClr val="002060"/>
        </a:solidFill>
      </c:spPr>
    </c:plotArea>
    <c:plotVisOnly val="1"/>
    <c:dispBlanksAs val="gap"/>
  </c:chart>
  <c:spPr>
    <a:solidFill>
      <a:srgbClr val="00206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6251822688830545E-2"/>
          <c:y val="0.16697444069491349"/>
          <c:w val="0.70256871536891219"/>
          <c:h val="0.70413323334584565"/>
        </c:manualLayout>
      </c:layout>
      <c:barChart>
        <c:barDir val="col"/>
        <c:grouping val="stacked"/>
        <c:ser>
          <c:idx val="0"/>
          <c:order val="0"/>
          <c:tx>
            <c:strRef>
              <c:f>Sheet1!$B$1</c:f>
              <c:strCache>
                <c:ptCount val="1"/>
                <c:pt idx="0">
                  <c:v>Series 1</c:v>
                </c:pt>
              </c:strCache>
            </c:strRef>
          </c:tx>
          <c:spPr>
            <a:solidFill>
              <a:srgbClr val="C00000"/>
            </a:solidFill>
          </c:spPr>
          <c:cat>
            <c:strRef>
              <c:f>Sheet1!$A$2:$A$8</c:f>
              <c:strCache>
                <c:ptCount val="7"/>
                <c:pt idx="0">
                  <c:v>Y2005</c:v>
                </c:pt>
                <c:pt idx="1">
                  <c:v>Y2006</c:v>
                </c:pt>
                <c:pt idx="2">
                  <c:v>Y2007</c:v>
                </c:pt>
                <c:pt idx="3">
                  <c:v>Y2008</c:v>
                </c:pt>
                <c:pt idx="4">
                  <c:v>Y2009</c:v>
                </c:pt>
                <c:pt idx="5">
                  <c:v>Y2010</c:v>
                </c:pt>
                <c:pt idx="6">
                  <c:v>Y2011</c:v>
                </c:pt>
              </c:strCache>
            </c:strRef>
          </c:cat>
          <c:val>
            <c:numRef>
              <c:f>Sheet1!$B$2:$B$8</c:f>
              <c:numCache>
                <c:formatCode>General</c:formatCode>
                <c:ptCount val="7"/>
                <c:pt idx="0">
                  <c:v>19.100000000000001</c:v>
                </c:pt>
                <c:pt idx="1">
                  <c:v>16.600000000000001</c:v>
                </c:pt>
                <c:pt idx="2">
                  <c:v>15.9</c:v>
                </c:pt>
                <c:pt idx="3">
                  <c:v>7.72</c:v>
                </c:pt>
                <c:pt idx="4">
                  <c:v>4.1099999999999985</c:v>
                </c:pt>
                <c:pt idx="5">
                  <c:v>4.6199999999999966</c:v>
                </c:pt>
                <c:pt idx="6">
                  <c:v>2.92</c:v>
                </c:pt>
              </c:numCache>
            </c:numRef>
          </c:val>
        </c:ser>
        <c:overlap val="100"/>
        <c:axId val="116704000"/>
        <c:axId val="116705536"/>
      </c:barChart>
      <c:catAx>
        <c:axId val="116704000"/>
        <c:scaling>
          <c:orientation val="minMax"/>
        </c:scaling>
        <c:axPos val="b"/>
        <c:tickLblPos val="nextTo"/>
        <c:txPr>
          <a:bodyPr/>
          <a:lstStyle/>
          <a:p>
            <a:pPr>
              <a:defRPr lang="en-US"/>
            </a:pPr>
            <a:endParaRPr lang="en-US"/>
          </a:p>
        </c:txPr>
        <c:crossAx val="116705536"/>
        <c:crosses val="autoZero"/>
        <c:auto val="1"/>
        <c:lblAlgn val="ctr"/>
        <c:lblOffset val="100"/>
      </c:catAx>
      <c:valAx>
        <c:axId val="116705536"/>
        <c:scaling>
          <c:orientation val="minMax"/>
        </c:scaling>
        <c:axPos val="l"/>
        <c:majorGridlines/>
        <c:numFmt formatCode="General" sourceLinked="1"/>
        <c:tickLblPos val="nextTo"/>
        <c:txPr>
          <a:bodyPr/>
          <a:lstStyle/>
          <a:p>
            <a:pPr>
              <a:defRPr lang="en-US"/>
            </a:pPr>
            <a:endParaRPr lang="en-US"/>
          </a:p>
        </c:txPr>
        <c:crossAx val="116704000"/>
        <c:crosses val="autoZero"/>
        <c:crossBetween val="between"/>
      </c:valAx>
      <c:spPr>
        <a:solidFill>
          <a:srgbClr val="002060"/>
        </a:solidFill>
      </c:spPr>
    </c:plotArea>
    <c:plotVisOnly val="1"/>
    <c:dispBlanksAs val="gap"/>
  </c:chart>
  <c:spPr>
    <a:solidFill>
      <a:srgbClr val="002060"/>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114585797465303E-2"/>
          <c:y val="8.0124378547688335E-2"/>
          <c:w val="0.89227332187619957"/>
          <c:h val="0.72155241338592302"/>
        </c:manualLayout>
      </c:layout>
      <c:barChart>
        <c:barDir val="col"/>
        <c:grouping val="stacked"/>
        <c:ser>
          <c:idx val="0"/>
          <c:order val="0"/>
          <c:tx>
            <c:strRef>
              <c:f>Sheet1!$B$1</c:f>
              <c:strCache>
                <c:ptCount val="1"/>
                <c:pt idx="0">
                  <c:v>Series 1</c:v>
                </c:pt>
              </c:strCache>
            </c:strRef>
          </c:tx>
          <c:spPr>
            <a:solidFill>
              <a:srgbClr val="C00000"/>
            </a:solidFill>
          </c:spPr>
          <c:cat>
            <c:strRef>
              <c:f>Sheet1!$A$2:$A$9</c:f>
              <c:strCache>
                <c:ptCount val="7"/>
                <c:pt idx="0">
                  <c:v>Y2005</c:v>
                </c:pt>
                <c:pt idx="1">
                  <c:v>Y2006</c:v>
                </c:pt>
                <c:pt idx="2">
                  <c:v>Y2007</c:v>
                </c:pt>
                <c:pt idx="3">
                  <c:v>Y2008</c:v>
                </c:pt>
                <c:pt idx="4">
                  <c:v>Y2009</c:v>
                </c:pt>
                <c:pt idx="5">
                  <c:v>Y2010</c:v>
                </c:pt>
                <c:pt idx="6">
                  <c:v>Y2011</c:v>
                </c:pt>
              </c:strCache>
            </c:strRef>
          </c:cat>
          <c:val>
            <c:numRef>
              <c:f>Sheet1!$B$2:$B$9</c:f>
              <c:numCache>
                <c:formatCode>General</c:formatCode>
                <c:ptCount val="8"/>
                <c:pt idx="0">
                  <c:v>22.36</c:v>
                </c:pt>
                <c:pt idx="1">
                  <c:v>30</c:v>
                </c:pt>
                <c:pt idx="2">
                  <c:v>20.399999999999999</c:v>
                </c:pt>
                <c:pt idx="3">
                  <c:v>21.4</c:v>
                </c:pt>
                <c:pt idx="4">
                  <c:v>17.7</c:v>
                </c:pt>
                <c:pt idx="5">
                  <c:v>16</c:v>
                </c:pt>
                <c:pt idx="6">
                  <c:v>15.6</c:v>
                </c:pt>
              </c:numCache>
            </c:numRef>
          </c:val>
        </c:ser>
        <c:overlap val="100"/>
        <c:axId val="116757632"/>
        <c:axId val="116759168"/>
      </c:barChart>
      <c:catAx>
        <c:axId val="116757632"/>
        <c:scaling>
          <c:orientation val="minMax"/>
        </c:scaling>
        <c:axPos val="b"/>
        <c:tickLblPos val="nextTo"/>
        <c:txPr>
          <a:bodyPr/>
          <a:lstStyle/>
          <a:p>
            <a:pPr>
              <a:defRPr lang="en-US"/>
            </a:pPr>
            <a:endParaRPr lang="en-US"/>
          </a:p>
        </c:txPr>
        <c:crossAx val="116759168"/>
        <c:crosses val="autoZero"/>
        <c:auto val="1"/>
        <c:lblAlgn val="ctr"/>
        <c:lblOffset val="100"/>
      </c:catAx>
      <c:valAx>
        <c:axId val="116759168"/>
        <c:scaling>
          <c:orientation val="minMax"/>
        </c:scaling>
        <c:axPos val="l"/>
        <c:majorGridlines/>
        <c:numFmt formatCode="General" sourceLinked="1"/>
        <c:tickLblPos val="nextTo"/>
        <c:txPr>
          <a:bodyPr/>
          <a:lstStyle/>
          <a:p>
            <a:pPr>
              <a:defRPr lang="en-US"/>
            </a:pPr>
            <a:endParaRPr lang="en-US"/>
          </a:p>
        </c:txPr>
        <c:crossAx val="116757632"/>
        <c:crosses val="autoZero"/>
        <c:crossBetween val="between"/>
      </c:valAx>
      <c:spPr>
        <a:solidFill>
          <a:srgbClr val="002060"/>
        </a:solidFill>
      </c:spPr>
    </c:plotArea>
    <c:plotVisOnly val="1"/>
    <c:dispBlanksAs val="gap"/>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Sheet1!$B$1</c:f>
              <c:strCache>
                <c:ptCount val="1"/>
                <c:pt idx="0">
                  <c:v>Series 1</c:v>
                </c:pt>
              </c:strCache>
            </c:strRef>
          </c:tx>
          <c:spPr>
            <a:solidFill>
              <a:srgbClr val="C00000"/>
            </a:solidFill>
          </c:spPr>
          <c:cat>
            <c:strRef>
              <c:f>Sheet1!$A$2:$A$9</c:f>
              <c:strCache>
                <c:ptCount val="7"/>
                <c:pt idx="0">
                  <c:v>Y2005</c:v>
                </c:pt>
                <c:pt idx="1">
                  <c:v>Y2006</c:v>
                </c:pt>
                <c:pt idx="2">
                  <c:v>Y2007</c:v>
                </c:pt>
                <c:pt idx="3">
                  <c:v>Y2008</c:v>
                </c:pt>
                <c:pt idx="4">
                  <c:v>Y2009</c:v>
                </c:pt>
                <c:pt idx="5">
                  <c:v>Y2010</c:v>
                </c:pt>
                <c:pt idx="6">
                  <c:v>Y2011</c:v>
                </c:pt>
              </c:strCache>
            </c:strRef>
          </c:cat>
          <c:val>
            <c:numRef>
              <c:f>Sheet1!$B$2:$B$9</c:f>
              <c:numCache>
                <c:formatCode>General</c:formatCode>
                <c:ptCount val="8"/>
                <c:pt idx="0">
                  <c:v>34.800000000000004</c:v>
                </c:pt>
                <c:pt idx="1">
                  <c:v>26</c:v>
                </c:pt>
                <c:pt idx="2">
                  <c:v>24.6</c:v>
                </c:pt>
                <c:pt idx="3">
                  <c:v>28.5</c:v>
                </c:pt>
                <c:pt idx="4">
                  <c:v>40</c:v>
                </c:pt>
                <c:pt idx="5">
                  <c:v>35.300000000000004</c:v>
                </c:pt>
                <c:pt idx="6">
                  <c:v>35.700000000000003</c:v>
                </c:pt>
              </c:numCache>
            </c:numRef>
          </c:val>
        </c:ser>
        <c:overlap val="100"/>
        <c:axId val="116778496"/>
        <c:axId val="116780032"/>
      </c:barChart>
      <c:catAx>
        <c:axId val="116778496"/>
        <c:scaling>
          <c:orientation val="minMax"/>
        </c:scaling>
        <c:axPos val="b"/>
        <c:tickLblPos val="nextTo"/>
        <c:txPr>
          <a:bodyPr/>
          <a:lstStyle/>
          <a:p>
            <a:pPr>
              <a:defRPr lang="en-US"/>
            </a:pPr>
            <a:endParaRPr lang="en-US"/>
          </a:p>
        </c:txPr>
        <c:crossAx val="116780032"/>
        <c:crosses val="autoZero"/>
        <c:auto val="1"/>
        <c:lblAlgn val="ctr"/>
        <c:lblOffset val="100"/>
      </c:catAx>
      <c:valAx>
        <c:axId val="116780032"/>
        <c:scaling>
          <c:orientation val="minMax"/>
        </c:scaling>
        <c:axPos val="l"/>
        <c:majorGridlines/>
        <c:numFmt formatCode="General" sourceLinked="1"/>
        <c:tickLblPos val="nextTo"/>
        <c:txPr>
          <a:bodyPr/>
          <a:lstStyle/>
          <a:p>
            <a:pPr>
              <a:defRPr lang="en-US"/>
            </a:pPr>
            <a:endParaRPr lang="en-US"/>
          </a:p>
        </c:txPr>
        <c:crossAx val="116778496"/>
        <c:crosses val="autoZero"/>
        <c:crossBetween val="between"/>
      </c:valAx>
      <c:spPr>
        <a:solidFill>
          <a:srgbClr val="002060"/>
        </a:solidFill>
      </c:spPr>
    </c:plotArea>
    <c:plotVisOnly val="1"/>
    <c:dispBlanksAs val="gap"/>
  </c:chart>
  <c:spPr>
    <a:solidFill>
      <a:srgbClr val="002060"/>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832932341792134E-2"/>
          <c:y val="2.4216347956505492E-2"/>
          <c:w val="0.84020493918980665"/>
          <c:h val="0.70919291338586365"/>
        </c:manualLayout>
      </c:layout>
      <c:barChart>
        <c:barDir val="col"/>
        <c:grouping val="stacked"/>
        <c:ser>
          <c:idx val="0"/>
          <c:order val="0"/>
          <c:tx>
            <c:strRef>
              <c:f>ورقة1!$B$1</c:f>
              <c:strCache>
                <c:ptCount val="1"/>
                <c:pt idx="0">
                  <c:v>سلسلة 1</c:v>
                </c:pt>
              </c:strCache>
            </c:strRef>
          </c:tx>
          <c:spPr>
            <a:solidFill>
              <a:srgbClr val="C00000"/>
            </a:solidFill>
          </c:spPr>
          <c:cat>
            <c:strRef>
              <c:f>ورقة1!$A$2:$A$8</c:f>
              <c:strCache>
                <c:ptCount val="7"/>
                <c:pt idx="0">
                  <c:v>Y2005</c:v>
                </c:pt>
                <c:pt idx="1">
                  <c:v>Y2006</c:v>
                </c:pt>
                <c:pt idx="2">
                  <c:v>Y2007</c:v>
                </c:pt>
                <c:pt idx="3">
                  <c:v>Y2008</c:v>
                </c:pt>
                <c:pt idx="4">
                  <c:v>Y2009</c:v>
                </c:pt>
                <c:pt idx="5">
                  <c:v>Y2010</c:v>
                </c:pt>
                <c:pt idx="6">
                  <c:v>Y2011</c:v>
                </c:pt>
              </c:strCache>
            </c:strRef>
          </c:cat>
          <c:val>
            <c:numRef>
              <c:f>ورقة1!$B$2:$B$8</c:f>
              <c:numCache>
                <c:formatCode>General</c:formatCode>
                <c:ptCount val="7"/>
                <c:pt idx="0">
                  <c:v>29</c:v>
                </c:pt>
                <c:pt idx="1">
                  <c:v>22.3</c:v>
                </c:pt>
                <c:pt idx="2">
                  <c:v>20.5</c:v>
                </c:pt>
                <c:pt idx="3">
                  <c:v>11</c:v>
                </c:pt>
                <c:pt idx="4">
                  <c:v>8</c:v>
                </c:pt>
                <c:pt idx="5">
                  <c:v>9.8000000000000007</c:v>
                </c:pt>
                <c:pt idx="6">
                  <c:v>11.4</c:v>
                </c:pt>
              </c:numCache>
            </c:numRef>
          </c:val>
        </c:ser>
        <c:overlap val="100"/>
        <c:axId val="117860224"/>
        <c:axId val="117861760"/>
      </c:barChart>
      <c:catAx>
        <c:axId val="117860224"/>
        <c:scaling>
          <c:orientation val="minMax"/>
        </c:scaling>
        <c:axPos val="b"/>
        <c:tickLblPos val="nextTo"/>
        <c:txPr>
          <a:bodyPr/>
          <a:lstStyle/>
          <a:p>
            <a:pPr>
              <a:defRPr lang="en-US"/>
            </a:pPr>
            <a:endParaRPr lang="en-US"/>
          </a:p>
        </c:txPr>
        <c:crossAx val="117861760"/>
        <c:crosses val="autoZero"/>
        <c:auto val="1"/>
        <c:lblAlgn val="ctr"/>
        <c:lblOffset val="100"/>
      </c:catAx>
      <c:valAx>
        <c:axId val="117861760"/>
        <c:scaling>
          <c:orientation val="minMax"/>
        </c:scaling>
        <c:axPos val="l"/>
        <c:majorGridlines/>
        <c:numFmt formatCode="General" sourceLinked="1"/>
        <c:tickLblPos val="nextTo"/>
        <c:txPr>
          <a:bodyPr/>
          <a:lstStyle/>
          <a:p>
            <a:pPr>
              <a:defRPr lang="en-US"/>
            </a:pPr>
            <a:endParaRPr lang="en-US"/>
          </a:p>
        </c:txPr>
        <c:crossAx val="117860224"/>
        <c:crosses val="autoZero"/>
        <c:crossBetween val="between"/>
      </c:valAx>
      <c:spPr>
        <a:solidFill>
          <a:srgbClr val="002060"/>
        </a:solidFill>
      </c:spPr>
    </c:plotArea>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Sheet1!$B$1</c:f>
              <c:strCache>
                <c:ptCount val="1"/>
                <c:pt idx="0">
                  <c:v>Series 1</c:v>
                </c:pt>
              </c:strCache>
            </c:strRef>
          </c:tx>
          <c:spPr>
            <a:solidFill>
              <a:srgbClr val="C00000"/>
            </a:solidFill>
          </c:spPr>
          <c:cat>
            <c:strRef>
              <c:f>Sheet1!$A$2:$A$10</c:f>
              <c:strCache>
                <c:ptCount val="7"/>
                <c:pt idx="0">
                  <c:v>Y2005</c:v>
                </c:pt>
                <c:pt idx="1">
                  <c:v>Y2006</c:v>
                </c:pt>
                <c:pt idx="2">
                  <c:v>Y2007</c:v>
                </c:pt>
                <c:pt idx="3">
                  <c:v>Y2008</c:v>
                </c:pt>
                <c:pt idx="4">
                  <c:v>Y2009</c:v>
                </c:pt>
                <c:pt idx="5">
                  <c:v>Y2010</c:v>
                </c:pt>
                <c:pt idx="6">
                  <c:v>Y2011</c:v>
                </c:pt>
              </c:strCache>
            </c:strRef>
          </c:cat>
          <c:val>
            <c:numRef>
              <c:f>Sheet1!$B$2:$B$10</c:f>
              <c:numCache>
                <c:formatCode>General</c:formatCode>
                <c:ptCount val="9"/>
                <c:pt idx="0">
                  <c:v>111.5</c:v>
                </c:pt>
                <c:pt idx="1">
                  <c:v>99</c:v>
                </c:pt>
                <c:pt idx="2">
                  <c:v>81.2</c:v>
                </c:pt>
                <c:pt idx="3">
                  <c:v>89</c:v>
                </c:pt>
                <c:pt idx="4">
                  <c:v>78</c:v>
                </c:pt>
                <c:pt idx="5">
                  <c:v>89</c:v>
                </c:pt>
                <c:pt idx="6">
                  <c:v>90</c:v>
                </c:pt>
              </c:numCache>
            </c:numRef>
          </c:val>
        </c:ser>
        <c:overlap val="100"/>
        <c:axId val="121874688"/>
        <c:axId val="127479808"/>
      </c:barChart>
      <c:catAx>
        <c:axId val="121874688"/>
        <c:scaling>
          <c:orientation val="minMax"/>
        </c:scaling>
        <c:axPos val="b"/>
        <c:tickLblPos val="nextTo"/>
        <c:txPr>
          <a:bodyPr/>
          <a:lstStyle/>
          <a:p>
            <a:pPr>
              <a:defRPr lang="en-US"/>
            </a:pPr>
            <a:endParaRPr lang="en-US"/>
          </a:p>
        </c:txPr>
        <c:crossAx val="127479808"/>
        <c:crosses val="autoZero"/>
        <c:auto val="1"/>
        <c:lblAlgn val="ctr"/>
        <c:lblOffset val="100"/>
      </c:catAx>
      <c:valAx>
        <c:axId val="127479808"/>
        <c:scaling>
          <c:orientation val="minMax"/>
        </c:scaling>
        <c:axPos val="l"/>
        <c:majorGridlines/>
        <c:numFmt formatCode="General" sourceLinked="1"/>
        <c:tickLblPos val="nextTo"/>
        <c:txPr>
          <a:bodyPr/>
          <a:lstStyle/>
          <a:p>
            <a:pPr>
              <a:defRPr lang="en-US"/>
            </a:pPr>
            <a:endParaRPr lang="en-US"/>
          </a:p>
        </c:txPr>
        <c:crossAx val="121874688"/>
        <c:crosses val="autoZero"/>
        <c:crossBetween val="between"/>
      </c:valAx>
      <c:spPr>
        <a:solidFill>
          <a:srgbClr val="002060"/>
        </a:solidFill>
      </c:spPr>
    </c:plotArea>
    <c:plotVisOnly val="1"/>
    <c:dispBlanksAs val="gap"/>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Series 1</c:v>
                </c:pt>
              </c:strCache>
            </c:strRef>
          </c:tx>
          <c:spPr>
            <a:solidFill>
              <a:srgbClr val="C00000"/>
            </a:solidFill>
          </c:spPr>
          <c:cat>
            <c:strRef>
              <c:f>Sheet1!$A$2:$A$17</c:f>
              <c:strCache>
                <c:ptCount val="12"/>
                <c:pt idx="0">
                  <c:v>Balances with PMA</c:v>
                </c:pt>
                <c:pt idx="1">
                  <c:v>Balances at banks and institutions</c:v>
                </c:pt>
                <c:pt idx="2">
                  <c:v>Financial assets at fair value</c:v>
                </c:pt>
                <c:pt idx="3">
                  <c:v>Credit to individuals</c:v>
                </c:pt>
                <c:pt idx="4">
                  <c:v>Credit to Corporate</c:v>
                </c:pt>
                <c:pt idx="5">
                  <c:v>Credit to public sector</c:v>
                </c:pt>
                <c:pt idx="6">
                  <c:v>Financial assets at a morotized cost</c:v>
                </c:pt>
                <c:pt idx="7">
                  <c:v>Other assets</c:v>
                </c:pt>
                <c:pt idx="8">
                  <c:v>Letter of guarantees</c:v>
                </c:pt>
                <c:pt idx="9">
                  <c:v>Letters of credit</c:v>
                </c:pt>
                <c:pt idx="10">
                  <c:v>Acceptences</c:v>
                </c:pt>
                <c:pt idx="11">
                  <c:v>Unutized credit facility limits</c:v>
                </c:pt>
              </c:strCache>
            </c:strRef>
          </c:cat>
          <c:val>
            <c:numRef>
              <c:f>Sheet1!$B$2:$B$17</c:f>
              <c:numCache>
                <c:formatCode>General</c:formatCode>
                <c:ptCount val="16"/>
                <c:pt idx="0">
                  <c:v>9.5</c:v>
                </c:pt>
                <c:pt idx="1">
                  <c:v>21.5</c:v>
                </c:pt>
                <c:pt idx="2">
                  <c:v>1.3</c:v>
                </c:pt>
                <c:pt idx="3">
                  <c:v>18.3</c:v>
                </c:pt>
                <c:pt idx="4">
                  <c:v>15.5</c:v>
                </c:pt>
                <c:pt idx="5">
                  <c:v>16.399999999999999</c:v>
                </c:pt>
                <c:pt idx="6">
                  <c:v>4.4000000000000004</c:v>
                </c:pt>
                <c:pt idx="7">
                  <c:v>0.4</c:v>
                </c:pt>
                <c:pt idx="8">
                  <c:v>5.9</c:v>
                </c:pt>
                <c:pt idx="9">
                  <c:v>0.9</c:v>
                </c:pt>
                <c:pt idx="10">
                  <c:v>1</c:v>
                </c:pt>
                <c:pt idx="11">
                  <c:v>4.7</c:v>
                </c:pt>
              </c:numCache>
            </c:numRef>
          </c:val>
        </c:ser>
        <c:overlap val="100"/>
        <c:axId val="121866880"/>
        <c:axId val="127504768"/>
      </c:barChart>
      <c:catAx>
        <c:axId val="121866880"/>
        <c:scaling>
          <c:orientation val="minMax"/>
        </c:scaling>
        <c:axPos val="l"/>
        <c:tickLblPos val="nextTo"/>
        <c:txPr>
          <a:bodyPr/>
          <a:lstStyle/>
          <a:p>
            <a:pPr>
              <a:defRPr lang="en-US"/>
            </a:pPr>
            <a:endParaRPr lang="en-US"/>
          </a:p>
        </c:txPr>
        <c:crossAx val="127504768"/>
        <c:crosses val="autoZero"/>
        <c:auto val="1"/>
        <c:lblAlgn val="ctr"/>
        <c:lblOffset val="100"/>
      </c:catAx>
      <c:valAx>
        <c:axId val="127504768"/>
        <c:scaling>
          <c:orientation val="minMax"/>
        </c:scaling>
        <c:axPos val="b"/>
        <c:majorGridlines/>
        <c:numFmt formatCode="General" sourceLinked="1"/>
        <c:tickLblPos val="nextTo"/>
        <c:txPr>
          <a:bodyPr/>
          <a:lstStyle/>
          <a:p>
            <a:pPr>
              <a:defRPr lang="en-US"/>
            </a:pPr>
            <a:endParaRPr lang="en-US"/>
          </a:p>
        </c:txPr>
        <c:crossAx val="121866880"/>
        <c:crosses val="autoZero"/>
        <c:crossBetween val="between"/>
      </c:valAx>
      <c:spPr>
        <a:solidFill>
          <a:srgbClr val="002060"/>
        </a:solidFill>
      </c:spPr>
    </c:plotArea>
    <c:plotVisOnly val="1"/>
    <c:dispBlanksAs val="gap"/>
  </c:chart>
  <c:spPr>
    <a:no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Series 1</c:v>
                </c:pt>
              </c:strCache>
            </c:strRef>
          </c:tx>
          <c:spPr>
            <a:solidFill>
              <a:srgbClr val="C00000"/>
            </a:solidFill>
          </c:spPr>
          <c:cat>
            <c:strRef>
              <c:f>Sheet1!$A$2:$A$11</c:f>
              <c:strCache>
                <c:ptCount val="6"/>
                <c:pt idx="0">
                  <c:v>Palestine</c:v>
                </c:pt>
                <c:pt idx="1">
                  <c:v>Arab countries</c:v>
                </c:pt>
                <c:pt idx="2">
                  <c:v>Israel</c:v>
                </c:pt>
                <c:pt idx="3">
                  <c:v>Europ</c:v>
                </c:pt>
                <c:pt idx="4">
                  <c:v>USA</c:v>
                </c:pt>
                <c:pt idx="5">
                  <c:v>Others</c:v>
                </c:pt>
              </c:strCache>
            </c:strRef>
          </c:cat>
          <c:val>
            <c:numRef>
              <c:f>Sheet1!$B$2:$B$11</c:f>
              <c:numCache>
                <c:formatCode>General</c:formatCode>
                <c:ptCount val="10"/>
                <c:pt idx="0">
                  <c:v>70</c:v>
                </c:pt>
                <c:pt idx="1">
                  <c:v>7.4</c:v>
                </c:pt>
                <c:pt idx="2">
                  <c:v>2.9</c:v>
                </c:pt>
                <c:pt idx="3">
                  <c:v>10</c:v>
                </c:pt>
                <c:pt idx="4">
                  <c:v>3</c:v>
                </c:pt>
                <c:pt idx="5">
                  <c:v>2</c:v>
                </c:pt>
                <c:pt idx="6">
                  <c:v>0</c:v>
                </c:pt>
              </c:numCache>
            </c:numRef>
          </c:val>
        </c:ser>
        <c:overlap val="100"/>
        <c:axId val="127532032"/>
        <c:axId val="117834496"/>
      </c:barChart>
      <c:catAx>
        <c:axId val="127532032"/>
        <c:scaling>
          <c:orientation val="minMax"/>
        </c:scaling>
        <c:axPos val="l"/>
        <c:tickLblPos val="nextTo"/>
        <c:txPr>
          <a:bodyPr/>
          <a:lstStyle/>
          <a:p>
            <a:pPr>
              <a:defRPr lang="en-US"/>
            </a:pPr>
            <a:endParaRPr lang="en-US"/>
          </a:p>
        </c:txPr>
        <c:crossAx val="117834496"/>
        <c:crosses val="autoZero"/>
        <c:auto val="1"/>
        <c:lblAlgn val="ctr"/>
        <c:lblOffset val="100"/>
      </c:catAx>
      <c:valAx>
        <c:axId val="117834496"/>
        <c:scaling>
          <c:orientation val="minMax"/>
        </c:scaling>
        <c:axPos val="b"/>
        <c:majorGridlines/>
        <c:numFmt formatCode="General" sourceLinked="1"/>
        <c:tickLblPos val="nextTo"/>
        <c:txPr>
          <a:bodyPr/>
          <a:lstStyle/>
          <a:p>
            <a:pPr>
              <a:defRPr lang="en-US"/>
            </a:pPr>
            <a:endParaRPr lang="en-US"/>
          </a:p>
        </c:txPr>
        <c:crossAx val="127532032"/>
        <c:crosses val="autoZero"/>
        <c:crossBetween val="between"/>
      </c:valAx>
      <c:spPr>
        <a:solidFill>
          <a:srgbClr val="002060"/>
        </a:solidFill>
      </c:spPr>
    </c:plotArea>
    <c:plotVisOnly val="1"/>
    <c:dispBlanksAs val="gap"/>
  </c:chart>
  <c:spPr>
    <a:no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6EDAB-CDAD-4899-82E1-409E505603C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ACDE336E-14EC-4E67-B641-776A8227FFB5}">
      <dgm:prSet phldrT="[Text]" custT="1"/>
      <dgm:spPr>
        <a:solidFill>
          <a:schemeClr val="accent2"/>
        </a:solidFill>
      </dgm:spPr>
      <dgm:t>
        <a:bodyPr/>
        <a:lstStyle/>
        <a:p>
          <a:pPr algn="ctr"/>
          <a:r>
            <a:rPr lang="en-US" sz="1200">
              <a:solidFill>
                <a:sysClr val="windowText" lastClr="000000"/>
              </a:solidFill>
              <a:latin typeface="Times New Roman" pitchFamily="18" charset="0"/>
              <a:cs typeface="Times New Roman" pitchFamily="18" charset="0"/>
            </a:rPr>
            <a:t>Chapter 1</a:t>
          </a:r>
        </a:p>
      </dgm:t>
    </dgm:pt>
    <dgm:pt modelId="{8E839AB5-1326-45F1-B348-BDDCB2563D5C}" type="parTrans" cxnId="{49FA3104-A78F-4EBA-B443-0B245DB23E4B}">
      <dgm:prSet/>
      <dgm:spPr/>
      <dgm:t>
        <a:bodyPr/>
        <a:lstStyle/>
        <a:p>
          <a:endParaRPr lang="en-US"/>
        </a:p>
      </dgm:t>
    </dgm:pt>
    <dgm:pt modelId="{F0F28AF0-05BB-45F3-9385-1E6C600BD24E}" type="sibTrans" cxnId="{49FA3104-A78F-4EBA-B443-0B245DB23E4B}">
      <dgm:prSet/>
      <dgm:spPr/>
      <dgm:t>
        <a:bodyPr/>
        <a:lstStyle/>
        <a:p>
          <a:endParaRPr lang="en-US"/>
        </a:p>
      </dgm:t>
    </dgm:pt>
    <dgm:pt modelId="{9CB4E536-8F15-4EC2-B1BE-EE87EF338ACC}">
      <dgm:prSet phldrT="[Text]" custT="1"/>
      <dgm:spPr/>
      <dgm:t>
        <a:bodyPr/>
        <a:lstStyle/>
        <a:p>
          <a:r>
            <a:rPr lang="en-US" sz="1200">
              <a:solidFill>
                <a:sysClr val="windowText" lastClr="000000"/>
              </a:solidFill>
              <a:latin typeface="Times New Roman" pitchFamily="18" charset="0"/>
              <a:cs typeface="Times New Roman" pitchFamily="18" charset="0"/>
            </a:rPr>
            <a:t>Chapter 2</a:t>
          </a:r>
        </a:p>
      </dgm:t>
    </dgm:pt>
    <dgm:pt modelId="{DC99B88E-327B-4F08-9127-A804740FC3A1}" type="parTrans" cxnId="{CC22395E-8391-416E-A203-51322A704589}">
      <dgm:prSet/>
      <dgm:spPr/>
      <dgm:t>
        <a:bodyPr/>
        <a:lstStyle/>
        <a:p>
          <a:endParaRPr lang="en-US"/>
        </a:p>
      </dgm:t>
    </dgm:pt>
    <dgm:pt modelId="{957B2B58-DB3D-4669-9971-764DCB700376}" type="sibTrans" cxnId="{CC22395E-8391-416E-A203-51322A704589}">
      <dgm:prSet/>
      <dgm:spPr/>
      <dgm:t>
        <a:bodyPr/>
        <a:lstStyle/>
        <a:p>
          <a:endParaRPr lang="en-US"/>
        </a:p>
      </dgm:t>
    </dgm:pt>
    <dgm:pt modelId="{54985029-89D2-47E0-84F4-3CD09377BFDD}">
      <dgm:prSet phldrT="[Text]" custT="1"/>
      <dgm:spPr>
        <a:solidFill>
          <a:schemeClr val="accent5"/>
        </a:solidFill>
      </dgm:spPr>
      <dgm:t>
        <a:bodyPr/>
        <a:lstStyle/>
        <a:p>
          <a:r>
            <a:rPr lang="en-US" sz="1200">
              <a:solidFill>
                <a:sysClr val="windowText" lastClr="000000"/>
              </a:solidFill>
            </a:rPr>
            <a:t>Chapter</a:t>
          </a:r>
          <a:r>
            <a:rPr lang="en-US" sz="1200"/>
            <a:t> </a:t>
          </a:r>
          <a:r>
            <a:rPr lang="en-US" sz="1200">
              <a:solidFill>
                <a:schemeClr val="tx1"/>
              </a:solidFill>
            </a:rPr>
            <a:t>3</a:t>
          </a:r>
        </a:p>
      </dgm:t>
    </dgm:pt>
    <dgm:pt modelId="{322ECB29-B3F5-4C61-8623-06545A7BB255}" type="parTrans" cxnId="{51FE5E5C-CF1B-4275-B4FE-22F333C6B40D}">
      <dgm:prSet/>
      <dgm:spPr/>
      <dgm:t>
        <a:bodyPr/>
        <a:lstStyle/>
        <a:p>
          <a:endParaRPr lang="en-US"/>
        </a:p>
      </dgm:t>
    </dgm:pt>
    <dgm:pt modelId="{7F6819F7-37A7-49FB-BEB3-FE3D0214BFDE}" type="sibTrans" cxnId="{51FE5E5C-CF1B-4275-B4FE-22F333C6B40D}">
      <dgm:prSet/>
      <dgm:spPr/>
      <dgm:t>
        <a:bodyPr/>
        <a:lstStyle/>
        <a:p>
          <a:endParaRPr lang="en-US"/>
        </a:p>
      </dgm:t>
    </dgm:pt>
    <dgm:pt modelId="{02F23B2C-8072-4500-95FD-803F384092B0}">
      <dgm:prSet phldrT="[Text]" custT="1"/>
      <dgm:spPr>
        <a:solidFill>
          <a:srgbClr val="00B050"/>
        </a:solidFill>
      </dgm:spPr>
      <dgm:t>
        <a:bodyPr/>
        <a:lstStyle/>
        <a:p>
          <a:r>
            <a:rPr lang="en-US" sz="1200">
              <a:solidFill>
                <a:schemeClr val="tx1"/>
              </a:solidFill>
              <a:latin typeface="Times New Roman" pitchFamily="18" charset="0"/>
              <a:cs typeface="Times New Roman" pitchFamily="18" charset="0"/>
            </a:rPr>
            <a:t>Chapte</a:t>
          </a:r>
          <a:r>
            <a:rPr lang="en-US" sz="1200">
              <a:solidFill>
                <a:schemeClr val="tx1"/>
              </a:solidFill>
            </a:rPr>
            <a:t>r</a:t>
          </a:r>
          <a:r>
            <a:rPr lang="en-US" sz="1200">
              <a:solidFill>
                <a:sysClr val="windowText" lastClr="000000"/>
              </a:solidFill>
            </a:rPr>
            <a:t>4</a:t>
          </a:r>
        </a:p>
      </dgm:t>
    </dgm:pt>
    <dgm:pt modelId="{9DE5A3F1-C02B-4A8B-90B2-A8F2506F9F9A}" type="parTrans" cxnId="{98D4B92C-4923-43C0-9EBF-8400103D3E67}">
      <dgm:prSet/>
      <dgm:spPr/>
      <dgm:t>
        <a:bodyPr/>
        <a:lstStyle/>
        <a:p>
          <a:endParaRPr lang="en-US"/>
        </a:p>
      </dgm:t>
    </dgm:pt>
    <dgm:pt modelId="{F9C42CEC-D500-4D1E-A98B-BE4489F5F205}" type="sibTrans" cxnId="{98D4B92C-4923-43C0-9EBF-8400103D3E67}">
      <dgm:prSet/>
      <dgm:spPr/>
      <dgm:t>
        <a:bodyPr/>
        <a:lstStyle/>
        <a:p>
          <a:endParaRPr lang="en-US"/>
        </a:p>
      </dgm:t>
    </dgm:pt>
    <dgm:pt modelId="{EE76AD13-82C3-4D99-AA27-50745B018F64}">
      <dgm:prSet custT="1"/>
      <dgm:spPr/>
      <dgm:t>
        <a:bodyPr/>
        <a:lstStyle/>
        <a:p>
          <a:r>
            <a:rPr lang="en-US" sz="1200" b="1">
              <a:latin typeface="Times New Roman" pitchFamily="18" charset="0"/>
              <a:cs typeface="Times New Roman" pitchFamily="18" charset="0"/>
            </a:rPr>
            <a:t>GENERAL FRAMEWORK OF THE STUDY:</a:t>
          </a:r>
          <a:r>
            <a:rPr lang="en-US" sz="1200" b="0">
              <a:latin typeface="Times New Roman" pitchFamily="18" charset="0"/>
              <a:cs typeface="Times New Roman" pitchFamily="18" charset="0"/>
            </a:rPr>
            <a:t>T</a:t>
          </a:r>
          <a:r>
            <a:rPr lang="en-US" sz="1200" b="0">
              <a:solidFill>
                <a:schemeClr val="tx1"/>
              </a:solidFill>
              <a:latin typeface="Times New Roman" pitchFamily="18" charset="0"/>
              <a:cs typeface="Times New Roman" pitchFamily="18" charset="0"/>
            </a:rPr>
            <a:t>his chapter includes an introduction to the study,  the   research questions, the objectives of study, the  significance of study and finally the limitation of the study</a:t>
          </a:r>
          <a:r>
            <a:rPr lang="en-US" sz="1200" b="0">
              <a:latin typeface="Times New Roman" pitchFamily="18" charset="0"/>
              <a:cs typeface="Times New Roman" pitchFamily="18" charset="0"/>
            </a:rPr>
            <a:t>.</a:t>
          </a:r>
        </a:p>
      </dgm:t>
    </dgm:pt>
    <dgm:pt modelId="{21A73FF1-CB29-4CDC-BC4B-3C7E6307E57B}" type="parTrans" cxnId="{863BFF1F-A8E5-4B2A-9FA2-7DCBC34AB922}">
      <dgm:prSet/>
      <dgm:spPr/>
    </dgm:pt>
    <dgm:pt modelId="{9B25295E-A482-4CFC-927C-6F9D6D82277C}" type="sibTrans" cxnId="{863BFF1F-A8E5-4B2A-9FA2-7DCBC34AB922}">
      <dgm:prSet/>
      <dgm:spPr/>
    </dgm:pt>
    <dgm:pt modelId="{68743356-243F-4F44-8AED-264725343F3F}">
      <dgm:prSet custT="1"/>
      <dgm:spPr/>
      <dgm:t>
        <a:bodyPr/>
        <a:lstStyle/>
        <a:p>
          <a:r>
            <a:rPr lang="en-US" sz="1200" b="1">
              <a:latin typeface="Times New Roman" pitchFamily="18" charset="0"/>
              <a:cs typeface="Times New Roman" pitchFamily="18" charset="0"/>
            </a:rPr>
            <a:t>THEORETICAL FRAMEWORK</a:t>
          </a:r>
          <a:r>
            <a:rPr lang="en-US" sz="1200">
              <a:latin typeface="Times New Roman" pitchFamily="18" charset="0"/>
              <a:cs typeface="Times New Roman" pitchFamily="18" charset="0"/>
            </a:rPr>
            <a:t>:T</a:t>
          </a:r>
          <a:r>
            <a:rPr lang="en-US" sz="1200" b="0">
              <a:latin typeface="Times New Roman" pitchFamily="18" charset="0"/>
              <a:cs typeface="Times New Roman" pitchFamily="18" charset="0"/>
            </a:rPr>
            <a:t>his chapter provides a theoretical foundation to this  study by presenting relevant litrature </a:t>
          </a:r>
          <a:endParaRPr lang="en-US" sz="1200">
            <a:latin typeface="Times New Roman" pitchFamily="18" charset="0"/>
            <a:cs typeface="Times New Roman" pitchFamily="18" charset="0"/>
          </a:endParaRPr>
        </a:p>
      </dgm:t>
    </dgm:pt>
    <dgm:pt modelId="{B9F02D61-0AA2-4323-A57A-B6AD4E290D1B}" type="parTrans" cxnId="{93B871A7-57A6-4CEC-8C0D-FD6DBACA502C}">
      <dgm:prSet/>
      <dgm:spPr/>
    </dgm:pt>
    <dgm:pt modelId="{674776EA-90EC-4D91-95C3-9ADAC3904A84}" type="sibTrans" cxnId="{93B871A7-57A6-4CEC-8C0D-FD6DBACA502C}">
      <dgm:prSet/>
      <dgm:spPr/>
    </dgm:pt>
    <dgm:pt modelId="{5CCD6304-A8CD-4CE3-BDA4-281D9D23C0FF}">
      <dgm:prSet custT="1"/>
      <dgm:spPr/>
      <dgm:t>
        <a:bodyPr/>
        <a:lstStyle/>
        <a:p>
          <a:r>
            <a:rPr lang="en-US" sz="1200" b="1">
              <a:latin typeface="Times New Roman" pitchFamily="18" charset="0"/>
              <a:cs typeface="Times New Roman" pitchFamily="18" charset="0"/>
            </a:rPr>
            <a:t>CONCLUDING REMARKS:</a:t>
          </a:r>
          <a:r>
            <a:rPr lang="en-US" sz="1200" b="0">
              <a:latin typeface="Times New Roman" pitchFamily="18" charset="0"/>
              <a:cs typeface="Times New Roman" pitchFamily="18" charset="0"/>
            </a:rPr>
            <a:t>T</a:t>
          </a:r>
          <a:r>
            <a:rPr lang="en-US" sz="1200">
              <a:latin typeface="Times New Roman" pitchFamily="18" charset="0"/>
              <a:cs typeface="Times New Roman" pitchFamily="18" charset="0"/>
            </a:rPr>
            <a:t>his chapter, includes most important conclusions and give suggestions for further studies </a:t>
          </a:r>
        </a:p>
      </dgm:t>
    </dgm:pt>
    <dgm:pt modelId="{62BFB982-C78F-413B-A0C7-7F8290F00581}" type="parTrans" cxnId="{C7A2FBC4-87C6-402C-8975-83020F3BE489}">
      <dgm:prSet/>
      <dgm:spPr/>
    </dgm:pt>
    <dgm:pt modelId="{C7B93C44-C92B-43A6-AF52-50B098EBF195}" type="sibTrans" cxnId="{C7A2FBC4-87C6-402C-8975-83020F3BE489}">
      <dgm:prSet/>
      <dgm:spPr/>
    </dgm:pt>
    <dgm:pt modelId="{03D262E3-AAF3-43CC-A8C0-4B6E22A68AE3}">
      <dgm:prSet phldrT="[Text]" custT="1"/>
      <dgm:spPr/>
      <dgm:t>
        <a:bodyPr/>
        <a:lstStyle/>
        <a:p>
          <a:r>
            <a:rPr lang="en-US" sz="1200" b="1">
              <a:latin typeface="Times New Roman" pitchFamily="18" charset="0"/>
              <a:cs typeface="Times New Roman" pitchFamily="18" charset="0"/>
            </a:rPr>
            <a:t>METHODOLOGY:</a:t>
          </a:r>
          <a:r>
            <a:rPr lang="en-US" sz="1200" b="0">
              <a:latin typeface="Times New Roman" pitchFamily="18" charset="0"/>
              <a:cs typeface="Times New Roman" pitchFamily="18" charset="0"/>
            </a:rPr>
            <a:t>This chapter is devoted to description of the  research approach, sample population, data collection, data analysis instruments and applied research model</a:t>
          </a:r>
          <a:endParaRPr lang="en-US" sz="1200" b="1">
            <a:latin typeface="Times New Roman" pitchFamily="18" charset="0"/>
            <a:cs typeface="Times New Roman" pitchFamily="18" charset="0"/>
          </a:endParaRPr>
        </a:p>
      </dgm:t>
    </dgm:pt>
    <dgm:pt modelId="{05D52DE4-52E5-4FC1-BB8B-F691062D982B}" type="sibTrans" cxnId="{72A09705-4F7E-4884-B6AC-E7813EAB451B}">
      <dgm:prSet/>
      <dgm:spPr/>
      <dgm:t>
        <a:bodyPr/>
        <a:lstStyle/>
        <a:p>
          <a:endParaRPr lang="en-US"/>
        </a:p>
      </dgm:t>
    </dgm:pt>
    <dgm:pt modelId="{2E07D4D8-E73E-4437-B142-41D5C671914C}" type="parTrans" cxnId="{72A09705-4F7E-4884-B6AC-E7813EAB451B}">
      <dgm:prSet/>
      <dgm:spPr/>
      <dgm:t>
        <a:bodyPr/>
        <a:lstStyle/>
        <a:p>
          <a:endParaRPr lang="en-US"/>
        </a:p>
      </dgm:t>
    </dgm:pt>
    <dgm:pt modelId="{4624F8AD-DA02-4D47-82B7-BC1BBCB669CD}">
      <dgm:prSet phldrT="[Text]" custT="1"/>
      <dgm:spPr>
        <a:solidFill>
          <a:schemeClr val="accent6"/>
        </a:solidFill>
      </dgm:spPr>
      <dgm:t>
        <a:bodyPr/>
        <a:lstStyle/>
        <a:p>
          <a:r>
            <a:rPr lang="en-US" sz="1200">
              <a:solidFill>
                <a:sysClr val="windowText" lastClr="000000"/>
              </a:solidFill>
            </a:rPr>
            <a:t>Chapter5</a:t>
          </a:r>
        </a:p>
      </dgm:t>
    </dgm:pt>
    <dgm:pt modelId="{7C543ACF-3069-41D5-B3FB-A507C76C0301}" type="sibTrans" cxnId="{67155863-CA22-4391-AC91-C979E31C1720}">
      <dgm:prSet/>
      <dgm:spPr/>
      <dgm:t>
        <a:bodyPr/>
        <a:lstStyle/>
        <a:p>
          <a:endParaRPr lang="en-US"/>
        </a:p>
      </dgm:t>
    </dgm:pt>
    <dgm:pt modelId="{DB9E440F-EF49-423E-8DB8-81E91F9B8010}" type="parTrans" cxnId="{67155863-CA22-4391-AC91-C979E31C1720}">
      <dgm:prSet/>
      <dgm:spPr/>
      <dgm:t>
        <a:bodyPr/>
        <a:lstStyle/>
        <a:p>
          <a:endParaRPr lang="en-US"/>
        </a:p>
      </dgm:t>
    </dgm:pt>
    <dgm:pt modelId="{2964A8EA-09FD-4133-97EE-3982A5F6B28D}">
      <dgm:prSet custT="1"/>
      <dgm:spPr/>
      <dgm:t>
        <a:bodyPr/>
        <a:lstStyle/>
        <a:p>
          <a:pPr algn="l" rtl="1"/>
          <a:r>
            <a:rPr lang="en-US" sz="1200" b="1">
              <a:latin typeface="Times New Roman" pitchFamily="18" charset="0"/>
              <a:cs typeface="Times New Roman" pitchFamily="18" charset="0"/>
            </a:rPr>
            <a:t>EMPIRICAL FINDINGS AND ANALYSIS</a:t>
          </a:r>
          <a:r>
            <a:rPr lang="en-US" sz="1200">
              <a:cs typeface="+mj-cs"/>
            </a:rPr>
            <a:t>: T</a:t>
          </a:r>
          <a:r>
            <a:rPr lang="en-US" sz="1200" b="0">
              <a:latin typeface="Times New Roman" pitchFamily="18" charset="0"/>
              <a:cs typeface="Times New Roman" pitchFamily="18" charset="0"/>
            </a:rPr>
            <a:t>his chapter </a:t>
          </a:r>
          <a:r>
            <a:rPr lang="en-US" sz="1200">
              <a:latin typeface="Times New Roman" pitchFamily="18" charset="0"/>
              <a:cs typeface="Times New Roman" pitchFamily="18" charset="0"/>
            </a:rPr>
            <a:t> presents the results of the  regression model and an analysis of  these results and description of  the impact of credit risk management on profitability </a:t>
          </a:r>
          <a:endParaRPr lang="ar-SA" sz="1200">
            <a:cs typeface="+mj-cs"/>
          </a:endParaRPr>
        </a:p>
      </dgm:t>
    </dgm:pt>
    <dgm:pt modelId="{6BA962CD-60CE-47A8-A785-C159DB46A201}" type="sibTrans" cxnId="{CB96A068-A689-42D5-877C-5B63853373C2}">
      <dgm:prSet/>
      <dgm:spPr/>
    </dgm:pt>
    <dgm:pt modelId="{6E29082C-2818-4F59-8DC1-227C9E7D2624}" type="parTrans" cxnId="{CB96A068-A689-42D5-877C-5B63853373C2}">
      <dgm:prSet/>
      <dgm:spPr/>
    </dgm:pt>
    <dgm:pt modelId="{B9641E43-0B25-486F-ACFC-383BE7603647}" type="pres">
      <dgm:prSet presAssocID="{BA66EDAB-CDAD-4899-82E1-409E505603C7}" presName="linearFlow" presStyleCnt="0">
        <dgm:presLayoutVars>
          <dgm:dir/>
          <dgm:animLvl val="lvl"/>
          <dgm:resizeHandles val="exact"/>
        </dgm:presLayoutVars>
      </dgm:prSet>
      <dgm:spPr/>
      <dgm:t>
        <a:bodyPr/>
        <a:lstStyle/>
        <a:p>
          <a:endParaRPr lang="en-US"/>
        </a:p>
      </dgm:t>
    </dgm:pt>
    <dgm:pt modelId="{72D44AA3-9A1E-4C1A-8907-59A58646C177}" type="pres">
      <dgm:prSet presAssocID="{ACDE336E-14EC-4E67-B641-776A8227FFB5}" presName="composite" presStyleCnt="0"/>
      <dgm:spPr/>
    </dgm:pt>
    <dgm:pt modelId="{00F5938C-292A-48EB-86F8-0618DED54F55}" type="pres">
      <dgm:prSet presAssocID="{ACDE336E-14EC-4E67-B641-776A8227FFB5}" presName="parentText" presStyleLbl="alignNode1" presStyleIdx="0" presStyleCnt="5" custLinFactNeighborX="-25756" custLinFactNeighborY="-407">
        <dgm:presLayoutVars>
          <dgm:chMax val="1"/>
          <dgm:bulletEnabled val="1"/>
        </dgm:presLayoutVars>
      </dgm:prSet>
      <dgm:spPr/>
      <dgm:t>
        <a:bodyPr/>
        <a:lstStyle/>
        <a:p>
          <a:endParaRPr lang="en-US"/>
        </a:p>
      </dgm:t>
    </dgm:pt>
    <dgm:pt modelId="{B9F34F78-364F-488F-B887-5747D1FA4988}" type="pres">
      <dgm:prSet presAssocID="{ACDE336E-14EC-4E67-B641-776A8227FFB5}" presName="descendantText" presStyleLbl="alignAcc1" presStyleIdx="0" presStyleCnt="5">
        <dgm:presLayoutVars>
          <dgm:bulletEnabled val="1"/>
        </dgm:presLayoutVars>
      </dgm:prSet>
      <dgm:spPr/>
      <dgm:t>
        <a:bodyPr/>
        <a:lstStyle/>
        <a:p>
          <a:endParaRPr lang="en-US"/>
        </a:p>
      </dgm:t>
    </dgm:pt>
    <dgm:pt modelId="{C5421DF1-622B-4580-9316-C42C7A0B4A95}" type="pres">
      <dgm:prSet presAssocID="{F0F28AF0-05BB-45F3-9385-1E6C600BD24E}" presName="sp" presStyleCnt="0"/>
      <dgm:spPr/>
    </dgm:pt>
    <dgm:pt modelId="{54E9E824-D99F-4664-A766-7ACDE609F8CD}" type="pres">
      <dgm:prSet presAssocID="{9CB4E536-8F15-4EC2-B1BE-EE87EF338ACC}" presName="composite" presStyleCnt="0"/>
      <dgm:spPr/>
    </dgm:pt>
    <dgm:pt modelId="{F56E1120-5453-4930-9E81-9D256597FE06}" type="pres">
      <dgm:prSet presAssocID="{9CB4E536-8F15-4EC2-B1BE-EE87EF338ACC}" presName="parentText" presStyleLbl="alignNode1" presStyleIdx="1" presStyleCnt="5">
        <dgm:presLayoutVars>
          <dgm:chMax val="1"/>
          <dgm:bulletEnabled val="1"/>
        </dgm:presLayoutVars>
      </dgm:prSet>
      <dgm:spPr/>
      <dgm:t>
        <a:bodyPr/>
        <a:lstStyle/>
        <a:p>
          <a:endParaRPr lang="en-US"/>
        </a:p>
      </dgm:t>
    </dgm:pt>
    <dgm:pt modelId="{F528B6F2-8C81-4DC4-A7BD-68E99A3CB60E}" type="pres">
      <dgm:prSet presAssocID="{9CB4E536-8F15-4EC2-B1BE-EE87EF338ACC}" presName="descendantText" presStyleLbl="alignAcc1" presStyleIdx="1" presStyleCnt="5" custLinFactNeighborX="49" custLinFactNeighborY="7116">
        <dgm:presLayoutVars>
          <dgm:bulletEnabled val="1"/>
        </dgm:presLayoutVars>
      </dgm:prSet>
      <dgm:spPr/>
      <dgm:t>
        <a:bodyPr/>
        <a:lstStyle/>
        <a:p>
          <a:endParaRPr lang="en-US"/>
        </a:p>
      </dgm:t>
    </dgm:pt>
    <dgm:pt modelId="{3E8C8ECC-403A-4712-844D-E5085D723AB5}" type="pres">
      <dgm:prSet presAssocID="{957B2B58-DB3D-4669-9971-764DCB700376}" presName="sp" presStyleCnt="0"/>
      <dgm:spPr/>
    </dgm:pt>
    <dgm:pt modelId="{61B0C03E-42B9-4D4D-934E-5E02F9F287C1}" type="pres">
      <dgm:prSet presAssocID="{54985029-89D2-47E0-84F4-3CD09377BFDD}" presName="composite" presStyleCnt="0"/>
      <dgm:spPr/>
    </dgm:pt>
    <dgm:pt modelId="{9C4A7AFA-8D15-45FA-9029-17638A7BBCA6}" type="pres">
      <dgm:prSet presAssocID="{54985029-89D2-47E0-84F4-3CD09377BFDD}" presName="parentText" presStyleLbl="alignNode1" presStyleIdx="2" presStyleCnt="5" custScaleX="109459">
        <dgm:presLayoutVars>
          <dgm:chMax val="1"/>
          <dgm:bulletEnabled val="1"/>
        </dgm:presLayoutVars>
      </dgm:prSet>
      <dgm:spPr/>
      <dgm:t>
        <a:bodyPr/>
        <a:lstStyle/>
        <a:p>
          <a:endParaRPr lang="en-US"/>
        </a:p>
      </dgm:t>
    </dgm:pt>
    <dgm:pt modelId="{610C96CF-7814-48E9-A963-C15226F40A69}" type="pres">
      <dgm:prSet presAssocID="{54985029-89D2-47E0-84F4-3CD09377BFDD}" presName="descendantText" presStyleLbl="alignAcc1" presStyleIdx="2" presStyleCnt="5" custScaleX="98742" custLinFactNeighborX="-219" custLinFactNeighborY="0">
        <dgm:presLayoutVars>
          <dgm:bulletEnabled val="1"/>
        </dgm:presLayoutVars>
      </dgm:prSet>
      <dgm:spPr/>
      <dgm:t>
        <a:bodyPr/>
        <a:lstStyle/>
        <a:p>
          <a:endParaRPr lang="en-US"/>
        </a:p>
      </dgm:t>
    </dgm:pt>
    <dgm:pt modelId="{E8489287-987D-496D-BDAF-8C4EFE8422EE}" type="pres">
      <dgm:prSet presAssocID="{7F6819F7-37A7-49FB-BEB3-FE3D0214BFDE}" presName="sp" presStyleCnt="0"/>
      <dgm:spPr/>
    </dgm:pt>
    <dgm:pt modelId="{4CD51329-503F-4DA2-A942-742B9CF974ED}" type="pres">
      <dgm:prSet presAssocID="{02F23B2C-8072-4500-95FD-803F384092B0}" presName="composite" presStyleCnt="0"/>
      <dgm:spPr/>
    </dgm:pt>
    <dgm:pt modelId="{B3EB78C6-5C0A-4EE0-A691-93DABBCC8114}" type="pres">
      <dgm:prSet presAssocID="{02F23B2C-8072-4500-95FD-803F384092B0}" presName="parentText" presStyleLbl="alignNode1" presStyleIdx="3" presStyleCnt="5">
        <dgm:presLayoutVars>
          <dgm:chMax val="1"/>
          <dgm:bulletEnabled val="1"/>
        </dgm:presLayoutVars>
      </dgm:prSet>
      <dgm:spPr/>
      <dgm:t>
        <a:bodyPr/>
        <a:lstStyle/>
        <a:p>
          <a:endParaRPr lang="en-US"/>
        </a:p>
      </dgm:t>
    </dgm:pt>
    <dgm:pt modelId="{7420E3FB-4A27-419B-87C7-F447E7133F72}" type="pres">
      <dgm:prSet presAssocID="{02F23B2C-8072-4500-95FD-803F384092B0}" presName="descendantText" presStyleLbl="alignAcc1" presStyleIdx="3" presStyleCnt="5">
        <dgm:presLayoutVars>
          <dgm:bulletEnabled val="1"/>
        </dgm:presLayoutVars>
      </dgm:prSet>
      <dgm:spPr/>
      <dgm:t>
        <a:bodyPr/>
        <a:lstStyle/>
        <a:p>
          <a:endParaRPr lang="en-US"/>
        </a:p>
      </dgm:t>
    </dgm:pt>
    <dgm:pt modelId="{2CA7122A-A6C7-4E1F-BD95-2C468BB9AF7E}" type="pres">
      <dgm:prSet presAssocID="{F9C42CEC-D500-4D1E-A98B-BE4489F5F205}" presName="sp" presStyleCnt="0"/>
      <dgm:spPr/>
    </dgm:pt>
    <dgm:pt modelId="{59BE1A31-07C2-41B2-8455-71C434ED72EB}" type="pres">
      <dgm:prSet presAssocID="{4624F8AD-DA02-4D47-82B7-BC1BBCB669CD}" presName="composite" presStyleCnt="0"/>
      <dgm:spPr/>
    </dgm:pt>
    <dgm:pt modelId="{379EC341-1596-4AC1-BC83-E9A5BA267196}" type="pres">
      <dgm:prSet presAssocID="{4624F8AD-DA02-4D47-82B7-BC1BBCB669CD}" presName="parentText" presStyleLbl="alignNode1" presStyleIdx="4" presStyleCnt="5">
        <dgm:presLayoutVars>
          <dgm:chMax val="1"/>
          <dgm:bulletEnabled val="1"/>
        </dgm:presLayoutVars>
      </dgm:prSet>
      <dgm:spPr/>
      <dgm:t>
        <a:bodyPr/>
        <a:lstStyle/>
        <a:p>
          <a:endParaRPr lang="en-US"/>
        </a:p>
      </dgm:t>
    </dgm:pt>
    <dgm:pt modelId="{E471EE95-BF16-49B9-9CDA-E4D19930DFDA}" type="pres">
      <dgm:prSet presAssocID="{4624F8AD-DA02-4D47-82B7-BC1BBCB669CD}" presName="descendantText" presStyleLbl="alignAcc1" presStyleIdx="4" presStyleCnt="5">
        <dgm:presLayoutVars>
          <dgm:bulletEnabled val="1"/>
        </dgm:presLayoutVars>
      </dgm:prSet>
      <dgm:spPr/>
      <dgm:t>
        <a:bodyPr/>
        <a:lstStyle/>
        <a:p>
          <a:endParaRPr lang="en-US"/>
        </a:p>
      </dgm:t>
    </dgm:pt>
  </dgm:ptLst>
  <dgm:cxnLst>
    <dgm:cxn modelId="{03716F09-AE4A-4EE7-ABA8-171F3547D5E7}" type="presOf" srcId="{BA66EDAB-CDAD-4899-82E1-409E505603C7}" destId="{B9641E43-0B25-486F-ACFC-383BE7603647}" srcOrd="0" destOrd="0" presId="urn:microsoft.com/office/officeart/2005/8/layout/chevron2"/>
    <dgm:cxn modelId="{863BFF1F-A8E5-4B2A-9FA2-7DCBC34AB922}" srcId="{ACDE336E-14EC-4E67-B641-776A8227FFB5}" destId="{EE76AD13-82C3-4D99-AA27-50745B018F64}" srcOrd="0" destOrd="0" parTransId="{21A73FF1-CB29-4CDC-BC4B-3C7E6307E57B}" sibTransId="{9B25295E-A482-4CFC-927C-6F9D6D82277C}"/>
    <dgm:cxn modelId="{CAD30046-94CA-4355-8B23-BEB3055C1D77}" type="presOf" srcId="{54985029-89D2-47E0-84F4-3CD09377BFDD}" destId="{9C4A7AFA-8D15-45FA-9029-17638A7BBCA6}" srcOrd="0" destOrd="0" presId="urn:microsoft.com/office/officeart/2005/8/layout/chevron2"/>
    <dgm:cxn modelId="{49FA3104-A78F-4EBA-B443-0B245DB23E4B}" srcId="{BA66EDAB-CDAD-4899-82E1-409E505603C7}" destId="{ACDE336E-14EC-4E67-B641-776A8227FFB5}" srcOrd="0" destOrd="0" parTransId="{8E839AB5-1326-45F1-B348-BDDCB2563D5C}" sibTransId="{F0F28AF0-05BB-45F3-9385-1E6C600BD24E}"/>
    <dgm:cxn modelId="{2E771CAF-508B-462D-8E65-28A10E3287C5}" type="presOf" srcId="{02F23B2C-8072-4500-95FD-803F384092B0}" destId="{B3EB78C6-5C0A-4EE0-A691-93DABBCC8114}" srcOrd="0" destOrd="0" presId="urn:microsoft.com/office/officeart/2005/8/layout/chevron2"/>
    <dgm:cxn modelId="{67155863-CA22-4391-AC91-C979E31C1720}" srcId="{BA66EDAB-CDAD-4899-82E1-409E505603C7}" destId="{4624F8AD-DA02-4D47-82B7-BC1BBCB669CD}" srcOrd="4" destOrd="0" parTransId="{DB9E440F-EF49-423E-8DB8-81E91F9B8010}" sibTransId="{7C543ACF-3069-41D5-B3FB-A507C76C0301}"/>
    <dgm:cxn modelId="{51FE5E5C-CF1B-4275-B4FE-22F333C6B40D}" srcId="{BA66EDAB-CDAD-4899-82E1-409E505603C7}" destId="{54985029-89D2-47E0-84F4-3CD09377BFDD}" srcOrd="2" destOrd="0" parTransId="{322ECB29-B3F5-4C61-8623-06545A7BB255}" sibTransId="{7F6819F7-37A7-49FB-BEB3-FE3D0214BFDE}"/>
    <dgm:cxn modelId="{149FA992-ACBB-4790-8622-58DB12ADCF15}" type="presOf" srcId="{2964A8EA-09FD-4133-97EE-3982A5F6B28D}" destId="{7420E3FB-4A27-419B-87C7-F447E7133F72}" srcOrd="0" destOrd="0" presId="urn:microsoft.com/office/officeart/2005/8/layout/chevron2"/>
    <dgm:cxn modelId="{4C56FC92-15F6-4345-AC37-8878C1E7AC6C}" type="presOf" srcId="{ACDE336E-14EC-4E67-B641-776A8227FFB5}" destId="{00F5938C-292A-48EB-86F8-0618DED54F55}" srcOrd="0" destOrd="0" presId="urn:microsoft.com/office/officeart/2005/8/layout/chevron2"/>
    <dgm:cxn modelId="{823594DB-80EB-4895-8F53-7D8BE05FBB11}" type="presOf" srcId="{5CCD6304-A8CD-4CE3-BDA4-281D9D23C0FF}" destId="{E471EE95-BF16-49B9-9CDA-E4D19930DFDA}" srcOrd="0" destOrd="0" presId="urn:microsoft.com/office/officeart/2005/8/layout/chevron2"/>
    <dgm:cxn modelId="{98D4B92C-4923-43C0-9EBF-8400103D3E67}" srcId="{BA66EDAB-CDAD-4899-82E1-409E505603C7}" destId="{02F23B2C-8072-4500-95FD-803F384092B0}" srcOrd="3" destOrd="0" parTransId="{9DE5A3F1-C02B-4A8B-90B2-A8F2506F9F9A}" sibTransId="{F9C42CEC-D500-4D1E-A98B-BE4489F5F205}"/>
    <dgm:cxn modelId="{CB96A068-A689-42D5-877C-5B63853373C2}" srcId="{02F23B2C-8072-4500-95FD-803F384092B0}" destId="{2964A8EA-09FD-4133-97EE-3982A5F6B28D}" srcOrd="0" destOrd="0" parTransId="{6E29082C-2818-4F59-8DC1-227C9E7D2624}" sibTransId="{6BA962CD-60CE-47A8-A785-C159DB46A201}"/>
    <dgm:cxn modelId="{396D344D-C738-43F7-8D25-DF4B78519F5F}" type="presOf" srcId="{03D262E3-AAF3-43CC-A8C0-4B6E22A68AE3}" destId="{610C96CF-7814-48E9-A963-C15226F40A69}" srcOrd="0" destOrd="0" presId="urn:microsoft.com/office/officeart/2005/8/layout/chevron2"/>
    <dgm:cxn modelId="{72A09705-4F7E-4884-B6AC-E7813EAB451B}" srcId="{54985029-89D2-47E0-84F4-3CD09377BFDD}" destId="{03D262E3-AAF3-43CC-A8C0-4B6E22A68AE3}" srcOrd="0" destOrd="0" parTransId="{2E07D4D8-E73E-4437-B142-41D5C671914C}" sibTransId="{05D52DE4-52E5-4FC1-BB8B-F691062D982B}"/>
    <dgm:cxn modelId="{9F9F4C87-44E5-4585-883E-BCFBF99D2A69}" type="presOf" srcId="{EE76AD13-82C3-4D99-AA27-50745B018F64}" destId="{B9F34F78-364F-488F-B887-5747D1FA4988}" srcOrd="0" destOrd="0" presId="urn:microsoft.com/office/officeart/2005/8/layout/chevron2"/>
    <dgm:cxn modelId="{CC22395E-8391-416E-A203-51322A704589}" srcId="{BA66EDAB-CDAD-4899-82E1-409E505603C7}" destId="{9CB4E536-8F15-4EC2-B1BE-EE87EF338ACC}" srcOrd="1" destOrd="0" parTransId="{DC99B88E-327B-4F08-9127-A804740FC3A1}" sibTransId="{957B2B58-DB3D-4669-9971-764DCB700376}"/>
    <dgm:cxn modelId="{C7A2FBC4-87C6-402C-8975-83020F3BE489}" srcId="{4624F8AD-DA02-4D47-82B7-BC1BBCB669CD}" destId="{5CCD6304-A8CD-4CE3-BDA4-281D9D23C0FF}" srcOrd="0" destOrd="0" parTransId="{62BFB982-C78F-413B-A0C7-7F8290F00581}" sibTransId="{C7B93C44-C92B-43A6-AF52-50B098EBF195}"/>
    <dgm:cxn modelId="{93B871A7-57A6-4CEC-8C0D-FD6DBACA502C}" srcId="{9CB4E536-8F15-4EC2-B1BE-EE87EF338ACC}" destId="{68743356-243F-4F44-8AED-264725343F3F}" srcOrd="0" destOrd="0" parTransId="{B9F02D61-0AA2-4323-A57A-B6AD4E290D1B}" sibTransId="{674776EA-90EC-4D91-95C3-9ADAC3904A84}"/>
    <dgm:cxn modelId="{BB0C3E13-A188-4E32-B783-A4EC30C344F5}" type="presOf" srcId="{4624F8AD-DA02-4D47-82B7-BC1BBCB669CD}" destId="{379EC341-1596-4AC1-BC83-E9A5BA267196}" srcOrd="0" destOrd="0" presId="urn:microsoft.com/office/officeart/2005/8/layout/chevron2"/>
    <dgm:cxn modelId="{F9F2766D-1B2B-41C8-91B9-16BD11A20EC0}" type="presOf" srcId="{68743356-243F-4F44-8AED-264725343F3F}" destId="{F528B6F2-8C81-4DC4-A7BD-68E99A3CB60E}" srcOrd="0" destOrd="0" presId="urn:microsoft.com/office/officeart/2005/8/layout/chevron2"/>
    <dgm:cxn modelId="{883F7424-79F5-4389-AFCA-CF065128C4C8}" type="presOf" srcId="{9CB4E536-8F15-4EC2-B1BE-EE87EF338ACC}" destId="{F56E1120-5453-4930-9E81-9D256597FE06}" srcOrd="0" destOrd="0" presId="urn:microsoft.com/office/officeart/2005/8/layout/chevron2"/>
    <dgm:cxn modelId="{2E34C52D-8257-4BE8-B3AD-776F992F768E}" type="presParOf" srcId="{B9641E43-0B25-486F-ACFC-383BE7603647}" destId="{72D44AA3-9A1E-4C1A-8907-59A58646C177}" srcOrd="0" destOrd="0" presId="urn:microsoft.com/office/officeart/2005/8/layout/chevron2"/>
    <dgm:cxn modelId="{AFCCFD1F-204F-488D-9147-1A7C90BA0032}" type="presParOf" srcId="{72D44AA3-9A1E-4C1A-8907-59A58646C177}" destId="{00F5938C-292A-48EB-86F8-0618DED54F55}" srcOrd="0" destOrd="0" presId="urn:microsoft.com/office/officeart/2005/8/layout/chevron2"/>
    <dgm:cxn modelId="{9E0262B6-C7A8-4F55-8EB9-90AFC737ADD2}" type="presParOf" srcId="{72D44AA3-9A1E-4C1A-8907-59A58646C177}" destId="{B9F34F78-364F-488F-B887-5747D1FA4988}" srcOrd="1" destOrd="0" presId="urn:microsoft.com/office/officeart/2005/8/layout/chevron2"/>
    <dgm:cxn modelId="{039C4971-EF47-48DE-94F0-0E008F28A43D}" type="presParOf" srcId="{B9641E43-0B25-486F-ACFC-383BE7603647}" destId="{C5421DF1-622B-4580-9316-C42C7A0B4A95}" srcOrd="1" destOrd="0" presId="urn:microsoft.com/office/officeart/2005/8/layout/chevron2"/>
    <dgm:cxn modelId="{F4C82D55-022B-4285-9CF3-1669C910325D}" type="presParOf" srcId="{B9641E43-0B25-486F-ACFC-383BE7603647}" destId="{54E9E824-D99F-4664-A766-7ACDE609F8CD}" srcOrd="2" destOrd="0" presId="urn:microsoft.com/office/officeart/2005/8/layout/chevron2"/>
    <dgm:cxn modelId="{1BC88FC9-4251-4EEF-8599-495ED9516B1B}" type="presParOf" srcId="{54E9E824-D99F-4664-A766-7ACDE609F8CD}" destId="{F56E1120-5453-4930-9E81-9D256597FE06}" srcOrd="0" destOrd="0" presId="urn:microsoft.com/office/officeart/2005/8/layout/chevron2"/>
    <dgm:cxn modelId="{1D9543F2-9043-4EA0-9D25-A705395B0C44}" type="presParOf" srcId="{54E9E824-D99F-4664-A766-7ACDE609F8CD}" destId="{F528B6F2-8C81-4DC4-A7BD-68E99A3CB60E}" srcOrd="1" destOrd="0" presId="urn:microsoft.com/office/officeart/2005/8/layout/chevron2"/>
    <dgm:cxn modelId="{6F45C108-F3EE-45B1-AC1F-07C7DD65D42A}" type="presParOf" srcId="{B9641E43-0B25-486F-ACFC-383BE7603647}" destId="{3E8C8ECC-403A-4712-844D-E5085D723AB5}" srcOrd="3" destOrd="0" presId="urn:microsoft.com/office/officeart/2005/8/layout/chevron2"/>
    <dgm:cxn modelId="{04816D9C-D6B9-40E1-A914-10AD51B098D0}" type="presParOf" srcId="{B9641E43-0B25-486F-ACFC-383BE7603647}" destId="{61B0C03E-42B9-4D4D-934E-5E02F9F287C1}" srcOrd="4" destOrd="0" presId="urn:microsoft.com/office/officeart/2005/8/layout/chevron2"/>
    <dgm:cxn modelId="{A0008425-BAC0-454F-964A-3530A85825DE}" type="presParOf" srcId="{61B0C03E-42B9-4D4D-934E-5E02F9F287C1}" destId="{9C4A7AFA-8D15-45FA-9029-17638A7BBCA6}" srcOrd="0" destOrd="0" presId="urn:microsoft.com/office/officeart/2005/8/layout/chevron2"/>
    <dgm:cxn modelId="{F728C096-9786-4A11-8307-68A3A42BDD5F}" type="presParOf" srcId="{61B0C03E-42B9-4D4D-934E-5E02F9F287C1}" destId="{610C96CF-7814-48E9-A963-C15226F40A69}" srcOrd="1" destOrd="0" presId="urn:microsoft.com/office/officeart/2005/8/layout/chevron2"/>
    <dgm:cxn modelId="{353109FC-A2D0-439D-B412-312A054B5223}" type="presParOf" srcId="{B9641E43-0B25-486F-ACFC-383BE7603647}" destId="{E8489287-987D-496D-BDAF-8C4EFE8422EE}" srcOrd="5" destOrd="0" presId="urn:microsoft.com/office/officeart/2005/8/layout/chevron2"/>
    <dgm:cxn modelId="{A74F27E6-A1B0-4727-8689-8B0DCD5F8829}" type="presParOf" srcId="{B9641E43-0B25-486F-ACFC-383BE7603647}" destId="{4CD51329-503F-4DA2-A942-742B9CF974ED}" srcOrd="6" destOrd="0" presId="urn:microsoft.com/office/officeart/2005/8/layout/chevron2"/>
    <dgm:cxn modelId="{F032CB0C-576E-4A16-857D-31AE38A246C6}" type="presParOf" srcId="{4CD51329-503F-4DA2-A942-742B9CF974ED}" destId="{B3EB78C6-5C0A-4EE0-A691-93DABBCC8114}" srcOrd="0" destOrd="0" presId="urn:microsoft.com/office/officeart/2005/8/layout/chevron2"/>
    <dgm:cxn modelId="{816D20B4-D862-42B2-9E0F-1501604552B6}" type="presParOf" srcId="{4CD51329-503F-4DA2-A942-742B9CF974ED}" destId="{7420E3FB-4A27-419B-87C7-F447E7133F72}" srcOrd="1" destOrd="0" presId="urn:microsoft.com/office/officeart/2005/8/layout/chevron2"/>
    <dgm:cxn modelId="{90BA55C1-BB9D-43A1-A446-A213D8301F17}" type="presParOf" srcId="{B9641E43-0B25-486F-ACFC-383BE7603647}" destId="{2CA7122A-A6C7-4E1F-BD95-2C468BB9AF7E}" srcOrd="7" destOrd="0" presId="urn:microsoft.com/office/officeart/2005/8/layout/chevron2"/>
    <dgm:cxn modelId="{5D86A2CA-273D-4B28-867B-6C6A3BD99458}" type="presParOf" srcId="{B9641E43-0B25-486F-ACFC-383BE7603647}" destId="{59BE1A31-07C2-41B2-8455-71C434ED72EB}" srcOrd="8" destOrd="0" presId="urn:microsoft.com/office/officeart/2005/8/layout/chevron2"/>
    <dgm:cxn modelId="{7680A353-F251-46BE-ADEA-D05152A8A776}" type="presParOf" srcId="{59BE1A31-07C2-41B2-8455-71C434ED72EB}" destId="{379EC341-1596-4AC1-BC83-E9A5BA267196}" srcOrd="0" destOrd="0" presId="urn:microsoft.com/office/officeart/2005/8/layout/chevron2"/>
    <dgm:cxn modelId="{16691A32-BD92-4135-81D2-C01C30023457}" type="presParOf" srcId="{59BE1A31-07C2-41B2-8455-71C434ED72EB}" destId="{E471EE95-BF16-49B9-9CDA-E4D19930DFDA}" srcOrd="1" destOrd="0" presId="urn:microsoft.com/office/officeart/2005/8/layout/chevron2"/>
  </dgm:cxnLst>
  <dgm:bg>
    <a:noFill/>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F5938C-292A-48EB-86F8-0618DED54F55}">
      <dsp:nvSpPr>
        <dsp:cNvPr id="0" name=""/>
        <dsp:cNvSpPr/>
      </dsp:nvSpPr>
      <dsp:spPr>
        <a:xfrm rot="5400000">
          <a:off x="-111901" y="112014"/>
          <a:ext cx="746011" cy="522208"/>
        </a:xfrm>
        <a:prstGeom prst="chevron">
          <a:avLst/>
        </a:prstGeom>
        <a:solidFill>
          <a:schemeClr val="accent2"/>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Chapter 1</a:t>
          </a:r>
        </a:p>
      </dsp:txBody>
      <dsp:txXfrm rot="5400000">
        <a:off x="-111901" y="112014"/>
        <a:ext cx="746011" cy="522208"/>
      </dsp:txXfrm>
    </dsp:sp>
    <dsp:sp modelId="{B9F34F78-364F-488F-B887-5747D1FA4988}">
      <dsp:nvSpPr>
        <dsp:cNvPr id="0" name=""/>
        <dsp:cNvSpPr/>
      </dsp:nvSpPr>
      <dsp:spPr>
        <a:xfrm rot="5400000">
          <a:off x="2872967" y="-2347610"/>
          <a:ext cx="485162" cy="51866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latin typeface="Times New Roman" pitchFamily="18" charset="0"/>
              <a:cs typeface="Times New Roman" pitchFamily="18" charset="0"/>
            </a:rPr>
            <a:t>GENERAL FRAMEWORK OF THE STUDY:</a:t>
          </a:r>
          <a:r>
            <a:rPr lang="en-US" sz="1200" b="0" kern="1200">
              <a:latin typeface="Times New Roman" pitchFamily="18" charset="0"/>
              <a:cs typeface="Times New Roman" pitchFamily="18" charset="0"/>
            </a:rPr>
            <a:t>T</a:t>
          </a:r>
          <a:r>
            <a:rPr lang="en-US" sz="1200" b="0" kern="1200">
              <a:solidFill>
                <a:schemeClr val="tx1"/>
              </a:solidFill>
              <a:latin typeface="Times New Roman" pitchFamily="18" charset="0"/>
              <a:cs typeface="Times New Roman" pitchFamily="18" charset="0"/>
            </a:rPr>
            <a:t>his chapter includes an introduction to the study,  the   research questions, the objectives of study, the  significance of study and finally the limitation of the study</a:t>
          </a:r>
          <a:r>
            <a:rPr lang="en-US" sz="1200" b="0" kern="1200">
              <a:latin typeface="Times New Roman" pitchFamily="18" charset="0"/>
              <a:cs typeface="Times New Roman" pitchFamily="18" charset="0"/>
            </a:rPr>
            <a:t>.</a:t>
          </a:r>
        </a:p>
      </dsp:txBody>
      <dsp:txXfrm rot="5400000">
        <a:off x="2872967" y="-2347610"/>
        <a:ext cx="485162" cy="5186681"/>
      </dsp:txXfrm>
    </dsp:sp>
    <dsp:sp modelId="{F56E1120-5453-4930-9E81-9D256597FE06}">
      <dsp:nvSpPr>
        <dsp:cNvPr id="0" name=""/>
        <dsp:cNvSpPr/>
      </dsp:nvSpPr>
      <dsp:spPr>
        <a:xfrm rot="5400000">
          <a:off x="-111901" y="737856"/>
          <a:ext cx="746011" cy="5222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Chapter 2</a:t>
          </a:r>
        </a:p>
      </dsp:txBody>
      <dsp:txXfrm rot="5400000">
        <a:off x="-111901" y="737856"/>
        <a:ext cx="746011" cy="522208"/>
      </dsp:txXfrm>
    </dsp:sp>
    <dsp:sp modelId="{F528B6F2-8C81-4DC4-A7BD-68E99A3CB60E}">
      <dsp:nvSpPr>
        <dsp:cNvPr id="0" name=""/>
        <dsp:cNvSpPr/>
      </dsp:nvSpPr>
      <dsp:spPr>
        <a:xfrm rot="5400000">
          <a:off x="2873095" y="-1690426"/>
          <a:ext cx="484907" cy="51866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latin typeface="Times New Roman" pitchFamily="18" charset="0"/>
              <a:cs typeface="Times New Roman" pitchFamily="18" charset="0"/>
            </a:rPr>
            <a:t>THEORETICAL FRAMEWORK</a:t>
          </a:r>
          <a:r>
            <a:rPr lang="en-US" sz="1200" kern="1200">
              <a:latin typeface="Times New Roman" pitchFamily="18" charset="0"/>
              <a:cs typeface="Times New Roman" pitchFamily="18" charset="0"/>
            </a:rPr>
            <a:t>:T</a:t>
          </a:r>
          <a:r>
            <a:rPr lang="en-US" sz="1200" b="0" kern="1200">
              <a:latin typeface="Times New Roman" pitchFamily="18" charset="0"/>
              <a:cs typeface="Times New Roman" pitchFamily="18" charset="0"/>
            </a:rPr>
            <a:t>his chapter provides a theoretical foundation to this  study by presenting relevant litrature </a:t>
          </a:r>
          <a:endParaRPr lang="en-US" sz="1200" kern="1200">
            <a:latin typeface="Times New Roman" pitchFamily="18" charset="0"/>
            <a:cs typeface="Times New Roman" pitchFamily="18" charset="0"/>
          </a:endParaRPr>
        </a:p>
      </dsp:txBody>
      <dsp:txXfrm rot="5400000">
        <a:off x="2873095" y="-1690426"/>
        <a:ext cx="484907" cy="5186681"/>
      </dsp:txXfrm>
    </dsp:sp>
    <dsp:sp modelId="{9C4A7AFA-8D15-45FA-9029-17638A7BBCA6}">
      <dsp:nvSpPr>
        <dsp:cNvPr id="0" name=""/>
        <dsp:cNvSpPr/>
      </dsp:nvSpPr>
      <dsp:spPr>
        <a:xfrm rot="5400000">
          <a:off x="-87203" y="1335964"/>
          <a:ext cx="746011" cy="571603"/>
        </a:xfrm>
        <a:prstGeom prst="chevron">
          <a:avLst/>
        </a:prstGeom>
        <a:solidFill>
          <a:schemeClr val="accent5"/>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Chapter</a:t>
          </a:r>
          <a:r>
            <a:rPr lang="en-US" sz="1200" kern="1200"/>
            <a:t> </a:t>
          </a:r>
          <a:r>
            <a:rPr lang="en-US" sz="1200" kern="1200">
              <a:solidFill>
                <a:schemeClr val="tx1"/>
              </a:solidFill>
            </a:rPr>
            <a:t>3</a:t>
          </a:r>
        </a:p>
      </dsp:txBody>
      <dsp:txXfrm rot="5400000">
        <a:off x="-87203" y="1335964"/>
        <a:ext cx="746011" cy="571603"/>
      </dsp:txXfrm>
    </dsp:sp>
    <dsp:sp modelId="{610C96CF-7814-48E9-A963-C15226F40A69}">
      <dsp:nvSpPr>
        <dsp:cNvPr id="0" name=""/>
        <dsp:cNvSpPr/>
      </dsp:nvSpPr>
      <dsp:spPr>
        <a:xfrm rot="5400000">
          <a:off x="2886434" y="-1069502"/>
          <a:ext cx="484907" cy="5121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latin typeface="Times New Roman" pitchFamily="18" charset="0"/>
              <a:cs typeface="Times New Roman" pitchFamily="18" charset="0"/>
            </a:rPr>
            <a:t>METHODOLOGY:</a:t>
          </a:r>
          <a:r>
            <a:rPr lang="en-US" sz="1200" b="0" kern="1200">
              <a:latin typeface="Times New Roman" pitchFamily="18" charset="0"/>
              <a:cs typeface="Times New Roman" pitchFamily="18" charset="0"/>
            </a:rPr>
            <a:t>This chapter is devoted to description of the  research approach, sample population, data collection, data analysis instruments and applied research model</a:t>
          </a:r>
          <a:endParaRPr lang="en-US" sz="1200" b="1" kern="1200">
            <a:latin typeface="Times New Roman" pitchFamily="18" charset="0"/>
            <a:cs typeface="Times New Roman" pitchFamily="18" charset="0"/>
          </a:endParaRPr>
        </a:p>
      </dsp:txBody>
      <dsp:txXfrm rot="5400000">
        <a:off x="2886434" y="-1069502"/>
        <a:ext cx="484907" cy="5121433"/>
      </dsp:txXfrm>
    </dsp:sp>
    <dsp:sp modelId="{B3EB78C6-5C0A-4EE0-A691-93DABBCC8114}">
      <dsp:nvSpPr>
        <dsp:cNvPr id="0" name=""/>
        <dsp:cNvSpPr/>
      </dsp:nvSpPr>
      <dsp:spPr>
        <a:xfrm rot="5400000">
          <a:off x="-111901" y="1983467"/>
          <a:ext cx="746011" cy="522208"/>
        </a:xfrm>
        <a:prstGeom prst="chevron">
          <a:avLst/>
        </a:prstGeom>
        <a:solidFill>
          <a:srgbClr val="00B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Times New Roman" pitchFamily="18" charset="0"/>
              <a:cs typeface="Times New Roman" pitchFamily="18" charset="0"/>
            </a:rPr>
            <a:t>Chapte</a:t>
          </a:r>
          <a:r>
            <a:rPr lang="en-US" sz="1200" kern="1200">
              <a:solidFill>
                <a:schemeClr val="tx1"/>
              </a:solidFill>
            </a:rPr>
            <a:t>r</a:t>
          </a:r>
          <a:r>
            <a:rPr lang="en-US" sz="1200" kern="1200">
              <a:solidFill>
                <a:sysClr val="windowText" lastClr="000000"/>
              </a:solidFill>
            </a:rPr>
            <a:t>4</a:t>
          </a:r>
        </a:p>
      </dsp:txBody>
      <dsp:txXfrm rot="5400000">
        <a:off x="-111901" y="1983467"/>
        <a:ext cx="746011" cy="522208"/>
      </dsp:txXfrm>
    </dsp:sp>
    <dsp:sp modelId="{7420E3FB-4A27-419B-87C7-F447E7133F72}">
      <dsp:nvSpPr>
        <dsp:cNvPr id="0" name=""/>
        <dsp:cNvSpPr/>
      </dsp:nvSpPr>
      <dsp:spPr>
        <a:xfrm rot="5400000">
          <a:off x="2873095" y="-479321"/>
          <a:ext cx="484907" cy="51866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rtl="1">
            <a:lnSpc>
              <a:spcPct val="90000"/>
            </a:lnSpc>
            <a:spcBef>
              <a:spcPct val="0"/>
            </a:spcBef>
            <a:spcAft>
              <a:spcPct val="15000"/>
            </a:spcAft>
            <a:buChar char="••"/>
          </a:pPr>
          <a:r>
            <a:rPr lang="en-US" sz="1200" b="1" kern="1200">
              <a:latin typeface="Times New Roman" pitchFamily="18" charset="0"/>
              <a:cs typeface="Times New Roman" pitchFamily="18" charset="0"/>
            </a:rPr>
            <a:t>EMPIRICAL FINDINGS AND ANALYSIS</a:t>
          </a:r>
          <a:r>
            <a:rPr lang="en-US" sz="1200" kern="1200">
              <a:cs typeface="+mj-cs"/>
            </a:rPr>
            <a:t>: T</a:t>
          </a:r>
          <a:r>
            <a:rPr lang="en-US" sz="1200" b="0" kern="1200">
              <a:latin typeface="Times New Roman" pitchFamily="18" charset="0"/>
              <a:cs typeface="Times New Roman" pitchFamily="18" charset="0"/>
            </a:rPr>
            <a:t>his chapter </a:t>
          </a:r>
          <a:r>
            <a:rPr lang="en-US" sz="1200" kern="1200">
              <a:latin typeface="Times New Roman" pitchFamily="18" charset="0"/>
              <a:cs typeface="Times New Roman" pitchFamily="18" charset="0"/>
            </a:rPr>
            <a:t> presents the results of the  regression model and an analysis of  these results and description of  the impact of credit risk management on profitability </a:t>
          </a:r>
          <a:endParaRPr lang="ar-SA" sz="1200" kern="1200">
            <a:cs typeface="+mj-cs"/>
          </a:endParaRPr>
        </a:p>
      </dsp:txBody>
      <dsp:txXfrm rot="5400000">
        <a:off x="2873095" y="-479321"/>
        <a:ext cx="484907" cy="5186681"/>
      </dsp:txXfrm>
    </dsp:sp>
    <dsp:sp modelId="{379EC341-1596-4AC1-BC83-E9A5BA267196}">
      <dsp:nvSpPr>
        <dsp:cNvPr id="0" name=""/>
        <dsp:cNvSpPr/>
      </dsp:nvSpPr>
      <dsp:spPr>
        <a:xfrm rot="5400000">
          <a:off x="-111901" y="2606272"/>
          <a:ext cx="746011" cy="522208"/>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Chapter5</a:t>
          </a:r>
        </a:p>
      </dsp:txBody>
      <dsp:txXfrm rot="5400000">
        <a:off x="-111901" y="2606272"/>
        <a:ext cx="746011" cy="522208"/>
      </dsp:txXfrm>
    </dsp:sp>
    <dsp:sp modelId="{E471EE95-BF16-49B9-9CDA-E4D19930DFDA}">
      <dsp:nvSpPr>
        <dsp:cNvPr id="0" name=""/>
        <dsp:cNvSpPr/>
      </dsp:nvSpPr>
      <dsp:spPr>
        <a:xfrm rot="5400000">
          <a:off x="2873095" y="143483"/>
          <a:ext cx="484907" cy="51866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1" kern="1200">
              <a:latin typeface="Times New Roman" pitchFamily="18" charset="0"/>
              <a:cs typeface="Times New Roman" pitchFamily="18" charset="0"/>
            </a:rPr>
            <a:t>CONCLUDING REMARKS:</a:t>
          </a:r>
          <a:r>
            <a:rPr lang="en-US" sz="1200" b="0" kern="1200">
              <a:latin typeface="Times New Roman" pitchFamily="18" charset="0"/>
              <a:cs typeface="Times New Roman" pitchFamily="18" charset="0"/>
            </a:rPr>
            <a:t>T</a:t>
          </a:r>
          <a:r>
            <a:rPr lang="en-US" sz="1200" kern="1200">
              <a:latin typeface="Times New Roman" pitchFamily="18" charset="0"/>
              <a:cs typeface="Times New Roman" pitchFamily="18" charset="0"/>
            </a:rPr>
            <a:t>his chapter, includes most important conclusions and give suggestions for further studies </a:t>
          </a:r>
        </a:p>
      </dsp:txBody>
      <dsp:txXfrm rot="5400000">
        <a:off x="2873095" y="143483"/>
        <a:ext cx="484907" cy="51866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020E3FE-848D-4343-9E35-560F157E7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3099</TotalTime>
  <Pages>1</Pages>
  <Words>52082</Words>
  <Characters>296870</Characters>
  <Application>Microsoft Office Word</Application>
  <DocSecurity>0</DocSecurity>
  <Lines>2473</Lines>
  <Paragraphs>696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348256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Laith Hasan</dc:creator>
  <cp:lastModifiedBy>lector</cp:lastModifiedBy>
  <cp:revision>216</cp:revision>
  <cp:lastPrinted>2014-03-27T09:21:00Z</cp:lastPrinted>
  <dcterms:created xsi:type="dcterms:W3CDTF">2014-03-08T11:18:00Z</dcterms:created>
  <dcterms:modified xsi:type="dcterms:W3CDTF">2014-03-28T12:12:00Z</dcterms:modified>
</cp:coreProperties>
</file>