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25" w:rsidRPr="00E96CEE" w:rsidRDefault="007A6625" w:rsidP="000208CE">
      <w:pPr>
        <w:autoSpaceDE w:val="0"/>
        <w:autoSpaceDN w:val="0"/>
        <w:adjustRightInd w:val="0"/>
        <w:spacing w:after="120"/>
        <w:jc w:val="center"/>
        <w:rPr>
          <w:b/>
        </w:rPr>
      </w:pPr>
      <w:r w:rsidRPr="00E96CEE">
        <w:rPr>
          <w:b/>
        </w:rPr>
        <w:t>MORAVSKÁ VYSOKÁ ŠKOLA OLOMOUC</w:t>
      </w:r>
    </w:p>
    <w:p w:rsidR="007A6625" w:rsidRPr="0058536D" w:rsidRDefault="007A6625" w:rsidP="000208CE">
      <w:pPr>
        <w:autoSpaceDE w:val="0"/>
        <w:autoSpaceDN w:val="0"/>
        <w:adjustRightInd w:val="0"/>
        <w:spacing w:after="120"/>
        <w:jc w:val="center"/>
      </w:pPr>
      <w:r w:rsidRPr="0058536D">
        <w:t>Ústav podnikové ekonomiky</w:t>
      </w: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jc w:val="center"/>
      </w:pPr>
    </w:p>
    <w:p w:rsidR="007A6625" w:rsidRPr="0058536D" w:rsidRDefault="007A6625" w:rsidP="000208CE">
      <w:pPr>
        <w:autoSpaceDE w:val="0"/>
        <w:autoSpaceDN w:val="0"/>
        <w:adjustRightInd w:val="0"/>
        <w:spacing w:after="120"/>
        <w:jc w:val="center"/>
      </w:pPr>
      <w:r w:rsidRPr="0058536D">
        <w:t>Dotace a jejich kontrola</w:t>
      </w:r>
    </w:p>
    <w:p w:rsidR="007A6625" w:rsidRPr="0058536D" w:rsidRDefault="007A6625" w:rsidP="000208CE">
      <w:pPr>
        <w:autoSpaceDE w:val="0"/>
        <w:autoSpaceDN w:val="0"/>
        <w:adjustRightInd w:val="0"/>
        <w:spacing w:after="120"/>
        <w:jc w:val="center"/>
      </w:pPr>
      <w:r w:rsidRPr="0058536D">
        <w:t>BAKALÁŘSKÁ PRÁCE</w:t>
      </w:r>
    </w:p>
    <w:p w:rsidR="007A6625" w:rsidRPr="0058536D" w:rsidRDefault="007A6625" w:rsidP="000208CE">
      <w:pPr>
        <w:autoSpaceDE w:val="0"/>
        <w:autoSpaceDN w:val="0"/>
        <w:adjustRightInd w:val="0"/>
        <w:spacing w:after="120"/>
        <w:jc w:val="center"/>
      </w:pPr>
    </w:p>
    <w:p w:rsidR="007A6625" w:rsidRPr="0058536D" w:rsidRDefault="007A6625" w:rsidP="000208CE">
      <w:pPr>
        <w:autoSpaceDE w:val="0"/>
        <w:autoSpaceDN w:val="0"/>
        <w:adjustRightInd w:val="0"/>
        <w:spacing w:after="120"/>
        <w:jc w:val="center"/>
      </w:pPr>
    </w:p>
    <w:p w:rsidR="007A6625" w:rsidRPr="0058536D" w:rsidRDefault="007A6625" w:rsidP="000208CE">
      <w:pPr>
        <w:autoSpaceDE w:val="0"/>
        <w:autoSpaceDN w:val="0"/>
        <w:adjustRightInd w:val="0"/>
        <w:spacing w:after="120"/>
        <w:jc w:val="center"/>
      </w:pPr>
    </w:p>
    <w:p w:rsidR="007A6625" w:rsidRPr="0058536D" w:rsidRDefault="007A6625" w:rsidP="000208CE">
      <w:pPr>
        <w:autoSpaceDE w:val="0"/>
        <w:autoSpaceDN w:val="0"/>
        <w:adjustRightInd w:val="0"/>
        <w:spacing w:after="120"/>
        <w:jc w:val="center"/>
      </w:pPr>
    </w:p>
    <w:p w:rsidR="007A6625" w:rsidRPr="0058536D" w:rsidRDefault="007A6625" w:rsidP="000208CE">
      <w:pPr>
        <w:autoSpaceDE w:val="0"/>
        <w:autoSpaceDN w:val="0"/>
        <w:adjustRightInd w:val="0"/>
        <w:spacing w:after="120"/>
        <w:jc w:val="center"/>
      </w:pPr>
    </w:p>
    <w:p w:rsidR="007A6625" w:rsidRPr="0058536D" w:rsidRDefault="007A6625" w:rsidP="000208CE">
      <w:pPr>
        <w:autoSpaceDE w:val="0"/>
        <w:autoSpaceDN w:val="0"/>
        <w:adjustRightInd w:val="0"/>
        <w:spacing w:after="120"/>
        <w:jc w:val="center"/>
      </w:pPr>
    </w:p>
    <w:p w:rsidR="007A6625" w:rsidRPr="0058536D" w:rsidRDefault="007A6625" w:rsidP="000208CE">
      <w:pPr>
        <w:autoSpaceDE w:val="0"/>
        <w:autoSpaceDN w:val="0"/>
        <w:adjustRightInd w:val="0"/>
        <w:spacing w:after="120"/>
        <w:jc w:val="center"/>
      </w:pPr>
    </w:p>
    <w:p w:rsidR="007A6625" w:rsidRDefault="007A6625" w:rsidP="000208CE">
      <w:pPr>
        <w:autoSpaceDE w:val="0"/>
        <w:autoSpaceDN w:val="0"/>
        <w:adjustRightInd w:val="0"/>
        <w:spacing w:after="120"/>
        <w:jc w:val="center"/>
      </w:pPr>
    </w:p>
    <w:p w:rsidR="000208CE" w:rsidRPr="0058536D" w:rsidRDefault="000208CE" w:rsidP="000208CE">
      <w:pPr>
        <w:autoSpaceDE w:val="0"/>
        <w:autoSpaceDN w:val="0"/>
        <w:adjustRightInd w:val="0"/>
        <w:spacing w:after="120"/>
        <w:jc w:val="center"/>
      </w:pPr>
    </w:p>
    <w:p w:rsidR="007A6625" w:rsidRPr="0058536D" w:rsidRDefault="007A6625" w:rsidP="000208CE">
      <w:pPr>
        <w:autoSpaceDE w:val="0"/>
        <w:autoSpaceDN w:val="0"/>
        <w:adjustRightInd w:val="0"/>
        <w:spacing w:after="120"/>
        <w:jc w:val="center"/>
      </w:pPr>
      <w:r>
        <w:t xml:space="preserve">Jméno studenta: </w:t>
      </w:r>
      <w:r w:rsidRPr="0058536D">
        <w:t xml:space="preserve">Tomáš </w:t>
      </w:r>
      <w:proofErr w:type="spellStart"/>
      <w:r w:rsidRPr="0058536D">
        <w:t>Rašner</w:t>
      </w:r>
      <w:proofErr w:type="spellEnd"/>
    </w:p>
    <w:p w:rsidR="007A6625" w:rsidRPr="0058536D" w:rsidRDefault="007A6625" w:rsidP="000208CE">
      <w:pPr>
        <w:autoSpaceDE w:val="0"/>
        <w:autoSpaceDN w:val="0"/>
        <w:adjustRightInd w:val="0"/>
        <w:spacing w:after="120"/>
        <w:jc w:val="center"/>
      </w:pPr>
      <w:r w:rsidRPr="0058536D">
        <w:t xml:space="preserve">Vedoucí práce: Ing. Zuzana </w:t>
      </w:r>
      <w:proofErr w:type="spellStart"/>
      <w:r w:rsidRPr="0058536D">
        <w:t>Stefanovová</w:t>
      </w:r>
      <w:proofErr w:type="spellEnd"/>
      <w:r w:rsidRPr="0058536D">
        <w:t>, Ph.D.</w:t>
      </w:r>
    </w:p>
    <w:p w:rsidR="007A6625" w:rsidRPr="0058536D" w:rsidRDefault="007A6625" w:rsidP="000208CE">
      <w:pPr>
        <w:spacing w:after="120"/>
        <w:jc w:val="center"/>
      </w:pPr>
    </w:p>
    <w:p w:rsidR="007A6625" w:rsidRPr="0058536D" w:rsidRDefault="007A6625" w:rsidP="000208CE">
      <w:pPr>
        <w:spacing w:after="120"/>
        <w:jc w:val="center"/>
      </w:pPr>
    </w:p>
    <w:p w:rsidR="007A6625" w:rsidRPr="0058536D" w:rsidRDefault="007A6625" w:rsidP="000208CE">
      <w:pPr>
        <w:spacing w:after="120"/>
        <w:jc w:val="center"/>
      </w:pPr>
    </w:p>
    <w:p w:rsidR="007A6625" w:rsidRDefault="007A6625" w:rsidP="000208CE">
      <w:pPr>
        <w:spacing w:after="120"/>
        <w:jc w:val="center"/>
      </w:pPr>
      <w:r w:rsidRPr="0058536D">
        <w:t>Olomouc 2020</w:t>
      </w:r>
    </w:p>
    <w:p w:rsidR="007A6625" w:rsidRPr="00690F63" w:rsidRDefault="007A6625" w:rsidP="000208CE">
      <w:pPr>
        <w:autoSpaceDE w:val="0"/>
        <w:autoSpaceDN w:val="0"/>
        <w:adjustRightInd w:val="0"/>
        <w:spacing w:after="120"/>
        <w:rPr>
          <w:b/>
          <w:sz w:val="28"/>
        </w:rPr>
      </w:pPr>
      <w:r w:rsidRPr="00690F63">
        <w:rPr>
          <w:b/>
          <w:sz w:val="28"/>
        </w:rPr>
        <w:lastRenderedPageBreak/>
        <w:t>PROHLÁŠENÍ</w:t>
      </w: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Pr="0058536D" w:rsidRDefault="007A6625" w:rsidP="000208CE">
      <w:pPr>
        <w:autoSpaceDE w:val="0"/>
        <w:autoSpaceDN w:val="0"/>
        <w:adjustRightInd w:val="0"/>
        <w:spacing w:after="120"/>
      </w:pPr>
    </w:p>
    <w:p w:rsidR="007A6625" w:rsidRDefault="007A6625" w:rsidP="000208CE">
      <w:pPr>
        <w:spacing w:after="120"/>
        <w:ind w:firstLine="0"/>
      </w:pPr>
      <w:r w:rsidRPr="00D47964">
        <w:t>Prohlašuji, že jsem bakalářskou práci vypracoval samostatně a použil jen zdroje v</w:t>
      </w:r>
      <w:r>
        <w:t> </w:t>
      </w:r>
      <w:r w:rsidRPr="00D47964">
        <w:t>seznamu literatury a použitých zdrojů.</w:t>
      </w:r>
    </w:p>
    <w:p w:rsidR="007A6625" w:rsidRDefault="007A6625" w:rsidP="000208CE">
      <w:pPr>
        <w:spacing w:after="120"/>
      </w:pPr>
    </w:p>
    <w:p w:rsidR="007A6625" w:rsidRPr="0058536D" w:rsidRDefault="007A6625" w:rsidP="000208CE">
      <w:pPr>
        <w:spacing w:after="120"/>
        <w:ind w:firstLine="0"/>
      </w:pPr>
      <w:r w:rsidRPr="00132BCE">
        <w:t>Tištěná verze textu práce je shodná s textem práce na CD nosiči a elektronickou verzí vloženou do studijního systému IS/STAG.</w:t>
      </w:r>
    </w:p>
    <w:p w:rsidR="007A6625" w:rsidRDefault="007A6625" w:rsidP="000208CE">
      <w:pPr>
        <w:tabs>
          <w:tab w:val="left" w:pos="5529"/>
        </w:tabs>
        <w:spacing w:after="120"/>
      </w:pPr>
    </w:p>
    <w:p w:rsidR="007A6625" w:rsidRPr="0058536D" w:rsidRDefault="007A6625" w:rsidP="000208CE">
      <w:pPr>
        <w:tabs>
          <w:tab w:val="left" w:pos="5529"/>
        </w:tabs>
        <w:spacing w:after="120"/>
        <w:ind w:firstLine="0"/>
      </w:pPr>
      <w:r>
        <w:t xml:space="preserve">V Olomouci dne </w:t>
      </w:r>
      <w:r w:rsidR="004F21C2">
        <w:t>20</w:t>
      </w:r>
      <w:r>
        <w:t xml:space="preserve">. </w:t>
      </w:r>
      <w:r w:rsidR="004F21C2">
        <w:t>4</w:t>
      </w:r>
      <w:r>
        <w:t>. 2020</w:t>
      </w:r>
      <w:r w:rsidRPr="0058536D">
        <w:tab/>
        <w:t>……………………………</w:t>
      </w:r>
      <w:proofErr w:type="gramStart"/>
      <w:r w:rsidRPr="0058536D">
        <w:t>…..</w:t>
      </w:r>
      <w:proofErr w:type="gramEnd"/>
    </w:p>
    <w:p w:rsidR="007A6625" w:rsidRDefault="007A6625" w:rsidP="000208CE">
      <w:pPr>
        <w:tabs>
          <w:tab w:val="left" w:pos="6379"/>
        </w:tabs>
        <w:spacing w:after="120"/>
      </w:pPr>
      <w:r w:rsidRPr="0058536D">
        <w:tab/>
        <w:t xml:space="preserve">Tomáš </w:t>
      </w:r>
      <w:proofErr w:type="spellStart"/>
      <w:r w:rsidRPr="0058536D">
        <w:t>Rašner</w:t>
      </w:r>
      <w:proofErr w:type="spellEnd"/>
    </w:p>
    <w:p w:rsidR="007A6625" w:rsidRPr="00690F63" w:rsidRDefault="007A6625" w:rsidP="000208CE">
      <w:pPr>
        <w:autoSpaceDE w:val="0"/>
        <w:autoSpaceDN w:val="0"/>
        <w:adjustRightInd w:val="0"/>
        <w:spacing w:after="120"/>
        <w:rPr>
          <w:b/>
          <w:sz w:val="28"/>
        </w:rPr>
      </w:pPr>
      <w:r w:rsidRPr="00690F63">
        <w:rPr>
          <w:b/>
          <w:sz w:val="28"/>
        </w:rPr>
        <w:lastRenderedPageBreak/>
        <w:t>PODĚKOVÁNÍ</w:t>
      </w: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7A6625" w:rsidRPr="0058536D" w:rsidRDefault="007A6625" w:rsidP="000208CE">
      <w:pPr>
        <w:spacing w:after="120"/>
      </w:pPr>
    </w:p>
    <w:p w:rsidR="00F930E6" w:rsidRDefault="007A6625" w:rsidP="000208CE">
      <w:pPr>
        <w:spacing w:after="120"/>
        <w:ind w:firstLine="0"/>
        <w:jc w:val="left"/>
      </w:pPr>
      <w:r w:rsidRPr="0058536D">
        <w:t xml:space="preserve">Rád bych poděkoval </w:t>
      </w:r>
      <w:r>
        <w:t xml:space="preserve">Ing. Zuzaně </w:t>
      </w:r>
      <w:proofErr w:type="spellStart"/>
      <w:r>
        <w:t>Stefanovové</w:t>
      </w:r>
      <w:proofErr w:type="spellEnd"/>
      <w:r w:rsidRPr="0058536D">
        <w:t>, Ph.D.</w:t>
      </w:r>
      <w:r>
        <w:t xml:space="preserve"> </w:t>
      </w:r>
      <w:r w:rsidRPr="0058536D">
        <w:t>za její odbornou pomoc, cenné rady a</w:t>
      </w:r>
      <w:r w:rsidR="000208CE">
        <w:t> </w:t>
      </w:r>
      <w:r w:rsidRPr="0058536D">
        <w:t>připomínky při zpracování bakalářské práce.</w:t>
      </w:r>
    </w:p>
    <w:p w:rsidR="00F930E6" w:rsidRDefault="00F930E6">
      <w:pPr>
        <w:spacing w:after="200" w:line="276" w:lineRule="auto"/>
        <w:ind w:firstLine="0"/>
        <w:jc w:val="left"/>
      </w:pPr>
      <w:r>
        <w:lastRenderedPageBreak/>
        <w:br w:type="page"/>
      </w:r>
    </w:p>
    <w:p w:rsidR="00FD4F9C" w:rsidRDefault="007A6625" w:rsidP="000208CE">
      <w:pPr>
        <w:spacing w:after="120"/>
        <w:ind w:firstLine="0"/>
        <w:jc w:val="left"/>
        <w:sectPr w:rsidR="00FD4F9C" w:rsidSect="002B7F35">
          <w:footerReference w:type="default" r:id="rId8"/>
          <w:pgSz w:w="11906" w:h="16838"/>
          <w:pgMar w:top="1418" w:right="851" w:bottom="1418" w:left="1985" w:header="709" w:footer="709" w:gutter="0"/>
          <w:cols w:space="708"/>
          <w:docGrid w:linePitch="360"/>
        </w:sectPr>
      </w:pPr>
      <w:r>
        <w:lastRenderedPageBreak/>
        <w:br w:type="page"/>
      </w:r>
    </w:p>
    <w:p w:rsidR="007A6625" w:rsidRDefault="007A6625" w:rsidP="000208CE">
      <w:pPr>
        <w:spacing w:after="120"/>
        <w:ind w:firstLine="0"/>
        <w:jc w:val="left"/>
      </w:pPr>
    </w:p>
    <w:p w:rsidR="00900A66" w:rsidRPr="00DE60C6" w:rsidRDefault="00900A66" w:rsidP="00900A66">
      <w:pPr>
        <w:spacing w:after="200" w:line="276" w:lineRule="auto"/>
        <w:ind w:firstLine="0"/>
        <w:jc w:val="left"/>
        <w:rPr>
          <w:b/>
        </w:rPr>
      </w:pPr>
      <w:r w:rsidRPr="00DE60C6">
        <w:rPr>
          <w:b/>
          <w:bCs/>
          <w:noProof/>
        </w:rPr>
        <w:t>OBSAH</w:t>
      </w:r>
    </w:p>
    <w:p w:rsidR="00D0566D" w:rsidRDefault="005A50EF">
      <w:pPr>
        <w:pStyle w:val="Obsah2"/>
        <w:rPr>
          <w:rFonts w:asciiTheme="minorHAnsi" w:hAnsiTheme="minorHAnsi" w:cstheme="minorBidi"/>
          <w:b w:val="0"/>
          <w:sz w:val="22"/>
          <w:szCs w:val="22"/>
        </w:rPr>
      </w:pPr>
      <w:r w:rsidRPr="00816EB8">
        <w:rPr>
          <w:bCs/>
          <w:caps/>
        </w:rPr>
        <w:fldChar w:fldCharType="begin"/>
      </w:r>
      <w:r w:rsidRPr="004F21C2">
        <w:rPr>
          <w:bCs/>
          <w:caps/>
        </w:rPr>
        <w:instrText xml:space="preserve"> TOC \o "1-1" \h \z \t "Tomík;2;Tomík 2;3;Tomik 3;4" </w:instrText>
      </w:r>
      <w:r w:rsidRPr="00816EB8">
        <w:rPr>
          <w:bCs/>
          <w:caps/>
        </w:rPr>
        <w:fldChar w:fldCharType="separate"/>
      </w:r>
      <w:hyperlink w:anchor="_Toc38385234" w:history="1">
        <w:r w:rsidR="005230E1" w:rsidRPr="00966A09">
          <w:rPr>
            <w:rStyle w:val="Hypertextovodkaz"/>
          </w:rPr>
          <w:t>ÚVOD</w:t>
        </w:r>
        <w:r w:rsidR="00D0566D">
          <w:rPr>
            <w:webHidden/>
          </w:rPr>
          <w:tab/>
        </w:r>
        <w:r w:rsidR="00D0566D">
          <w:rPr>
            <w:webHidden/>
          </w:rPr>
          <w:tab/>
        </w:r>
        <w:r w:rsidR="00D0566D">
          <w:rPr>
            <w:webHidden/>
          </w:rPr>
          <w:fldChar w:fldCharType="begin"/>
        </w:r>
        <w:r w:rsidR="00D0566D">
          <w:rPr>
            <w:webHidden/>
          </w:rPr>
          <w:instrText xml:space="preserve"> PAGEREF _Toc38385234 \h </w:instrText>
        </w:r>
        <w:r w:rsidR="00D0566D">
          <w:rPr>
            <w:webHidden/>
          </w:rPr>
        </w:r>
        <w:r w:rsidR="00D0566D">
          <w:rPr>
            <w:webHidden/>
          </w:rPr>
          <w:fldChar w:fldCharType="separate"/>
        </w:r>
        <w:r w:rsidR="00236D9A">
          <w:rPr>
            <w:webHidden/>
          </w:rPr>
          <w:t>8</w:t>
        </w:r>
        <w:r w:rsidR="00D0566D">
          <w:rPr>
            <w:webHidden/>
          </w:rPr>
          <w:fldChar w:fldCharType="end"/>
        </w:r>
      </w:hyperlink>
    </w:p>
    <w:p w:rsidR="00D0566D" w:rsidRDefault="005230E1">
      <w:pPr>
        <w:pStyle w:val="Obsah2"/>
        <w:rPr>
          <w:rFonts w:asciiTheme="minorHAnsi" w:hAnsiTheme="minorHAnsi" w:cstheme="minorBidi"/>
          <w:b w:val="0"/>
          <w:sz w:val="22"/>
          <w:szCs w:val="22"/>
        </w:rPr>
      </w:pPr>
      <w:hyperlink w:anchor="_Toc38385235" w:history="1">
        <w:r w:rsidR="00D0566D" w:rsidRPr="00966A09">
          <w:rPr>
            <w:rStyle w:val="Hypertextovodkaz"/>
          </w:rPr>
          <w:t>1</w:t>
        </w:r>
        <w:r w:rsidR="00D0566D">
          <w:rPr>
            <w:rFonts w:asciiTheme="minorHAnsi" w:hAnsiTheme="minorHAnsi" w:cstheme="minorBidi"/>
            <w:b w:val="0"/>
            <w:sz w:val="22"/>
            <w:szCs w:val="22"/>
          </w:rPr>
          <w:tab/>
        </w:r>
        <w:r w:rsidR="00D0566D" w:rsidRPr="00966A09">
          <w:rPr>
            <w:rStyle w:val="Hypertextovodkaz"/>
          </w:rPr>
          <w:t>Teoretické východiska dotací poskytovaných z peněžních prostředků EU</w:t>
        </w:r>
        <w:r w:rsidR="00D0566D">
          <w:rPr>
            <w:webHidden/>
          </w:rPr>
          <w:tab/>
        </w:r>
        <w:r w:rsidR="00D0566D">
          <w:rPr>
            <w:webHidden/>
          </w:rPr>
          <w:fldChar w:fldCharType="begin"/>
        </w:r>
        <w:r w:rsidR="00D0566D">
          <w:rPr>
            <w:webHidden/>
          </w:rPr>
          <w:instrText xml:space="preserve"> PAGEREF _Toc38385235 \h </w:instrText>
        </w:r>
        <w:r w:rsidR="00D0566D">
          <w:rPr>
            <w:webHidden/>
          </w:rPr>
        </w:r>
        <w:r w:rsidR="00D0566D">
          <w:rPr>
            <w:webHidden/>
          </w:rPr>
          <w:fldChar w:fldCharType="separate"/>
        </w:r>
        <w:r w:rsidR="00236D9A">
          <w:rPr>
            <w:webHidden/>
          </w:rPr>
          <w:t>10</w:t>
        </w:r>
        <w:r w:rsidR="00D0566D">
          <w:rPr>
            <w:webHidden/>
          </w:rPr>
          <w:fldChar w:fldCharType="end"/>
        </w:r>
      </w:hyperlink>
    </w:p>
    <w:p w:rsidR="00D0566D" w:rsidRDefault="005230E1" w:rsidP="005230E1">
      <w:pPr>
        <w:pStyle w:val="Obsah3"/>
        <w:rPr>
          <w:rFonts w:asciiTheme="minorHAnsi" w:hAnsiTheme="minorHAnsi"/>
          <w:noProof/>
          <w:sz w:val="22"/>
        </w:rPr>
      </w:pPr>
      <w:hyperlink w:anchor="_Toc38385236" w:history="1">
        <w:r w:rsidR="00D0566D" w:rsidRPr="00966A09">
          <w:rPr>
            <w:rStyle w:val="Hypertextovodkaz"/>
            <w:noProof/>
          </w:rPr>
          <w:t>1.1</w:t>
        </w:r>
        <w:r w:rsidR="00D0566D">
          <w:rPr>
            <w:rFonts w:asciiTheme="minorHAnsi" w:hAnsiTheme="minorHAnsi"/>
            <w:noProof/>
            <w:sz w:val="22"/>
          </w:rPr>
          <w:tab/>
        </w:r>
        <w:r w:rsidR="00D0566D" w:rsidRPr="00966A09">
          <w:rPr>
            <w:rStyle w:val="Hypertextovodkaz"/>
            <w:noProof/>
          </w:rPr>
          <w:t>Národní fond</w:t>
        </w:r>
        <w:r w:rsidR="00D0566D">
          <w:rPr>
            <w:noProof/>
            <w:webHidden/>
          </w:rPr>
          <w:tab/>
        </w:r>
        <w:r w:rsidR="00D0566D">
          <w:rPr>
            <w:noProof/>
            <w:webHidden/>
          </w:rPr>
          <w:fldChar w:fldCharType="begin"/>
        </w:r>
        <w:r w:rsidR="00D0566D">
          <w:rPr>
            <w:noProof/>
            <w:webHidden/>
          </w:rPr>
          <w:instrText xml:space="preserve"> PAGEREF _Toc38385236 \h </w:instrText>
        </w:r>
        <w:r w:rsidR="00D0566D">
          <w:rPr>
            <w:noProof/>
            <w:webHidden/>
          </w:rPr>
        </w:r>
        <w:r w:rsidR="00D0566D">
          <w:rPr>
            <w:noProof/>
            <w:webHidden/>
          </w:rPr>
          <w:fldChar w:fldCharType="separate"/>
        </w:r>
        <w:r w:rsidR="00236D9A">
          <w:rPr>
            <w:noProof/>
            <w:webHidden/>
          </w:rPr>
          <w:t>11</w:t>
        </w:r>
        <w:r w:rsidR="00D0566D">
          <w:rPr>
            <w:noProof/>
            <w:webHidden/>
          </w:rPr>
          <w:fldChar w:fldCharType="end"/>
        </w:r>
      </w:hyperlink>
    </w:p>
    <w:p w:rsidR="00D0566D" w:rsidRDefault="005230E1" w:rsidP="005230E1">
      <w:pPr>
        <w:pStyle w:val="Obsah3"/>
        <w:rPr>
          <w:rFonts w:asciiTheme="minorHAnsi" w:hAnsiTheme="minorHAnsi"/>
          <w:noProof/>
          <w:sz w:val="22"/>
        </w:rPr>
      </w:pPr>
      <w:hyperlink w:anchor="_Toc38385237" w:history="1">
        <w:r w:rsidR="00D0566D" w:rsidRPr="00966A09">
          <w:rPr>
            <w:rStyle w:val="Hypertextovodkaz"/>
            <w:rFonts w:cs="Times New Roman"/>
            <w:noProof/>
          </w:rPr>
          <w:t>1.2</w:t>
        </w:r>
        <w:r w:rsidR="00D0566D">
          <w:rPr>
            <w:rFonts w:asciiTheme="minorHAnsi" w:hAnsiTheme="minorHAnsi"/>
            <w:noProof/>
            <w:sz w:val="22"/>
          </w:rPr>
          <w:tab/>
        </w:r>
        <w:r w:rsidR="00D0566D" w:rsidRPr="00966A09">
          <w:rPr>
            <w:rStyle w:val="Hypertextovodkaz"/>
            <w:noProof/>
          </w:rPr>
          <w:t>Evropské fondy</w:t>
        </w:r>
        <w:r w:rsidR="00D0566D">
          <w:rPr>
            <w:noProof/>
            <w:webHidden/>
          </w:rPr>
          <w:tab/>
        </w:r>
        <w:r w:rsidR="00D0566D">
          <w:rPr>
            <w:noProof/>
            <w:webHidden/>
          </w:rPr>
          <w:fldChar w:fldCharType="begin"/>
        </w:r>
        <w:r w:rsidR="00D0566D">
          <w:rPr>
            <w:noProof/>
            <w:webHidden/>
          </w:rPr>
          <w:instrText xml:space="preserve"> PAGEREF _Toc38385237 \h </w:instrText>
        </w:r>
        <w:r w:rsidR="00D0566D">
          <w:rPr>
            <w:noProof/>
            <w:webHidden/>
          </w:rPr>
        </w:r>
        <w:r w:rsidR="00D0566D">
          <w:rPr>
            <w:noProof/>
            <w:webHidden/>
          </w:rPr>
          <w:fldChar w:fldCharType="separate"/>
        </w:r>
        <w:r w:rsidR="00236D9A">
          <w:rPr>
            <w:noProof/>
            <w:webHidden/>
          </w:rPr>
          <w:t>11</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38" w:history="1">
        <w:r w:rsidR="00D0566D" w:rsidRPr="00966A09">
          <w:rPr>
            <w:rStyle w:val="Hypertextovodkaz"/>
            <w:noProof/>
          </w:rPr>
          <w:t>1.2.1</w:t>
        </w:r>
        <w:r w:rsidR="00D0566D">
          <w:rPr>
            <w:rFonts w:asciiTheme="minorHAnsi" w:eastAsiaTheme="minorEastAsia" w:hAnsiTheme="minorHAnsi" w:cstheme="minorBidi"/>
            <w:noProof/>
            <w:sz w:val="22"/>
            <w:szCs w:val="22"/>
          </w:rPr>
          <w:tab/>
        </w:r>
        <w:r w:rsidR="00D0566D" w:rsidRPr="00966A09">
          <w:rPr>
            <w:rStyle w:val="Hypertextovodkaz"/>
            <w:noProof/>
          </w:rPr>
          <w:t>Strukturální a investiční fondy</w:t>
        </w:r>
        <w:r w:rsidR="00D0566D">
          <w:rPr>
            <w:noProof/>
            <w:webHidden/>
          </w:rPr>
          <w:tab/>
        </w:r>
        <w:r w:rsidR="00D0566D">
          <w:rPr>
            <w:noProof/>
            <w:webHidden/>
          </w:rPr>
          <w:fldChar w:fldCharType="begin"/>
        </w:r>
        <w:r w:rsidR="00D0566D">
          <w:rPr>
            <w:noProof/>
            <w:webHidden/>
          </w:rPr>
          <w:instrText xml:space="preserve"> PAGEREF _Toc38385238 \h </w:instrText>
        </w:r>
        <w:r w:rsidR="00D0566D">
          <w:rPr>
            <w:noProof/>
            <w:webHidden/>
          </w:rPr>
        </w:r>
        <w:r w:rsidR="00D0566D">
          <w:rPr>
            <w:noProof/>
            <w:webHidden/>
          </w:rPr>
          <w:fldChar w:fldCharType="separate"/>
        </w:r>
        <w:r w:rsidR="00236D9A">
          <w:rPr>
            <w:noProof/>
            <w:webHidden/>
          </w:rPr>
          <w:t>11</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39" w:history="1">
        <w:r w:rsidR="00D0566D" w:rsidRPr="00966A09">
          <w:rPr>
            <w:rStyle w:val="Hypertextovodkaz"/>
            <w:noProof/>
          </w:rPr>
          <w:t>1.2.2</w:t>
        </w:r>
        <w:r w:rsidR="00D0566D">
          <w:rPr>
            <w:rFonts w:asciiTheme="minorHAnsi" w:eastAsiaTheme="minorEastAsia" w:hAnsiTheme="minorHAnsi" w:cstheme="minorBidi"/>
            <w:noProof/>
            <w:sz w:val="22"/>
            <w:szCs w:val="22"/>
          </w:rPr>
          <w:tab/>
        </w:r>
        <w:r w:rsidR="00D0566D" w:rsidRPr="00966A09">
          <w:rPr>
            <w:rStyle w:val="Hypertextovodkaz"/>
            <w:noProof/>
          </w:rPr>
          <w:t>Ostatní fondy</w:t>
        </w:r>
        <w:r w:rsidR="00D0566D">
          <w:rPr>
            <w:noProof/>
            <w:webHidden/>
          </w:rPr>
          <w:tab/>
        </w:r>
        <w:r w:rsidR="00D0566D">
          <w:rPr>
            <w:noProof/>
            <w:webHidden/>
          </w:rPr>
          <w:fldChar w:fldCharType="begin"/>
        </w:r>
        <w:r w:rsidR="00D0566D">
          <w:rPr>
            <w:noProof/>
            <w:webHidden/>
          </w:rPr>
          <w:instrText xml:space="preserve"> PAGEREF _Toc38385239 \h </w:instrText>
        </w:r>
        <w:r w:rsidR="00D0566D">
          <w:rPr>
            <w:noProof/>
            <w:webHidden/>
          </w:rPr>
        </w:r>
        <w:r w:rsidR="00D0566D">
          <w:rPr>
            <w:noProof/>
            <w:webHidden/>
          </w:rPr>
          <w:fldChar w:fldCharType="separate"/>
        </w:r>
        <w:r w:rsidR="00236D9A">
          <w:rPr>
            <w:noProof/>
            <w:webHidden/>
          </w:rPr>
          <w:t>13</w:t>
        </w:r>
        <w:r w:rsidR="00D0566D">
          <w:rPr>
            <w:noProof/>
            <w:webHidden/>
          </w:rPr>
          <w:fldChar w:fldCharType="end"/>
        </w:r>
      </w:hyperlink>
    </w:p>
    <w:p w:rsidR="00D0566D" w:rsidRDefault="005230E1" w:rsidP="005230E1">
      <w:pPr>
        <w:pStyle w:val="Obsah3"/>
        <w:rPr>
          <w:rFonts w:asciiTheme="minorHAnsi" w:hAnsiTheme="minorHAnsi"/>
          <w:noProof/>
          <w:sz w:val="22"/>
        </w:rPr>
      </w:pPr>
      <w:hyperlink w:anchor="_Toc38385240" w:history="1">
        <w:r w:rsidR="00D0566D" w:rsidRPr="00966A09">
          <w:rPr>
            <w:rStyle w:val="Hypertextovodkaz"/>
            <w:noProof/>
          </w:rPr>
          <w:t>1.3</w:t>
        </w:r>
        <w:r w:rsidR="00D0566D">
          <w:rPr>
            <w:rFonts w:asciiTheme="minorHAnsi" w:hAnsiTheme="minorHAnsi"/>
            <w:noProof/>
            <w:sz w:val="22"/>
          </w:rPr>
          <w:tab/>
        </w:r>
        <w:r w:rsidR="00D0566D" w:rsidRPr="00966A09">
          <w:rPr>
            <w:rStyle w:val="Hypertextovodkaz"/>
            <w:noProof/>
          </w:rPr>
          <w:t>Programová období, operační programy</w:t>
        </w:r>
        <w:r w:rsidR="00D0566D">
          <w:rPr>
            <w:noProof/>
            <w:webHidden/>
          </w:rPr>
          <w:tab/>
        </w:r>
        <w:r w:rsidR="00D0566D">
          <w:rPr>
            <w:noProof/>
            <w:webHidden/>
          </w:rPr>
          <w:fldChar w:fldCharType="begin"/>
        </w:r>
        <w:r w:rsidR="00D0566D">
          <w:rPr>
            <w:noProof/>
            <w:webHidden/>
          </w:rPr>
          <w:instrText xml:space="preserve"> PAGEREF _Toc38385240 \h </w:instrText>
        </w:r>
        <w:r w:rsidR="00D0566D">
          <w:rPr>
            <w:noProof/>
            <w:webHidden/>
          </w:rPr>
        </w:r>
        <w:r w:rsidR="00D0566D">
          <w:rPr>
            <w:noProof/>
            <w:webHidden/>
          </w:rPr>
          <w:fldChar w:fldCharType="separate"/>
        </w:r>
        <w:r w:rsidR="00236D9A">
          <w:rPr>
            <w:noProof/>
            <w:webHidden/>
          </w:rPr>
          <w:t>15</w:t>
        </w:r>
        <w:r w:rsidR="00D0566D">
          <w:rPr>
            <w:noProof/>
            <w:webHidden/>
          </w:rPr>
          <w:fldChar w:fldCharType="end"/>
        </w:r>
      </w:hyperlink>
    </w:p>
    <w:p w:rsidR="00D0566D" w:rsidRDefault="005230E1" w:rsidP="005230E1">
      <w:pPr>
        <w:pStyle w:val="Obsah3"/>
        <w:rPr>
          <w:rFonts w:asciiTheme="minorHAnsi" w:hAnsiTheme="minorHAnsi"/>
          <w:noProof/>
          <w:sz w:val="22"/>
        </w:rPr>
      </w:pPr>
      <w:hyperlink w:anchor="_Toc38385241" w:history="1">
        <w:r w:rsidR="00D0566D" w:rsidRPr="00966A09">
          <w:rPr>
            <w:rStyle w:val="Hypertextovodkaz"/>
            <w:noProof/>
          </w:rPr>
          <w:t>1.4</w:t>
        </w:r>
        <w:r w:rsidR="00D0566D">
          <w:rPr>
            <w:rFonts w:asciiTheme="minorHAnsi" w:hAnsiTheme="minorHAnsi"/>
            <w:noProof/>
            <w:sz w:val="22"/>
          </w:rPr>
          <w:tab/>
        </w:r>
        <w:r w:rsidR="00D0566D" w:rsidRPr="00966A09">
          <w:rPr>
            <w:rStyle w:val="Hypertextovodkaz"/>
            <w:noProof/>
          </w:rPr>
          <w:t>Historie čerpání z evropských fondů v letech 2004–2020</w:t>
        </w:r>
        <w:r w:rsidR="00D0566D">
          <w:rPr>
            <w:noProof/>
            <w:webHidden/>
          </w:rPr>
          <w:tab/>
        </w:r>
        <w:r w:rsidR="00D0566D">
          <w:rPr>
            <w:noProof/>
            <w:webHidden/>
          </w:rPr>
          <w:fldChar w:fldCharType="begin"/>
        </w:r>
        <w:r w:rsidR="00D0566D">
          <w:rPr>
            <w:noProof/>
            <w:webHidden/>
          </w:rPr>
          <w:instrText xml:space="preserve"> PAGEREF _Toc38385241 \h </w:instrText>
        </w:r>
        <w:r w:rsidR="00D0566D">
          <w:rPr>
            <w:noProof/>
            <w:webHidden/>
          </w:rPr>
        </w:r>
        <w:r w:rsidR="00D0566D">
          <w:rPr>
            <w:noProof/>
            <w:webHidden/>
          </w:rPr>
          <w:fldChar w:fldCharType="separate"/>
        </w:r>
        <w:r w:rsidR="00236D9A">
          <w:rPr>
            <w:noProof/>
            <w:webHidden/>
          </w:rPr>
          <w:t>18</w:t>
        </w:r>
        <w:r w:rsidR="00D0566D">
          <w:rPr>
            <w:noProof/>
            <w:webHidden/>
          </w:rPr>
          <w:fldChar w:fldCharType="end"/>
        </w:r>
      </w:hyperlink>
    </w:p>
    <w:p w:rsidR="00D0566D" w:rsidRDefault="005230E1">
      <w:pPr>
        <w:pStyle w:val="Obsah2"/>
        <w:rPr>
          <w:rFonts w:asciiTheme="minorHAnsi" w:hAnsiTheme="minorHAnsi" w:cstheme="minorBidi"/>
          <w:b w:val="0"/>
          <w:sz w:val="22"/>
          <w:szCs w:val="22"/>
        </w:rPr>
      </w:pPr>
      <w:hyperlink w:anchor="_Toc38385242" w:history="1">
        <w:r w:rsidR="00D0566D" w:rsidRPr="00966A09">
          <w:rPr>
            <w:rStyle w:val="Hypertextovodkaz"/>
          </w:rPr>
          <w:t>2</w:t>
        </w:r>
        <w:r w:rsidR="00D0566D">
          <w:rPr>
            <w:rFonts w:asciiTheme="minorHAnsi" w:hAnsiTheme="minorHAnsi" w:cstheme="minorBidi"/>
            <w:b w:val="0"/>
            <w:sz w:val="22"/>
            <w:szCs w:val="22"/>
          </w:rPr>
          <w:tab/>
        </w:r>
        <w:r w:rsidR="00D0566D" w:rsidRPr="00966A09">
          <w:rPr>
            <w:rStyle w:val="Hypertextovodkaz"/>
          </w:rPr>
          <w:t>Koordinace a synergie mezi fondy EU, operačními programy a orgány ČR</w:t>
        </w:r>
        <w:r w:rsidR="00D0566D">
          <w:rPr>
            <w:webHidden/>
          </w:rPr>
          <w:tab/>
        </w:r>
        <w:r w:rsidR="00D0566D">
          <w:rPr>
            <w:webHidden/>
          </w:rPr>
          <w:fldChar w:fldCharType="begin"/>
        </w:r>
        <w:r w:rsidR="00D0566D">
          <w:rPr>
            <w:webHidden/>
          </w:rPr>
          <w:instrText xml:space="preserve"> PAGEREF _Toc38385242 \h </w:instrText>
        </w:r>
        <w:r w:rsidR="00D0566D">
          <w:rPr>
            <w:webHidden/>
          </w:rPr>
        </w:r>
        <w:r w:rsidR="00D0566D">
          <w:rPr>
            <w:webHidden/>
          </w:rPr>
          <w:fldChar w:fldCharType="separate"/>
        </w:r>
        <w:r w:rsidR="00236D9A">
          <w:rPr>
            <w:webHidden/>
          </w:rPr>
          <w:t>23</w:t>
        </w:r>
        <w:r w:rsidR="00D0566D">
          <w:rPr>
            <w:webHidden/>
          </w:rPr>
          <w:fldChar w:fldCharType="end"/>
        </w:r>
      </w:hyperlink>
    </w:p>
    <w:p w:rsidR="00D0566D" w:rsidRDefault="005230E1" w:rsidP="005230E1">
      <w:pPr>
        <w:pStyle w:val="Obsah3"/>
        <w:rPr>
          <w:rFonts w:asciiTheme="minorHAnsi" w:hAnsiTheme="minorHAnsi"/>
          <w:noProof/>
          <w:sz w:val="22"/>
        </w:rPr>
      </w:pPr>
      <w:hyperlink w:anchor="_Toc38385243" w:history="1">
        <w:r w:rsidR="00D0566D" w:rsidRPr="00966A09">
          <w:rPr>
            <w:rStyle w:val="Hypertextovodkaz"/>
            <w:noProof/>
          </w:rPr>
          <w:t>2.1</w:t>
        </w:r>
        <w:r w:rsidR="00D0566D">
          <w:rPr>
            <w:rFonts w:asciiTheme="minorHAnsi" w:hAnsiTheme="minorHAnsi"/>
            <w:noProof/>
            <w:sz w:val="22"/>
          </w:rPr>
          <w:tab/>
        </w:r>
        <w:r w:rsidR="00D0566D" w:rsidRPr="00966A09">
          <w:rPr>
            <w:rStyle w:val="Hypertextovodkaz"/>
            <w:noProof/>
          </w:rPr>
          <w:t>Národní orgán pro koordinaci</w:t>
        </w:r>
        <w:r w:rsidR="00D0566D">
          <w:rPr>
            <w:noProof/>
            <w:webHidden/>
          </w:rPr>
          <w:tab/>
        </w:r>
        <w:r w:rsidR="00D0566D">
          <w:rPr>
            <w:noProof/>
            <w:webHidden/>
          </w:rPr>
          <w:fldChar w:fldCharType="begin"/>
        </w:r>
        <w:r w:rsidR="00D0566D">
          <w:rPr>
            <w:noProof/>
            <w:webHidden/>
          </w:rPr>
          <w:instrText xml:space="preserve"> PAGEREF _Toc38385243 \h </w:instrText>
        </w:r>
        <w:r w:rsidR="00D0566D">
          <w:rPr>
            <w:noProof/>
            <w:webHidden/>
          </w:rPr>
        </w:r>
        <w:r w:rsidR="00D0566D">
          <w:rPr>
            <w:noProof/>
            <w:webHidden/>
          </w:rPr>
          <w:fldChar w:fldCharType="separate"/>
        </w:r>
        <w:r w:rsidR="00236D9A">
          <w:rPr>
            <w:noProof/>
            <w:webHidden/>
          </w:rPr>
          <w:t>23</w:t>
        </w:r>
        <w:r w:rsidR="00D0566D">
          <w:rPr>
            <w:noProof/>
            <w:webHidden/>
          </w:rPr>
          <w:fldChar w:fldCharType="end"/>
        </w:r>
      </w:hyperlink>
    </w:p>
    <w:p w:rsidR="00D0566D" w:rsidRDefault="005230E1" w:rsidP="005230E1">
      <w:pPr>
        <w:pStyle w:val="Obsah3"/>
        <w:rPr>
          <w:rFonts w:asciiTheme="minorHAnsi" w:hAnsiTheme="minorHAnsi"/>
          <w:noProof/>
          <w:sz w:val="22"/>
        </w:rPr>
      </w:pPr>
      <w:hyperlink w:anchor="_Toc38385244" w:history="1">
        <w:r w:rsidR="00D0566D" w:rsidRPr="00966A09">
          <w:rPr>
            <w:rStyle w:val="Hypertextovodkaz"/>
            <w:noProof/>
          </w:rPr>
          <w:t>2.2</w:t>
        </w:r>
        <w:r w:rsidR="00D0566D">
          <w:rPr>
            <w:rFonts w:asciiTheme="minorHAnsi" w:hAnsiTheme="minorHAnsi"/>
            <w:noProof/>
            <w:sz w:val="22"/>
          </w:rPr>
          <w:tab/>
        </w:r>
        <w:r w:rsidR="00D0566D" w:rsidRPr="00966A09">
          <w:rPr>
            <w:rStyle w:val="Hypertextovodkaz"/>
            <w:noProof/>
          </w:rPr>
          <w:t>Instituce implementační struktury</w:t>
        </w:r>
        <w:r w:rsidR="00D0566D">
          <w:rPr>
            <w:noProof/>
            <w:webHidden/>
          </w:rPr>
          <w:tab/>
        </w:r>
        <w:r w:rsidR="00D0566D">
          <w:rPr>
            <w:noProof/>
            <w:webHidden/>
          </w:rPr>
          <w:fldChar w:fldCharType="begin"/>
        </w:r>
        <w:r w:rsidR="00D0566D">
          <w:rPr>
            <w:noProof/>
            <w:webHidden/>
          </w:rPr>
          <w:instrText xml:space="preserve"> PAGEREF _Toc38385244 \h </w:instrText>
        </w:r>
        <w:r w:rsidR="00D0566D">
          <w:rPr>
            <w:noProof/>
            <w:webHidden/>
          </w:rPr>
        </w:r>
        <w:r w:rsidR="00D0566D">
          <w:rPr>
            <w:noProof/>
            <w:webHidden/>
          </w:rPr>
          <w:fldChar w:fldCharType="separate"/>
        </w:r>
        <w:r w:rsidR="00236D9A">
          <w:rPr>
            <w:noProof/>
            <w:webHidden/>
          </w:rPr>
          <w:t>24</w:t>
        </w:r>
        <w:r w:rsidR="00D0566D">
          <w:rPr>
            <w:noProof/>
            <w:webHidden/>
          </w:rPr>
          <w:fldChar w:fldCharType="end"/>
        </w:r>
      </w:hyperlink>
    </w:p>
    <w:p w:rsidR="00D0566D" w:rsidRDefault="005230E1">
      <w:pPr>
        <w:pStyle w:val="Obsah2"/>
        <w:rPr>
          <w:rFonts w:asciiTheme="minorHAnsi" w:hAnsiTheme="minorHAnsi" w:cstheme="minorBidi"/>
          <w:b w:val="0"/>
          <w:sz w:val="22"/>
          <w:szCs w:val="22"/>
        </w:rPr>
      </w:pPr>
      <w:hyperlink w:anchor="_Toc38385245" w:history="1">
        <w:r w:rsidR="00D0566D" w:rsidRPr="00966A09">
          <w:rPr>
            <w:rStyle w:val="Hypertextovodkaz"/>
          </w:rPr>
          <w:t>3</w:t>
        </w:r>
        <w:r w:rsidR="00D0566D">
          <w:rPr>
            <w:rFonts w:asciiTheme="minorHAnsi" w:hAnsiTheme="minorHAnsi" w:cstheme="minorBidi"/>
            <w:b w:val="0"/>
            <w:sz w:val="22"/>
            <w:szCs w:val="22"/>
          </w:rPr>
          <w:tab/>
        </w:r>
        <w:r w:rsidR="00D0566D" w:rsidRPr="00966A09">
          <w:rPr>
            <w:rStyle w:val="Hypertextovodkaz"/>
          </w:rPr>
          <w:t>Kontrolní orgány při poskytování dotací nebo návratných finančních výpomocí z prostředků EU</w:t>
        </w:r>
        <w:r w:rsidR="00D0566D">
          <w:rPr>
            <w:webHidden/>
          </w:rPr>
          <w:tab/>
        </w:r>
        <w:r w:rsidR="00D0566D">
          <w:rPr>
            <w:webHidden/>
          </w:rPr>
          <w:fldChar w:fldCharType="begin"/>
        </w:r>
        <w:r w:rsidR="00D0566D">
          <w:rPr>
            <w:webHidden/>
          </w:rPr>
          <w:instrText xml:space="preserve"> PAGEREF _Toc38385245 \h </w:instrText>
        </w:r>
        <w:r w:rsidR="00D0566D">
          <w:rPr>
            <w:webHidden/>
          </w:rPr>
        </w:r>
        <w:r w:rsidR="00D0566D">
          <w:rPr>
            <w:webHidden/>
          </w:rPr>
          <w:fldChar w:fldCharType="separate"/>
        </w:r>
        <w:r w:rsidR="00236D9A">
          <w:rPr>
            <w:webHidden/>
          </w:rPr>
          <w:t>28</w:t>
        </w:r>
        <w:r w:rsidR="00D0566D">
          <w:rPr>
            <w:webHidden/>
          </w:rPr>
          <w:fldChar w:fldCharType="end"/>
        </w:r>
      </w:hyperlink>
    </w:p>
    <w:p w:rsidR="00D0566D" w:rsidRDefault="005230E1" w:rsidP="005230E1">
      <w:pPr>
        <w:pStyle w:val="Obsah3"/>
        <w:rPr>
          <w:rFonts w:asciiTheme="minorHAnsi" w:hAnsiTheme="minorHAnsi"/>
          <w:noProof/>
          <w:sz w:val="22"/>
        </w:rPr>
      </w:pPr>
      <w:hyperlink w:anchor="_Toc38385246" w:history="1">
        <w:r w:rsidR="00D0566D" w:rsidRPr="00966A09">
          <w:rPr>
            <w:rStyle w:val="Hypertextovodkaz"/>
            <w:noProof/>
          </w:rPr>
          <w:t>3.1</w:t>
        </w:r>
        <w:r w:rsidR="00D0566D">
          <w:rPr>
            <w:rFonts w:asciiTheme="minorHAnsi" w:hAnsiTheme="minorHAnsi"/>
            <w:noProof/>
            <w:sz w:val="22"/>
          </w:rPr>
          <w:tab/>
        </w:r>
        <w:r w:rsidR="00D0566D" w:rsidRPr="00966A09">
          <w:rPr>
            <w:rStyle w:val="Hypertextovodkaz"/>
            <w:noProof/>
          </w:rPr>
          <w:t>Kontrolní orgány EU</w:t>
        </w:r>
        <w:r w:rsidR="00D0566D">
          <w:rPr>
            <w:noProof/>
            <w:webHidden/>
          </w:rPr>
          <w:tab/>
        </w:r>
        <w:r w:rsidR="00D0566D">
          <w:rPr>
            <w:noProof/>
            <w:webHidden/>
          </w:rPr>
          <w:fldChar w:fldCharType="begin"/>
        </w:r>
        <w:r w:rsidR="00D0566D">
          <w:rPr>
            <w:noProof/>
            <w:webHidden/>
          </w:rPr>
          <w:instrText xml:space="preserve"> PAGEREF _Toc38385246 \h </w:instrText>
        </w:r>
        <w:r w:rsidR="00D0566D">
          <w:rPr>
            <w:noProof/>
            <w:webHidden/>
          </w:rPr>
        </w:r>
        <w:r w:rsidR="00D0566D">
          <w:rPr>
            <w:noProof/>
            <w:webHidden/>
          </w:rPr>
          <w:fldChar w:fldCharType="separate"/>
        </w:r>
        <w:r w:rsidR="00236D9A">
          <w:rPr>
            <w:noProof/>
            <w:webHidden/>
          </w:rPr>
          <w:t>28</w:t>
        </w:r>
        <w:r w:rsidR="00D0566D">
          <w:rPr>
            <w:noProof/>
            <w:webHidden/>
          </w:rPr>
          <w:fldChar w:fldCharType="end"/>
        </w:r>
      </w:hyperlink>
    </w:p>
    <w:p w:rsidR="00D0566D" w:rsidRDefault="005230E1" w:rsidP="005230E1">
      <w:pPr>
        <w:pStyle w:val="Obsah3"/>
        <w:rPr>
          <w:rFonts w:asciiTheme="minorHAnsi" w:hAnsiTheme="minorHAnsi"/>
          <w:noProof/>
          <w:sz w:val="22"/>
        </w:rPr>
      </w:pPr>
      <w:hyperlink w:anchor="_Toc38385247" w:history="1">
        <w:r w:rsidR="00D0566D" w:rsidRPr="00966A09">
          <w:rPr>
            <w:rStyle w:val="Hypertextovodkaz"/>
            <w:noProof/>
          </w:rPr>
          <w:t>3.2</w:t>
        </w:r>
        <w:r w:rsidR="00D0566D">
          <w:rPr>
            <w:rFonts w:asciiTheme="minorHAnsi" w:hAnsiTheme="minorHAnsi"/>
            <w:noProof/>
            <w:sz w:val="22"/>
          </w:rPr>
          <w:tab/>
        </w:r>
        <w:r w:rsidR="00D0566D" w:rsidRPr="00966A09">
          <w:rPr>
            <w:rStyle w:val="Hypertextovodkaz"/>
            <w:noProof/>
          </w:rPr>
          <w:t>Kontrolní orgány ČR</w:t>
        </w:r>
        <w:r w:rsidR="00D0566D">
          <w:rPr>
            <w:noProof/>
            <w:webHidden/>
          </w:rPr>
          <w:tab/>
        </w:r>
        <w:r w:rsidR="00D0566D">
          <w:rPr>
            <w:noProof/>
            <w:webHidden/>
          </w:rPr>
          <w:fldChar w:fldCharType="begin"/>
        </w:r>
        <w:r w:rsidR="00D0566D">
          <w:rPr>
            <w:noProof/>
            <w:webHidden/>
          </w:rPr>
          <w:instrText xml:space="preserve"> PAGEREF _Toc38385247 \h </w:instrText>
        </w:r>
        <w:r w:rsidR="00D0566D">
          <w:rPr>
            <w:noProof/>
            <w:webHidden/>
          </w:rPr>
        </w:r>
        <w:r w:rsidR="00D0566D">
          <w:rPr>
            <w:noProof/>
            <w:webHidden/>
          </w:rPr>
          <w:fldChar w:fldCharType="separate"/>
        </w:r>
        <w:r w:rsidR="00236D9A">
          <w:rPr>
            <w:noProof/>
            <w:webHidden/>
          </w:rPr>
          <w:t>29</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48" w:history="1">
        <w:r w:rsidR="00D0566D" w:rsidRPr="00966A09">
          <w:rPr>
            <w:rStyle w:val="Hypertextovodkaz"/>
            <w:noProof/>
          </w:rPr>
          <w:t>3.2.1</w:t>
        </w:r>
        <w:r w:rsidR="00D0566D">
          <w:rPr>
            <w:rFonts w:asciiTheme="minorHAnsi" w:eastAsiaTheme="minorEastAsia" w:hAnsiTheme="minorHAnsi" w:cstheme="minorBidi"/>
            <w:noProof/>
            <w:sz w:val="22"/>
            <w:szCs w:val="22"/>
          </w:rPr>
          <w:tab/>
        </w:r>
        <w:r w:rsidR="00D0566D" w:rsidRPr="00966A09">
          <w:rPr>
            <w:rStyle w:val="Hypertextovodkaz"/>
            <w:noProof/>
          </w:rPr>
          <w:t>Nejvyšší kontrolní úřad</w:t>
        </w:r>
        <w:r w:rsidR="00D0566D">
          <w:rPr>
            <w:noProof/>
            <w:webHidden/>
          </w:rPr>
          <w:tab/>
        </w:r>
        <w:r w:rsidR="00D0566D">
          <w:rPr>
            <w:noProof/>
            <w:webHidden/>
          </w:rPr>
          <w:fldChar w:fldCharType="begin"/>
        </w:r>
        <w:r w:rsidR="00D0566D">
          <w:rPr>
            <w:noProof/>
            <w:webHidden/>
          </w:rPr>
          <w:instrText xml:space="preserve"> PAGEREF _Toc38385248 \h </w:instrText>
        </w:r>
        <w:r w:rsidR="00D0566D">
          <w:rPr>
            <w:noProof/>
            <w:webHidden/>
          </w:rPr>
        </w:r>
        <w:r w:rsidR="00D0566D">
          <w:rPr>
            <w:noProof/>
            <w:webHidden/>
          </w:rPr>
          <w:fldChar w:fldCharType="separate"/>
        </w:r>
        <w:r w:rsidR="00236D9A">
          <w:rPr>
            <w:noProof/>
            <w:webHidden/>
          </w:rPr>
          <w:t>30</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49" w:history="1">
        <w:r w:rsidR="00D0566D" w:rsidRPr="00966A09">
          <w:rPr>
            <w:rStyle w:val="Hypertextovodkaz"/>
            <w:noProof/>
          </w:rPr>
          <w:t>3.2.2</w:t>
        </w:r>
        <w:r w:rsidR="00D0566D">
          <w:rPr>
            <w:rFonts w:asciiTheme="minorHAnsi" w:eastAsiaTheme="minorEastAsia" w:hAnsiTheme="minorHAnsi" w:cstheme="minorBidi"/>
            <w:noProof/>
            <w:sz w:val="22"/>
            <w:szCs w:val="22"/>
          </w:rPr>
          <w:tab/>
        </w:r>
        <w:r w:rsidR="00D0566D" w:rsidRPr="00966A09">
          <w:rPr>
            <w:rStyle w:val="Hypertextovodkaz"/>
            <w:noProof/>
          </w:rPr>
          <w:t>Poskytovatelé a zprostředkující subjekty</w:t>
        </w:r>
        <w:r w:rsidR="00D0566D">
          <w:rPr>
            <w:noProof/>
            <w:webHidden/>
          </w:rPr>
          <w:tab/>
        </w:r>
        <w:r w:rsidR="00D0566D">
          <w:rPr>
            <w:noProof/>
            <w:webHidden/>
          </w:rPr>
          <w:fldChar w:fldCharType="begin"/>
        </w:r>
        <w:r w:rsidR="00D0566D">
          <w:rPr>
            <w:noProof/>
            <w:webHidden/>
          </w:rPr>
          <w:instrText xml:space="preserve"> PAGEREF _Toc38385249 \h </w:instrText>
        </w:r>
        <w:r w:rsidR="00D0566D">
          <w:rPr>
            <w:noProof/>
            <w:webHidden/>
          </w:rPr>
        </w:r>
        <w:r w:rsidR="00D0566D">
          <w:rPr>
            <w:noProof/>
            <w:webHidden/>
          </w:rPr>
          <w:fldChar w:fldCharType="separate"/>
        </w:r>
        <w:r w:rsidR="00236D9A">
          <w:rPr>
            <w:noProof/>
            <w:webHidden/>
          </w:rPr>
          <w:t>30</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50" w:history="1">
        <w:r w:rsidR="00D0566D" w:rsidRPr="00966A09">
          <w:rPr>
            <w:rStyle w:val="Hypertextovodkaz"/>
            <w:noProof/>
          </w:rPr>
          <w:t>3.2.3</w:t>
        </w:r>
        <w:r w:rsidR="00D0566D">
          <w:rPr>
            <w:rFonts w:asciiTheme="minorHAnsi" w:eastAsiaTheme="minorEastAsia" w:hAnsiTheme="minorHAnsi" w:cstheme="minorBidi"/>
            <w:noProof/>
            <w:sz w:val="22"/>
            <w:szCs w:val="22"/>
          </w:rPr>
          <w:tab/>
        </w:r>
        <w:r w:rsidR="00D0566D" w:rsidRPr="00966A09">
          <w:rPr>
            <w:rStyle w:val="Hypertextovodkaz"/>
            <w:noProof/>
          </w:rPr>
          <w:t>Finanční úřady, jejich organizační řád a oprávnění ke kontrole dotací</w:t>
        </w:r>
        <w:r w:rsidR="00D0566D">
          <w:rPr>
            <w:noProof/>
            <w:webHidden/>
          </w:rPr>
          <w:tab/>
        </w:r>
        <w:r w:rsidR="00D0566D">
          <w:rPr>
            <w:noProof/>
            <w:webHidden/>
          </w:rPr>
          <w:fldChar w:fldCharType="begin"/>
        </w:r>
        <w:r w:rsidR="00D0566D">
          <w:rPr>
            <w:noProof/>
            <w:webHidden/>
          </w:rPr>
          <w:instrText xml:space="preserve"> PAGEREF _Toc38385250 \h </w:instrText>
        </w:r>
        <w:r w:rsidR="00D0566D">
          <w:rPr>
            <w:noProof/>
            <w:webHidden/>
          </w:rPr>
        </w:r>
        <w:r w:rsidR="00D0566D">
          <w:rPr>
            <w:noProof/>
            <w:webHidden/>
          </w:rPr>
          <w:fldChar w:fldCharType="separate"/>
        </w:r>
        <w:r w:rsidR="00236D9A">
          <w:rPr>
            <w:noProof/>
            <w:webHidden/>
          </w:rPr>
          <w:t>31</w:t>
        </w:r>
        <w:r w:rsidR="00D0566D">
          <w:rPr>
            <w:noProof/>
            <w:webHidden/>
          </w:rPr>
          <w:fldChar w:fldCharType="end"/>
        </w:r>
      </w:hyperlink>
    </w:p>
    <w:p w:rsidR="00D0566D" w:rsidRDefault="005230E1" w:rsidP="005230E1">
      <w:pPr>
        <w:pStyle w:val="Obsah3"/>
        <w:rPr>
          <w:rFonts w:asciiTheme="minorHAnsi" w:hAnsiTheme="minorHAnsi"/>
          <w:noProof/>
          <w:sz w:val="22"/>
        </w:rPr>
      </w:pPr>
      <w:hyperlink w:anchor="_Toc38385251" w:history="1">
        <w:r w:rsidR="00D0566D" w:rsidRPr="00966A09">
          <w:rPr>
            <w:rStyle w:val="Hypertextovodkaz"/>
            <w:noProof/>
          </w:rPr>
          <w:t>3.3</w:t>
        </w:r>
        <w:r w:rsidR="00D0566D">
          <w:rPr>
            <w:rFonts w:asciiTheme="minorHAnsi" w:hAnsiTheme="minorHAnsi"/>
            <w:noProof/>
            <w:sz w:val="22"/>
          </w:rPr>
          <w:tab/>
        </w:r>
        <w:r w:rsidR="00D0566D" w:rsidRPr="00966A09">
          <w:rPr>
            <w:rStyle w:val="Hypertextovodkaz"/>
            <w:noProof/>
          </w:rPr>
          <w:t>Nesrovnalost</w:t>
        </w:r>
        <w:r w:rsidR="00D0566D">
          <w:rPr>
            <w:noProof/>
            <w:webHidden/>
          </w:rPr>
          <w:tab/>
        </w:r>
        <w:r w:rsidR="00D0566D">
          <w:rPr>
            <w:noProof/>
            <w:webHidden/>
          </w:rPr>
          <w:fldChar w:fldCharType="begin"/>
        </w:r>
        <w:r w:rsidR="00D0566D">
          <w:rPr>
            <w:noProof/>
            <w:webHidden/>
          </w:rPr>
          <w:instrText xml:space="preserve"> PAGEREF _Toc38385251 \h </w:instrText>
        </w:r>
        <w:r w:rsidR="00D0566D">
          <w:rPr>
            <w:noProof/>
            <w:webHidden/>
          </w:rPr>
        </w:r>
        <w:r w:rsidR="00D0566D">
          <w:rPr>
            <w:noProof/>
            <w:webHidden/>
          </w:rPr>
          <w:fldChar w:fldCharType="separate"/>
        </w:r>
        <w:r w:rsidR="00236D9A">
          <w:rPr>
            <w:noProof/>
            <w:webHidden/>
          </w:rPr>
          <w:t>32</w:t>
        </w:r>
        <w:r w:rsidR="00D0566D">
          <w:rPr>
            <w:noProof/>
            <w:webHidden/>
          </w:rPr>
          <w:fldChar w:fldCharType="end"/>
        </w:r>
      </w:hyperlink>
    </w:p>
    <w:p w:rsidR="00D0566D" w:rsidRDefault="005230E1">
      <w:pPr>
        <w:pStyle w:val="Obsah2"/>
        <w:rPr>
          <w:rFonts w:asciiTheme="minorHAnsi" w:hAnsiTheme="minorHAnsi" w:cstheme="minorBidi"/>
          <w:b w:val="0"/>
          <w:sz w:val="22"/>
          <w:szCs w:val="22"/>
        </w:rPr>
      </w:pPr>
      <w:hyperlink w:anchor="_Toc38385252" w:history="1">
        <w:r w:rsidR="00D0566D" w:rsidRPr="00966A09">
          <w:rPr>
            <w:rStyle w:val="Hypertextovodkaz"/>
          </w:rPr>
          <w:t>4</w:t>
        </w:r>
        <w:r w:rsidR="00D0566D">
          <w:rPr>
            <w:rFonts w:asciiTheme="minorHAnsi" w:hAnsiTheme="minorHAnsi" w:cstheme="minorBidi"/>
            <w:b w:val="0"/>
            <w:sz w:val="22"/>
            <w:szCs w:val="22"/>
          </w:rPr>
          <w:tab/>
        </w:r>
        <w:r w:rsidR="00D0566D" w:rsidRPr="00966A09">
          <w:rPr>
            <w:rStyle w:val="Hypertextovodkaz"/>
          </w:rPr>
          <w:t>Zákon č. 218/2000 Sb., o rozpočtových pravidlech</w:t>
        </w:r>
        <w:r w:rsidR="00D0566D">
          <w:rPr>
            <w:webHidden/>
          </w:rPr>
          <w:tab/>
        </w:r>
        <w:r w:rsidR="00D0566D">
          <w:rPr>
            <w:webHidden/>
          </w:rPr>
          <w:fldChar w:fldCharType="begin"/>
        </w:r>
        <w:r w:rsidR="00D0566D">
          <w:rPr>
            <w:webHidden/>
          </w:rPr>
          <w:instrText xml:space="preserve"> PAGEREF _Toc38385252 \h </w:instrText>
        </w:r>
        <w:r w:rsidR="00D0566D">
          <w:rPr>
            <w:webHidden/>
          </w:rPr>
        </w:r>
        <w:r w:rsidR="00D0566D">
          <w:rPr>
            <w:webHidden/>
          </w:rPr>
          <w:fldChar w:fldCharType="separate"/>
        </w:r>
        <w:r w:rsidR="00236D9A">
          <w:rPr>
            <w:webHidden/>
          </w:rPr>
          <w:t>35</w:t>
        </w:r>
        <w:r w:rsidR="00D0566D">
          <w:rPr>
            <w:webHidden/>
          </w:rPr>
          <w:fldChar w:fldCharType="end"/>
        </w:r>
      </w:hyperlink>
    </w:p>
    <w:p w:rsidR="00D0566D" w:rsidRDefault="005230E1">
      <w:pPr>
        <w:pStyle w:val="Obsah2"/>
        <w:rPr>
          <w:rFonts w:asciiTheme="minorHAnsi" w:hAnsiTheme="minorHAnsi" w:cstheme="minorBidi"/>
          <w:b w:val="0"/>
          <w:sz w:val="22"/>
          <w:szCs w:val="22"/>
        </w:rPr>
      </w:pPr>
      <w:hyperlink w:anchor="_Toc38385253" w:history="1">
        <w:r w:rsidR="00D0566D" w:rsidRPr="00966A09">
          <w:rPr>
            <w:rStyle w:val="Hypertextovodkaz"/>
          </w:rPr>
          <w:t>5</w:t>
        </w:r>
        <w:r w:rsidR="00D0566D">
          <w:rPr>
            <w:rFonts w:asciiTheme="minorHAnsi" w:hAnsiTheme="minorHAnsi" w:cstheme="minorBidi"/>
            <w:b w:val="0"/>
            <w:sz w:val="22"/>
            <w:szCs w:val="22"/>
          </w:rPr>
          <w:tab/>
        </w:r>
        <w:r w:rsidR="00D0566D" w:rsidRPr="00966A09">
          <w:rPr>
            <w:rStyle w:val="Hypertextovodkaz"/>
          </w:rPr>
          <w:t>Praktické využití novel zákona č. 218/2000 Sb., o rozpočtových pravidlech a vyhodnocení jejich vlivu na kontrolu</w:t>
        </w:r>
        <w:r w:rsidR="00D0566D">
          <w:rPr>
            <w:webHidden/>
          </w:rPr>
          <w:tab/>
        </w:r>
        <w:r w:rsidR="00D0566D">
          <w:rPr>
            <w:webHidden/>
          </w:rPr>
          <w:fldChar w:fldCharType="begin"/>
        </w:r>
        <w:r w:rsidR="00D0566D">
          <w:rPr>
            <w:webHidden/>
          </w:rPr>
          <w:instrText xml:space="preserve"> PAGEREF _Toc38385253 \h </w:instrText>
        </w:r>
        <w:r w:rsidR="00D0566D">
          <w:rPr>
            <w:webHidden/>
          </w:rPr>
        </w:r>
        <w:r w:rsidR="00D0566D">
          <w:rPr>
            <w:webHidden/>
          </w:rPr>
          <w:fldChar w:fldCharType="separate"/>
        </w:r>
        <w:r w:rsidR="00236D9A">
          <w:rPr>
            <w:webHidden/>
          </w:rPr>
          <w:t>38</w:t>
        </w:r>
        <w:r w:rsidR="00D0566D">
          <w:rPr>
            <w:webHidden/>
          </w:rPr>
          <w:fldChar w:fldCharType="end"/>
        </w:r>
      </w:hyperlink>
    </w:p>
    <w:p w:rsidR="00D0566D" w:rsidRDefault="005230E1" w:rsidP="005230E1">
      <w:pPr>
        <w:pStyle w:val="Obsah3"/>
        <w:rPr>
          <w:rFonts w:asciiTheme="minorHAnsi" w:hAnsiTheme="minorHAnsi"/>
          <w:noProof/>
          <w:sz w:val="22"/>
        </w:rPr>
      </w:pPr>
      <w:hyperlink w:anchor="_Toc38385254" w:history="1">
        <w:r w:rsidR="00D0566D" w:rsidRPr="00966A09">
          <w:rPr>
            <w:rStyle w:val="Hypertextovodkaz"/>
            <w:rFonts w:cs="Times New Roman"/>
            <w:noProof/>
          </w:rPr>
          <w:t>5.1</w:t>
        </w:r>
        <w:r w:rsidR="00D0566D">
          <w:rPr>
            <w:rFonts w:asciiTheme="minorHAnsi" w:hAnsiTheme="minorHAnsi"/>
            <w:noProof/>
            <w:sz w:val="22"/>
          </w:rPr>
          <w:tab/>
        </w:r>
        <w:r w:rsidR="00D0566D" w:rsidRPr="00966A09">
          <w:rPr>
            <w:rStyle w:val="Hypertextovodkaz"/>
            <w:rFonts w:cs="Times New Roman"/>
            <w:noProof/>
          </w:rPr>
          <w:t>Komparace novel zákona č. 218/2000 Sb., o rozpočtových pravidlech</w:t>
        </w:r>
        <w:r w:rsidR="00D0566D">
          <w:rPr>
            <w:noProof/>
            <w:webHidden/>
          </w:rPr>
          <w:tab/>
        </w:r>
        <w:r w:rsidR="00D0566D">
          <w:rPr>
            <w:noProof/>
            <w:webHidden/>
          </w:rPr>
          <w:fldChar w:fldCharType="begin"/>
        </w:r>
        <w:r w:rsidR="00D0566D">
          <w:rPr>
            <w:noProof/>
            <w:webHidden/>
          </w:rPr>
          <w:instrText xml:space="preserve"> PAGEREF _Toc38385254 \h </w:instrText>
        </w:r>
        <w:r w:rsidR="00D0566D">
          <w:rPr>
            <w:noProof/>
            <w:webHidden/>
          </w:rPr>
        </w:r>
        <w:r w:rsidR="00D0566D">
          <w:rPr>
            <w:noProof/>
            <w:webHidden/>
          </w:rPr>
          <w:fldChar w:fldCharType="separate"/>
        </w:r>
        <w:r w:rsidR="00236D9A">
          <w:rPr>
            <w:noProof/>
            <w:webHidden/>
          </w:rPr>
          <w:t>39</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55" w:history="1">
        <w:r w:rsidR="00D0566D" w:rsidRPr="00966A09">
          <w:rPr>
            <w:rStyle w:val="Hypertextovodkaz"/>
            <w:noProof/>
          </w:rPr>
          <w:t>5.1.1</w:t>
        </w:r>
        <w:r w:rsidR="00D0566D">
          <w:rPr>
            <w:rFonts w:asciiTheme="minorHAnsi" w:eastAsiaTheme="minorEastAsia" w:hAnsiTheme="minorHAnsi" w:cstheme="minorBidi"/>
            <w:noProof/>
            <w:sz w:val="22"/>
            <w:szCs w:val="22"/>
          </w:rPr>
          <w:tab/>
        </w:r>
        <w:r w:rsidR="00D0566D" w:rsidRPr="00966A09">
          <w:rPr>
            <w:rStyle w:val="Hypertextovodkaz"/>
            <w:noProof/>
          </w:rPr>
          <w:t>Novela ve znění zákona č. 479/2003 Sb., kterým se mění zákon o rozpočtových pravidlech (účinná od 1. 1. 2004)</w:t>
        </w:r>
        <w:r w:rsidR="00D0566D">
          <w:rPr>
            <w:noProof/>
            <w:webHidden/>
          </w:rPr>
          <w:tab/>
        </w:r>
        <w:r w:rsidR="00D0566D">
          <w:rPr>
            <w:noProof/>
            <w:webHidden/>
          </w:rPr>
          <w:fldChar w:fldCharType="begin"/>
        </w:r>
        <w:r w:rsidR="00D0566D">
          <w:rPr>
            <w:noProof/>
            <w:webHidden/>
          </w:rPr>
          <w:instrText xml:space="preserve"> PAGEREF _Toc38385255 \h </w:instrText>
        </w:r>
        <w:r w:rsidR="00D0566D">
          <w:rPr>
            <w:noProof/>
            <w:webHidden/>
          </w:rPr>
        </w:r>
        <w:r w:rsidR="00D0566D">
          <w:rPr>
            <w:noProof/>
            <w:webHidden/>
          </w:rPr>
          <w:fldChar w:fldCharType="separate"/>
        </w:r>
        <w:r w:rsidR="00236D9A">
          <w:rPr>
            <w:noProof/>
            <w:webHidden/>
          </w:rPr>
          <w:t>40</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56" w:history="1">
        <w:r w:rsidR="00D0566D" w:rsidRPr="00966A09">
          <w:rPr>
            <w:rStyle w:val="Hypertextovodkaz"/>
            <w:noProof/>
          </w:rPr>
          <w:t>5.1.2</w:t>
        </w:r>
        <w:r w:rsidR="00D0566D">
          <w:rPr>
            <w:rFonts w:asciiTheme="minorHAnsi" w:eastAsiaTheme="minorEastAsia" w:hAnsiTheme="minorHAnsi" w:cstheme="minorBidi"/>
            <w:noProof/>
            <w:sz w:val="22"/>
            <w:szCs w:val="22"/>
          </w:rPr>
          <w:tab/>
        </w:r>
        <w:r w:rsidR="00D0566D" w:rsidRPr="00966A09">
          <w:rPr>
            <w:rStyle w:val="Hypertextovodkaz"/>
            <w:noProof/>
          </w:rPr>
          <w:t>Novela ve znění zákona č. 482/2004 Sb., kterým se mění zákon o rozpočtových pravidlech (účinná od 7. 9. 2004)</w:t>
        </w:r>
        <w:r w:rsidR="00D0566D">
          <w:rPr>
            <w:noProof/>
            <w:webHidden/>
          </w:rPr>
          <w:tab/>
        </w:r>
        <w:r w:rsidR="00D0566D">
          <w:rPr>
            <w:noProof/>
            <w:webHidden/>
          </w:rPr>
          <w:fldChar w:fldCharType="begin"/>
        </w:r>
        <w:r w:rsidR="00D0566D">
          <w:rPr>
            <w:noProof/>
            <w:webHidden/>
          </w:rPr>
          <w:instrText xml:space="preserve"> PAGEREF _Toc38385256 \h </w:instrText>
        </w:r>
        <w:r w:rsidR="00D0566D">
          <w:rPr>
            <w:noProof/>
            <w:webHidden/>
          </w:rPr>
        </w:r>
        <w:r w:rsidR="00D0566D">
          <w:rPr>
            <w:noProof/>
            <w:webHidden/>
          </w:rPr>
          <w:fldChar w:fldCharType="separate"/>
        </w:r>
        <w:r w:rsidR="00236D9A">
          <w:rPr>
            <w:noProof/>
            <w:webHidden/>
          </w:rPr>
          <w:t>41</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57" w:history="1">
        <w:r w:rsidR="00D0566D" w:rsidRPr="00966A09">
          <w:rPr>
            <w:rStyle w:val="Hypertextovodkaz"/>
            <w:noProof/>
          </w:rPr>
          <w:t>5.1.3</w:t>
        </w:r>
        <w:r w:rsidR="00D0566D">
          <w:rPr>
            <w:rFonts w:asciiTheme="minorHAnsi" w:eastAsiaTheme="minorEastAsia" w:hAnsiTheme="minorHAnsi" w:cstheme="minorBidi"/>
            <w:noProof/>
            <w:sz w:val="22"/>
            <w:szCs w:val="22"/>
          </w:rPr>
          <w:tab/>
        </w:r>
        <w:r w:rsidR="00D0566D" w:rsidRPr="00966A09">
          <w:rPr>
            <w:rStyle w:val="Hypertextovodkaz"/>
            <w:noProof/>
          </w:rPr>
          <w:t>Novela ve znění zákona č. 26/2008 Sb., kterým se mění zákon o rozpočtových pravidlech (účinná od 1. 3. 2008)</w:t>
        </w:r>
        <w:r w:rsidR="00D0566D">
          <w:rPr>
            <w:noProof/>
            <w:webHidden/>
          </w:rPr>
          <w:tab/>
        </w:r>
        <w:r w:rsidR="00D0566D">
          <w:rPr>
            <w:noProof/>
            <w:webHidden/>
          </w:rPr>
          <w:fldChar w:fldCharType="begin"/>
        </w:r>
        <w:r w:rsidR="00D0566D">
          <w:rPr>
            <w:noProof/>
            <w:webHidden/>
          </w:rPr>
          <w:instrText xml:space="preserve"> PAGEREF _Toc38385257 \h </w:instrText>
        </w:r>
        <w:r w:rsidR="00D0566D">
          <w:rPr>
            <w:noProof/>
            <w:webHidden/>
          </w:rPr>
        </w:r>
        <w:r w:rsidR="00D0566D">
          <w:rPr>
            <w:noProof/>
            <w:webHidden/>
          </w:rPr>
          <w:fldChar w:fldCharType="separate"/>
        </w:r>
        <w:r w:rsidR="00236D9A">
          <w:rPr>
            <w:noProof/>
            <w:webHidden/>
          </w:rPr>
          <w:t>42</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58" w:history="1">
        <w:r w:rsidR="00D0566D" w:rsidRPr="00966A09">
          <w:rPr>
            <w:rStyle w:val="Hypertextovodkaz"/>
            <w:noProof/>
          </w:rPr>
          <w:t>5.1.4</w:t>
        </w:r>
        <w:r w:rsidR="00D0566D">
          <w:rPr>
            <w:rFonts w:asciiTheme="minorHAnsi" w:eastAsiaTheme="minorEastAsia" w:hAnsiTheme="minorHAnsi" w:cstheme="minorBidi"/>
            <w:noProof/>
            <w:sz w:val="22"/>
            <w:szCs w:val="22"/>
          </w:rPr>
          <w:tab/>
        </w:r>
        <w:r w:rsidR="00D0566D" w:rsidRPr="00966A09">
          <w:rPr>
            <w:rStyle w:val="Hypertextovodkaz"/>
            <w:noProof/>
          </w:rPr>
          <w:t>Novela ve znění zákona č. 465/2011 Sb., kterým se mění zákon o rozpočtových pravidlech (účinná od 30. 12. 2011)</w:t>
        </w:r>
        <w:r w:rsidR="00D0566D">
          <w:rPr>
            <w:noProof/>
            <w:webHidden/>
          </w:rPr>
          <w:tab/>
        </w:r>
        <w:r w:rsidR="00D0566D">
          <w:rPr>
            <w:noProof/>
            <w:webHidden/>
          </w:rPr>
          <w:fldChar w:fldCharType="begin"/>
        </w:r>
        <w:r w:rsidR="00D0566D">
          <w:rPr>
            <w:noProof/>
            <w:webHidden/>
          </w:rPr>
          <w:instrText xml:space="preserve"> PAGEREF _Toc38385258 \h </w:instrText>
        </w:r>
        <w:r w:rsidR="00D0566D">
          <w:rPr>
            <w:noProof/>
            <w:webHidden/>
          </w:rPr>
        </w:r>
        <w:r w:rsidR="00D0566D">
          <w:rPr>
            <w:noProof/>
            <w:webHidden/>
          </w:rPr>
          <w:fldChar w:fldCharType="separate"/>
        </w:r>
        <w:r w:rsidR="00236D9A">
          <w:rPr>
            <w:noProof/>
            <w:webHidden/>
          </w:rPr>
          <w:t>43</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59" w:history="1">
        <w:r w:rsidR="00D0566D" w:rsidRPr="00966A09">
          <w:rPr>
            <w:rStyle w:val="Hypertextovodkaz"/>
            <w:noProof/>
          </w:rPr>
          <w:t>5.1.5</w:t>
        </w:r>
        <w:r w:rsidR="00D0566D">
          <w:rPr>
            <w:rFonts w:asciiTheme="minorHAnsi" w:eastAsiaTheme="minorEastAsia" w:hAnsiTheme="minorHAnsi" w:cstheme="minorBidi"/>
            <w:noProof/>
            <w:sz w:val="22"/>
            <w:szCs w:val="22"/>
          </w:rPr>
          <w:tab/>
        </w:r>
        <w:r w:rsidR="00D0566D" w:rsidRPr="00966A09">
          <w:rPr>
            <w:rStyle w:val="Hypertextovodkaz"/>
            <w:noProof/>
          </w:rPr>
          <w:t>Novela zákona č. 25/2015 Sb., kterým se mění zákon o rozpočtových pravidlech (účinná od 20. 2. 2015)</w:t>
        </w:r>
        <w:r w:rsidR="00D0566D">
          <w:rPr>
            <w:noProof/>
            <w:webHidden/>
          </w:rPr>
          <w:tab/>
        </w:r>
        <w:r w:rsidR="00D0566D">
          <w:rPr>
            <w:noProof/>
            <w:webHidden/>
          </w:rPr>
          <w:fldChar w:fldCharType="begin"/>
        </w:r>
        <w:r w:rsidR="00D0566D">
          <w:rPr>
            <w:noProof/>
            <w:webHidden/>
          </w:rPr>
          <w:instrText xml:space="preserve"> PAGEREF _Toc38385259 \h </w:instrText>
        </w:r>
        <w:r w:rsidR="00D0566D">
          <w:rPr>
            <w:noProof/>
            <w:webHidden/>
          </w:rPr>
        </w:r>
        <w:r w:rsidR="00D0566D">
          <w:rPr>
            <w:noProof/>
            <w:webHidden/>
          </w:rPr>
          <w:fldChar w:fldCharType="separate"/>
        </w:r>
        <w:r w:rsidR="00236D9A">
          <w:rPr>
            <w:noProof/>
            <w:webHidden/>
          </w:rPr>
          <w:t>45</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60" w:history="1">
        <w:r w:rsidR="00D0566D" w:rsidRPr="00966A09">
          <w:rPr>
            <w:rStyle w:val="Hypertextovodkaz"/>
            <w:noProof/>
          </w:rPr>
          <w:t>5.1.6</w:t>
        </w:r>
        <w:r w:rsidR="00D0566D">
          <w:rPr>
            <w:rFonts w:asciiTheme="minorHAnsi" w:eastAsiaTheme="minorEastAsia" w:hAnsiTheme="minorHAnsi" w:cstheme="minorBidi"/>
            <w:noProof/>
            <w:sz w:val="22"/>
            <w:szCs w:val="22"/>
          </w:rPr>
          <w:tab/>
        </w:r>
        <w:r w:rsidR="00D0566D" w:rsidRPr="00966A09">
          <w:rPr>
            <w:rStyle w:val="Hypertextovodkaz"/>
            <w:noProof/>
          </w:rPr>
          <w:t>Novela zákona č. 128/2016 Sb., kterým se mění zákon o rozpočtových pravidlech (účinná od 10. 5. 2016)</w:t>
        </w:r>
        <w:r w:rsidR="00D0566D">
          <w:rPr>
            <w:noProof/>
            <w:webHidden/>
          </w:rPr>
          <w:tab/>
        </w:r>
        <w:r w:rsidR="00D0566D">
          <w:rPr>
            <w:noProof/>
            <w:webHidden/>
          </w:rPr>
          <w:fldChar w:fldCharType="begin"/>
        </w:r>
        <w:r w:rsidR="00D0566D">
          <w:rPr>
            <w:noProof/>
            <w:webHidden/>
          </w:rPr>
          <w:instrText xml:space="preserve"> PAGEREF _Toc38385260 \h </w:instrText>
        </w:r>
        <w:r w:rsidR="00D0566D">
          <w:rPr>
            <w:noProof/>
            <w:webHidden/>
          </w:rPr>
        </w:r>
        <w:r w:rsidR="00D0566D">
          <w:rPr>
            <w:noProof/>
            <w:webHidden/>
          </w:rPr>
          <w:fldChar w:fldCharType="separate"/>
        </w:r>
        <w:r w:rsidR="00236D9A">
          <w:rPr>
            <w:noProof/>
            <w:webHidden/>
          </w:rPr>
          <w:t>48</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61" w:history="1">
        <w:r w:rsidR="00D0566D" w:rsidRPr="00966A09">
          <w:rPr>
            <w:rStyle w:val="Hypertextovodkaz"/>
            <w:noProof/>
          </w:rPr>
          <w:t>5.1.7</w:t>
        </w:r>
        <w:r w:rsidR="00D0566D">
          <w:rPr>
            <w:rFonts w:asciiTheme="minorHAnsi" w:eastAsiaTheme="minorEastAsia" w:hAnsiTheme="minorHAnsi" w:cstheme="minorBidi"/>
            <w:noProof/>
            <w:sz w:val="22"/>
            <w:szCs w:val="22"/>
          </w:rPr>
          <w:tab/>
        </w:r>
        <w:r w:rsidR="00D0566D" w:rsidRPr="00966A09">
          <w:rPr>
            <w:rStyle w:val="Hypertextovodkaz"/>
            <w:noProof/>
          </w:rPr>
          <w:t>Novela zákona č. 367/2017 Sb., kterým se mění zákon o rozpočtových pravidlech (účinná od 1. 1. 2018)</w:t>
        </w:r>
        <w:r w:rsidR="00D0566D">
          <w:rPr>
            <w:noProof/>
            <w:webHidden/>
          </w:rPr>
          <w:tab/>
        </w:r>
        <w:r w:rsidR="00D0566D">
          <w:rPr>
            <w:noProof/>
            <w:webHidden/>
          </w:rPr>
          <w:fldChar w:fldCharType="begin"/>
        </w:r>
        <w:r w:rsidR="00D0566D">
          <w:rPr>
            <w:noProof/>
            <w:webHidden/>
          </w:rPr>
          <w:instrText xml:space="preserve"> PAGEREF _Toc38385261 \h </w:instrText>
        </w:r>
        <w:r w:rsidR="00D0566D">
          <w:rPr>
            <w:noProof/>
            <w:webHidden/>
          </w:rPr>
        </w:r>
        <w:r w:rsidR="00D0566D">
          <w:rPr>
            <w:noProof/>
            <w:webHidden/>
          </w:rPr>
          <w:fldChar w:fldCharType="separate"/>
        </w:r>
        <w:r w:rsidR="00236D9A">
          <w:rPr>
            <w:noProof/>
            <w:webHidden/>
          </w:rPr>
          <w:t>48</w:t>
        </w:r>
        <w:r w:rsidR="00D0566D">
          <w:rPr>
            <w:noProof/>
            <w:webHidden/>
          </w:rPr>
          <w:fldChar w:fldCharType="end"/>
        </w:r>
      </w:hyperlink>
    </w:p>
    <w:p w:rsidR="00D0566D" w:rsidRDefault="005230E1" w:rsidP="005230E1">
      <w:pPr>
        <w:pStyle w:val="Obsah3"/>
        <w:rPr>
          <w:rFonts w:asciiTheme="minorHAnsi" w:hAnsiTheme="minorHAnsi"/>
          <w:noProof/>
          <w:sz w:val="22"/>
        </w:rPr>
      </w:pPr>
      <w:hyperlink w:anchor="_Toc38385262" w:history="1">
        <w:r w:rsidR="00D0566D" w:rsidRPr="00966A09">
          <w:rPr>
            <w:rStyle w:val="Hypertextovodkaz"/>
            <w:noProof/>
          </w:rPr>
          <w:t>5.2</w:t>
        </w:r>
        <w:r w:rsidR="00D0566D">
          <w:rPr>
            <w:rFonts w:asciiTheme="minorHAnsi" w:hAnsiTheme="minorHAnsi"/>
            <w:noProof/>
            <w:sz w:val="22"/>
          </w:rPr>
          <w:tab/>
        </w:r>
        <w:r w:rsidR="00D0566D" w:rsidRPr="00966A09">
          <w:rPr>
            <w:rStyle w:val="Hypertextovodkaz"/>
            <w:rFonts w:cs="Times New Roman"/>
            <w:noProof/>
          </w:rPr>
          <w:t>Vyhodnocení nejdůležitějších změn zákona o rozpočtových pravidlech a jejich vlivu na kontrolu</w:t>
        </w:r>
        <w:r w:rsidR="00D0566D">
          <w:rPr>
            <w:noProof/>
            <w:webHidden/>
          </w:rPr>
          <w:tab/>
        </w:r>
        <w:r w:rsidR="00D0566D">
          <w:rPr>
            <w:noProof/>
            <w:webHidden/>
          </w:rPr>
          <w:fldChar w:fldCharType="begin"/>
        </w:r>
        <w:r w:rsidR="00D0566D">
          <w:rPr>
            <w:noProof/>
            <w:webHidden/>
          </w:rPr>
          <w:instrText xml:space="preserve"> PAGEREF _Toc38385262 \h </w:instrText>
        </w:r>
        <w:r w:rsidR="00D0566D">
          <w:rPr>
            <w:noProof/>
            <w:webHidden/>
          </w:rPr>
        </w:r>
        <w:r w:rsidR="00D0566D">
          <w:rPr>
            <w:noProof/>
            <w:webHidden/>
          </w:rPr>
          <w:fldChar w:fldCharType="separate"/>
        </w:r>
        <w:r w:rsidR="00236D9A">
          <w:rPr>
            <w:noProof/>
            <w:webHidden/>
          </w:rPr>
          <w:t>49</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63" w:history="1">
        <w:r w:rsidR="00D0566D" w:rsidRPr="00966A09">
          <w:rPr>
            <w:rStyle w:val="Hypertextovodkaz"/>
            <w:noProof/>
          </w:rPr>
          <w:t>5.2.1</w:t>
        </w:r>
        <w:r w:rsidR="00D0566D">
          <w:rPr>
            <w:rFonts w:asciiTheme="minorHAnsi" w:eastAsiaTheme="minorEastAsia" w:hAnsiTheme="minorHAnsi" w:cstheme="minorBidi"/>
            <w:noProof/>
            <w:sz w:val="22"/>
            <w:szCs w:val="22"/>
          </w:rPr>
          <w:tab/>
        </w:r>
        <w:r w:rsidR="00D0566D" w:rsidRPr="00966A09">
          <w:rPr>
            <w:rStyle w:val="Hypertextovodkaz"/>
            <w:noProof/>
          </w:rPr>
          <w:t>Změny v ustanovení § 14, §14e a § 14f zákona o rozpočtových pravidlech</w:t>
        </w:r>
        <w:r w:rsidR="00D0566D">
          <w:rPr>
            <w:noProof/>
            <w:webHidden/>
          </w:rPr>
          <w:tab/>
        </w:r>
        <w:r w:rsidR="00D0566D">
          <w:rPr>
            <w:noProof/>
            <w:webHidden/>
          </w:rPr>
          <w:fldChar w:fldCharType="begin"/>
        </w:r>
        <w:r w:rsidR="00D0566D">
          <w:rPr>
            <w:noProof/>
            <w:webHidden/>
          </w:rPr>
          <w:instrText xml:space="preserve"> PAGEREF _Toc38385263 \h </w:instrText>
        </w:r>
        <w:r w:rsidR="00D0566D">
          <w:rPr>
            <w:noProof/>
            <w:webHidden/>
          </w:rPr>
        </w:r>
        <w:r w:rsidR="00D0566D">
          <w:rPr>
            <w:noProof/>
            <w:webHidden/>
          </w:rPr>
          <w:fldChar w:fldCharType="separate"/>
        </w:r>
        <w:r w:rsidR="00236D9A">
          <w:rPr>
            <w:noProof/>
            <w:webHidden/>
          </w:rPr>
          <w:t>49</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64" w:history="1">
        <w:r w:rsidR="00D0566D" w:rsidRPr="00966A09">
          <w:rPr>
            <w:rStyle w:val="Hypertextovodkaz"/>
            <w:noProof/>
          </w:rPr>
          <w:t>5.2.2</w:t>
        </w:r>
        <w:r w:rsidR="00D0566D">
          <w:rPr>
            <w:rFonts w:asciiTheme="minorHAnsi" w:eastAsiaTheme="minorEastAsia" w:hAnsiTheme="minorHAnsi" w:cstheme="minorBidi"/>
            <w:noProof/>
            <w:sz w:val="22"/>
            <w:szCs w:val="22"/>
          </w:rPr>
          <w:tab/>
        </w:r>
        <w:r w:rsidR="00D0566D" w:rsidRPr="00966A09">
          <w:rPr>
            <w:rStyle w:val="Hypertextovodkaz"/>
            <w:noProof/>
          </w:rPr>
          <w:t>Změny v ustanovení § 44 a § 44a zákona o rozpočtových pravidlech</w:t>
        </w:r>
        <w:r w:rsidR="00D0566D">
          <w:rPr>
            <w:noProof/>
            <w:webHidden/>
          </w:rPr>
          <w:tab/>
        </w:r>
        <w:r w:rsidR="00D0566D">
          <w:rPr>
            <w:noProof/>
            <w:webHidden/>
          </w:rPr>
          <w:fldChar w:fldCharType="begin"/>
        </w:r>
        <w:r w:rsidR="00D0566D">
          <w:rPr>
            <w:noProof/>
            <w:webHidden/>
          </w:rPr>
          <w:instrText xml:space="preserve"> PAGEREF _Toc38385264 \h </w:instrText>
        </w:r>
        <w:r w:rsidR="00D0566D">
          <w:rPr>
            <w:noProof/>
            <w:webHidden/>
          </w:rPr>
        </w:r>
        <w:r w:rsidR="00D0566D">
          <w:rPr>
            <w:noProof/>
            <w:webHidden/>
          </w:rPr>
          <w:fldChar w:fldCharType="separate"/>
        </w:r>
        <w:r w:rsidR="00236D9A">
          <w:rPr>
            <w:noProof/>
            <w:webHidden/>
          </w:rPr>
          <w:t>52</w:t>
        </w:r>
        <w:r w:rsidR="00D0566D">
          <w:rPr>
            <w:noProof/>
            <w:webHidden/>
          </w:rPr>
          <w:fldChar w:fldCharType="end"/>
        </w:r>
      </w:hyperlink>
    </w:p>
    <w:p w:rsidR="00D0566D" w:rsidRDefault="005230E1" w:rsidP="005230E1">
      <w:pPr>
        <w:pStyle w:val="Obsah3"/>
        <w:rPr>
          <w:rFonts w:asciiTheme="minorHAnsi" w:hAnsiTheme="minorHAnsi"/>
          <w:noProof/>
          <w:sz w:val="22"/>
        </w:rPr>
      </w:pPr>
      <w:hyperlink w:anchor="_Toc38385265" w:history="1">
        <w:r w:rsidR="00D0566D" w:rsidRPr="00966A09">
          <w:rPr>
            <w:rStyle w:val="Hypertextovodkaz"/>
            <w:noProof/>
          </w:rPr>
          <w:t>5.3</w:t>
        </w:r>
        <w:r w:rsidR="00D0566D">
          <w:rPr>
            <w:rFonts w:asciiTheme="minorHAnsi" w:hAnsiTheme="minorHAnsi"/>
            <w:noProof/>
            <w:sz w:val="22"/>
          </w:rPr>
          <w:tab/>
        </w:r>
        <w:r w:rsidR="00D0566D" w:rsidRPr="00966A09">
          <w:rPr>
            <w:rStyle w:val="Hypertextovodkaz"/>
            <w:rFonts w:cs="Times New Roman"/>
            <w:noProof/>
          </w:rPr>
          <w:t>Trendová analýza dat z infomačního systému Finanční správy</w:t>
        </w:r>
        <w:r w:rsidR="00D0566D">
          <w:rPr>
            <w:noProof/>
            <w:webHidden/>
          </w:rPr>
          <w:tab/>
        </w:r>
        <w:r w:rsidR="00D0566D">
          <w:rPr>
            <w:noProof/>
            <w:webHidden/>
          </w:rPr>
          <w:fldChar w:fldCharType="begin"/>
        </w:r>
        <w:r w:rsidR="00D0566D">
          <w:rPr>
            <w:noProof/>
            <w:webHidden/>
          </w:rPr>
          <w:instrText xml:space="preserve"> PAGEREF _Toc38385265 \h </w:instrText>
        </w:r>
        <w:r w:rsidR="00D0566D">
          <w:rPr>
            <w:noProof/>
            <w:webHidden/>
          </w:rPr>
        </w:r>
        <w:r w:rsidR="00D0566D">
          <w:rPr>
            <w:noProof/>
            <w:webHidden/>
          </w:rPr>
          <w:fldChar w:fldCharType="separate"/>
        </w:r>
        <w:r w:rsidR="00236D9A">
          <w:rPr>
            <w:noProof/>
            <w:webHidden/>
          </w:rPr>
          <w:t>54</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66" w:history="1">
        <w:r w:rsidR="00D0566D" w:rsidRPr="00966A09">
          <w:rPr>
            <w:rStyle w:val="Hypertextovodkaz"/>
            <w:noProof/>
          </w:rPr>
          <w:t>5.3.1</w:t>
        </w:r>
        <w:r w:rsidR="00D0566D">
          <w:rPr>
            <w:rFonts w:asciiTheme="minorHAnsi" w:eastAsiaTheme="minorEastAsia" w:hAnsiTheme="minorHAnsi" w:cstheme="minorBidi"/>
            <w:noProof/>
            <w:sz w:val="22"/>
            <w:szCs w:val="22"/>
          </w:rPr>
          <w:tab/>
        </w:r>
        <w:r w:rsidR="00D0566D" w:rsidRPr="00966A09">
          <w:rPr>
            <w:rStyle w:val="Hypertextovodkaz"/>
            <w:noProof/>
          </w:rPr>
          <w:t>Oznámení poskytovatele o krácení dotace podle ustanovení § 14e RP</w:t>
        </w:r>
        <w:r w:rsidR="00D0566D">
          <w:rPr>
            <w:noProof/>
            <w:webHidden/>
          </w:rPr>
          <w:tab/>
        </w:r>
        <w:r w:rsidR="00D0566D">
          <w:rPr>
            <w:noProof/>
            <w:webHidden/>
          </w:rPr>
          <w:fldChar w:fldCharType="begin"/>
        </w:r>
        <w:r w:rsidR="00D0566D">
          <w:rPr>
            <w:noProof/>
            <w:webHidden/>
          </w:rPr>
          <w:instrText xml:space="preserve"> PAGEREF _Toc38385266 \h </w:instrText>
        </w:r>
        <w:r w:rsidR="00D0566D">
          <w:rPr>
            <w:noProof/>
            <w:webHidden/>
          </w:rPr>
        </w:r>
        <w:r w:rsidR="00D0566D">
          <w:rPr>
            <w:noProof/>
            <w:webHidden/>
          </w:rPr>
          <w:fldChar w:fldCharType="separate"/>
        </w:r>
        <w:r w:rsidR="00236D9A">
          <w:rPr>
            <w:noProof/>
            <w:webHidden/>
          </w:rPr>
          <w:t>55</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67" w:history="1">
        <w:r w:rsidR="00D0566D" w:rsidRPr="00966A09">
          <w:rPr>
            <w:rStyle w:val="Hypertextovodkaz"/>
            <w:noProof/>
          </w:rPr>
          <w:t>5.3.2</w:t>
        </w:r>
        <w:r w:rsidR="00D0566D">
          <w:rPr>
            <w:rFonts w:asciiTheme="minorHAnsi" w:eastAsiaTheme="minorEastAsia" w:hAnsiTheme="minorHAnsi" w:cstheme="minorBidi"/>
            <w:noProof/>
            <w:sz w:val="22"/>
            <w:szCs w:val="22"/>
          </w:rPr>
          <w:tab/>
        </w:r>
        <w:r w:rsidR="00D0566D" w:rsidRPr="00966A09">
          <w:rPr>
            <w:rStyle w:val="Hypertextovodkaz"/>
            <w:noProof/>
          </w:rPr>
          <w:t>Výzva poskytovatele k provedení opatření k nápravě nebo vrácení dotace podle ustanovení § 14f RP</w:t>
        </w:r>
        <w:r w:rsidR="00D0566D">
          <w:rPr>
            <w:noProof/>
            <w:webHidden/>
          </w:rPr>
          <w:tab/>
        </w:r>
        <w:r w:rsidR="00D0566D">
          <w:rPr>
            <w:noProof/>
            <w:webHidden/>
          </w:rPr>
          <w:fldChar w:fldCharType="begin"/>
        </w:r>
        <w:r w:rsidR="00D0566D">
          <w:rPr>
            <w:noProof/>
            <w:webHidden/>
          </w:rPr>
          <w:instrText xml:space="preserve"> PAGEREF _Toc38385267 \h </w:instrText>
        </w:r>
        <w:r w:rsidR="00D0566D">
          <w:rPr>
            <w:noProof/>
            <w:webHidden/>
          </w:rPr>
        </w:r>
        <w:r w:rsidR="00D0566D">
          <w:rPr>
            <w:noProof/>
            <w:webHidden/>
          </w:rPr>
          <w:fldChar w:fldCharType="separate"/>
        </w:r>
        <w:r w:rsidR="00236D9A">
          <w:rPr>
            <w:noProof/>
            <w:webHidden/>
          </w:rPr>
          <w:t>56</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68" w:history="1">
        <w:r w:rsidR="00D0566D" w:rsidRPr="00966A09">
          <w:rPr>
            <w:rStyle w:val="Hypertextovodkaz"/>
            <w:noProof/>
          </w:rPr>
          <w:t>5.3.3</w:t>
        </w:r>
        <w:r w:rsidR="00D0566D">
          <w:rPr>
            <w:rFonts w:asciiTheme="minorHAnsi" w:eastAsiaTheme="minorEastAsia" w:hAnsiTheme="minorHAnsi" w:cstheme="minorBidi"/>
            <w:noProof/>
            <w:sz w:val="22"/>
            <w:szCs w:val="22"/>
          </w:rPr>
          <w:tab/>
        </w:r>
        <w:r w:rsidR="00D0566D" w:rsidRPr="00966A09">
          <w:rPr>
            <w:rStyle w:val="Hypertextovodkaz"/>
            <w:noProof/>
          </w:rPr>
          <w:t>Podněty kontrolních orgánů na podezření z PRK podle ustanovení § 59 DŘ</w:t>
        </w:r>
        <w:r w:rsidR="00D0566D">
          <w:rPr>
            <w:noProof/>
            <w:webHidden/>
          </w:rPr>
          <w:tab/>
        </w:r>
        <w:r w:rsidR="00D0566D">
          <w:rPr>
            <w:noProof/>
            <w:webHidden/>
          </w:rPr>
          <w:fldChar w:fldCharType="begin"/>
        </w:r>
        <w:r w:rsidR="00D0566D">
          <w:rPr>
            <w:noProof/>
            <w:webHidden/>
          </w:rPr>
          <w:instrText xml:space="preserve"> PAGEREF _Toc38385268 \h </w:instrText>
        </w:r>
        <w:r w:rsidR="00D0566D">
          <w:rPr>
            <w:noProof/>
            <w:webHidden/>
          </w:rPr>
        </w:r>
        <w:r w:rsidR="00D0566D">
          <w:rPr>
            <w:noProof/>
            <w:webHidden/>
          </w:rPr>
          <w:fldChar w:fldCharType="separate"/>
        </w:r>
        <w:r w:rsidR="00236D9A">
          <w:rPr>
            <w:noProof/>
            <w:webHidden/>
          </w:rPr>
          <w:t>57</w:t>
        </w:r>
        <w:r w:rsidR="00D0566D">
          <w:rPr>
            <w:noProof/>
            <w:webHidden/>
          </w:rPr>
          <w:fldChar w:fldCharType="end"/>
        </w:r>
      </w:hyperlink>
    </w:p>
    <w:p w:rsidR="00D0566D" w:rsidRDefault="005230E1">
      <w:pPr>
        <w:pStyle w:val="Obsah4"/>
        <w:rPr>
          <w:rFonts w:asciiTheme="minorHAnsi" w:eastAsiaTheme="minorEastAsia" w:hAnsiTheme="minorHAnsi" w:cstheme="minorBidi"/>
          <w:noProof/>
          <w:sz w:val="22"/>
          <w:szCs w:val="22"/>
        </w:rPr>
      </w:pPr>
      <w:hyperlink w:anchor="_Toc38385269" w:history="1">
        <w:r w:rsidR="00D0566D" w:rsidRPr="00966A09">
          <w:rPr>
            <w:rStyle w:val="Hypertextovodkaz"/>
            <w:noProof/>
          </w:rPr>
          <w:t>5.3.4</w:t>
        </w:r>
        <w:r w:rsidR="00D0566D">
          <w:rPr>
            <w:rFonts w:asciiTheme="minorHAnsi" w:eastAsiaTheme="minorEastAsia" w:hAnsiTheme="minorHAnsi" w:cstheme="minorBidi"/>
            <w:noProof/>
            <w:sz w:val="22"/>
            <w:szCs w:val="22"/>
          </w:rPr>
          <w:tab/>
        </w:r>
        <w:r w:rsidR="00D0566D" w:rsidRPr="00966A09">
          <w:rPr>
            <w:rStyle w:val="Hypertextovodkaz"/>
            <w:noProof/>
          </w:rPr>
          <w:t>Žádost příjemce o prominutí odvodu a penále podle ustanovení § 44 odst. 12 RP</w:t>
        </w:r>
        <w:r w:rsidR="00D0566D">
          <w:rPr>
            <w:noProof/>
            <w:webHidden/>
          </w:rPr>
          <w:tab/>
        </w:r>
        <w:r w:rsidR="00D0566D">
          <w:rPr>
            <w:noProof/>
            <w:webHidden/>
          </w:rPr>
          <w:fldChar w:fldCharType="begin"/>
        </w:r>
        <w:r w:rsidR="00D0566D">
          <w:rPr>
            <w:noProof/>
            <w:webHidden/>
          </w:rPr>
          <w:instrText xml:space="preserve"> PAGEREF _Toc38385269 \h </w:instrText>
        </w:r>
        <w:r w:rsidR="00D0566D">
          <w:rPr>
            <w:noProof/>
            <w:webHidden/>
          </w:rPr>
        </w:r>
        <w:r w:rsidR="00D0566D">
          <w:rPr>
            <w:noProof/>
            <w:webHidden/>
          </w:rPr>
          <w:fldChar w:fldCharType="separate"/>
        </w:r>
        <w:r w:rsidR="00236D9A">
          <w:rPr>
            <w:noProof/>
            <w:webHidden/>
          </w:rPr>
          <w:t>58</w:t>
        </w:r>
        <w:r w:rsidR="00D0566D">
          <w:rPr>
            <w:noProof/>
            <w:webHidden/>
          </w:rPr>
          <w:fldChar w:fldCharType="end"/>
        </w:r>
      </w:hyperlink>
    </w:p>
    <w:p w:rsidR="00D0566D" w:rsidRDefault="005230E1">
      <w:pPr>
        <w:pStyle w:val="Obsah2"/>
        <w:rPr>
          <w:rFonts w:asciiTheme="minorHAnsi" w:hAnsiTheme="minorHAnsi" w:cstheme="minorBidi"/>
          <w:b w:val="0"/>
          <w:sz w:val="22"/>
          <w:szCs w:val="22"/>
        </w:rPr>
      </w:pPr>
      <w:hyperlink w:anchor="_Toc38385270" w:history="1">
        <w:r w:rsidR="00D0566D" w:rsidRPr="00966A09">
          <w:rPr>
            <w:rStyle w:val="Hypertextovodkaz"/>
          </w:rPr>
          <w:t>6</w:t>
        </w:r>
        <w:r w:rsidR="00D0566D">
          <w:rPr>
            <w:rFonts w:asciiTheme="minorHAnsi" w:hAnsiTheme="minorHAnsi" w:cstheme="minorBidi"/>
            <w:b w:val="0"/>
            <w:sz w:val="22"/>
            <w:szCs w:val="22"/>
          </w:rPr>
          <w:tab/>
        </w:r>
        <w:r w:rsidR="00D0566D" w:rsidRPr="00966A09">
          <w:rPr>
            <w:rStyle w:val="Hypertextovodkaz"/>
          </w:rPr>
          <w:t>Návrhy na optimalizaci postupů při kontrole</w:t>
        </w:r>
        <w:r w:rsidR="00D0566D">
          <w:rPr>
            <w:webHidden/>
          </w:rPr>
          <w:tab/>
        </w:r>
        <w:r w:rsidR="00D0566D">
          <w:rPr>
            <w:webHidden/>
          </w:rPr>
          <w:fldChar w:fldCharType="begin"/>
        </w:r>
        <w:r w:rsidR="00D0566D">
          <w:rPr>
            <w:webHidden/>
          </w:rPr>
          <w:instrText xml:space="preserve"> PAGEREF _Toc38385270 \h </w:instrText>
        </w:r>
        <w:r w:rsidR="00D0566D">
          <w:rPr>
            <w:webHidden/>
          </w:rPr>
        </w:r>
        <w:r w:rsidR="00D0566D">
          <w:rPr>
            <w:webHidden/>
          </w:rPr>
          <w:fldChar w:fldCharType="separate"/>
        </w:r>
        <w:r w:rsidR="00236D9A">
          <w:rPr>
            <w:webHidden/>
          </w:rPr>
          <w:t>60</w:t>
        </w:r>
        <w:r w:rsidR="00D0566D">
          <w:rPr>
            <w:webHidden/>
          </w:rPr>
          <w:fldChar w:fldCharType="end"/>
        </w:r>
      </w:hyperlink>
    </w:p>
    <w:p w:rsidR="00D0566D" w:rsidRDefault="005230E1">
      <w:pPr>
        <w:pStyle w:val="Obsah2"/>
        <w:rPr>
          <w:rFonts w:asciiTheme="minorHAnsi" w:hAnsiTheme="minorHAnsi" w:cstheme="minorBidi"/>
          <w:b w:val="0"/>
          <w:sz w:val="22"/>
          <w:szCs w:val="22"/>
        </w:rPr>
      </w:pPr>
      <w:hyperlink w:anchor="_Toc38385271" w:history="1">
        <w:r w:rsidR="00D0566D" w:rsidRPr="00966A09">
          <w:rPr>
            <w:rStyle w:val="Hypertextovodkaz"/>
          </w:rPr>
          <w:t>ZÁVĚR</w:t>
        </w:r>
        <w:r w:rsidR="00D0566D">
          <w:rPr>
            <w:webHidden/>
          </w:rPr>
          <w:tab/>
        </w:r>
        <w:r w:rsidR="00D0566D">
          <w:rPr>
            <w:webHidden/>
          </w:rPr>
          <w:fldChar w:fldCharType="begin"/>
        </w:r>
        <w:r w:rsidR="00D0566D">
          <w:rPr>
            <w:webHidden/>
          </w:rPr>
          <w:instrText xml:space="preserve"> PAGEREF _Toc38385271 \h </w:instrText>
        </w:r>
        <w:r w:rsidR="00D0566D">
          <w:rPr>
            <w:webHidden/>
          </w:rPr>
        </w:r>
        <w:r w:rsidR="00D0566D">
          <w:rPr>
            <w:webHidden/>
          </w:rPr>
          <w:fldChar w:fldCharType="separate"/>
        </w:r>
        <w:r w:rsidR="00236D9A">
          <w:rPr>
            <w:webHidden/>
          </w:rPr>
          <w:t>63</w:t>
        </w:r>
        <w:r w:rsidR="00D0566D">
          <w:rPr>
            <w:webHidden/>
          </w:rPr>
          <w:fldChar w:fldCharType="end"/>
        </w:r>
      </w:hyperlink>
    </w:p>
    <w:p w:rsidR="00D0566D" w:rsidRDefault="005230E1">
      <w:pPr>
        <w:pStyle w:val="Obsah2"/>
        <w:rPr>
          <w:rFonts w:asciiTheme="minorHAnsi" w:hAnsiTheme="minorHAnsi" w:cstheme="minorBidi"/>
          <w:b w:val="0"/>
          <w:sz w:val="22"/>
          <w:szCs w:val="22"/>
        </w:rPr>
      </w:pPr>
      <w:hyperlink w:anchor="_Toc38385272" w:history="1">
        <w:r w:rsidR="00D0566D" w:rsidRPr="00966A09">
          <w:rPr>
            <w:rStyle w:val="Hypertextovodkaz"/>
          </w:rPr>
          <w:t>LITERATURA A PRAMENY</w:t>
        </w:r>
        <w:r w:rsidR="00D0566D">
          <w:rPr>
            <w:webHidden/>
          </w:rPr>
          <w:tab/>
        </w:r>
        <w:r w:rsidR="00D0566D">
          <w:rPr>
            <w:webHidden/>
          </w:rPr>
          <w:fldChar w:fldCharType="begin"/>
        </w:r>
        <w:r w:rsidR="00D0566D">
          <w:rPr>
            <w:webHidden/>
          </w:rPr>
          <w:instrText xml:space="preserve"> PAGEREF _Toc38385272 \h </w:instrText>
        </w:r>
        <w:r w:rsidR="00D0566D">
          <w:rPr>
            <w:webHidden/>
          </w:rPr>
        </w:r>
        <w:r w:rsidR="00D0566D">
          <w:rPr>
            <w:webHidden/>
          </w:rPr>
          <w:fldChar w:fldCharType="separate"/>
        </w:r>
        <w:r w:rsidR="00236D9A">
          <w:rPr>
            <w:webHidden/>
          </w:rPr>
          <w:t>65</w:t>
        </w:r>
        <w:r w:rsidR="00D0566D">
          <w:rPr>
            <w:webHidden/>
          </w:rPr>
          <w:fldChar w:fldCharType="end"/>
        </w:r>
      </w:hyperlink>
    </w:p>
    <w:p w:rsidR="00D0566D" w:rsidRDefault="005230E1">
      <w:pPr>
        <w:pStyle w:val="Obsah2"/>
        <w:rPr>
          <w:rFonts w:asciiTheme="minorHAnsi" w:hAnsiTheme="minorHAnsi" w:cstheme="minorBidi"/>
          <w:b w:val="0"/>
          <w:sz w:val="22"/>
          <w:szCs w:val="22"/>
        </w:rPr>
      </w:pPr>
      <w:hyperlink w:anchor="_Toc38385273" w:history="1">
        <w:r w:rsidR="00D0566D" w:rsidRPr="00966A09">
          <w:rPr>
            <w:rStyle w:val="Hypertextovodkaz"/>
          </w:rPr>
          <w:t>SEZNAM ZKRATEK</w:t>
        </w:r>
        <w:r w:rsidR="00D0566D">
          <w:rPr>
            <w:webHidden/>
          </w:rPr>
          <w:tab/>
        </w:r>
        <w:r w:rsidR="00D0566D">
          <w:rPr>
            <w:webHidden/>
          </w:rPr>
          <w:fldChar w:fldCharType="begin"/>
        </w:r>
        <w:r w:rsidR="00D0566D">
          <w:rPr>
            <w:webHidden/>
          </w:rPr>
          <w:instrText xml:space="preserve"> PAGEREF _Toc38385273 \h </w:instrText>
        </w:r>
        <w:r w:rsidR="00D0566D">
          <w:rPr>
            <w:webHidden/>
          </w:rPr>
        </w:r>
        <w:r w:rsidR="00D0566D">
          <w:rPr>
            <w:webHidden/>
          </w:rPr>
          <w:fldChar w:fldCharType="separate"/>
        </w:r>
        <w:r w:rsidR="00236D9A">
          <w:rPr>
            <w:webHidden/>
          </w:rPr>
          <w:t>70</w:t>
        </w:r>
        <w:r w:rsidR="00D0566D">
          <w:rPr>
            <w:webHidden/>
          </w:rPr>
          <w:fldChar w:fldCharType="end"/>
        </w:r>
      </w:hyperlink>
    </w:p>
    <w:p w:rsidR="00D0566D" w:rsidRDefault="005230E1">
      <w:pPr>
        <w:pStyle w:val="Obsah2"/>
        <w:rPr>
          <w:rFonts w:asciiTheme="minorHAnsi" w:hAnsiTheme="minorHAnsi" w:cstheme="minorBidi"/>
          <w:b w:val="0"/>
          <w:sz w:val="22"/>
          <w:szCs w:val="22"/>
        </w:rPr>
      </w:pPr>
      <w:hyperlink w:anchor="_Toc38385274" w:history="1">
        <w:r w:rsidR="00D0566D" w:rsidRPr="00966A09">
          <w:rPr>
            <w:rStyle w:val="Hypertextovodkaz"/>
          </w:rPr>
          <w:t>SEZNAM OBRÁZKŮ</w:t>
        </w:r>
        <w:r w:rsidR="00D0566D">
          <w:rPr>
            <w:webHidden/>
          </w:rPr>
          <w:tab/>
        </w:r>
        <w:r w:rsidR="00D0566D">
          <w:rPr>
            <w:webHidden/>
          </w:rPr>
          <w:fldChar w:fldCharType="begin"/>
        </w:r>
        <w:r w:rsidR="00D0566D">
          <w:rPr>
            <w:webHidden/>
          </w:rPr>
          <w:instrText xml:space="preserve"> PAGEREF _Toc38385274 \h </w:instrText>
        </w:r>
        <w:r w:rsidR="00D0566D">
          <w:rPr>
            <w:webHidden/>
          </w:rPr>
        </w:r>
        <w:r w:rsidR="00D0566D">
          <w:rPr>
            <w:webHidden/>
          </w:rPr>
          <w:fldChar w:fldCharType="separate"/>
        </w:r>
        <w:r w:rsidR="00236D9A">
          <w:rPr>
            <w:webHidden/>
          </w:rPr>
          <w:t>71</w:t>
        </w:r>
        <w:r w:rsidR="00D0566D">
          <w:rPr>
            <w:webHidden/>
          </w:rPr>
          <w:fldChar w:fldCharType="end"/>
        </w:r>
      </w:hyperlink>
    </w:p>
    <w:p w:rsidR="00D0566D" w:rsidRDefault="005230E1">
      <w:pPr>
        <w:pStyle w:val="Obsah2"/>
        <w:rPr>
          <w:rFonts w:asciiTheme="minorHAnsi" w:hAnsiTheme="minorHAnsi" w:cstheme="minorBidi"/>
          <w:b w:val="0"/>
          <w:sz w:val="22"/>
          <w:szCs w:val="22"/>
        </w:rPr>
      </w:pPr>
      <w:hyperlink w:anchor="_Toc38385275" w:history="1">
        <w:r w:rsidR="00D0566D" w:rsidRPr="00966A09">
          <w:rPr>
            <w:rStyle w:val="Hypertextovodkaz"/>
          </w:rPr>
          <w:t>SEZNAM TABULEK</w:t>
        </w:r>
        <w:r w:rsidR="00D0566D">
          <w:rPr>
            <w:webHidden/>
          </w:rPr>
          <w:tab/>
        </w:r>
        <w:r w:rsidR="00D0566D">
          <w:rPr>
            <w:webHidden/>
          </w:rPr>
          <w:fldChar w:fldCharType="begin"/>
        </w:r>
        <w:r w:rsidR="00D0566D">
          <w:rPr>
            <w:webHidden/>
          </w:rPr>
          <w:instrText xml:space="preserve"> PAGEREF _Toc38385275 \h </w:instrText>
        </w:r>
        <w:r w:rsidR="00D0566D">
          <w:rPr>
            <w:webHidden/>
          </w:rPr>
        </w:r>
        <w:r w:rsidR="00D0566D">
          <w:rPr>
            <w:webHidden/>
          </w:rPr>
          <w:fldChar w:fldCharType="separate"/>
        </w:r>
        <w:r w:rsidR="00236D9A">
          <w:rPr>
            <w:webHidden/>
          </w:rPr>
          <w:t>72</w:t>
        </w:r>
        <w:r w:rsidR="00D0566D">
          <w:rPr>
            <w:webHidden/>
          </w:rPr>
          <w:fldChar w:fldCharType="end"/>
        </w:r>
      </w:hyperlink>
    </w:p>
    <w:p w:rsidR="00D0566D" w:rsidRDefault="005230E1">
      <w:pPr>
        <w:pStyle w:val="Obsah2"/>
        <w:rPr>
          <w:rFonts w:asciiTheme="minorHAnsi" w:hAnsiTheme="minorHAnsi" w:cstheme="minorBidi"/>
          <w:b w:val="0"/>
          <w:sz w:val="22"/>
          <w:szCs w:val="22"/>
        </w:rPr>
      </w:pPr>
      <w:hyperlink w:anchor="_Toc38385276" w:history="1">
        <w:r w:rsidR="00D0566D" w:rsidRPr="00966A09">
          <w:rPr>
            <w:rStyle w:val="Hypertextovodkaz"/>
          </w:rPr>
          <w:t>SEZNAM GRAFŮ</w:t>
        </w:r>
        <w:r w:rsidR="00D0566D">
          <w:rPr>
            <w:webHidden/>
          </w:rPr>
          <w:tab/>
        </w:r>
        <w:r w:rsidR="00D0566D">
          <w:rPr>
            <w:webHidden/>
          </w:rPr>
          <w:fldChar w:fldCharType="begin"/>
        </w:r>
        <w:r w:rsidR="00D0566D">
          <w:rPr>
            <w:webHidden/>
          </w:rPr>
          <w:instrText xml:space="preserve"> PAGEREF _Toc38385276 \h </w:instrText>
        </w:r>
        <w:r w:rsidR="00D0566D">
          <w:rPr>
            <w:webHidden/>
          </w:rPr>
        </w:r>
        <w:r w:rsidR="00D0566D">
          <w:rPr>
            <w:webHidden/>
          </w:rPr>
          <w:fldChar w:fldCharType="separate"/>
        </w:r>
        <w:r w:rsidR="00236D9A">
          <w:rPr>
            <w:webHidden/>
          </w:rPr>
          <w:t>73</w:t>
        </w:r>
        <w:r w:rsidR="00D0566D">
          <w:rPr>
            <w:webHidden/>
          </w:rPr>
          <w:fldChar w:fldCharType="end"/>
        </w:r>
      </w:hyperlink>
    </w:p>
    <w:p w:rsidR="00D0566D" w:rsidRDefault="005230E1">
      <w:pPr>
        <w:pStyle w:val="Obsah2"/>
        <w:rPr>
          <w:rFonts w:asciiTheme="minorHAnsi" w:hAnsiTheme="minorHAnsi" w:cstheme="minorBidi"/>
          <w:b w:val="0"/>
          <w:sz w:val="22"/>
          <w:szCs w:val="22"/>
        </w:rPr>
      </w:pPr>
      <w:hyperlink w:anchor="_Toc38385277" w:history="1">
        <w:r w:rsidR="00D0566D" w:rsidRPr="00966A09">
          <w:rPr>
            <w:rStyle w:val="Hypertextovodkaz"/>
          </w:rPr>
          <w:t>ANOTACE</w:t>
        </w:r>
        <w:r w:rsidR="00D0566D">
          <w:rPr>
            <w:webHidden/>
          </w:rPr>
          <w:tab/>
        </w:r>
        <w:r w:rsidR="00D0566D">
          <w:rPr>
            <w:webHidden/>
          </w:rPr>
          <w:fldChar w:fldCharType="begin"/>
        </w:r>
        <w:r w:rsidR="00D0566D">
          <w:rPr>
            <w:webHidden/>
          </w:rPr>
          <w:instrText xml:space="preserve"> PAGEREF _Toc38385277 \h </w:instrText>
        </w:r>
        <w:r w:rsidR="00D0566D">
          <w:rPr>
            <w:webHidden/>
          </w:rPr>
        </w:r>
        <w:r w:rsidR="00D0566D">
          <w:rPr>
            <w:webHidden/>
          </w:rPr>
          <w:fldChar w:fldCharType="separate"/>
        </w:r>
        <w:r w:rsidR="00236D9A">
          <w:rPr>
            <w:webHidden/>
          </w:rPr>
          <w:t>74</w:t>
        </w:r>
        <w:r w:rsidR="00D0566D">
          <w:rPr>
            <w:webHidden/>
          </w:rPr>
          <w:fldChar w:fldCharType="end"/>
        </w:r>
      </w:hyperlink>
    </w:p>
    <w:p w:rsidR="00A67905" w:rsidRDefault="005A50EF" w:rsidP="009D1ADE">
      <w:pPr>
        <w:rPr>
          <w:bCs/>
          <w:noProof/>
        </w:rPr>
      </w:pPr>
      <w:r w:rsidRPr="00816EB8">
        <w:rPr>
          <w:bCs/>
          <w:noProof/>
        </w:rPr>
        <w:fldChar w:fldCharType="end"/>
      </w:r>
    </w:p>
    <w:p w:rsidR="00992162" w:rsidRDefault="00992162" w:rsidP="00D54CAD">
      <w:pPr>
        <w:pStyle w:val="Tomk"/>
        <w:numPr>
          <w:ilvl w:val="0"/>
          <w:numId w:val="0"/>
        </w:numPr>
      </w:pPr>
      <w:bookmarkStart w:id="0" w:name="_Toc31638236"/>
      <w:bookmarkStart w:id="1" w:name="_Toc38385234"/>
      <w:r>
        <w:lastRenderedPageBreak/>
        <w:t>Úvod</w:t>
      </w:r>
      <w:bookmarkEnd w:id="0"/>
      <w:bookmarkEnd w:id="1"/>
    </w:p>
    <w:p w:rsidR="002F2880" w:rsidRDefault="002F2880" w:rsidP="002F2880">
      <w:pPr>
        <w:rPr>
          <w:rFonts w:eastAsia="Calibri"/>
          <w:lang w:eastAsia="en-US"/>
        </w:rPr>
      </w:pPr>
      <w:r w:rsidRPr="00900A66">
        <w:rPr>
          <w:rFonts w:eastAsia="Calibri"/>
          <w:lang w:eastAsia="en-US"/>
        </w:rPr>
        <w:t>Dotace, pojem dlouhodobé skloňovaný a vzbuzující emoce snad v každém z nás. Jedni nahlížejí na dotace jako na prostředek umožňující rozvoj firmy,</w:t>
      </w:r>
      <w:r>
        <w:rPr>
          <w:rFonts w:eastAsia="Calibri"/>
          <w:lang w:eastAsia="en-US"/>
        </w:rPr>
        <w:t xml:space="preserve"> zlepšení sociálních a hospodářských podmínek,</w:t>
      </w:r>
      <w:r w:rsidRPr="00900A66">
        <w:rPr>
          <w:rFonts w:eastAsia="Calibri"/>
          <w:lang w:eastAsia="en-US"/>
        </w:rPr>
        <w:t xml:space="preserve"> druzí tvrdí, že se jedná o ekonomický prostředek, jenž „křiví“ tržní prostředí a zvýhodňuje některé subjekty na úkor druhých</w:t>
      </w:r>
      <w:r>
        <w:rPr>
          <w:rFonts w:eastAsia="Calibri"/>
          <w:lang w:eastAsia="en-US"/>
        </w:rPr>
        <w:t xml:space="preserve"> a posiluje korupční prostředí. To</w:t>
      </w:r>
      <w:r w:rsidR="004A0F50">
        <w:rPr>
          <w:rFonts w:eastAsia="Calibri"/>
          <w:lang w:eastAsia="en-US"/>
        </w:rPr>
        <w:t> </w:t>
      </w:r>
      <w:r>
        <w:rPr>
          <w:rFonts w:eastAsia="Calibri"/>
          <w:lang w:eastAsia="en-US"/>
        </w:rPr>
        <w:t>se</w:t>
      </w:r>
      <w:r w:rsidR="004A0F50">
        <w:rPr>
          <w:rFonts w:eastAsia="Calibri"/>
          <w:lang w:eastAsia="en-US"/>
        </w:rPr>
        <w:t> </w:t>
      </w:r>
      <w:r>
        <w:rPr>
          <w:rFonts w:eastAsia="Calibri"/>
          <w:lang w:eastAsia="en-US"/>
        </w:rPr>
        <w:t>může projevit manipulací ve výběrovém řízení, dále uvedením nepravdivých nebo</w:t>
      </w:r>
      <w:r w:rsidR="004A0F50">
        <w:rPr>
          <w:rFonts w:eastAsia="Calibri"/>
          <w:lang w:eastAsia="en-US"/>
        </w:rPr>
        <w:t> </w:t>
      </w:r>
      <w:r>
        <w:rPr>
          <w:rFonts w:eastAsia="Calibri"/>
          <w:lang w:eastAsia="en-US"/>
        </w:rPr>
        <w:t>neúplných informací v žádosti o dotaci a nakonec neúčelným čerpáním dotace nebo zneužitím dotace</w:t>
      </w:r>
      <w:r w:rsidRPr="00900A66">
        <w:rPr>
          <w:rFonts w:eastAsia="Calibri"/>
          <w:lang w:eastAsia="en-US"/>
        </w:rPr>
        <w:t>.</w:t>
      </w:r>
      <w:r>
        <w:rPr>
          <w:rFonts w:eastAsia="Calibri"/>
          <w:lang w:eastAsia="en-US"/>
        </w:rPr>
        <w:t xml:space="preserve"> </w:t>
      </w:r>
    </w:p>
    <w:p w:rsidR="002F2880" w:rsidRDefault="002F2880" w:rsidP="002F2880">
      <w:pPr>
        <w:rPr>
          <w:rFonts w:eastAsia="Calibri"/>
          <w:lang w:eastAsia="en-US"/>
        </w:rPr>
      </w:pPr>
      <w:r w:rsidRPr="00900A66">
        <w:rPr>
          <w:rFonts w:eastAsia="Calibri"/>
          <w:lang w:eastAsia="en-US"/>
        </w:rPr>
        <w:t>Každá mince má dvě strany</w:t>
      </w:r>
      <w:r>
        <w:rPr>
          <w:rFonts w:eastAsia="Calibri"/>
          <w:lang w:eastAsia="en-US"/>
        </w:rPr>
        <w:t>. N</w:t>
      </w:r>
      <w:r w:rsidRPr="00900A66">
        <w:rPr>
          <w:rFonts w:eastAsia="Calibri"/>
          <w:lang w:eastAsia="en-US"/>
        </w:rPr>
        <w:t>a jedné straně stojí zisk finančních prostředků formou dotací či návratných finančních výpomocí</w:t>
      </w:r>
      <w:r>
        <w:rPr>
          <w:rFonts w:eastAsia="Calibri"/>
          <w:lang w:eastAsia="en-US"/>
        </w:rPr>
        <w:t xml:space="preserve"> </w:t>
      </w:r>
      <w:r w:rsidRPr="00900A66">
        <w:rPr>
          <w:rFonts w:eastAsia="Calibri"/>
          <w:lang w:eastAsia="en-US"/>
        </w:rPr>
        <w:t>ze státního rozpočtu či z fondů Evropské unie</w:t>
      </w:r>
      <w:r>
        <w:rPr>
          <w:rFonts w:eastAsia="Calibri"/>
          <w:lang w:eastAsia="en-US"/>
        </w:rPr>
        <w:t>. N</w:t>
      </w:r>
      <w:r w:rsidRPr="00900A66">
        <w:rPr>
          <w:rFonts w:eastAsia="Calibri"/>
          <w:lang w:eastAsia="en-US"/>
        </w:rPr>
        <w:t>a druhé straně figuruje povinnost dodržet podmínky stanovené poskytovatelem. V případě, že příjemce dotace nespln</w:t>
      </w:r>
      <w:r>
        <w:rPr>
          <w:rFonts w:eastAsia="Calibri"/>
          <w:lang w:eastAsia="en-US"/>
        </w:rPr>
        <w:t>í</w:t>
      </w:r>
      <w:r w:rsidRPr="00900A66">
        <w:rPr>
          <w:rFonts w:eastAsia="Calibri"/>
          <w:lang w:eastAsia="en-US"/>
        </w:rPr>
        <w:t xml:space="preserve"> podmínky určené poskytovatelem, dopustí se tzv. porušení rozpočtové kázně a</w:t>
      </w:r>
      <w:r>
        <w:rPr>
          <w:rFonts w:eastAsia="Calibri"/>
          <w:lang w:eastAsia="en-US"/>
        </w:rPr>
        <w:t> </w:t>
      </w:r>
      <w:r w:rsidRPr="00900A66">
        <w:rPr>
          <w:rFonts w:eastAsia="Calibri"/>
          <w:lang w:eastAsia="en-US"/>
        </w:rPr>
        <w:t>je povinen vrátit prostředky zpět do státního rozpočtu či prostřednictvím státního rozpočtu zpět do rozpočtu Evropské unie.</w:t>
      </w:r>
      <w:r>
        <w:rPr>
          <w:rFonts w:eastAsia="Calibri"/>
          <w:lang w:eastAsia="en-US"/>
        </w:rPr>
        <w:t xml:space="preserve"> </w:t>
      </w:r>
    </w:p>
    <w:p w:rsidR="002F2880" w:rsidRDefault="002F2880" w:rsidP="002F2880">
      <w:pPr>
        <w:rPr>
          <w:rFonts w:eastAsia="Calibri"/>
          <w:lang w:eastAsia="en-US"/>
        </w:rPr>
      </w:pPr>
      <w:r w:rsidRPr="00EB3FFE">
        <w:rPr>
          <w:rFonts w:eastAsia="Calibri"/>
          <w:lang w:eastAsia="en-US"/>
        </w:rPr>
        <w:t xml:space="preserve">Cílem bakalářské </w:t>
      </w:r>
      <w:r w:rsidRPr="00D01874">
        <w:rPr>
          <w:rFonts w:eastAsia="Calibri"/>
          <w:lang w:eastAsia="en-US"/>
        </w:rPr>
        <w:t xml:space="preserve">práce je představit vývoj </w:t>
      </w:r>
      <w:r>
        <w:rPr>
          <w:rFonts w:eastAsia="Calibri"/>
          <w:lang w:eastAsia="en-US"/>
        </w:rPr>
        <w:t>novel zákona č. 218/2000</w:t>
      </w:r>
      <w:r w:rsidRPr="00D01874">
        <w:rPr>
          <w:rFonts w:eastAsia="Calibri"/>
          <w:lang w:eastAsia="en-US"/>
        </w:rPr>
        <w:t xml:space="preserve"> </w:t>
      </w:r>
      <w:r>
        <w:rPr>
          <w:rFonts w:eastAsia="Calibri"/>
          <w:lang w:eastAsia="en-US"/>
        </w:rPr>
        <w:t xml:space="preserve">Sb., o rozpočtových pravidlech od doby účinnosti zákona do roku 2018 a zhodnotit vliv novel </w:t>
      </w:r>
      <w:r w:rsidRPr="00EB3FFE">
        <w:rPr>
          <w:rFonts w:eastAsia="Calibri"/>
          <w:lang w:eastAsia="en-US"/>
        </w:rPr>
        <w:t>na poskytování finančních prostředků a</w:t>
      </w:r>
      <w:r>
        <w:rPr>
          <w:rFonts w:eastAsia="Calibri"/>
          <w:lang w:eastAsia="en-US"/>
        </w:rPr>
        <w:t xml:space="preserve"> na jejich kontrolu.</w:t>
      </w:r>
    </w:p>
    <w:p w:rsidR="002F2880" w:rsidRDefault="002F2880" w:rsidP="002F2880">
      <w:pPr>
        <w:rPr>
          <w:rFonts w:eastAsia="Calibri"/>
          <w:lang w:eastAsia="en-US"/>
        </w:rPr>
      </w:pPr>
      <w:r w:rsidRPr="00EB3FFE">
        <w:rPr>
          <w:rFonts w:eastAsia="Calibri"/>
          <w:lang w:eastAsia="en-US"/>
        </w:rPr>
        <w:t>Teoretická část</w:t>
      </w:r>
      <w:r w:rsidRPr="00900A66">
        <w:rPr>
          <w:rFonts w:eastAsia="Calibri"/>
          <w:lang w:eastAsia="en-US"/>
        </w:rPr>
        <w:t xml:space="preserve"> </w:t>
      </w:r>
      <w:r>
        <w:rPr>
          <w:rFonts w:eastAsia="Calibri"/>
          <w:lang w:eastAsia="en-US"/>
        </w:rPr>
        <w:t xml:space="preserve">je věnována poskytování dotací z EU v kontextu ČR, a to prostřednictvím Národního fondu, který slouží mj. </w:t>
      </w:r>
      <w:r>
        <w:t xml:space="preserve">k hospodaření s peněžními prostředky poskytovanými z rozpočtu EU. Budou představeny jednotlivé evropské fondy a jejich účel, vysvětleno, co jsou programové období a operační programy. Dále bude pojednáno o historii čerpání finančních prostředků z EU a následně zanalyzováno čerpání dotací v </w:t>
      </w:r>
      <w:r>
        <w:rPr>
          <w:rFonts w:eastAsia="Calibri"/>
          <w:lang w:eastAsia="en-US"/>
        </w:rPr>
        <w:t>a</w:t>
      </w:r>
      <w:r w:rsidRPr="00003B60">
        <w:rPr>
          <w:rFonts w:eastAsia="Calibri"/>
          <w:lang w:eastAsia="en-US"/>
        </w:rPr>
        <w:t>ktuální</w:t>
      </w:r>
      <w:r>
        <w:rPr>
          <w:rFonts w:eastAsia="Calibri"/>
          <w:lang w:eastAsia="en-US"/>
        </w:rPr>
        <w:t>m</w:t>
      </w:r>
      <w:r w:rsidRPr="00003B60">
        <w:rPr>
          <w:rFonts w:eastAsia="Calibri"/>
          <w:lang w:eastAsia="en-US"/>
        </w:rPr>
        <w:t xml:space="preserve"> programové</w:t>
      </w:r>
      <w:r>
        <w:rPr>
          <w:rFonts w:eastAsia="Calibri"/>
          <w:lang w:eastAsia="en-US"/>
        </w:rPr>
        <w:t>m</w:t>
      </w:r>
      <w:r w:rsidRPr="00003B60">
        <w:rPr>
          <w:rFonts w:eastAsia="Calibri"/>
          <w:lang w:eastAsia="en-US"/>
        </w:rPr>
        <w:t xml:space="preserve"> období 2014–2020</w:t>
      </w:r>
      <w:r>
        <w:rPr>
          <w:rFonts w:eastAsia="Calibri"/>
          <w:lang w:eastAsia="en-US"/>
        </w:rPr>
        <w:t>. Také budou představeny subjekty implementační struktury v oblasti čerpání dotací z EU. V závěru teoretické části</w:t>
      </w:r>
      <w:r w:rsidRPr="00F845ED">
        <w:rPr>
          <w:rFonts w:eastAsia="Calibri"/>
          <w:lang w:eastAsia="en-US"/>
        </w:rPr>
        <w:t xml:space="preserve"> </w:t>
      </w:r>
      <w:r>
        <w:rPr>
          <w:rFonts w:eastAsia="Calibri"/>
          <w:lang w:eastAsia="en-US"/>
        </w:rPr>
        <w:t xml:space="preserve">se seznámíme s kontrolními orgány a zákonem </w:t>
      </w:r>
      <w:r w:rsidRPr="00900A66">
        <w:rPr>
          <w:rFonts w:eastAsia="Calibri"/>
          <w:lang w:eastAsia="en-US"/>
        </w:rPr>
        <w:t>č. 218/2000 Sb.</w:t>
      </w:r>
      <w:r>
        <w:rPr>
          <w:rFonts w:eastAsia="Calibri"/>
          <w:lang w:eastAsia="en-US"/>
        </w:rPr>
        <w:t>,</w:t>
      </w:r>
      <w:r w:rsidRPr="00900A66">
        <w:rPr>
          <w:rFonts w:eastAsia="Calibri"/>
          <w:lang w:eastAsia="en-US"/>
        </w:rPr>
        <w:t xml:space="preserve"> o rozpočtových pravidlech</w:t>
      </w:r>
      <w:r>
        <w:rPr>
          <w:rFonts w:eastAsia="Calibri"/>
          <w:lang w:eastAsia="en-US"/>
        </w:rPr>
        <w:t>.</w:t>
      </w:r>
    </w:p>
    <w:p w:rsidR="002F2880" w:rsidRDefault="002F2880" w:rsidP="00507C78">
      <w:r>
        <w:rPr>
          <w:rFonts w:eastAsia="Calibri"/>
          <w:lang w:eastAsia="en-US"/>
        </w:rPr>
        <w:t>Praktická</w:t>
      </w:r>
      <w:r w:rsidRPr="00900A66">
        <w:rPr>
          <w:rFonts w:eastAsia="Calibri"/>
          <w:lang w:eastAsia="en-US"/>
        </w:rPr>
        <w:t xml:space="preserve"> část </w:t>
      </w:r>
      <w:r>
        <w:rPr>
          <w:rFonts w:eastAsia="Calibri"/>
          <w:lang w:eastAsia="en-US"/>
        </w:rPr>
        <w:t>se zaměřuje na zákon</w:t>
      </w:r>
      <w:r w:rsidRPr="00900A66">
        <w:rPr>
          <w:rFonts w:eastAsia="Calibri"/>
          <w:lang w:eastAsia="en-US"/>
        </w:rPr>
        <w:t xml:space="preserve"> č. 218/2000 Sb.</w:t>
      </w:r>
      <w:r>
        <w:rPr>
          <w:rFonts w:eastAsia="Calibri"/>
          <w:lang w:eastAsia="en-US"/>
        </w:rPr>
        <w:t>,</w:t>
      </w:r>
      <w:r w:rsidRPr="00900A66">
        <w:rPr>
          <w:rFonts w:eastAsia="Calibri"/>
          <w:lang w:eastAsia="en-US"/>
        </w:rPr>
        <w:t xml:space="preserve"> o rozpočtových pravidlech</w:t>
      </w:r>
      <w:r>
        <w:rPr>
          <w:rFonts w:eastAsia="Calibri"/>
          <w:lang w:eastAsia="en-US"/>
        </w:rPr>
        <w:t xml:space="preserve"> a</w:t>
      </w:r>
      <w:r w:rsidR="006A1752">
        <w:rPr>
          <w:rFonts w:eastAsia="Calibri"/>
          <w:lang w:eastAsia="en-US"/>
        </w:rPr>
        <w:t> </w:t>
      </w:r>
      <w:r>
        <w:rPr>
          <w:rFonts w:eastAsia="Calibri"/>
          <w:lang w:eastAsia="en-US"/>
        </w:rPr>
        <w:t>na</w:t>
      </w:r>
      <w:r w:rsidR="006A1752">
        <w:rPr>
          <w:rFonts w:eastAsia="Calibri"/>
          <w:lang w:eastAsia="en-US"/>
        </w:rPr>
        <w:t> </w:t>
      </w:r>
      <w:r>
        <w:rPr>
          <w:rFonts w:eastAsia="Calibri"/>
          <w:lang w:eastAsia="en-US"/>
        </w:rPr>
        <w:t xml:space="preserve">důležité novely tohoto zákona od doby jeho účinnosti do roku 2018, kdy nabyla účinnosti poslední novela, </w:t>
      </w:r>
      <w:r>
        <w:t>která se přímo dotýkala poskytování dotací a návratných finančních výpomocí</w:t>
      </w:r>
      <w:r>
        <w:rPr>
          <w:rFonts w:eastAsia="Calibri"/>
          <w:lang w:eastAsia="en-US"/>
        </w:rPr>
        <w:t>. Každá z vybraných novel určitým způsobem ovlivnila buď administrativní proces při</w:t>
      </w:r>
      <w:r w:rsidR="006A1752">
        <w:rPr>
          <w:rFonts w:eastAsia="Calibri"/>
          <w:lang w:eastAsia="en-US"/>
        </w:rPr>
        <w:t> </w:t>
      </w:r>
      <w:r>
        <w:rPr>
          <w:rFonts w:eastAsia="Calibri"/>
          <w:lang w:eastAsia="en-US"/>
        </w:rPr>
        <w:t xml:space="preserve">poskytování dotací poskytovatelem, nebo postupy kontrolních orgánů, zejména poskytovatelů a finančních orgánů. </w:t>
      </w:r>
      <w:r>
        <w:t>Pro sběr dat, resp. novel zákona a souvisejících statistik bude využit</w:t>
      </w:r>
      <w:r w:rsidRPr="0019713D">
        <w:t xml:space="preserve"> </w:t>
      </w:r>
      <w:r w:rsidRPr="00AB2090">
        <w:t>Automatizovaný systém právních informací</w:t>
      </w:r>
      <w:r>
        <w:t xml:space="preserve"> (ASPI) a </w:t>
      </w:r>
      <w:r w:rsidRPr="0019713D">
        <w:t>Informační systém Centrální evidence dotací z</w:t>
      </w:r>
      <w:r>
        <w:t> </w:t>
      </w:r>
      <w:r w:rsidRPr="0019713D">
        <w:t>rozpočtu</w:t>
      </w:r>
      <w:r>
        <w:t xml:space="preserve"> (IS CEDR). Následně bude provedeno vyhodnocení sesbíraných dat </w:t>
      </w:r>
      <w:r>
        <w:lastRenderedPageBreak/>
        <w:t>p</w:t>
      </w:r>
      <w:r>
        <w:rPr>
          <w:rFonts w:eastAsia="Calibri"/>
          <w:lang w:eastAsia="en-US"/>
        </w:rPr>
        <w:t xml:space="preserve">omocí kvantitativní obsahové analýzy, přičemž novely zákona budou podrobeny analýze </w:t>
      </w:r>
      <w:r w:rsidRPr="00461D7C">
        <w:rPr>
          <w:rFonts w:eastAsia="Calibri"/>
          <w:lang w:eastAsia="en-US"/>
        </w:rPr>
        <w:t>komparativní, statistiky analýze trendové</w:t>
      </w:r>
      <w:r w:rsidR="00461D7C" w:rsidRPr="00461D7C">
        <w:rPr>
          <w:rFonts w:eastAsia="Calibri"/>
          <w:lang w:eastAsia="en-US"/>
        </w:rPr>
        <w:t>, a poté dojde k</w:t>
      </w:r>
      <w:r w:rsidR="00163ABD" w:rsidRPr="00461D7C">
        <w:rPr>
          <w:rFonts w:eastAsia="Calibri"/>
          <w:lang w:eastAsia="en-US"/>
        </w:rPr>
        <w:t xml:space="preserve"> </w:t>
      </w:r>
      <w:r w:rsidR="00461D7C" w:rsidRPr="00461D7C">
        <w:rPr>
          <w:rFonts w:eastAsia="Calibri"/>
          <w:lang w:eastAsia="en-US"/>
        </w:rPr>
        <w:t>interpretaci</w:t>
      </w:r>
      <w:r w:rsidRPr="00461D7C">
        <w:rPr>
          <w:rFonts w:eastAsia="Calibri"/>
          <w:lang w:eastAsia="en-US"/>
        </w:rPr>
        <w:t xml:space="preserve"> výsledků z </w:t>
      </w:r>
      <w:r w:rsidRPr="00461D7C">
        <w:t>komparace v re</w:t>
      </w:r>
      <w:r w:rsidR="00507C78" w:rsidRPr="00461D7C">
        <w:t xml:space="preserve">laci k příslušným statistikám. Poslední část bakalářské práce </w:t>
      </w:r>
      <w:r w:rsidR="00163ABD" w:rsidRPr="00461D7C">
        <w:t>obsahuje</w:t>
      </w:r>
      <w:r w:rsidR="00507C78" w:rsidRPr="00461D7C">
        <w:t xml:space="preserve"> shrnutí </w:t>
      </w:r>
      <w:r w:rsidR="00163ABD" w:rsidRPr="00461D7C">
        <w:t>nejpodstatnějších ustanovení</w:t>
      </w:r>
      <w:r w:rsidR="00461D7C" w:rsidRPr="00461D7C">
        <w:t xml:space="preserve"> zákona</w:t>
      </w:r>
      <w:r w:rsidR="00163ABD" w:rsidRPr="00461D7C">
        <w:t xml:space="preserve"> a uvedení </w:t>
      </w:r>
      <w:r w:rsidR="00507C78" w:rsidRPr="00461D7C">
        <w:t>návrh</w:t>
      </w:r>
      <w:r w:rsidR="00163ABD" w:rsidRPr="00461D7C">
        <w:t>ů</w:t>
      </w:r>
      <w:r w:rsidR="00507C78" w:rsidRPr="00461D7C">
        <w:t xml:space="preserve"> na optimalizaci postupů při kontrole</w:t>
      </w:r>
      <w:r w:rsidR="00163ABD" w:rsidRPr="00461D7C">
        <w:t xml:space="preserve"> </w:t>
      </w:r>
      <w:r w:rsidR="006B6614" w:rsidRPr="00461D7C">
        <w:rPr>
          <w:rFonts w:eastAsia="Calibri"/>
          <w:lang w:eastAsia="en-US"/>
        </w:rPr>
        <w:t>z</w:t>
      </w:r>
      <w:r w:rsidR="006A1752">
        <w:rPr>
          <w:rFonts w:eastAsia="Calibri"/>
          <w:lang w:eastAsia="en-US"/>
        </w:rPr>
        <w:t> </w:t>
      </w:r>
      <w:r w:rsidR="006B6614" w:rsidRPr="00461D7C">
        <w:rPr>
          <w:rFonts w:eastAsia="Calibri"/>
          <w:lang w:eastAsia="en-US"/>
        </w:rPr>
        <w:t>pohledu zaměstnance Finanční správy</w:t>
      </w:r>
      <w:r w:rsidRPr="00461D7C">
        <w:t>.</w:t>
      </w:r>
    </w:p>
    <w:p w:rsidR="00623063" w:rsidRPr="00623063" w:rsidRDefault="001E12AB" w:rsidP="00A706D1">
      <w:pPr>
        <w:pStyle w:val="Tomk"/>
        <w:ind w:left="567" w:hanging="567"/>
      </w:pPr>
      <w:bookmarkStart w:id="2" w:name="_Toc31638237"/>
      <w:bookmarkStart w:id="3" w:name="_Toc38385235"/>
      <w:r>
        <w:lastRenderedPageBreak/>
        <w:t>Teoretické východiska dotací</w:t>
      </w:r>
      <w:r w:rsidR="00120DF8">
        <w:t xml:space="preserve"> poskytovan</w:t>
      </w:r>
      <w:r w:rsidR="00F53A0A">
        <w:t>ých </w:t>
      </w:r>
      <w:r w:rsidR="00120DF8">
        <w:t>z peněžních prostředků </w:t>
      </w:r>
      <w:bookmarkEnd w:id="2"/>
      <w:r w:rsidR="002E014E">
        <w:t>EU</w:t>
      </w:r>
      <w:bookmarkEnd w:id="3"/>
    </w:p>
    <w:p w:rsidR="007C2F4D" w:rsidRDefault="007C2F4D" w:rsidP="007C2F4D">
      <w:r>
        <w:t xml:space="preserve"> Jedním z hlavních cílů Evropské unie je podpora kohezní politiky, která má prostřednictvím finančních prostředků umožnit novým členským státům jejich hospodářský a sociální rozvoj a také snižovat rozdíly a nerovnosti v regionech jednotlivých států. Právě k tomu slouží peněžní prostředky z evropských fondů, které mohou čerpat členské státy na své projekty a programy v rámci několikaletých cyklů formou dotací.</w:t>
      </w:r>
    </w:p>
    <w:p w:rsidR="007C2F4D" w:rsidRDefault="007C2F4D" w:rsidP="007C2F4D">
      <w:r w:rsidRPr="00BF07C9">
        <w:t>Tato část je věnována pouze poskytování dotací, které jsou spolufinancovány z</w:t>
      </w:r>
      <w:r>
        <w:t> e</w:t>
      </w:r>
      <w:r w:rsidRPr="00BF07C9">
        <w:t>vropských fondů</w:t>
      </w:r>
      <w:r>
        <w:t xml:space="preserve"> na základě </w:t>
      </w:r>
      <w:r w:rsidRPr="00BF07C9">
        <w:t>záko</w:t>
      </w:r>
      <w:r>
        <w:t>na</w:t>
      </w:r>
      <w:r w:rsidRPr="00BF07C9">
        <w:t xml:space="preserve"> č.</w:t>
      </w:r>
      <w:r>
        <w:t> </w:t>
      </w:r>
      <w:r w:rsidRPr="00BF07C9">
        <w:t xml:space="preserve">218/2000 Sb., o rozpočtových pravidlech </w:t>
      </w:r>
      <w:r w:rsidRPr="00CF352E">
        <w:t>a o změně některých souvisejících zákonů (</w:t>
      </w:r>
      <w:r w:rsidRPr="00C94932">
        <w:t>dále také „zákon o rozpočtových pravidlech“ nebo „RP“</w:t>
      </w:r>
      <w:r w:rsidR="00C94932" w:rsidRPr="00C94932">
        <w:t>)</w:t>
      </w:r>
      <w:r w:rsidRPr="00C94932">
        <w:t>.</w:t>
      </w:r>
      <w:r w:rsidRPr="00BF07C9">
        <w:t xml:space="preserve"> </w:t>
      </w:r>
      <w:r w:rsidRPr="00CF352E">
        <w:t>Zákon</w:t>
      </w:r>
      <w:r w:rsidR="002B7F35">
        <w:t> </w:t>
      </w:r>
      <w:r w:rsidRPr="00CF352E">
        <w:t>o</w:t>
      </w:r>
      <w:r>
        <w:t> </w:t>
      </w:r>
      <w:r w:rsidRPr="00CF352E">
        <w:t xml:space="preserve">rozpočtových pravidlech upravuje </w:t>
      </w:r>
      <w:r>
        <w:t>tvorbu a funkci státního rozpočtu</w:t>
      </w:r>
      <w:r w:rsidR="00115467">
        <w:t xml:space="preserve"> (dále také „SR“)</w:t>
      </w:r>
      <w:r>
        <w:t>, poskytování dotací a návratných finančních výpomocí (dále také „NFV“) a </w:t>
      </w:r>
      <w:r w:rsidRPr="00CF352E">
        <w:t xml:space="preserve">postupy poskytovatele. </w:t>
      </w:r>
      <w:r>
        <w:t xml:space="preserve">Kdo může poskytovat dotace nebo NFV je uvedeno v ustanovení § 14 odst. 2 RP. </w:t>
      </w:r>
      <w:r w:rsidRPr="001C6A2A">
        <w:t xml:space="preserve">Jedná se o ministerstva, </w:t>
      </w:r>
      <w:r w:rsidRPr="00C94932">
        <w:t>Úřad</w:t>
      </w:r>
      <w:r w:rsidRPr="001C6A2A">
        <w:t xml:space="preserve"> práce ČR, Technologick</w:t>
      </w:r>
      <w:r>
        <w:t>ou</w:t>
      </w:r>
      <w:r w:rsidRPr="001C6A2A">
        <w:t xml:space="preserve"> agentur</w:t>
      </w:r>
      <w:r>
        <w:t>u</w:t>
      </w:r>
      <w:r w:rsidRPr="001C6A2A">
        <w:t xml:space="preserve"> ČR a Akademii věd ČR. Zákon jednotně nazývá tyto instituce jako poskytovatele</w:t>
      </w:r>
      <w:r>
        <w:t xml:space="preserve">. </w:t>
      </w:r>
      <w:r w:rsidRPr="00CF352E">
        <w:t>Poskytovatel rozhoduje o</w:t>
      </w:r>
      <w:r>
        <w:t> </w:t>
      </w:r>
      <w:r w:rsidRPr="00CF352E">
        <w:t>poskytnutí prostředků a stanovuje účel, podmínky a povinnosti, které musí příjemce plnit svým jménem a</w:t>
      </w:r>
      <w:r w:rsidR="002B7F35">
        <w:t> </w:t>
      </w:r>
      <w:r w:rsidRPr="00CF352E">
        <w:t>na svo</w:t>
      </w:r>
      <w:r>
        <w:t>u</w:t>
      </w:r>
      <w:r w:rsidRPr="00CF352E">
        <w:t xml:space="preserve"> odpovědnost. Dále zákon specifikuje</w:t>
      </w:r>
      <w:r>
        <w:t>,</w:t>
      </w:r>
      <w:r w:rsidRPr="00CF352E">
        <w:t xml:space="preserve"> co je porušení rozpočtové kázně</w:t>
      </w:r>
      <w:r w:rsidR="00622045">
        <w:t xml:space="preserve"> (dále také „PRK“)</w:t>
      </w:r>
      <w:r w:rsidRPr="00CF352E">
        <w:t xml:space="preserve">, kdy lze toto porušení konstatovat a jak probíhá vrácení peněžních prostředků v případě </w:t>
      </w:r>
      <w:r w:rsidR="00622045">
        <w:t>PRK</w:t>
      </w:r>
      <w:r w:rsidRPr="00CF352E">
        <w:t xml:space="preserve">. </w:t>
      </w:r>
    </w:p>
    <w:p w:rsidR="00767EDA" w:rsidRDefault="007C2F4D" w:rsidP="007C2F4D">
      <w:r w:rsidRPr="00BF07C9">
        <w:t>Pojem dotace se v českém právním systému vyskytuje v zákoně o rozpočtových pravidlech.</w:t>
      </w:r>
      <w:r>
        <w:t xml:space="preserve"> V ustanovení § 3 písm. a) tohoto zákona se dotací rozumí „</w:t>
      </w:r>
      <w:r w:rsidRPr="001C4E4D">
        <w:rPr>
          <w:i/>
        </w:rPr>
        <w:t>peněžní prostředky státního rozpočtu, státních finančních aktiv nebo Národního fondu poskytnuté právnickým nebo fyzickým osobám na stanovený účel</w:t>
      </w:r>
      <w:r>
        <w:t>.“</w:t>
      </w:r>
      <w:r>
        <w:rPr>
          <w:rStyle w:val="Znakapoznpodarou"/>
        </w:rPr>
        <w:footnoteReference w:id="2"/>
      </w:r>
      <w:r>
        <w:t xml:space="preserve"> Jedná se o </w:t>
      </w:r>
      <w:r w:rsidRPr="002463AC">
        <w:t xml:space="preserve">transfer </w:t>
      </w:r>
      <w:r>
        <w:t xml:space="preserve">peněžních </w:t>
      </w:r>
      <w:r w:rsidRPr="002463AC">
        <w:t xml:space="preserve">prostředků, proti kterému </w:t>
      </w:r>
      <w:r>
        <w:t>na rozdíl od</w:t>
      </w:r>
      <w:r w:rsidRPr="002463AC">
        <w:t xml:space="preserve"> pořízení zboží </w:t>
      </w:r>
      <w:r>
        <w:t>nebo</w:t>
      </w:r>
      <w:r w:rsidRPr="002463AC">
        <w:t xml:space="preserve"> služeb </w:t>
      </w:r>
      <w:r>
        <w:t xml:space="preserve">nestojí </w:t>
      </w:r>
      <w:r w:rsidRPr="002463AC">
        <w:t>přímá protihodnota</w:t>
      </w:r>
      <w:r>
        <w:t>. V zákoně o rozpočtových pravidlech se můžeme setkat s pojmem návratná finanční výpomoc. Jde o bezúročné</w:t>
      </w:r>
      <w:r w:rsidRPr="00280F4C">
        <w:t xml:space="preserve"> </w:t>
      </w:r>
      <w:r>
        <w:t xml:space="preserve">poskytnutí </w:t>
      </w:r>
      <w:r w:rsidRPr="00280F4C">
        <w:t>prostře</w:t>
      </w:r>
      <w:r>
        <w:t>dků</w:t>
      </w:r>
      <w:r w:rsidRPr="00280F4C">
        <w:t xml:space="preserve"> právnickým nebo fyzickým osobám na stanovený účel, které je povinen jejich příjemce vrátit</w:t>
      </w:r>
      <w:r>
        <w:t xml:space="preserve"> do </w:t>
      </w:r>
      <w:r w:rsidR="00115467">
        <w:t>SR</w:t>
      </w:r>
      <w:r w:rsidRPr="00380357">
        <w:t>, státních finančních aktiv nebo Národního fondu</w:t>
      </w:r>
      <w:r w:rsidR="00115467">
        <w:t xml:space="preserve"> (dále také „</w:t>
      </w:r>
      <w:proofErr w:type="gramStart"/>
      <w:r w:rsidR="00D74571">
        <w:t>NF</w:t>
      </w:r>
      <w:r w:rsidR="00115467">
        <w:t>“)</w:t>
      </w:r>
      <w:r w:rsidR="002B7F35">
        <w:t xml:space="preserve"> </w:t>
      </w:r>
      <w:r>
        <w:t>(§</w:t>
      </w:r>
      <w:r w:rsidR="002B7F35">
        <w:t> </w:t>
      </w:r>
      <w:r>
        <w:t>3</w:t>
      </w:r>
      <w:r w:rsidR="002B7F35">
        <w:t> písm.</w:t>
      </w:r>
      <w:proofErr w:type="gramEnd"/>
      <w:r>
        <w:t xml:space="preserve"> b) RP).</w:t>
      </w:r>
      <w:r>
        <w:rPr>
          <w:rStyle w:val="Znakapoznpodarou"/>
        </w:rPr>
        <w:footnoteReference w:id="3"/>
      </w:r>
      <w:r>
        <w:t xml:space="preserve"> Pro oba způsoby poskytnutí peněžních prostředků je charakteristické, </w:t>
      </w:r>
      <w:r>
        <w:lastRenderedPageBreak/>
        <w:t>že</w:t>
      </w:r>
      <w:r w:rsidR="00060A5A">
        <w:t> </w:t>
      </w:r>
      <w:r>
        <w:t>je</w:t>
      </w:r>
      <w:r w:rsidR="00060A5A">
        <w:t> </w:t>
      </w:r>
      <w:r>
        <w:t>tedy vázáno na splnění účelu. Odlišností v poskytnutých prostředcích je, že příjemce musí návratnou finanční výpomoc na rozdíl od dotace vrátit</w:t>
      </w:r>
      <w:r w:rsidR="008954F0">
        <w:t>.</w:t>
      </w:r>
    </w:p>
    <w:p w:rsidR="0039591A" w:rsidRDefault="0039591A" w:rsidP="0025200B">
      <w:pPr>
        <w:pStyle w:val="Tomk2"/>
        <w:ind w:left="567" w:hanging="567"/>
      </w:pPr>
      <w:bookmarkStart w:id="4" w:name="_Toc38385236"/>
      <w:r>
        <w:t>Národní fond</w:t>
      </w:r>
      <w:bookmarkEnd w:id="4"/>
    </w:p>
    <w:p w:rsidR="00536925" w:rsidRDefault="00536925" w:rsidP="00536925">
      <w:r w:rsidRPr="000A51F0">
        <w:t>Příjemci dotace získávají peněžní prostředky z Národního fondu, který je součástí státního rozpočtu.</w:t>
      </w:r>
      <w:r>
        <w:t xml:space="preserve"> N</w:t>
      </w:r>
      <w:r w:rsidR="00D74571">
        <w:t>F</w:t>
      </w:r>
      <w:r>
        <w:t xml:space="preserve"> slouží mj. k hospodaření s peněžními prostředky, které jsou poskytovány Evropskou unií k realizaci programů nebo projektů spolufinancovaných z rozpočtů Evropské unie. Konkrétně se jedná o strukturální fondy, Fond soudržnosti a Evropský rybářský fond </w:t>
      </w:r>
      <w:r w:rsidRPr="0039591A">
        <w:t>(§</w:t>
      </w:r>
      <w:r w:rsidR="002B7F35">
        <w:t> </w:t>
      </w:r>
      <w:r w:rsidRPr="0039591A">
        <w:t>37 odst. 1 písm. a)</w:t>
      </w:r>
      <w:r>
        <w:t xml:space="preserve"> RP). </w:t>
      </w:r>
      <w:r w:rsidRPr="002F1D72">
        <w:t>N</w:t>
      </w:r>
      <w:r w:rsidR="00D74571">
        <w:t>F</w:t>
      </w:r>
      <w:r w:rsidRPr="002F1D72">
        <w:t xml:space="preserve"> netvoří kapitolu </w:t>
      </w:r>
      <w:r w:rsidR="00D74571">
        <w:t>SR</w:t>
      </w:r>
      <w:r>
        <w:t xml:space="preserve"> </w:t>
      </w:r>
      <w:r w:rsidRPr="002F1D72">
        <w:t>ani není součástí kapitoly</w:t>
      </w:r>
      <w:r>
        <w:t xml:space="preserve"> </w:t>
      </w:r>
      <w:r w:rsidR="00D74571">
        <w:t>SR</w:t>
      </w:r>
      <w:r>
        <w:t>. Zprostředkovává vztah k EU a jejímu rozpočtu. Účty N</w:t>
      </w:r>
      <w:r w:rsidR="00D74571">
        <w:t>F</w:t>
      </w:r>
      <w:r>
        <w:t xml:space="preserve"> jsou vedeny u </w:t>
      </w:r>
      <w:r w:rsidRPr="00C94932">
        <w:t>ČNB</w:t>
      </w:r>
      <w:r>
        <w:t xml:space="preserve">. </w:t>
      </w:r>
      <w:r w:rsidRPr="002F1D72">
        <w:t xml:space="preserve">Nakládání s prostředky </w:t>
      </w:r>
      <w:r>
        <w:t>N</w:t>
      </w:r>
      <w:r w:rsidR="00D74571">
        <w:t>F</w:t>
      </w:r>
      <w:r>
        <w:t xml:space="preserve"> se</w:t>
      </w:r>
      <w:r w:rsidRPr="002F1D72">
        <w:t xml:space="preserve"> řídí zákonem </w:t>
      </w:r>
      <w:r>
        <w:t xml:space="preserve">č. 218/2000 Sb., </w:t>
      </w:r>
      <w:r w:rsidRPr="002F1D72">
        <w:t xml:space="preserve">o </w:t>
      </w:r>
      <w:r>
        <w:t>rozpočtových pravidlech</w:t>
      </w:r>
      <w:r w:rsidRPr="002F1D72">
        <w:t>, pokud právo E</w:t>
      </w:r>
      <w:r>
        <w:t xml:space="preserve">vropského společenství </w:t>
      </w:r>
      <w:r w:rsidRPr="002F1D72">
        <w:t>nestanoví jinak</w:t>
      </w:r>
      <w:r>
        <w:t xml:space="preserve">. </w:t>
      </w:r>
      <w:r w:rsidRPr="002F1D72">
        <w:t>Prostředky obdržené z EU se stávají součástí N</w:t>
      </w:r>
      <w:r w:rsidR="00D74571">
        <w:t>F</w:t>
      </w:r>
      <w:r w:rsidRPr="002F1D72">
        <w:t xml:space="preserve"> a</w:t>
      </w:r>
      <w:r>
        <w:t> </w:t>
      </w:r>
      <w:r w:rsidR="00D74571">
        <w:t>SR</w:t>
      </w:r>
      <w:r>
        <w:t xml:space="preserve">. </w:t>
      </w:r>
      <w:r w:rsidRPr="0039591A">
        <w:t>V</w:t>
      </w:r>
      <w:r>
        <w:t> </w:t>
      </w:r>
      <w:r w:rsidRPr="0039591A">
        <w:t xml:space="preserve">rozpočtových pravidlech je tato situace popsána jako krytí prostředků </w:t>
      </w:r>
      <w:r w:rsidR="00D74571">
        <w:t>SR</w:t>
      </w:r>
      <w:r>
        <w:t>, tj.</w:t>
      </w:r>
      <w:r w:rsidRPr="0039591A">
        <w:t xml:space="preserve"> prostředky </w:t>
      </w:r>
      <w:r w:rsidR="00D74571">
        <w:t>SR</w:t>
      </w:r>
      <w:r w:rsidRPr="0039591A">
        <w:t xml:space="preserve"> jsou kryt</w:t>
      </w:r>
      <w:r w:rsidR="00D74571">
        <w:t>y</w:t>
      </w:r>
      <w:r w:rsidRPr="0039591A">
        <w:t xml:space="preserve"> prostředky N</w:t>
      </w:r>
      <w:r w:rsidR="00D74571">
        <w:t>F</w:t>
      </w:r>
      <w:r w:rsidRPr="0039591A">
        <w:t xml:space="preserve"> nebo prostředky z</w:t>
      </w:r>
      <w:r>
        <w:t> </w:t>
      </w:r>
      <w:r w:rsidRPr="0039591A">
        <w:t>EU</w:t>
      </w:r>
      <w:r>
        <w:t xml:space="preserve">. </w:t>
      </w:r>
      <w:r w:rsidRPr="0039591A">
        <w:t xml:space="preserve">Při poskytování </w:t>
      </w:r>
      <w:r>
        <w:t xml:space="preserve">finančních prostředků z evropských fondů </w:t>
      </w:r>
      <w:r w:rsidRPr="0039591A">
        <w:t xml:space="preserve">je poskytovatel povinen </w:t>
      </w:r>
      <w:r>
        <w:t xml:space="preserve">uvést, odkud jsou </w:t>
      </w:r>
      <w:r w:rsidRPr="0039591A">
        <w:t>prostředky poskytovány</w:t>
      </w:r>
      <w:r>
        <w:t xml:space="preserve"> </w:t>
      </w:r>
      <w:r w:rsidRPr="0039591A">
        <w:t>(§ 44 odst. 4</w:t>
      </w:r>
      <w:r>
        <w:t xml:space="preserve"> RP</w:t>
      </w:r>
      <w:r w:rsidRPr="0039591A">
        <w:t>)</w:t>
      </w:r>
      <w:r>
        <w:t>.</w:t>
      </w:r>
    </w:p>
    <w:p w:rsidR="002B7F35" w:rsidRPr="001327FB" w:rsidRDefault="00536925" w:rsidP="002B7F35">
      <w:r w:rsidRPr="001327FB">
        <w:t xml:space="preserve">Ze </w:t>
      </w:r>
      <w:r w:rsidR="00D74571">
        <w:t>SR</w:t>
      </w:r>
      <w:r w:rsidRPr="001327FB">
        <w:t xml:space="preserve"> mohou být poskytnuty prostředky na financování programů (projektů), které mají být financovány z prostředků EU, ale ČR tyto prostředky v daný okamžik neobdržela</w:t>
      </w:r>
      <w:r>
        <w:t xml:space="preserve">. Aby bylo možné projekty realizovat, poskytnou se na jejich financování prostředky </w:t>
      </w:r>
      <w:r w:rsidR="00D74571">
        <w:t>SR</w:t>
      </w:r>
      <w:r>
        <w:t xml:space="preserve"> a následně po profinancování projektu obdrží ČR prostředky z EU.</w:t>
      </w:r>
    </w:p>
    <w:p w:rsidR="00536925" w:rsidRPr="0051507E" w:rsidRDefault="00536925" w:rsidP="00536925">
      <w:pPr>
        <w:pStyle w:val="Tomk2"/>
        <w:ind w:left="567" w:hanging="567"/>
        <w:rPr>
          <w:rFonts w:cs="Times New Roman"/>
        </w:rPr>
      </w:pPr>
      <w:bookmarkStart w:id="5" w:name="_Toc26526748"/>
      <w:bookmarkStart w:id="6" w:name="_Toc31638238"/>
      <w:bookmarkStart w:id="7" w:name="_Toc38385237"/>
      <w:r>
        <w:t xml:space="preserve">Evropské </w:t>
      </w:r>
      <w:r w:rsidRPr="002C6C32">
        <w:t>fond</w:t>
      </w:r>
      <w:bookmarkEnd w:id="5"/>
      <w:bookmarkEnd w:id="6"/>
      <w:r>
        <w:t>y</w:t>
      </w:r>
      <w:bookmarkStart w:id="8" w:name="_Toc26526749"/>
      <w:bookmarkEnd w:id="7"/>
    </w:p>
    <w:p w:rsidR="00536925" w:rsidRDefault="00536925" w:rsidP="00C94932">
      <w:r>
        <w:t xml:space="preserve">Fondy Evropské unie jsou hlavním nástrojem k dosažení cílů EU. Jedním z cílů je realizace evropské politiky soudržnosti. Jedná se např. o podporu hospodářského růstu členských států, zlepšení infrastruktury, ochranu životního prostředí, snížení rozdílů mezi členskými státy a také rozdílů mezi regiony členských zemí, a to rozvojem obcí a měst v oblasti vzdělanosti, </w:t>
      </w:r>
      <w:r w:rsidRPr="000D389D">
        <w:t>rozvoj</w:t>
      </w:r>
      <w:r>
        <w:t>em podnikání, vědy</w:t>
      </w:r>
      <w:r w:rsidRPr="000D389D">
        <w:t xml:space="preserve"> a výzkum</w:t>
      </w:r>
      <w:r>
        <w:t>u apod. Evropské fondy členíme na tzv. strukturální a investiční fondy a další fondy. Následně si přiblížíme jednotlivé fondy a jejich účel.</w:t>
      </w:r>
      <w:r w:rsidRPr="0058536D">
        <w:rPr>
          <w:rStyle w:val="Znakapoznpodarou"/>
        </w:rPr>
        <w:footnoteReference w:id="4"/>
      </w:r>
    </w:p>
    <w:p w:rsidR="00536925" w:rsidRDefault="00536925" w:rsidP="00536925">
      <w:pPr>
        <w:pStyle w:val="Tomik3"/>
        <w:numPr>
          <w:ilvl w:val="2"/>
          <w:numId w:val="1"/>
        </w:numPr>
        <w:ind w:left="851" w:hanging="851"/>
      </w:pPr>
      <w:bookmarkStart w:id="9" w:name="_Toc38385238"/>
      <w:r>
        <w:t>Strukturální a investiční fondy</w:t>
      </w:r>
      <w:bookmarkEnd w:id="9"/>
      <w:r>
        <w:t xml:space="preserve"> </w:t>
      </w:r>
    </w:p>
    <w:p w:rsidR="00536925" w:rsidRPr="00720048" w:rsidRDefault="00536925" w:rsidP="00536925">
      <w:pPr>
        <w:rPr>
          <w:vertAlign w:val="superscript"/>
        </w:rPr>
      </w:pPr>
      <w:r>
        <w:t xml:space="preserve">Evropské strukturální a investiční fondy (dále také „ESI“) slouží jako nástroj regionální politiky, jehož snahou je </w:t>
      </w:r>
      <w:r w:rsidRPr="00727B87">
        <w:t>zmenšení ekonomických rozdílů mezi regiony</w:t>
      </w:r>
      <w:r>
        <w:t>,</w:t>
      </w:r>
      <w:r w:rsidRPr="00727B87">
        <w:t xml:space="preserve"> sociálními skupinami</w:t>
      </w:r>
      <w:r>
        <w:t xml:space="preserve"> </w:t>
      </w:r>
      <w:r>
        <w:lastRenderedPageBreak/>
        <w:t>a jednotlivými členskými státy. Prostředky jsou rozdělovány v rámci tzv. programových období</w:t>
      </w:r>
      <w:r w:rsidRPr="0058536D">
        <w:t xml:space="preserve"> skrze jednotlivé operační programy</w:t>
      </w:r>
      <w:r>
        <w:t xml:space="preserve">, které si musí každá členská země nechat schválit Evropskou komisí. </w:t>
      </w:r>
      <w:r w:rsidRPr="003B1355">
        <w:t>V</w:t>
      </w:r>
      <w:r>
        <w:t xml:space="preserve"> operačních programech </w:t>
      </w:r>
      <w:r w:rsidRPr="003B1355">
        <w:t xml:space="preserve">jsou podrobně popsány cíle a priority, které chce členská země v dané oblasti </w:t>
      </w:r>
      <w:r>
        <w:t xml:space="preserve">a </w:t>
      </w:r>
      <w:r w:rsidRPr="003B1355">
        <w:t>programov</w:t>
      </w:r>
      <w:r>
        <w:t>ém</w:t>
      </w:r>
      <w:r w:rsidRPr="003B1355">
        <w:t xml:space="preserve"> období</w:t>
      </w:r>
      <w:r>
        <w:t xml:space="preserve"> </w:t>
      </w:r>
      <w:r w:rsidRPr="003B1355">
        <w:t>dosáhnou</w:t>
      </w:r>
      <w:r>
        <w:t>t. Délka jednoho období je</w:t>
      </w:r>
      <w:r w:rsidR="002B7F35">
        <w:t> </w:t>
      </w:r>
      <w:r>
        <w:t xml:space="preserve">nastavena na sedm let. Aktuálně bude končit programové období 2014–2020. Pro </w:t>
      </w:r>
      <w:r w:rsidR="002B7F35">
        <w:t xml:space="preserve">ČR </w:t>
      </w:r>
      <w:r>
        <w:t>bylo na programové období 20014–2020 vyčleněno celkem 23,9 mld. EUR. Do ESI spadá následujících pět fondů:</w:t>
      </w:r>
    </w:p>
    <w:p w:rsidR="00536925" w:rsidRDefault="00536925" w:rsidP="00536925"/>
    <w:p w:rsidR="00536925" w:rsidRPr="0051507E" w:rsidRDefault="00536925" w:rsidP="00536925">
      <w:pPr>
        <w:ind w:firstLine="0"/>
        <w:rPr>
          <w:b/>
        </w:rPr>
      </w:pPr>
      <w:r w:rsidRPr="0051507E">
        <w:rPr>
          <w:b/>
        </w:rPr>
        <w:t>Evropský fond pro regionální rozvoj (EFRR)</w:t>
      </w:r>
      <w:bookmarkEnd w:id="8"/>
    </w:p>
    <w:p w:rsidR="00536925" w:rsidRDefault="00536925" w:rsidP="00536925">
      <w:r w:rsidRPr="00120DF8">
        <w:t xml:space="preserve">Evropský fond pro regionální rozvoj </w:t>
      </w:r>
      <w:r>
        <w:t>(</w:t>
      </w:r>
      <w:proofErr w:type="spellStart"/>
      <w:r w:rsidRPr="0098198C">
        <w:t>The</w:t>
      </w:r>
      <w:proofErr w:type="spellEnd"/>
      <w:r w:rsidRPr="0098198C">
        <w:t xml:space="preserve"> </w:t>
      </w:r>
      <w:proofErr w:type="spellStart"/>
      <w:r w:rsidRPr="0098198C">
        <w:t>European</w:t>
      </w:r>
      <w:proofErr w:type="spellEnd"/>
      <w:r w:rsidRPr="0098198C">
        <w:t xml:space="preserve"> </w:t>
      </w:r>
      <w:proofErr w:type="spellStart"/>
      <w:r w:rsidRPr="0098198C">
        <w:t>Regional</w:t>
      </w:r>
      <w:proofErr w:type="spellEnd"/>
      <w:r w:rsidRPr="0098198C">
        <w:t xml:space="preserve"> </w:t>
      </w:r>
      <w:proofErr w:type="spellStart"/>
      <w:r w:rsidRPr="0098198C">
        <w:t>Development</w:t>
      </w:r>
      <w:proofErr w:type="spellEnd"/>
      <w:r w:rsidRPr="0098198C">
        <w:t xml:space="preserve"> </w:t>
      </w:r>
      <w:proofErr w:type="spellStart"/>
      <w:r w:rsidRPr="0098198C">
        <w:t>Fund</w:t>
      </w:r>
      <w:proofErr w:type="spellEnd"/>
      <w:r w:rsidRPr="0098198C">
        <w:t xml:space="preserve"> </w:t>
      </w:r>
      <w:r>
        <w:t>„</w:t>
      </w:r>
      <w:r w:rsidRPr="0098198C">
        <w:t>ERDF</w:t>
      </w:r>
      <w:r>
        <w:t>“</w:t>
      </w:r>
      <w:r w:rsidRPr="0098198C">
        <w:t>)</w:t>
      </w:r>
      <w:r>
        <w:t xml:space="preserve"> byl vytvořen v roce 1974. O</w:t>
      </w:r>
      <w:r w:rsidRPr="007F77AF">
        <w:t>bjemem peněz je největším ze strukturálních fondů</w:t>
      </w:r>
      <w:r>
        <w:t>. Jak</w:t>
      </w:r>
      <w:r w:rsidR="002B7F35">
        <w:t> </w:t>
      </w:r>
      <w:r>
        <w:t>už z názvu vyplývá, jedná se o fond určený na rozvoj regionální politiky v zaostávajících regionech, krajích nebo obcích podporou malých a středních podniků.</w:t>
      </w:r>
      <w:r>
        <w:rPr>
          <w:rStyle w:val="Znakapoznpodarou"/>
        </w:rPr>
        <w:footnoteReference w:id="5"/>
      </w:r>
      <w:r>
        <w:t xml:space="preserve"> Podpora je zaměřena zejména na:</w:t>
      </w:r>
    </w:p>
    <w:p w:rsidR="00536925" w:rsidRDefault="00536925" w:rsidP="00536925">
      <w:pPr>
        <w:pStyle w:val="Odstavecseseznamem"/>
        <w:numPr>
          <w:ilvl w:val="0"/>
          <w:numId w:val="10"/>
        </w:numPr>
        <w:ind w:left="426"/>
      </w:pPr>
      <w:r>
        <w:t xml:space="preserve">realizaci tzv. „tvrdých“ investičních projektů: zlepšení infrastruktury (silnice nižší třídy, železnice), podpora výroby, regenerace </w:t>
      </w:r>
      <w:proofErr w:type="spellStart"/>
      <w:r>
        <w:t>brownfields</w:t>
      </w:r>
      <w:proofErr w:type="spellEnd"/>
      <w:r>
        <w:t>,</w:t>
      </w:r>
    </w:p>
    <w:p w:rsidR="00536925" w:rsidRDefault="00536925" w:rsidP="00536925">
      <w:pPr>
        <w:pStyle w:val="Odstavecseseznamem"/>
        <w:numPr>
          <w:ilvl w:val="0"/>
          <w:numId w:val="10"/>
        </w:numPr>
        <w:ind w:left="426"/>
      </w:pPr>
      <w:r>
        <w:t>zvýšení zaměstnanosti a vzdělávání,</w:t>
      </w:r>
    </w:p>
    <w:p w:rsidR="00536925" w:rsidRDefault="00536925" w:rsidP="00536925">
      <w:pPr>
        <w:pStyle w:val="Odstavecseseznamem"/>
        <w:numPr>
          <w:ilvl w:val="0"/>
          <w:numId w:val="10"/>
        </w:numPr>
        <w:ind w:left="426"/>
      </w:pPr>
      <w:r>
        <w:t>výzkum a vývoj zaměřený na životní prostředí.</w:t>
      </w:r>
      <w:r w:rsidRPr="007F77AF">
        <w:rPr>
          <w:rStyle w:val="Znakapoznpodarou"/>
        </w:rPr>
        <w:footnoteReference w:id="6"/>
      </w:r>
    </w:p>
    <w:p w:rsidR="00536925" w:rsidRDefault="00536925" w:rsidP="00536925">
      <w:pPr>
        <w:ind w:firstLine="0"/>
      </w:pPr>
      <w:r>
        <w:t>Z EFRR jsou financovány také projekty Evropské územní spolupráce.</w:t>
      </w:r>
      <w:bookmarkStart w:id="10" w:name="_Toc26526750"/>
    </w:p>
    <w:p w:rsidR="00536925" w:rsidRPr="00310637" w:rsidRDefault="00536925" w:rsidP="00536925">
      <w:pPr>
        <w:ind w:firstLine="0"/>
      </w:pPr>
    </w:p>
    <w:p w:rsidR="00536925" w:rsidRPr="0051507E" w:rsidRDefault="00536925" w:rsidP="00536925">
      <w:pPr>
        <w:ind w:firstLine="0"/>
        <w:rPr>
          <w:b/>
        </w:rPr>
      </w:pPr>
      <w:r w:rsidRPr="0051507E">
        <w:rPr>
          <w:b/>
        </w:rPr>
        <w:t>Fond soudržnosti (FS)</w:t>
      </w:r>
      <w:bookmarkEnd w:id="10"/>
    </w:p>
    <w:p w:rsidR="00536925" w:rsidRDefault="00536925" w:rsidP="00536925">
      <w:r>
        <w:t>Fond soudržnosti, nazývaný též Kohezní fond (</w:t>
      </w:r>
      <w:proofErr w:type="spellStart"/>
      <w:r>
        <w:t>The</w:t>
      </w:r>
      <w:proofErr w:type="spellEnd"/>
      <w:r>
        <w:t xml:space="preserve"> </w:t>
      </w:r>
      <w:proofErr w:type="spellStart"/>
      <w:r>
        <w:t>Cohesion</w:t>
      </w:r>
      <w:proofErr w:type="spellEnd"/>
      <w:r>
        <w:t xml:space="preserve"> </w:t>
      </w:r>
      <w:proofErr w:type="spellStart"/>
      <w:r>
        <w:t>Fund</w:t>
      </w:r>
      <w:proofErr w:type="spellEnd"/>
      <w:r>
        <w:t xml:space="preserve"> „</w:t>
      </w:r>
      <w:r w:rsidRPr="0098198C">
        <w:t>CF</w:t>
      </w:r>
      <w:r>
        <w:t>“</w:t>
      </w:r>
      <w:r w:rsidRPr="0098198C">
        <w:t>)</w:t>
      </w:r>
      <w:r>
        <w:t xml:space="preserve"> byl zřízen v roce 1993 s cílem přispět k naplnění maastrichtských kritérií na základě Maastrichtské smlouvy. Investice jsou v porovnání s EFRR zaměřeny na typy projektů mnohem většího rozsahu (např.</w:t>
      </w:r>
      <w:r w:rsidR="002B7F35">
        <w:t> </w:t>
      </w:r>
      <w:r>
        <w:t xml:space="preserve">dálnice, letecká, říční doprava aj.). Důvodem je, že finanční pomoc je určena k podpoře na úrovni státu, nikoliv jednotlivých regionů. Pro čerpání z tohoto fondu musí členský stát splnit kritérium HNP na obyvatele, který nesmí být vyšší než </w:t>
      </w:r>
      <w:r w:rsidRPr="009F1B21">
        <w:t>90 % průměru EU</w:t>
      </w:r>
      <w:r>
        <w:t>.</w:t>
      </w:r>
      <w:r w:rsidRPr="009F1B21">
        <w:rPr>
          <w:vertAlign w:val="superscript"/>
        </w:rPr>
        <w:footnoteReference w:id="7"/>
      </w:r>
      <w:r>
        <w:t xml:space="preserve"> Objemem poskytovaných prostředků členským zemím EU jde o druhý největší strukturální fond.</w:t>
      </w:r>
      <w:bookmarkStart w:id="11" w:name="_Toc26526751"/>
    </w:p>
    <w:p w:rsidR="00536925" w:rsidRDefault="00536925" w:rsidP="00536925"/>
    <w:p w:rsidR="000B5EFE" w:rsidRDefault="000B5EFE" w:rsidP="00536925"/>
    <w:p w:rsidR="00536925" w:rsidRPr="0051507E" w:rsidRDefault="00536925" w:rsidP="00536925">
      <w:pPr>
        <w:ind w:firstLine="0"/>
        <w:rPr>
          <w:b/>
        </w:rPr>
      </w:pPr>
      <w:r w:rsidRPr="0051507E">
        <w:rPr>
          <w:b/>
        </w:rPr>
        <w:lastRenderedPageBreak/>
        <w:t>Evropsk</w:t>
      </w:r>
      <w:r>
        <w:rPr>
          <w:b/>
        </w:rPr>
        <w:t>ý</w:t>
      </w:r>
      <w:r w:rsidRPr="0051507E">
        <w:rPr>
          <w:b/>
        </w:rPr>
        <w:t xml:space="preserve"> sociální fond (ESF)</w:t>
      </w:r>
      <w:bookmarkEnd w:id="11"/>
    </w:p>
    <w:p w:rsidR="00536925" w:rsidRDefault="00536925" w:rsidP="00536925">
      <w:r>
        <w:t>Založení Evropského</w:t>
      </w:r>
      <w:r w:rsidRPr="00120DF8">
        <w:t xml:space="preserve"> sociální</w:t>
      </w:r>
      <w:r>
        <w:t>ho</w:t>
      </w:r>
      <w:r w:rsidRPr="00120DF8">
        <w:t xml:space="preserve"> fond</w:t>
      </w:r>
      <w:r>
        <w:t>u (</w:t>
      </w:r>
      <w:proofErr w:type="spellStart"/>
      <w:r>
        <w:t>The</w:t>
      </w:r>
      <w:proofErr w:type="spellEnd"/>
      <w:r>
        <w:t xml:space="preserve"> </w:t>
      </w:r>
      <w:proofErr w:type="spellStart"/>
      <w:r w:rsidRPr="005B290B">
        <w:t>European</w:t>
      </w:r>
      <w:proofErr w:type="spellEnd"/>
      <w:r w:rsidRPr="005B290B">
        <w:t xml:space="preserve"> </w:t>
      </w:r>
      <w:proofErr w:type="spellStart"/>
      <w:r w:rsidRPr="005B290B">
        <w:t>Social</w:t>
      </w:r>
      <w:proofErr w:type="spellEnd"/>
      <w:r w:rsidRPr="005B290B">
        <w:t xml:space="preserve"> </w:t>
      </w:r>
      <w:proofErr w:type="spellStart"/>
      <w:r w:rsidRPr="005B290B">
        <w:t>Fund</w:t>
      </w:r>
      <w:proofErr w:type="spellEnd"/>
      <w:r>
        <w:t xml:space="preserve"> „ESF“) se datuje už</w:t>
      </w:r>
      <w:r w:rsidR="000B5EFE">
        <w:t> </w:t>
      </w:r>
      <w:r>
        <w:t>do</w:t>
      </w:r>
      <w:r w:rsidR="002B7F35">
        <w:t> </w:t>
      </w:r>
      <w:r>
        <w:t>roku 1957. Je určen na financování neinvestičních, tzv. „měkkých“ projektů. Stejně jako EFRR je určen na podporu regionální politiky, a to v oblasti lidských zdrojů a rozvoje trhu práce. Jedná se převážně o snižování nezaměstnanosti, např. rekvalifikací a vzděláváním zaměstnanců, podporu nových metod výuky nebo speciálních programů pro sociálně slabší skupiny.</w:t>
      </w:r>
      <w:r>
        <w:rPr>
          <w:rStyle w:val="Znakapoznpodarou"/>
        </w:rPr>
        <w:footnoteReference w:id="8"/>
      </w:r>
    </w:p>
    <w:p w:rsidR="00536925" w:rsidRDefault="00536925" w:rsidP="00536925">
      <w:pPr>
        <w:ind w:firstLine="0"/>
      </w:pPr>
    </w:p>
    <w:p w:rsidR="00536925" w:rsidRPr="00120DF8" w:rsidRDefault="00536925" w:rsidP="00536925">
      <w:pPr>
        <w:ind w:firstLine="0"/>
      </w:pPr>
      <w:bookmarkStart w:id="12" w:name="_Toc26526752"/>
      <w:r>
        <w:rPr>
          <w:b/>
        </w:rPr>
        <w:t>Evropský zemědělský fond</w:t>
      </w:r>
      <w:r w:rsidRPr="0051507E">
        <w:rPr>
          <w:b/>
        </w:rPr>
        <w:t xml:space="preserve"> pro rozvoj venkova (EZFRV)</w:t>
      </w:r>
      <w:bookmarkEnd w:id="12"/>
    </w:p>
    <w:p w:rsidR="00536925" w:rsidRDefault="00536925" w:rsidP="00536925">
      <w:r>
        <w:t xml:space="preserve">V roce 2007 původně využívaný </w:t>
      </w:r>
      <w:r w:rsidRPr="00140951">
        <w:t xml:space="preserve">Evropský zemědělský </w:t>
      </w:r>
      <w:r>
        <w:t>podpůrný</w:t>
      </w:r>
      <w:r w:rsidRPr="00140951">
        <w:t xml:space="preserve"> a záruční</w:t>
      </w:r>
      <w:r>
        <w:t xml:space="preserve"> fond, který byl založen už v roce 1961, nahradil Evropský</w:t>
      </w:r>
      <w:r w:rsidRPr="0098198C">
        <w:t xml:space="preserve"> zemědělsk</w:t>
      </w:r>
      <w:r>
        <w:t>ý fond</w:t>
      </w:r>
      <w:r w:rsidRPr="0098198C">
        <w:t xml:space="preserve"> pro rozvoj venkova (</w:t>
      </w:r>
      <w:proofErr w:type="spellStart"/>
      <w:r w:rsidRPr="0098198C">
        <w:t>The</w:t>
      </w:r>
      <w:proofErr w:type="spellEnd"/>
      <w:r w:rsidRPr="0098198C">
        <w:t xml:space="preserve"> </w:t>
      </w:r>
      <w:proofErr w:type="spellStart"/>
      <w:r w:rsidRPr="0098198C">
        <w:t>European</w:t>
      </w:r>
      <w:proofErr w:type="spellEnd"/>
      <w:r w:rsidRPr="0098198C">
        <w:t xml:space="preserve"> </w:t>
      </w:r>
      <w:proofErr w:type="spellStart"/>
      <w:r w:rsidRPr="0098198C">
        <w:t>Agricultural</w:t>
      </w:r>
      <w:proofErr w:type="spellEnd"/>
      <w:r w:rsidRPr="0098198C">
        <w:t xml:space="preserve"> </w:t>
      </w:r>
      <w:proofErr w:type="spellStart"/>
      <w:r w:rsidRPr="0098198C">
        <w:t>Fund</w:t>
      </w:r>
      <w:proofErr w:type="spellEnd"/>
      <w:r w:rsidRPr="0098198C">
        <w:t xml:space="preserve"> </w:t>
      </w:r>
      <w:proofErr w:type="spellStart"/>
      <w:r w:rsidRPr="0098198C">
        <w:t>for</w:t>
      </w:r>
      <w:proofErr w:type="spellEnd"/>
      <w:r w:rsidRPr="0098198C">
        <w:t xml:space="preserve"> </w:t>
      </w:r>
      <w:proofErr w:type="spellStart"/>
      <w:r w:rsidRPr="0098198C">
        <w:t>Rural</w:t>
      </w:r>
      <w:proofErr w:type="spellEnd"/>
      <w:r w:rsidRPr="0098198C">
        <w:t xml:space="preserve"> </w:t>
      </w:r>
      <w:proofErr w:type="spellStart"/>
      <w:r w:rsidRPr="0098198C">
        <w:t>Development</w:t>
      </w:r>
      <w:proofErr w:type="spellEnd"/>
      <w:r w:rsidRPr="0098198C">
        <w:t xml:space="preserve"> </w:t>
      </w:r>
      <w:r>
        <w:t>„</w:t>
      </w:r>
      <w:r w:rsidRPr="0098198C">
        <w:t>EAFRD</w:t>
      </w:r>
      <w:r>
        <w:t>“). Mezi ESI fondy byl nově zařazen až</w:t>
      </w:r>
      <w:r w:rsidR="002B7F35">
        <w:t> </w:t>
      </w:r>
      <w:r>
        <w:t>pro období 2014–2020. Účelem EZFRV je podpora politiky rozvoje venkova, pro kterou jsou hlavními cíli:</w:t>
      </w:r>
    </w:p>
    <w:p w:rsidR="00536925" w:rsidRDefault="00536925" w:rsidP="00536925">
      <w:pPr>
        <w:pStyle w:val="Odstavecseseznamem"/>
        <w:numPr>
          <w:ilvl w:val="0"/>
          <w:numId w:val="9"/>
        </w:numPr>
        <w:ind w:left="426"/>
      </w:pPr>
      <w:r>
        <w:t>podpora venkova spojená se zlepšením kvality života,</w:t>
      </w:r>
    </w:p>
    <w:p w:rsidR="00536925" w:rsidRDefault="00536925" w:rsidP="00536925">
      <w:pPr>
        <w:pStyle w:val="Odstavecseseznamem"/>
        <w:numPr>
          <w:ilvl w:val="0"/>
          <w:numId w:val="9"/>
        </w:numPr>
        <w:ind w:left="426"/>
      </w:pPr>
      <w:r>
        <w:t>zajištění konkurenceschopnosti v oblasti lesnictví a zemědělství,</w:t>
      </w:r>
    </w:p>
    <w:p w:rsidR="00536925" w:rsidRDefault="00536925" w:rsidP="00536925">
      <w:pPr>
        <w:pStyle w:val="Odstavecseseznamem"/>
        <w:numPr>
          <w:ilvl w:val="0"/>
          <w:numId w:val="9"/>
        </w:numPr>
        <w:ind w:left="426"/>
      </w:pPr>
      <w:r>
        <w:t>účelné používání přírodních zdrojů v návaznosti na ochranu životního prostředí.</w:t>
      </w:r>
      <w:r w:rsidRPr="002C6C32">
        <w:rPr>
          <w:rStyle w:val="Znakapoznpodarou"/>
        </w:rPr>
        <w:footnoteReference w:id="9"/>
      </w:r>
    </w:p>
    <w:p w:rsidR="00536925" w:rsidRDefault="00536925" w:rsidP="00536925">
      <w:pPr>
        <w:ind w:firstLine="0"/>
        <w:rPr>
          <w:b/>
        </w:rPr>
      </w:pPr>
    </w:p>
    <w:p w:rsidR="00536925" w:rsidRPr="0051507E" w:rsidRDefault="00536925" w:rsidP="00536925">
      <w:pPr>
        <w:ind w:firstLine="0"/>
        <w:rPr>
          <w:b/>
        </w:rPr>
      </w:pPr>
      <w:r w:rsidRPr="0051507E">
        <w:rPr>
          <w:b/>
        </w:rPr>
        <w:t>Evropský rybářský fond (ERF)</w:t>
      </w:r>
    </w:p>
    <w:p w:rsidR="002C4630" w:rsidRDefault="00536925" w:rsidP="00536925">
      <w:r w:rsidRPr="00120DF8">
        <w:t xml:space="preserve">Evropský rybářský </w:t>
      </w:r>
      <w:r w:rsidRPr="002A1A6D">
        <w:t xml:space="preserve">fond </w:t>
      </w:r>
      <w:r>
        <w:t>(</w:t>
      </w:r>
      <w:proofErr w:type="spellStart"/>
      <w:r>
        <w:t>The</w:t>
      </w:r>
      <w:proofErr w:type="spellEnd"/>
      <w:r>
        <w:t xml:space="preserve"> </w:t>
      </w:r>
      <w:proofErr w:type="spellStart"/>
      <w:r w:rsidRPr="002A1A6D">
        <w:t>European</w:t>
      </w:r>
      <w:proofErr w:type="spellEnd"/>
      <w:r w:rsidRPr="002A1A6D">
        <w:t xml:space="preserve"> </w:t>
      </w:r>
      <w:proofErr w:type="spellStart"/>
      <w:r w:rsidRPr="002A1A6D">
        <w:t>Fisheries</w:t>
      </w:r>
      <w:proofErr w:type="spellEnd"/>
      <w:r w:rsidRPr="002A1A6D">
        <w:t xml:space="preserve"> </w:t>
      </w:r>
      <w:proofErr w:type="spellStart"/>
      <w:r w:rsidRPr="002A1A6D">
        <w:t>Fund</w:t>
      </w:r>
      <w:proofErr w:type="spellEnd"/>
      <w:r w:rsidRPr="002A1A6D">
        <w:t xml:space="preserve"> </w:t>
      </w:r>
      <w:r>
        <w:t>„</w:t>
      </w:r>
      <w:r w:rsidRPr="002A1A6D">
        <w:t>EFF</w:t>
      </w:r>
      <w:r>
        <w:t>“</w:t>
      </w:r>
      <w:r w:rsidRPr="002A1A6D">
        <w:t>)</w:t>
      </w:r>
      <w:r>
        <w:t xml:space="preserve"> je </w:t>
      </w:r>
      <w:r w:rsidRPr="00231FBC">
        <w:t>součástí Evropského námořního a rybářského fondu (ENRF)</w:t>
      </w:r>
      <w:r>
        <w:t xml:space="preserve">. </w:t>
      </w:r>
      <w:r w:rsidRPr="00807FF3">
        <w:t>Je to finanční nástroj na podporu rybolovu. Financuje aktivity týkající se mořského i vnitrozemského rybolovu (odbahňování rybníků)</w:t>
      </w:r>
      <w:r>
        <w:t xml:space="preserve"> a</w:t>
      </w:r>
      <w:r w:rsidRPr="00807FF3">
        <w:t xml:space="preserve"> investice </w:t>
      </w:r>
      <w:r>
        <w:t>do</w:t>
      </w:r>
      <w:r w:rsidRPr="00807FF3">
        <w:t xml:space="preserve"> modernizac</w:t>
      </w:r>
      <w:r>
        <w:t>e</w:t>
      </w:r>
      <w:r w:rsidRPr="00807FF3">
        <w:t xml:space="preserve"> zpracovatelského průmyslu</w:t>
      </w:r>
      <w:r>
        <w:t xml:space="preserve"> a </w:t>
      </w:r>
      <w:r w:rsidRPr="00807FF3">
        <w:t xml:space="preserve">plavidel. </w:t>
      </w:r>
      <w:r>
        <w:t xml:space="preserve">Zajišťuje politiku EU </w:t>
      </w:r>
      <w:r w:rsidRPr="00231FBC">
        <w:t>pro námořní a</w:t>
      </w:r>
      <w:r w:rsidR="002B7F35">
        <w:t> </w:t>
      </w:r>
      <w:r w:rsidRPr="00231FBC">
        <w:t>rybářsk</w:t>
      </w:r>
      <w:r>
        <w:t>ou oblast.</w:t>
      </w:r>
      <w:r>
        <w:rPr>
          <w:rStyle w:val="Znakapoznpodarou"/>
        </w:rPr>
        <w:footnoteReference w:id="10"/>
      </w:r>
    </w:p>
    <w:p w:rsidR="00816EB8" w:rsidRDefault="00816EB8" w:rsidP="003455E4">
      <w:pPr>
        <w:pStyle w:val="Tomik3"/>
        <w:numPr>
          <w:ilvl w:val="2"/>
          <w:numId w:val="1"/>
        </w:numPr>
        <w:ind w:left="851" w:hanging="851"/>
      </w:pPr>
      <w:bookmarkStart w:id="13" w:name="_Toc38385239"/>
      <w:r>
        <w:t>Ostatní fondy</w:t>
      </w:r>
      <w:bookmarkEnd w:id="13"/>
    </w:p>
    <w:p w:rsidR="00536925" w:rsidRPr="00E67AFD" w:rsidRDefault="00536925" w:rsidP="00536925">
      <w:pPr>
        <w:ind w:firstLine="708"/>
      </w:pPr>
      <w:r>
        <w:t>Existuje řada dalších evropských fondů, které nepatří do skupiny ESI fondů a jsou určené na specifické oblasti. Jedná se zejména o následující fondy:</w:t>
      </w:r>
    </w:p>
    <w:p w:rsidR="00427D24" w:rsidRDefault="00427D24" w:rsidP="00536925">
      <w:pPr>
        <w:ind w:firstLine="0"/>
        <w:rPr>
          <w:b/>
        </w:rPr>
      </w:pPr>
    </w:p>
    <w:p w:rsidR="00536925" w:rsidRPr="00720048" w:rsidRDefault="00536925" w:rsidP="00536925">
      <w:pPr>
        <w:ind w:firstLine="0"/>
        <w:rPr>
          <w:b/>
        </w:rPr>
      </w:pPr>
      <w:r w:rsidRPr="00720048">
        <w:rPr>
          <w:b/>
        </w:rPr>
        <w:lastRenderedPageBreak/>
        <w:t>Evropský fond pro strategické investice</w:t>
      </w:r>
      <w:r>
        <w:rPr>
          <w:b/>
        </w:rPr>
        <w:t xml:space="preserve"> (EFSI)</w:t>
      </w:r>
    </w:p>
    <w:p w:rsidR="00536925" w:rsidRDefault="00536925" w:rsidP="00536925">
      <w:r>
        <w:t>Evropský fond pro strategické investice (</w:t>
      </w:r>
      <w:proofErr w:type="spellStart"/>
      <w:r w:rsidRPr="0098198C">
        <w:t>The</w:t>
      </w:r>
      <w:proofErr w:type="spellEnd"/>
      <w:r w:rsidRPr="0098198C">
        <w:t xml:space="preserve"> </w:t>
      </w:r>
      <w:proofErr w:type="spellStart"/>
      <w:r w:rsidRPr="0098198C">
        <w:t>European</w:t>
      </w:r>
      <w:proofErr w:type="spellEnd"/>
      <w:r w:rsidRPr="0098198C">
        <w:t xml:space="preserve"> </w:t>
      </w:r>
      <w:proofErr w:type="spellStart"/>
      <w:r w:rsidRPr="0098198C">
        <w:t>Fund</w:t>
      </w:r>
      <w:proofErr w:type="spellEnd"/>
      <w:r w:rsidRPr="0098198C">
        <w:t xml:space="preserve"> </w:t>
      </w:r>
      <w:proofErr w:type="spellStart"/>
      <w:r w:rsidRPr="0098198C">
        <w:t>for</w:t>
      </w:r>
      <w:proofErr w:type="spellEnd"/>
      <w:r w:rsidRPr="0098198C">
        <w:t xml:space="preserve"> </w:t>
      </w:r>
      <w:proofErr w:type="spellStart"/>
      <w:r w:rsidRPr="0098198C">
        <w:t>Strategic</w:t>
      </w:r>
      <w:proofErr w:type="spellEnd"/>
      <w:r w:rsidRPr="0098198C">
        <w:t xml:space="preserve"> </w:t>
      </w:r>
      <w:proofErr w:type="spellStart"/>
      <w:r w:rsidRPr="0098198C">
        <w:t>Investments</w:t>
      </w:r>
      <w:proofErr w:type="spellEnd"/>
      <w:r>
        <w:t>)</w:t>
      </w:r>
      <w:r w:rsidRPr="0098198C">
        <w:t xml:space="preserve"> </w:t>
      </w:r>
      <w:r>
        <w:t>byl zřízen v červenci 2015. Představuje stěžejní prvek investičního plánu pro Evropu, jenž má povzbudit dlouhodobý hospodářský růst a konkurenceschopnost v Evropské unii.</w:t>
      </w:r>
    </w:p>
    <w:p w:rsidR="00536925" w:rsidRDefault="00536925" w:rsidP="00536925">
      <w:r>
        <w:t>Tento fond má pomoci využít prostředky z veřejných zdrojů, mj. z rozpočtu EU, s cílem aktivovat soukromé investice pro celou řadu projektů realizovaných v EU. Jedná se o projekty v oblasti infrastruktury, výzkumu a inovací, vzdělávání, zdravotnictví, informačních a</w:t>
      </w:r>
      <w:r w:rsidR="002B7F35">
        <w:t> </w:t>
      </w:r>
      <w:r>
        <w:t>komunikačních technologií aj.</w:t>
      </w:r>
      <w:r>
        <w:rPr>
          <w:rStyle w:val="Znakapoznpodarou"/>
        </w:rPr>
        <w:footnoteReference w:id="11"/>
      </w:r>
    </w:p>
    <w:p w:rsidR="00536925" w:rsidRDefault="00536925" w:rsidP="00536925">
      <w:pPr>
        <w:ind w:firstLine="0"/>
        <w:jc w:val="center"/>
        <w:rPr>
          <w:b/>
          <w:bCs/>
        </w:rPr>
      </w:pPr>
    </w:p>
    <w:p w:rsidR="00536925" w:rsidRDefault="00536925" w:rsidP="00536925">
      <w:pPr>
        <w:ind w:firstLine="0"/>
        <w:rPr>
          <w:rStyle w:val="Siln"/>
          <w:rFonts w:eastAsiaTheme="majorEastAsia"/>
        </w:rPr>
      </w:pPr>
      <w:r w:rsidRPr="00BF5DAA">
        <w:rPr>
          <w:b/>
          <w:bCs/>
        </w:rPr>
        <w:t>Azylový, migrační a integrační fond (AMIF)</w:t>
      </w:r>
    </w:p>
    <w:p w:rsidR="00536925" w:rsidRDefault="00536925" w:rsidP="00536925">
      <w:r>
        <w:t>Cílem Azylového, migračního a integračního fondu (</w:t>
      </w:r>
      <w:proofErr w:type="spellStart"/>
      <w:r w:rsidRPr="0098198C">
        <w:t>The</w:t>
      </w:r>
      <w:proofErr w:type="spellEnd"/>
      <w:r w:rsidRPr="0098198C">
        <w:t xml:space="preserve"> </w:t>
      </w:r>
      <w:proofErr w:type="spellStart"/>
      <w:r w:rsidRPr="0098198C">
        <w:t>Asylum</w:t>
      </w:r>
      <w:proofErr w:type="spellEnd"/>
      <w:r w:rsidRPr="0098198C">
        <w:t xml:space="preserve">, </w:t>
      </w:r>
      <w:proofErr w:type="spellStart"/>
      <w:r w:rsidRPr="0098198C">
        <w:t>Migration</w:t>
      </w:r>
      <w:proofErr w:type="spellEnd"/>
      <w:r w:rsidRPr="0098198C">
        <w:t xml:space="preserve"> and</w:t>
      </w:r>
      <w:r w:rsidR="002B7F35">
        <w:t> </w:t>
      </w:r>
      <w:proofErr w:type="spellStart"/>
      <w:r w:rsidRPr="0098198C">
        <w:t>Integration</w:t>
      </w:r>
      <w:proofErr w:type="spellEnd"/>
      <w:r w:rsidRPr="0098198C">
        <w:t xml:space="preserve"> </w:t>
      </w:r>
      <w:proofErr w:type="spellStart"/>
      <w:r w:rsidRPr="0098198C">
        <w:t>Fund</w:t>
      </w:r>
      <w:proofErr w:type="spellEnd"/>
      <w:r>
        <w:t>) je dosáhnout čtyř úkolů:</w:t>
      </w:r>
    </w:p>
    <w:p w:rsidR="00536925" w:rsidRDefault="00536925" w:rsidP="00536925">
      <w:pPr>
        <w:pStyle w:val="Odstavecseseznamem"/>
        <w:numPr>
          <w:ilvl w:val="0"/>
          <w:numId w:val="2"/>
        </w:numPr>
        <w:ind w:left="426" w:hanging="357"/>
      </w:pPr>
      <w:r>
        <w:t>posílit azylový systém,</w:t>
      </w:r>
    </w:p>
    <w:p w:rsidR="00536925" w:rsidRDefault="00536925" w:rsidP="00536925">
      <w:pPr>
        <w:pStyle w:val="Odstavecseseznamem"/>
        <w:numPr>
          <w:ilvl w:val="0"/>
          <w:numId w:val="2"/>
        </w:numPr>
        <w:ind w:left="426" w:hanging="357"/>
      </w:pPr>
      <w:r w:rsidRPr="002A1A6D">
        <w:t>podpo</w:t>
      </w:r>
      <w:r>
        <w:t>řit</w:t>
      </w:r>
      <w:r w:rsidRPr="002A1A6D">
        <w:t xml:space="preserve"> legální migrac</w:t>
      </w:r>
      <w:r>
        <w:t>i</w:t>
      </w:r>
      <w:r w:rsidRPr="002A1A6D">
        <w:t xml:space="preserve"> do států EU v souladu s potřebami trhu práce</w:t>
      </w:r>
      <w:r>
        <w:t xml:space="preserve"> a i</w:t>
      </w:r>
      <w:r w:rsidRPr="002A1A6D">
        <w:t>ntegrac</w:t>
      </w:r>
      <w:r>
        <w:t>i</w:t>
      </w:r>
      <w:r w:rsidRPr="002A1A6D">
        <w:t xml:space="preserve"> státních příslušníků třetích zemí</w:t>
      </w:r>
      <w:r>
        <w:t>,</w:t>
      </w:r>
    </w:p>
    <w:p w:rsidR="00536925" w:rsidRDefault="00536925" w:rsidP="00536925">
      <w:pPr>
        <w:pStyle w:val="Odstavecseseznamem"/>
        <w:numPr>
          <w:ilvl w:val="0"/>
          <w:numId w:val="2"/>
        </w:numPr>
        <w:ind w:left="426" w:hanging="357"/>
      </w:pPr>
      <w:r>
        <w:t>zvýšit spravedlivou a účinnou návratovou</w:t>
      </w:r>
      <w:r w:rsidRPr="002A1A6D">
        <w:t xml:space="preserve"> strategi</w:t>
      </w:r>
      <w:r>
        <w:t>i</w:t>
      </w:r>
      <w:r w:rsidRPr="002A1A6D">
        <w:t>, která přispívá k boji proti nelegální migraci</w:t>
      </w:r>
      <w:r>
        <w:t>,</w:t>
      </w:r>
    </w:p>
    <w:p w:rsidR="00536925" w:rsidRDefault="00536925" w:rsidP="00536925">
      <w:pPr>
        <w:pStyle w:val="Odstavecseseznamem"/>
        <w:numPr>
          <w:ilvl w:val="0"/>
          <w:numId w:val="2"/>
        </w:numPr>
        <w:ind w:left="426" w:hanging="357"/>
      </w:pPr>
      <w:r w:rsidRPr="002A1A6D">
        <w:t xml:space="preserve">zajistit, aby </w:t>
      </w:r>
      <w:r>
        <w:t xml:space="preserve">se </w:t>
      </w:r>
      <w:r w:rsidRPr="002A1A6D">
        <w:t>státy EU, které jsou nejvíce zasaženy migračními a azylovými toky, mohly spolehnout na solidaritu ostatních států EU</w:t>
      </w:r>
      <w:r>
        <w:t>.</w:t>
      </w:r>
      <w:r>
        <w:rPr>
          <w:rStyle w:val="Znakapoznpodarou"/>
        </w:rPr>
        <w:footnoteReference w:id="12"/>
      </w:r>
    </w:p>
    <w:p w:rsidR="00536925" w:rsidRDefault="00536925" w:rsidP="00536925">
      <w:pPr>
        <w:ind w:firstLine="0"/>
        <w:rPr>
          <w:b/>
        </w:rPr>
      </w:pPr>
    </w:p>
    <w:p w:rsidR="00536925" w:rsidRPr="00BF5DAA" w:rsidRDefault="00536925" w:rsidP="00536925">
      <w:pPr>
        <w:ind w:firstLine="0"/>
        <w:rPr>
          <w:rStyle w:val="Siln"/>
          <w:rFonts w:eastAsiaTheme="majorEastAsia"/>
          <w:b w:val="0"/>
        </w:rPr>
      </w:pPr>
      <w:r w:rsidRPr="00BF5DAA">
        <w:rPr>
          <w:b/>
        </w:rPr>
        <w:t>Fond solidarity EU (FS</w:t>
      </w:r>
      <w:r>
        <w:rPr>
          <w:b/>
        </w:rPr>
        <w:t>EU</w:t>
      </w:r>
      <w:r w:rsidRPr="00BF5DAA">
        <w:rPr>
          <w:b/>
        </w:rPr>
        <w:t>)</w:t>
      </w:r>
    </w:p>
    <w:p w:rsidR="00536925" w:rsidRDefault="00536925" w:rsidP="00536925">
      <w:r>
        <w:t>Účelem F</w:t>
      </w:r>
      <w:r w:rsidRPr="000C50C1">
        <w:t>ond</w:t>
      </w:r>
      <w:r>
        <w:t>u</w:t>
      </w:r>
      <w:r w:rsidRPr="000C50C1">
        <w:t xml:space="preserve"> solidarity </w:t>
      </w:r>
      <w:r>
        <w:t>EU</w:t>
      </w:r>
      <w:r w:rsidRPr="000C50C1">
        <w:t xml:space="preserve"> (</w:t>
      </w:r>
      <w:proofErr w:type="spellStart"/>
      <w:r>
        <w:t>The</w:t>
      </w:r>
      <w:proofErr w:type="spellEnd"/>
      <w:r>
        <w:t xml:space="preserve"> </w:t>
      </w:r>
      <w:proofErr w:type="spellStart"/>
      <w:r w:rsidRPr="0098198C">
        <w:t>European</w:t>
      </w:r>
      <w:proofErr w:type="spellEnd"/>
      <w:r w:rsidRPr="0098198C">
        <w:t xml:space="preserve"> Union Solidari</w:t>
      </w:r>
      <w:r>
        <w:t>t</w:t>
      </w:r>
      <w:r w:rsidRPr="0098198C">
        <w:t xml:space="preserve">y </w:t>
      </w:r>
      <w:proofErr w:type="spellStart"/>
      <w:r w:rsidRPr="0098198C">
        <w:t>Fund</w:t>
      </w:r>
      <w:proofErr w:type="spellEnd"/>
      <w:r w:rsidRPr="0098198C">
        <w:t xml:space="preserve"> </w:t>
      </w:r>
      <w:r>
        <w:t>„</w:t>
      </w:r>
      <w:r w:rsidRPr="000C50C1">
        <w:t>EUSF</w:t>
      </w:r>
      <w:r>
        <w:t>“</w:t>
      </w:r>
      <w:r w:rsidRPr="00AF27A7">
        <w:t>) je určen na</w:t>
      </w:r>
      <w:r w:rsidR="00060A5A">
        <w:t> </w:t>
      </w:r>
      <w:r w:rsidRPr="00AF27A7">
        <w:t>pomoc zemím v případě přírodních katastrof</w:t>
      </w:r>
      <w:r>
        <w:t xml:space="preserve"> včetně</w:t>
      </w:r>
      <w:r w:rsidRPr="00AF27A7">
        <w:t xml:space="preserve"> preventivní</w:t>
      </w:r>
      <w:r>
        <w:t>ch</w:t>
      </w:r>
      <w:r w:rsidRPr="00AF27A7">
        <w:t xml:space="preserve"> opatření proti nim. Může se jednat o ekologické nebo živelné katastrofy. Zažádat o finanční prostředky mohou členské země nebo státy, které jsou v procesu vstupu do EU. Z důvod</w:t>
      </w:r>
      <w:r>
        <w:t>u</w:t>
      </w:r>
      <w:r w:rsidRPr="00AF27A7">
        <w:t xml:space="preserve"> rozsáhlých povodní v roce 2002 využila </w:t>
      </w:r>
      <w:r>
        <w:t xml:space="preserve">ČR </w:t>
      </w:r>
      <w:r w:rsidRPr="00AF27A7">
        <w:t>možnost čerpat z tohoto fondu, ačkoliv nebyla ještě členem EU</w:t>
      </w:r>
      <w:r w:rsidRPr="000C50C1">
        <w:t>.</w:t>
      </w:r>
      <w:r>
        <w:rPr>
          <w:rStyle w:val="Znakapoznpodarou"/>
        </w:rPr>
        <w:footnoteReference w:id="13"/>
      </w:r>
    </w:p>
    <w:p w:rsidR="00B61E17" w:rsidRDefault="00536925" w:rsidP="00536925">
      <w:pPr>
        <w:ind w:firstLine="708"/>
      </w:pPr>
      <w:r>
        <w:t xml:space="preserve">Mimo tyto fondy existuje řada dalších fondů, jejichž účelem je např. pomoc zemím, které usilují o vstup do </w:t>
      </w:r>
      <w:r w:rsidR="009658BF">
        <w:t>EU</w:t>
      </w:r>
      <w:r>
        <w:t>.</w:t>
      </w:r>
    </w:p>
    <w:p w:rsidR="00034283" w:rsidRPr="00034283" w:rsidRDefault="00034283" w:rsidP="00003B60">
      <w:pPr>
        <w:pStyle w:val="Tomk2"/>
        <w:ind w:left="567" w:hanging="567"/>
      </w:pPr>
      <w:bookmarkStart w:id="14" w:name="_Toc38385240"/>
      <w:r w:rsidRPr="00034283">
        <w:lastRenderedPageBreak/>
        <w:t>Programová období</w:t>
      </w:r>
      <w:r w:rsidR="00F972B8">
        <w:t>, operační programy</w:t>
      </w:r>
      <w:bookmarkEnd w:id="14"/>
    </w:p>
    <w:p w:rsidR="00B32880" w:rsidRPr="00B32880" w:rsidRDefault="00B32880" w:rsidP="00B32880">
      <w:pPr>
        <w:rPr>
          <w:rFonts w:eastAsia="Calibri"/>
          <w:lang w:eastAsia="en-US"/>
        </w:rPr>
      </w:pPr>
      <w:r>
        <w:rPr>
          <w:rFonts w:eastAsia="Calibri"/>
          <w:lang w:eastAsia="en-US"/>
        </w:rPr>
        <w:t xml:space="preserve">Již před vstupem do Evropské unie 1. května 2004 mohla Česká </w:t>
      </w:r>
      <w:r w:rsidR="009767BF">
        <w:rPr>
          <w:rFonts w:eastAsia="Calibri"/>
          <w:lang w:eastAsia="en-US"/>
        </w:rPr>
        <w:t>r</w:t>
      </w:r>
      <w:r>
        <w:rPr>
          <w:rFonts w:eastAsia="Calibri"/>
          <w:lang w:eastAsia="en-US"/>
        </w:rPr>
        <w:t>epublika čerpat finanční prostředky z programů EU (SAPARD, ISPA, PHARE), které byly určené pro kandidátské země. Po vstupu se jsme se zapojili probíhajícího programového období 2000–2006. Toto</w:t>
      </w:r>
      <w:r w:rsidR="00060A5A">
        <w:rPr>
          <w:rFonts w:eastAsia="Calibri"/>
          <w:lang w:eastAsia="en-US"/>
        </w:rPr>
        <w:t> </w:t>
      </w:r>
      <w:r>
        <w:rPr>
          <w:rFonts w:eastAsia="Calibri"/>
          <w:lang w:eastAsia="en-US"/>
        </w:rPr>
        <w:t>období sloužilo mimo jiné k poznání principů, nastavení pravidel a metodik umožňující čerpání ze strukturálních fondů EU a následné přípravě na další programové období 2007–2013. V roce 2020 právě končí programové období 2014–2020 a aktuálně jsou již v plném běhu procesy na</w:t>
      </w:r>
      <w:r w:rsidR="002B7F35">
        <w:rPr>
          <w:rFonts w:eastAsia="Calibri"/>
          <w:lang w:eastAsia="en-US"/>
        </w:rPr>
        <w:t> </w:t>
      </w:r>
      <w:r>
        <w:rPr>
          <w:rFonts w:eastAsia="Calibri"/>
          <w:lang w:eastAsia="en-US"/>
        </w:rPr>
        <w:t>zpracování potřebných návrhů pro schválení operačních programů na následující období 2021–2027</w:t>
      </w:r>
      <w:r w:rsidR="00DF06D6">
        <w:rPr>
          <w:rFonts w:eastAsia="Calibri"/>
          <w:lang w:eastAsia="en-US"/>
        </w:rPr>
        <w:t xml:space="preserve"> (dále také „OP“)</w:t>
      </w:r>
      <w:r>
        <w:rPr>
          <w:rFonts w:eastAsia="Calibri"/>
          <w:lang w:eastAsia="en-US"/>
        </w:rPr>
        <w:t>.</w:t>
      </w:r>
    </w:p>
    <w:p w:rsidR="00815089" w:rsidRDefault="00536925" w:rsidP="00536925">
      <w:r w:rsidRPr="0024590B">
        <w:t>Čerpání</w:t>
      </w:r>
      <w:r>
        <w:t xml:space="preserve"> evropských peněz probíhá v rámci programového období ve střednědobých cyklech. Délka tohoto cyklu je nastavena na sedm let. Pro každé období stanovuje Evropská komise strategické cíle a priority, kterých by měly členské státy dosáhnout. Před začátkem každého programového období by měla mít ČR zpracovaný strategický dokument, který</w:t>
      </w:r>
      <w:r w:rsidR="00060A5A">
        <w:t> </w:t>
      </w:r>
      <w:r>
        <w:t xml:space="preserve">stanovuje čerpání z evropských fondů a schvaluje ho Evropská komise. Pro programové období 2007–2013 byl tímto strategickým dokumentem </w:t>
      </w:r>
      <w:r w:rsidRPr="00873911">
        <w:t>Národní strategický referenční rámec</w:t>
      </w:r>
      <w:r>
        <w:t>.</w:t>
      </w:r>
      <w:r>
        <w:rPr>
          <w:rStyle w:val="Znakapoznpodarou"/>
        </w:rPr>
        <w:footnoteReference w:id="14"/>
      </w:r>
      <w:r>
        <w:t xml:space="preserve"> Právě</w:t>
      </w:r>
      <w:r w:rsidR="002B7F35">
        <w:t> </w:t>
      </w:r>
      <w:r>
        <w:t xml:space="preserve">probíhající programové období 2014–2020 se řídí </w:t>
      </w:r>
      <w:r w:rsidRPr="00B61BAF">
        <w:rPr>
          <w:b/>
        </w:rPr>
        <w:t>Dohod</w:t>
      </w:r>
      <w:r>
        <w:rPr>
          <w:b/>
        </w:rPr>
        <w:t>ou</w:t>
      </w:r>
      <w:r w:rsidRPr="00B61BAF">
        <w:rPr>
          <w:b/>
        </w:rPr>
        <w:t xml:space="preserve"> o</w:t>
      </w:r>
      <w:r>
        <w:rPr>
          <w:b/>
        </w:rPr>
        <w:t> </w:t>
      </w:r>
      <w:r w:rsidRPr="00B61BAF">
        <w:rPr>
          <w:b/>
        </w:rPr>
        <w:t>partnerství</w:t>
      </w:r>
      <w:r>
        <w:t>. Na základě tohoto hlavního dokumentu rozhoduje Evropská komise o výši alokace peněžních prostředků z fondů EU. Dohoda o partnerství posuzuje situaci ČR z makroekonomického hlediska před dalším programovým obdobím, hodnotí se plnění předběžných podmínek ČR. Uvádí zkušenosti z předchozího programového období, analyzuje problémy a nedostatky a zároveň navrhuje jejich řešení. Dále definuje strategické cíle a hlavní priority ČR. Popisuje zaměření jednotlivých operačních programů, jejich cíle a nástroje k dosažení těchto cílů (nastavení harmonogramu výzev, monitoring, vyhodnocování atd.). Zároveň jsou v dokumentu uvedené finanční tabulky s předpokládaným čerpáním finančních prostředků, které</w:t>
      </w:r>
      <w:r w:rsidR="00060A5A">
        <w:t> </w:t>
      </w:r>
      <w:r>
        <w:t>jsou</w:t>
      </w:r>
      <w:r w:rsidR="00060A5A">
        <w:t> </w:t>
      </w:r>
      <w:r>
        <w:t>alokovány na celé programové období dle jednotlivých operačních programů a také na jednotlivé roky. Stejně jako v předchozím období byl hlavní strategický dokument schválen až v průběhu programového období. Dohodu o partnerství schválila vláda ČR až 9. května 2014. Po odeslání dohody a vypořádání připomínek Evropské komise byla tato dohoda akceptována Evropskou komisí 26. srpna 2014. V průběhu programového období došlo postupně k pěti revizím dohody, kdy se jednalo převážně o realokace finančních prostředků mezi operačními programy.</w:t>
      </w:r>
      <w:r>
        <w:rPr>
          <w:rStyle w:val="Znakapoznpodarou"/>
        </w:rPr>
        <w:footnoteReference w:id="15"/>
      </w:r>
    </w:p>
    <w:p w:rsidR="00F542AF" w:rsidRDefault="00536925" w:rsidP="00536925">
      <w:r>
        <w:lastRenderedPageBreak/>
        <w:t>Další důležitý dokument, který musí vláda schválit na každé programové období a</w:t>
      </w:r>
      <w:r w:rsidR="00060A5A">
        <w:t> </w:t>
      </w:r>
      <w:r>
        <w:t>jenž</w:t>
      </w:r>
      <w:r w:rsidR="00060A5A">
        <w:t> </w:t>
      </w:r>
      <w:r>
        <w:t>je</w:t>
      </w:r>
      <w:r w:rsidR="00060A5A">
        <w:t> </w:t>
      </w:r>
      <w:r>
        <w:t>zp</w:t>
      </w:r>
      <w:r w:rsidRPr="00866EC8">
        <w:rPr>
          <w:szCs w:val="22"/>
        </w:rPr>
        <w:t xml:space="preserve">racován v souladu s právními předpisy Evropské unie </w:t>
      </w:r>
      <w:r>
        <w:rPr>
          <w:szCs w:val="22"/>
        </w:rPr>
        <w:t xml:space="preserve">a </w:t>
      </w:r>
      <w:r w:rsidRPr="00866EC8">
        <w:rPr>
          <w:szCs w:val="22"/>
        </w:rPr>
        <w:t>České republiky</w:t>
      </w:r>
      <w:r>
        <w:t xml:space="preserve">, se týká čerpání finančních prostředků z rozpočtu EU. Na </w:t>
      </w:r>
      <w:r w:rsidRPr="00675B54">
        <w:t>programové období 2014–2020</w:t>
      </w:r>
      <w:r>
        <w:t xml:space="preserve"> byl</w:t>
      </w:r>
      <w:r w:rsidRPr="00675B54">
        <w:t xml:space="preserve"> </w:t>
      </w:r>
      <w:r w:rsidR="00EA2005">
        <w:t>U</w:t>
      </w:r>
      <w:r>
        <w:t xml:space="preserve">snesením vlády č. 837 ze dne 15. října 2014 schválen </w:t>
      </w:r>
      <w:r w:rsidRPr="00F845ED">
        <w:rPr>
          <w:b/>
          <w:szCs w:val="22"/>
        </w:rPr>
        <w:t>Metodický pokyn finančních toků programů spolufinancovaných z Evropských strukturálních fondů, Fondu soudržnosti a</w:t>
      </w:r>
      <w:r>
        <w:rPr>
          <w:b/>
          <w:szCs w:val="22"/>
        </w:rPr>
        <w:t> </w:t>
      </w:r>
      <w:r w:rsidRPr="00F845ED">
        <w:rPr>
          <w:b/>
          <w:szCs w:val="22"/>
        </w:rPr>
        <w:t>Evropského námořního a rybářského fondu na programové období 2014</w:t>
      </w:r>
      <w:r>
        <w:rPr>
          <w:b/>
          <w:szCs w:val="22"/>
        </w:rPr>
        <w:t>–</w:t>
      </w:r>
      <w:r w:rsidRPr="00F845ED">
        <w:rPr>
          <w:b/>
          <w:szCs w:val="22"/>
        </w:rPr>
        <w:t>2020</w:t>
      </w:r>
      <w:r w:rsidRPr="00F845ED">
        <w:t>.</w:t>
      </w:r>
      <w:r w:rsidR="00374D02">
        <w:rPr>
          <w:rStyle w:val="Znakapoznpodarou"/>
        </w:rPr>
        <w:footnoteReference w:id="16"/>
      </w:r>
      <w:r w:rsidRPr="00675B54">
        <w:t xml:space="preserve"> </w:t>
      </w:r>
      <w:r>
        <w:t xml:space="preserve">Metodický pokyn finančních toků vymezuje základní implementační strukturu a povinnosti jednotlivých orgánů. Určuje jednotlivé kroky a zásady při řízení finančních toků z evropských fondů, tzn. nejen provádění plateb do </w:t>
      </w:r>
      <w:r w:rsidR="00D74571">
        <w:t>SR</w:t>
      </w:r>
      <w:r>
        <w:t xml:space="preserve"> z rozpočtu EU, ale také prvotní předfinancování ze</w:t>
      </w:r>
      <w:r w:rsidR="00060A5A">
        <w:t> </w:t>
      </w:r>
      <w:r w:rsidR="00D74571">
        <w:t>SR</w:t>
      </w:r>
      <w:r>
        <w:t xml:space="preserve"> na základě žádostí od příjemců. Dále určuje postupy při řešení nesrovnalostí, vymezuje základní lhůty, které vychází z předpisů, vyhlášek a zákonných norem týkajících se dotací. Z této metodiky vyplývají také povinnosti a náležitosti, které musí poskytovatelé uvádět ve</w:t>
      </w:r>
      <w:r w:rsidR="002B7F35">
        <w:t> </w:t>
      </w:r>
      <w:r>
        <w:t>svých r</w:t>
      </w:r>
      <w:r w:rsidRPr="00675B54">
        <w:t>ozhodnutích</w:t>
      </w:r>
      <w:r>
        <w:t xml:space="preserve">, smlouvách nebo dohodách vydávaných </w:t>
      </w:r>
      <w:r w:rsidRPr="00675B54">
        <w:t>příjemcům</w:t>
      </w:r>
      <w:r>
        <w:t xml:space="preserve">, na základě kterých se </w:t>
      </w:r>
      <w:r w:rsidRPr="00675B54">
        <w:t>dotace</w:t>
      </w:r>
      <w:r>
        <w:t xml:space="preserve"> </w:t>
      </w:r>
      <w:r w:rsidRPr="00675B54">
        <w:t>poskyt</w:t>
      </w:r>
      <w:r>
        <w:t>uje</w:t>
      </w:r>
      <w:r w:rsidRPr="00675B54">
        <w:t>.</w:t>
      </w:r>
    </w:p>
    <w:p w:rsidR="00057C4D" w:rsidRPr="00552A40" w:rsidRDefault="00057C4D" w:rsidP="006B6614">
      <w:pPr>
        <w:rPr>
          <w:rFonts w:cs="Segoe UI"/>
          <w:color w:val="1C222F"/>
        </w:rPr>
      </w:pPr>
      <w:r w:rsidRPr="00552A40">
        <w:t xml:space="preserve">V programovém období 2007–2013 měla ČR celkem </w:t>
      </w:r>
      <w:r w:rsidRPr="00552A40">
        <w:rPr>
          <w:b/>
        </w:rPr>
        <w:t>29 programů</w:t>
      </w:r>
      <w:r w:rsidRPr="00552A40">
        <w:t>. Tento vysoký počet byl vytýkán Evropskou komisí. Proto došlo v aktuálním programovém období k redukci na</w:t>
      </w:r>
      <w:r w:rsidR="00060A5A">
        <w:t> </w:t>
      </w:r>
      <w:r w:rsidRPr="00552A40">
        <w:rPr>
          <w:b/>
        </w:rPr>
        <w:t>10 operačních programů</w:t>
      </w:r>
      <w:r w:rsidR="00552A40" w:rsidRPr="00552A40">
        <w:t>, a to primárně</w:t>
      </w:r>
      <w:r w:rsidRPr="00552A40">
        <w:t xml:space="preserve"> spojením předchozích 7 Regionálních </w:t>
      </w:r>
      <w:r w:rsidR="00716FBA" w:rsidRPr="00552A40">
        <w:t xml:space="preserve">OP </w:t>
      </w:r>
      <w:r w:rsidRPr="00552A40">
        <w:t xml:space="preserve">v jeden centrální program nazvaný Integrovaný regionální </w:t>
      </w:r>
      <w:r w:rsidR="00716FBA" w:rsidRPr="00552A40">
        <w:t>OP</w:t>
      </w:r>
      <w:r w:rsidRPr="00552A40">
        <w:t xml:space="preserve">. Navíc se do celkového počtu </w:t>
      </w:r>
      <w:r w:rsidR="00716FBA" w:rsidRPr="00552A40">
        <w:t xml:space="preserve">OP </w:t>
      </w:r>
      <w:r w:rsidRPr="00552A40">
        <w:t xml:space="preserve">nezařazují programy týkající se </w:t>
      </w:r>
      <w:r w:rsidRPr="00552A40">
        <w:rPr>
          <w:rFonts w:cs="Segoe UI"/>
          <w:color w:val="1C222F"/>
        </w:rPr>
        <w:t>přeshraniční spolupráce a nadnárodní a meziregionální spolupráce. V současném období se jedná „pouze“ o programy, které jsou součástí programového období, ale nezařazují se pod OP. Zároveň se počet mírně navýšil z původně 9</w:t>
      </w:r>
      <w:r w:rsidR="002B7F35">
        <w:rPr>
          <w:rFonts w:cs="Segoe UI"/>
          <w:color w:val="1C222F"/>
        </w:rPr>
        <w:t> </w:t>
      </w:r>
      <w:r w:rsidR="00716FBA" w:rsidRPr="00552A40">
        <w:rPr>
          <w:rFonts w:cs="Segoe UI"/>
          <w:color w:val="1C222F"/>
        </w:rPr>
        <w:t>OP</w:t>
      </w:r>
      <w:r w:rsidRPr="00552A40">
        <w:rPr>
          <w:rFonts w:cs="Segoe UI"/>
          <w:color w:val="1C222F"/>
        </w:rPr>
        <w:t xml:space="preserve"> na </w:t>
      </w:r>
      <w:r w:rsidRPr="00552A40">
        <w:rPr>
          <w:rFonts w:cs="Segoe UI"/>
          <w:b/>
          <w:color w:val="1C222F"/>
        </w:rPr>
        <w:t>11 programů</w:t>
      </w:r>
      <w:r w:rsidRPr="00552A40">
        <w:rPr>
          <w:rFonts w:cs="Segoe UI"/>
          <w:color w:val="1C222F"/>
        </w:rPr>
        <w:t xml:space="preserve"> (5 programů </w:t>
      </w:r>
      <w:r w:rsidRPr="00552A40">
        <w:t xml:space="preserve">přeshraniční spolupráce a 6 programů </w:t>
      </w:r>
      <w:r w:rsidRPr="00552A40">
        <w:rPr>
          <w:rFonts w:cs="Segoe UI"/>
          <w:color w:val="1C222F"/>
        </w:rPr>
        <w:t>nadnárodní a</w:t>
      </w:r>
      <w:r w:rsidR="002B7F35">
        <w:rPr>
          <w:rFonts w:cs="Segoe UI"/>
          <w:color w:val="1C222F"/>
        </w:rPr>
        <w:t> </w:t>
      </w:r>
      <w:r w:rsidRPr="00552A40">
        <w:rPr>
          <w:rFonts w:cs="Segoe UI"/>
          <w:color w:val="1C222F"/>
        </w:rPr>
        <w:t xml:space="preserve">meziregionální spolupráce). Ve výsledku tedy k redukci programů </w:t>
      </w:r>
      <w:r w:rsidR="00716FBA" w:rsidRPr="00552A40">
        <w:rPr>
          <w:rFonts w:cs="Segoe UI"/>
          <w:color w:val="1C222F"/>
        </w:rPr>
        <w:t xml:space="preserve">příliš </w:t>
      </w:r>
      <w:r w:rsidRPr="00552A40">
        <w:rPr>
          <w:rFonts w:cs="Segoe UI"/>
          <w:color w:val="1C222F"/>
        </w:rPr>
        <w:t>nedošlo</w:t>
      </w:r>
      <w:r w:rsidR="00716FBA" w:rsidRPr="00552A40">
        <w:rPr>
          <w:rFonts w:cs="Segoe UI"/>
          <w:color w:val="1C222F"/>
        </w:rPr>
        <w:t xml:space="preserve"> (z původních 29 OP je aktuálně 10 OP </w:t>
      </w:r>
      <w:r w:rsidR="00F56662">
        <w:rPr>
          <w:rFonts w:cs="Segoe UI"/>
          <w:color w:val="1C222F"/>
        </w:rPr>
        <w:t>a</w:t>
      </w:r>
      <w:r w:rsidR="00716FBA" w:rsidRPr="00552A40">
        <w:rPr>
          <w:rFonts w:cs="Segoe UI"/>
          <w:color w:val="1C222F"/>
        </w:rPr>
        <w:t xml:space="preserve"> 11 programů).</w:t>
      </w:r>
    </w:p>
    <w:p w:rsidR="006B6614" w:rsidRDefault="00F56662" w:rsidP="006B6614">
      <w:r>
        <w:t>OP byly v</w:t>
      </w:r>
      <w:r w:rsidR="006B6614" w:rsidRPr="00552A40">
        <w:t xml:space="preserve"> programovém období 2014–2020 </w:t>
      </w:r>
      <w:r w:rsidRPr="00552A40">
        <w:t xml:space="preserve">schváleny </w:t>
      </w:r>
      <w:r w:rsidR="006B6614" w:rsidRPr="00552A40">
        <w:t>Usnesením vlády ČR č. 867 ze dne</w:t>
      </w:r>
      <w:r w:rsidR="006B6614" w:rsidRPr="001F41AA">
        <w:t xml:space="preserve"> 28. listopadu 2012 a č. 535 ze dne 9. července 2014 </w:t>
      </w:r>
      <w:r>
        <w:t>(</w:t>
      </w:r>
      <w:r w:rsidR="006B6614" w:rsidRPr="001F41AA">
        <w:t xml:space="preserve">tabulka č. </w:t>
      </w:r>
      <w:r w:rsidR="006B6614">
        <w:t>1</w:t>
      </w:r>
      <w:r>
        <w:t>)</w:t>
      </w:r>
      <w:r w:rsidR="006B6614" w:rsidRPr="001F41AA">
        <w:t xml:space="preserve">. </w:t>
      </w:r>
      <w:r w:rsidR="00C61CF6">
        <w:t>M</w:t>
      </w:r>
      <w:r w:rsidR="006B6614" w:rsidRPr="001F41AA">
        <w:t>ají zajistit splnění Společného strategického rámce v rámci cíle Investice pro růst a zaměstnanost.</w:t>
      </w:r>
    </w:p>
    <w:p w:rsidR="000B5EFE" w:rsidRDefault="000B5EFE">
      <w:pPr>
        <w:spacing w:after="200" w:line="276" w:lineRule="auto"/>
        <w:ind w:firstLine="0"/>
        <w:jc w:val="left"/>
      </w:pPr>
      <w:r>
        <w:br w:type="page"/>
      </w:r>
    </w:p>
    <w:p w:rsidR="006B6614" w:rsidRPr="00A21968" w:rsidRDefault="006B6614" w:rsidP="006B6614">
      <w:pPr>
        <w:ind w:firstLine="0"/>
      </w:pPr>
      <w:bookmarkStart w:id="15" w:name="_Toc38385466"/>
      <w:r w:rsidRPr="00A21968">
        <w:lastRenderedPageBreak/>
        <w:t xml:space="preserve">Tabulka č. </w:t>
      </w:r>
      <w:r w:rsidRPr="00A21968">
        <w:rPr>
          <w:noProof/>
        </w:rPr>
        <w:fldChar w:fldCharType="begin"/>
      </w:r>
      <w:r w:rsidRPr="00A21968">
        <w:rPr>
          <w:noProof/>
        </w:rPr>
        <w:instrText xml:space="preserve"> SEQ Tabulka_č. \* ARABIC </w:instrText>
      </w:r>
      <w:r w:rsidRPr="00A21968">
        <w:rPr>
          <w:noProof/>
        </w:rPr>
        <w:fldChar w:fldCharType="separate"/>
      </w:r>
      <w:r>
        <w:rPr>
          <w:noProof/>
        </w:rPr>
        <w:t>1</w:t>
      </w:r>
      <w:r w:rsidRPr="00A21968">
        <w:rPr>
          <w:noProof/>
        </w:rPr>
        <w:fldChar w:fldCharType="end"/>
      </w:r>
      <w:r w:rsidRPr="00A21968">
        <w:t xml:space="preserve">: </w:t>
      </w:r>
      <w:r w:rsidR="00B73523">
        <w:t>O</w:t>
      </w:r>
      <w:r w:rsidRPr="00A21968">
        <w:t>perační programy v programovém období 2014–2020</w:t>
      </w:r>
      <w:bookmarkEnd w:id="15"/>
    </w:p>
    <w:tbl>
      <w:tblPr>
        <w:tblStyle w:val="Mkatabulky"/>
        <w:tblW w:w="9068" w:type="dxa"/>
        <w:tblLook w:val="04A0" w:firstRow="1" w:lastRow="0" w:firstColumn="1" w:lastColumn="0" w:noHBand="0" w:noVBand="1"/>
      </w:tblPr>
      <w:tblGrid>
        <w:gridCol w:w="2689"/>
        <w:gridCol w:w="3118"/>
        <w:gridCol w:w="1418"/>
        <w:gridCol w:w="1843"/>
      </w:tblGrid>
      <w:tr w:rsidR="006B6614" w:rsidRPr="00490AF7" w:rsidTr="002B7F35">
        <w:trPr>
          <w:trHeight w:val="300"/>
        </w:trPr>
        <w:tc>
          <w:tcPr>
            <w:tcW w:w="2689" w:type="dxa"/>
            <w:noWrap/>
            <w:vAlign w:val="center"/>
          </w:tcPr>
          <w:p w:rsidR="006B6614" w:rsidRPr="00490AF7" w:rsidRDefault="006B6614" w:rsidP="00351D22">
            <w:pPr>
              <w:tabs>
                <w:tab w:val="right" w:pos="2473"/>
              </w:tabs>
              <w:spacing w:before="100" w:beforeAutospacing="1" w:after="100" w:afterAutospacing="1" w:line="240" w:lineRule="auto"/>
              <w:ind w:firstLine="0"/>
              <w:jc w:val="center"/>
              <w:rPr>
                <w:b/>
                <w:color w:val="000000"/>
              </w:rPr>
            </w:pPr>
            <w:r w:rsidRPr="00490AF7">
              <w:rPr>
                <w:b/>
                <w:color w:val="000000"/>
              </w:rPr>
              <w:t>Operační program</w:t>
            </w:r>
          </w:p>
        </w:tc>
        <w:tc>
          <w:tcPr>
            <w:tcW w:w="3118" w:type="dxa"/>
            <w:noWrap/>
            <w:vAlign w:val="center"/>
          </w:tcPr>
          <w:p w:rsidR="006B6614" w:rsidRPr="00490AF7" w:rsidRDefault="006B6614" w:rsidP="00351D22">
            <w:pPr>
              <w:spacing w:before="100" w:beforeAutospacing="1" w:after="100" w:afterAutospacing="1" w:line="240" w:lineRule="auto"/>
              <w:ind w:firstLine="0"/>
              <w:jc w:val="center"/>
              <w:rPr>
                <w:b/>
                <w:color w:val="000000"/>
              </w:rPr>
            </w:pPr>
            <w:r w:rsidRPr="00490AF7">
              <w:rPr>
                <w:b/>
                <w:color w:val="000000"/>
              </w:rPr>
              <w:t>Poskytovatel</w:t>
            </w:r>
          </w:p>
        </w:tc>
        <w:tc>
          <w:tcPr>
            <w:tcW w:w="1418" w:type="dxa"/>
            <w:vAlign w:val="center"/>
          </w:tcPr>
          <w:p w:rsidR="006B6614" w:rsidRPr="00490AF7" w:rsidRDefault="006B6614" w:rsidP="00351D22">
            <w:pPr>
              <w:spacing w:before="100" w:beforeAutospacing="1" w:after="100" w:afterAutospacing="1" w:line="240" w:lineRule="auto"/>
              <w:ind w:firstLine="0"/>
              <w:jc w:val="center"/>
              <w:rPr>
                <w:b/>
                <w:color w:val="000000"/>
              </w:rPr>
            </w:pPr>
            <w:r w:rsidRPr="00490AF7">
              <w:rPr>
                <w:b/>
                <w:color w:val="000000"/>
              </w:rPr>
              <w:t>Typ fondu</w:t>
            </w:r>
          </w:p>
        </w:tc>
        <w:tc>
          <w:tcPr>
            <w:tcW w:w="1843" w:type="dxa"/>
            <w:vAlign w:val="center"/>
          </w:tcPr>
          <w:p w:rsidR="006B6614" w:rsidRPr="00490AF7" w:rsidRDefault="006B6614" w:rsidP="00351D22">
            <w:pPr>
              <w:spacing w:before="100" w:beforeAutospacing="1" w:after="100" w:afterAutospacing="1" w:line="240" w:lineRule="auto"/>
              <w:ind w:firstLine="0"/>
              <w:jc w:val="center"/>
              <w:rPr>
                <w:b/>
                <w:color w:val="000000"/>
              </w:rPr>
            </w:pPr>
            <w:r w:rsidRPr="00490AF7">
              <w:rPr>
                <w:b/>
                <w:color w:val="000000"/>
              </w:rPr>
              <w:t>Zprostředkující subjekt</w:t>
            </w:r>
          </w:p>
        </w:tc>
      </w:tr>
      <w:tr w:rsidR="006B6614" w:rsidRPr="00490AF7" w:rsidTr="004B1698">
        <w:trPr>
          <w:trHeight w:val="300"/>
        </w:trPr>
        <w:tc>
          <w:tcPr>
            <w:tcW w:w="2689" w:type="dxa"/>
            <w:noWrap/>
            <w:vAlign w:val="center"/>
          </w:tcPr>
          <w:p w:rsidR="006B6614" w:rsidRPr="00490AF7" w:rsidRDefault="006B6614" w:rsidP="00BE6789">
            <w:pPr>
              <w:spacing w:before="100" w:beforeAutospacing="1" w:after="100" w:afterAutospacing="1" w:line="240" w:lineRule="auto"/>
              <w:ind w:firstLine="0"/>
              <w:jc w:val="left"/>
              <w:rPr>
                <w:color w:val="000000"/>
              </w:rPr>
            </w:pPr>
            <w:r w:rsidRPr="00490AF7">
              <w:rPr>
                <w:color w:val="000000"/>
              </w:rPr>
              <w:t>Podnikání a inovace pro konkurenceschopnost</w:t>
            </w:r>
          </w:p>
        </w:tc>
        <w:tc>
          <w:tcPr>
            <w:tcW w:w="3118" w:type="dxa"/>
            <w:noWrap/>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Ministerstvo průmyslu a obchodu ČR</w:t>
            </w:r>
          </w:p>
        </w:tc>
        <w:tc>
          <w:tcPr>
            <w:tcW w:w="1418"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EFRR</w:t>
            </w:r>
          </w:p>
        </w:tc>
        <w:tc>
          <w:tcPr>
            <w:tcW w:w="1843" w:type="dxa"/>
            <w:vAlign w:val="center"/>
          </w:tcPr>
          <w:p w:rsidR="006B6614" w:rsidRPr="00490AF7" w:rsidRDefault="006B6614" w:rsidP="004B1698">
            <w:pPr>
              <w:spacing w:before="100" w:beforeAutospacing="1" w:after="100" w:afterAutospacing="1" w:line="240" w:lineRule="auto"/>
              <w:ind w:firstLine="0"/>
              <w:jc w:val="left"/>
              <w:rPr>
                <w:color w:val="000000"/>
              </w:rPr>
            </w:pPr>
            <w:proofErr w:type="spellStart"/>
            <w:r w:rsidRPr="00490AF7">
              <w:rPr>
                <w:color w:val="000000"/>
              </w:rPr>
              <w:t>Czechinvest</w:t>
            </w:r>
            <w:proofErr w:type="spellEnd"/>
            <w:r w:rsidRPr="00490AF7">
              <w:rPr>
                <w:color w:val="000000"/>
              </w:rPr>
              <w:t>, API</w:t>
            </w:r>
            <w:r w:rsidRPr="00490AF7">
              <w:rPr>
                <w:rStyle w:val="Znakapoznpodarou"/>
                <w:color w:val="000000"/>
              </w:rPr>
              <w:footnoteReference w:id="17"/>
            </w:r>
          </w:p>
        </w:tc>
      </w:tr>
      <w:tr w:rsidR="006B6614" w:rsidRPr="00490AF7" w:rsidTr="004B1698">
        <w:trPr>
          <w:trHeight w:val="300"/>
        </w:trPr>
        <w:tc>
          <w:tcPr>
            <w:tcW w:w="2689" w:type="dxa"/>
            <w:noWrap/>
            <w:vAlign w:val="center"/>
            <w:hideMark/>
          </w:tcPr>
          <w:p w:rsidR="006B6614" w:rsidRPr="00490AF7" w:rsidRDefault="006B6614" w:rsidP="00BE6789">
            <w:pPr>
              <w:spacing w:before="100" w:beforeAutospacing="1" w:after="100" w:afterAutospacing="1" w:line="240" w:lineRule="auto"/>
              <w:ind w:firstLine="0"/>
              <w:jc w:val="left"/>
              <w:rPr>
                <w:color w:val="000000"/>
              </w:rPr>
            </w:pPr>
            <w:r w:rsidRPr="00490AF7">
              <w:rPr>
                <w:color w:val="000000"/>
              </w:rPr>
              <w:t>Výzkum, vývoj a vzdělávání</w:t>
            </w:r>
          </w:p>
        </w:tc>
        <w:tc>
          <w:tcPr>
            <w:tcW w:w="3118" w:type="dxa"/>
            <w:noWrap/>
            <w:vAlign w:val="center"/>
            <w:hideMark/>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Ministerstvo školství, mládeže a tělovýchovy ČR</w:t>
            </w:r>
          </w:p>
        </w:tc>
        <w:tc>
          <w:tcPr>
            <w:tcW w:w="1418"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ESF / EFRR</w:t>
            </w:r>
          </w:p>
        </w:tc>
        <w:tc>
          <w:tcPr>
            <w:tcW w:w="1843"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TAČR</w:t>
            </w:r>
          </w:p>
        </w:tc>
      </w:tr>
      <w:tr w:rsidR="006B6614" w:rsidRPr="00490AF7" w:rsidTr="004B1698">
        <w:trPr>
          <w:trHeight w:val="300"/>
        </w:trPr>
        <w:tc>
          <w:tcPr>
            <w:tcW w:w="2689" w:type="dxa"/>
            <w:noWrap/>
            <w:vAlign w:val="center"/>
            <w:hideMark/>
          </w:tcPr>
          <w:p w:rsidR="006B6614" w:rsidRPr="00490AF7" w:rsidRDefault="006B6614" w:rsidP="00BE6789">
            <w:pPr>
              <w:spacing w:before="100" w:beforeAutospacing="1" w:after="100" w:afterAutospacing="1" w:line="240" w:lineRule="auto"/>
              <w:ind w:firstLine="0"/>
              <w:jc w:val="left"/>
              <w:rPr>
                <w:color w:val="000000"/>
              </w:rPr>
            </w:pPr>
            <w:r w:rsidRPr="00490AF7">
              <w:rPr>
                <w:color w:val="000000"/>
              </w:rPr>
              <w:t>Zaměstnanost</w:t>
            </w:r>
          </w:p>
        </w:tc>
        <w:tc>
          <w:tcPr>
            <w:tcW w:w="3118" w:type="dxa"/>
            <w:noWrap/>
            <w:vAlign w:val="center"/>
            <w:hideMark/>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Ministerstvo práce a sociálních věcí ČR</w:t>
            </w:r>
          </w:p>
        </w:tc>
        <w:tc>
          <w:tcPr>
            <w:tcW w:w="1418"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ESF</w:t>
            </w:r>
          </w:p>
        </w:tc>
        <w:tc>
          <w:tcPr>
            <w:tcW w:w="1843"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w:t>
            </w:r>
          </w:p>
        </w:tc>
      </w:tr>
      <w:tr w:rsidR="006B6614" w:rsidRPr="00490AF7" w:rsidTr="004B1698">
        <w:trPr>
          <w:trHeight w:val="300"/>
        </w:trPr>
        <w:tc>
          <w:tcPr>
            <w:tcW w:w="2689" w:type="dxa"/>
            <w:noWrap/>
            <w:vAlign w:val="center"/>
            <w:hideMark/>
          </w:tcPr>
          <w:p w:rsidR="006B6614" w:rsidRPr="00490AF7" w:rsidRDefault="006B6614" w:rsidP="00BE6789">
            <w:pPr>
              <w:spacing w:before="100" w:beforeAutospacing="1" w:after="100" w:afterAutospacing="1" w:line="240" w:lineRule="auto"/>
              <w:ind w:firstLine="0"/>
              <w:jc w:val="left"/>
              <w:rPr>
                <w:color w:val="000000"/>
              </w:rPr>
            </w:pPr>
            <w:r w:rsidRPr="00490AF7">
              <w:rPr>
                <w:color w:val="000000"/>
              </w:rPr>
              <w:t>Doprava</w:t>
            </w:r>
          </w:p>
        </w:tc>
        <w:tc>
          <w:tcPr>
            <w:tcW w:w="3118" w:type="dxa"/>
            <w:noWrap/>
            <w:vAlign w:val="center"/>
            <w:hideMark/>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Ministerstvo dopravy ČR</w:t>
            </w:r>
          </w:p>
        </w:tc>
        <w:tc>
          <w:tcPr>
            <w:tcW w:w="1418"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FS / EFRR</w:t>
            </w:r>
          </w:p>
        </w:tc>
        <w:tc>
          <w:tcPr>
            <w:tcW w:w="1843"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SFDI</w:t>
            </w:r>
          </w:p>
        </w:tc>
      </w:tr>
      <w:tr w:rsidR="006B6614" w:rsidRPr="00490AF7" w:rsidTr="004B1698">
        <w:trPr>
          <w:trHeight w:val="300"/>
        </w:trPr>
        <w:tc>
          <w:tcPr>
            <w:tcW w:w="2689" w:type="dxa"/>
            <w:noWrap/>
            <w:vAlign w:val="center"/>
            <w:hideMark/>
          </w:tcPr>
          <w:p w:rsidR="006B6614" w:rsidRPr="00490AF7" w:rsidRDefault="006B6614" w:rsidP="00BE6789">
            <w:pPr>
              <w:spacing w:before="100" w:beforeAutospacing="1" w:after="100" w:afterAutospacing="1" w:line="240" w:lineRule="auto"/>
              <w:ind w:firstLine="0"/>
              <w:jc w:val="left"/>
              <w:rPr>
                <w:color w:val="000000"/>
              </w:rPr>
            </w:pPr>
            <w:r w:rsidRPr="00490AF7">
              <w:rPr>
                <w:color w:val="000000"/>
              </w:rPr>
              <w:t>Životní prostředí</w:t>
            </w:r>
          </w:p>
        </w:tc>
        <w:tc>
          <w:tcPr>
            <w:tcW w:w="3118" w:type="dxa"/>
            <w:noWrap/>
            <w:vAlign w:val="center"/>
            <w:hideMark/>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Ministerstvo životního prostředí</w:t>
            </w:r>
            <w:r w:rsidR="00BE6789">
              <w:rPr>
                <w:color w:val="000000"/>
              </w:rPr>
              <w:t xml:space="preserve"> ČR</w:t>
            </w:r>
          </w:p>
        </w:tc>
        <w:tc>
          <w:tcPr>
            <w:tcW w:w="1418"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FS / EFRR</w:t>
            </w:r>
          </w:p>
        </w:tc>
        <w:tc>
          <w:tcPr>
            <w:tcW w:w="1843"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SFŽP, AOPK ČR</w:t>
            </w:r>
          </w:p>
        </w:tc>
      </w:tr>
      <w:tr w:rsidR="006B6614" w:rsidRPr="00490AF7" w:rsidTr="004B1698">
        <w:trPr>
          <w:trHeight w:val="300"/>
        </w:trPr>
        <w:tc>
          <w:tcPr>
            <w:tcW w:w="2689" w:type="dxa"/>
            <w:noWrap/>
            <w:vAlign w:val="center"/>
            <w:hideMark/>
          </w:tcPr>
          <w:p w:rsidR="006B6614" w:rsidRPr="00490AF7" w:rsidRDefault="006B6614" w:rsidP="00BE6789">
            <w:pPr>
              <w:spacing w:before="100" w:beforeAutospacing="1" w:after="100" w:afterAutospacing="1" w:line="240" w:lineRule="auto"/>
              <w:ind w:firstLine="0"/>
              <w:jc w:val="left"/>
              <w:rPr>
                <w:color w:val="000000"/>
              </w:rPr>
            </w:pPr>
            <w:r w:rsidRPr="00490AF7">
              <w:rPr>
                <w:color w:val="000000"/>
              </w:rPr>
              <w:t>Integrovaný regionální operační program</w:t>
            </w:r>
          </w:p>
        </w:tc>
        <w:tc>
          <w:tcPr>
            <w:tcW w:w="3118" w:type="dxa"/>
            <w:noWrap/>
            <w:vAlign w:val="center"/>
            <w:hideMark/>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Ministerstvo pro místní rozvoj ČR</w:t>
            </w:r>
          </w:p>
        </w:tc>
        <w:tc>
          <w:tcPr>
            <w:tcW w:w="1418"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EFRR</w:t>
            </w:r>
          </w:p>
        </w:tc>
        <w:tc>
          <w:tcPr>
            <w:tcW w:w="1843"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Centrum pro regionální rozvoj ČR</w:t>
            </w:r>
          </w:p>
        </w:tc>
      </w:tr>
      <w:tr w:rsidR="006B6614" w:rsidRPr="00490AF7" w:rsidTr="004B1698">
        <w:trPr>
          <w:trHeight w:val="300"/>
        </w:trPr>
        <w:tc>
          <w:tcPr>
            <w:tcW w:w="2689" w:type="dxa"/>
            <w:noWrap/>
            <w:vAlign w:val="center"/>
            <w:hideMark/>
          </w:tcPr>
          <w:p w:rsidR="006B6614" w:rsidRPr="00490AF7" w:rsidRDefault="006B6614" w:rsidP="00BE6789">
            <w:pPr>
              <w:spacing w:before="100" w:beforeAutospacing="1" w:after="100" w:afterAutospacing="1" w:line="240" w:lineRule="auto"/>
              <w:ind w:firstLine="0"/>
              <w:jc w:val="left"/>
              <w:rPr>
                <w:color w:val="000000"/>
              </w:rPr>
            </w:pPr>
            <w:r w:rsidRPr="00490AF7">
              <w:rPr>
                <w:color w:val="000000"/>
              </w:rPr>
              <w:t>Praha – pól růstu ČR</w:t>
            </w:r>
          </w:p>
        </w:tc>
        <w:tc>
          <w:tcPr>
            <w:tcW w:w="3118" w:type="dxa"/>
            <w:noWrap/>
            <w:vAlign w:val="center"/>
            <w:hideMark/>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Magistrát hl. m. Prahy</w:t>
            </w:r>
          </w:p>
        </w:tc>
        <w:tc>
          <w:tcPr>
            <w:tcW w:w="1418"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ESF</w:t>
            </w:r>
            <w:r w:rsidR="00BE6789">
              <w:rPr>
                <w:color w:val="000000"/>
              </w:rPr>
              <w:t xml:space="preserve"> </w:t>
            </w:r>
            <w:r w:rsidRPr="00490AF7">
              <w:rPr>
                <w:color w:val="000000"/>
              </w:rPr>
              <w:t>/</w:t>
            </w:r>
            <w:r w:rsidR="00BE6789">
              <w:rPr>
                <w:color w:val="000000"/>
              </w:rPr>
              <w:t xml:space="preserve"> </w:t>
            </w:r>
            <w:r w:rsidRPr="00490AF7">
              <w:rPr>
                <w:color w:val="000000"/>
              </w:rPr>
              <w:t>EFRR</w:t>
            </w:r>
          </w:p>
        </w:tc>
        <w:tc>
          <w:tcPr>
            <w:tcW w:w="1843"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w:t>
            </w:r>
          </w:p>
        </w:tc>
      </w:tr>
      <w:tr w:rsidR="006B6614" w:rsidRPr="00490AF7" w:rsidTr="004B1698">
        <w:trPr>
          <w:trHeight w:val="300"/>
        </w:trPr>
        <w:tc>
          <w:tcPr>
            <w:tcW w:w="2689" w:type="dxa"/>
            <w:noWrap/>
            <w:vAlign w:val="center"/>
            <w:hideMark/>
          </w:tcPr>
          <w:p w:rsidR="006B6614" w:rsidRPr="00490AF7" w:rsidRDefault="006B6614" w:rsidP="00BE6789">
            <w:pPr>
              <w:spacing w:before="100" w:beforeAutospacing="1" w:after="100" w:afterAutospacing="1" w:line="240" w:lineRule="auto"/>
              <w:ind w:firstLine="0"/>
              <w:jc w:val="left"/>
              <w:rPr>
                <w:color w:val="000000"/>
              </w:rPr>
            </w:pPr>
            <w:r w:rsidRPr="00490AF7">
              <w:rPr>
                <w:color w:val="000000"/>
              </w:rPr>
              <w:t>Technická pomoc</w:t>
            </w:r>
          </w:p>
        </w:tc>
        <w:tc>
          <w:tcPr>
            <w:tcW w:w="3118" w:type="dxa"/>
            <w:noWrap/>
            <w:vAlign w:val="center"/>
            <w:hideMark/>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Ministerstvo pro místní rozvoj ČR</w:t>
            </w:r>
          </w:p>
        </w:tc>
        <w:tc>
          <w:tcPr>
            <w:tcW w:w="1418"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FS</w:t>
            </w:r>
          </w:p>
        </w:tc>
        <w:tc>
          <w:tcPr>
            <w:tcW w:w="1843"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w:t>
            </w:r>
          </w:p>
        </w:tc>
      </w:tr>
      <w:tr w:rsidR="006B6614" w:rsidRPr="00490AF7" w:rsidTr="004B1698">
        <w:trPr>
          <w:trHeight w:val="300"/>
        </w:trPr>
        <w:tc>
          <w:tcPr>
            <w:tcW w:w="2689" w:type="dxa"/>
            <w:noWrap/>
            <w:vAlign w:val="center"/>
            <w:hideMark/>
          </w:tcPr>
          <w:p w:rsidR="006B6614" w:rsidRPr="00490AF7" w:rsidRDefault="006B6614" w:rsidP="00BE6789">
            <w:pPr>
              <w:spacing w:before="100" w:beforeAutospacing="1" w:after="100" w:afterAutospacing="1" w:line="240" w:lineRule="auto"/>
              <w:ind w:firstLine="0"/>
              <w:jc w:val="left"/>
              <w:rPr>
                <w:color w:val="000000"/>
              </w:rPr>
            </w:pPr>
            <w:r w:rsidRPr="00490AF7">
              <w:rPr>
                <w:color w:val="000000"/>
              </w:rPr>
              <w:t>Rybářství 2014–2020</w:t>
            </w:r>
          </w:p>
        </w:tc>
        <w:tc>
          <w:tcPr>
            <w:tcW w:w="3118" w:type="dxa"/>
            <w:noWrap/>
            <w:vAlign w:val="center"/>
            <w:hideMark/>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Ministerstvo zemědělství</w:t>
            </w:r>
            <w:r w:rsidR="00BE6789">
              <w:rPr>
                <w:color w:val="000000"/>
              </w:rPr>
              <w:t xml:space="preserve"> ČR</w:t>
            </w:r>
          </w:p>
        </w:tc>
        <w:tc>
          <w:tcPr>
            <w:tcW w:w="1418"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ENRF</w:t>
            </w:r>
          </w:p>
        </w:tc>
        <w:tc>
          <w:tcPr>
            <w:tcW w:w="1843" w:type="dxa"/>
            <w:vAlign w:val="center"/>
          </w:tcPr>
          <w:p w:rsidR="006B6614" w:rsidRPr="00490AF7" w:rsidRDefault="006B6614" w:rsidP="004B1698">
            <w:pPr>
              <w:tabs>
                <w:tab w:val="left" w:pos="735"/>
                <w:tab w:val="center" w:pos="813"/>
              </w:tabs>
              <w:spacing w:before="100" w:beforeAutospacing="1" w:after="100" w:afterAutospacing="1" w:line="240" w:lineRule="auto"/>
              <w:ind w:firstLine="0"/>
              <w:jc w:val="left"/>
              <w:rPr>
                <w:color w:val="000000"/>
              </w:rPr>
            </w:pPr>
            <w:r w:rsidRPr="00490AF7">
              <w:rPr>
                <w:color w:val="000000"/>
              </w:rPr>
              <w:t>SZIF</w:t>
            </w:r>
          </w:p>
        </w:tc>
      </w:tr>
      <w:tr w:rsidR="006B6614" w:rsidRPr="00490AF7" w:rsidTr="004B1698">
        <w:trPr>
          <w:trHeight w:val="300"/>
        </w:trPr>
        <w:tc>
          <w:tcPr>
            <w:tcW w:w="2689" w:type="dxa"/>
            <w:noWrap/>
            <w:vAlign w:val="center"/>
            <w:hideMark/>
          </w:tcPr>
          <w:p w:rsidR="006B6614" w:rsidRPr="00490AF7" w:rsidRDefault="006B6614" w:rsidP="00BE6789">
            <w:pPr>
              <w:spacing w:before="100" w:beforeAutospacing="1" w:after="100" w:afterAutospacing="1" w:line="240" w:lineRule="auto"/>
              <w:ind w:firstLine="0"/>
              <w:jc w:val="left"/>
              <w:rPr>
                <w:color w:val="000000"/>
              </w:rPr>
            </w:pPr>
            <w:r w:rsidRPr="00490AF7">
              <w:rPr>
                <w:color w:val="000000"/>
              </w:rPr>
              <w:t>Program rozvoje venkova</w:t>
            </w:r>
          </w:p>
        </w:tc>
        <w:tc>
          <w:tcPr>
            <w:tcW w:w="3118" w:type="dxa"/>
            <w:noWrap/>
            <w:vAlign w:val="center"/>
            <w:hideMark/>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Ministerstvo zemědělství</w:t>
            </w:r>
            <w:r w:rsidR="00BE6789">
              <w:rPr>
                <w:color w:val="000000"/>
              </w:rPr>
              <w:t xml:space="preserve"> ČR</w:t>
            </w:r>
          </w:p>
        </w:tc>
        <w:tc>
          <w:tcPr>
            <w:tcW w:w="1418" w:type="dxa"/>
            <w:vAlign w:val="center"/>
          </w:tcPr>
          <w:p w:rsidR="006B6614" w:rsidRPr="00490AF7" w:rsidRDefault="006B6614" w:rsidP="004B1698">
            <w:pPr>
              <w:spacing w:before="100" w:beforeAutospacing="1" w:after="100" w:afterAutospacing="1" w:line="240" w:lineRule="auto"/>
              <w:ind w:firstLine="0"/>
              <w:jc w:val="left"/>
              <w:rPr>
                <w:color w:val="000000"/>
              </w:rPr>
            </w:pPr>
            <w:r w:rsidRPr="00490AF7">
              <w:rPr>
                <w:color w:val="000000"/>
              </w:rPr>
              <w:t>EZFRV</w:t>
            </w:r>
          </w:p>
        </w:tc>
        <w:tc>
          <w:tcPr>
            <w:tcW w:w="1843" w:type="dxa"/>
            <w:vAlign w:val="center"/>
          </w:tcPr>
          <w:p w:rsidR="006B6614" w:rsidRPr="00490AF7" w:rsidRDefault="006B6614" w:rsidP="004B1698">
            <w:pPr>
              <w:tabs>
                <w:tab w:val="left" w:pos="735"/>
                <w:tab w:val="center" w:pos="813"/>
              </w:tabs>
              <w:spacing w:before="100" w:beforeAutospacing="1" w:after="100" w:afterAutospacing="1" w:line="240" w:lineRule="auto"/>
              <w:ind w:firstLine="0"/>
              <w:jc w:val="left"/>
              <w:rPr>
                <w:color w:val="000000"/>
              </w:rPr>
            </w:pPr>
            <w:r w:rsidRPr="00490AF7">
              <w:rPr>
                <w:color w:val="000000"/>
              </w:rPr>
              <w:t>SZIF</w:t>
            </w:r>
          </w:p>
        </w:tc>
      </w:tr>
    </w:tbl>
    <w:p w:rsidR="006B6614" w:rsidRPr="004B2617" w:rsidRDefault="006B6614" w:rsidP="006B6614">
      <w:pPr>
        <w:ind w:firstLine="0"/>
        <w:rPr>
          <w:rStyle w:val="Siln"/>
          <w:rFonts w:ascii="Merriweather" w:hAnsi="Merriweather"/>
          <w:b w:val="0"/>
        </w:rPr>
      </w:pPr>
      <w:r>
        <w:t>Zdroj: U</w:t>
      </w:r>
      <w:r w:rsidRPr="005B6AA9">
        <w:t>snesení vlády ČR č. 867 ze dne 28. listopadu 2012</w:t>
      </w:r>
      <w:r w:rsidRPr="00EB0AE2">
        <w:t xml:space="preserve"> </w:t>
      </w:r>
      <w:r>
        <w:t>(vlastní zpracování)</w:t>
      </w:r>
    </w:p>
    <w:p w:rsidR="006B6614" w:rsidRDefault="006B6614" w:rsidP="006B6614">
      <w:pPr>
        <w:rPr>
          <w:rFonts w:eastAsia="Calibri"/>
          <w:szCs w:val="22"/>
          <w:lang w:eastAsia="en-US"/>
        </w:rPr>
      </w:pPr>
    </w:p>
    <w:p w:rsidR="006B6614" w:rsidRDefault="006B6614" w:rsidP="00C61CF6">
      <w:r>
        <w:t xml:space="preserve">Dalším strategickým cílem je Evropská územní spolupráce. </w:t>
      </w:r>
      <w:r w:rsidR="00C61CF6">
        <w:t>V</w:t>
      </w:r>
      <w:r>
        <w:t xml:space="preserve"> programové</w:t>
      </w:r>
      <w:r w:rsidR="00C61CF6">
        <w:t>m</w:t>
      </w:r>
      <w:r>
        <w:t xml:space="preserve"> období 2014–2020 </w:t>
      </w:r>
      <w:r w:rsidR="00C61CF6">
        <w:t>do ní spadají programy</w:t>
      </w:r>
      <w:r>
        <w:t xml:space="preserve"> </w:t>
      </w:r>
      <w:r w:rsidRPr="001D251F">
        <w:t>přeshraniční spolupráce</w:t>
      </w:r>
      <w:r w:rsidR="00C61CF6">
        <w:t>, která se týká následujících pěti</w:t>
      </w:r>
      <w:r w:rsidRPr="001D251F">
        <w:t xml:space="preserve"> </w:t>
      </w:r>
      <w:r>
        <w:t>států: Polsko, Slovensk</w:t>
      </w:r>
      <w:r w:rsidR="00BA470A">
        <w:t>á</w:t>
      </w:r>
      <w:r>
        <w:t xml:space="preserve"> republik</w:t>
      </w:r>
      <w:r w:rsidR="00BA470A">
        <w:t>a</w:t>
      </w:r>
      <w:r w:rsidRPr="001D251F">
        <w:t>, Rakousko, Svobodný stát Bavorsko a Svobodný stát Sasko. Tyto</w:t>
      </w:r>
      <w:r w:rsidR="00060A5A">
        <w:t> </w:t>
      </w:r>
      <w:r w:rsidRPr="001D251F">
        <w:t>programy navazují na předchozí programové období a dále zlepšují spolupráci se</w:t>
      </w:r>
      <w:r w:rsidR="008F765B">
        <w:t> </w:t>
      </w:r>
      <w:r w:rsidRPr="001D251F">
        <w:t>sousedními státy</w:t>
      </w:r>
      <w:r>
        <w:t xml:space="preserve"> vytvářením společných přeshraničních projektů v oblasti výzkumu, vzdělávání a rozvoj</w:t>
      </w:r>
      <w:r w:rsidR="00BA470A">
        <w:t>e</w:t>
      </w:r>
      <w:r>
        <w:t xml:space="preserve"> kulturního a přírodního dědictví. Posledních šest programů se týká </w:t>
      </w:r>
      <w:r>
        <w:rPr>
          <w:rFonts w:cs="Segoe UI"/>
          <w:color w:val="1C222F"/>
        </w:rPr>
        <w:t>nadnárodní a meziregionální spolupráce</w:t>
      </w:r>
      <w:r>
        <w:t>. Všechny tyto programy na území Č</w:t>
      </w:r>
      <w:r w:rsidR="00427D24">
        <w:t xml:space="preserve">R koordinuje </w:t>
      </w:r>
      <w:r>
        <w:t>Ministerstvo pro místní rozvoj</w:t>
      </w:r>
      <w:r w:rsidR="00C61CF6">
        <w:t xml:space="preserve"> ČR</w:t>
      </w:r>
      <w:r>
        <w:t xml:space="preserve"> a</w:t>
      </w:r>
      <w:r w:rsidR="00427D24">
        <w:t> </w:t>
      </w:r>
      <w:r>
        <w:t>jsou spolufinancovány z Evropského</w:t>
      </w:r>
      <w:r w:rsidRPr="00120DF8">
        <w:t xml:space="preserve"> fond</w:t>
      </w:r>
      <w:r>
        <w:t>u</w:t>
      </w:r>
      <w:r w:rsidRPr="00120DF8">
        <w:t xml:space="preserve"> pro regionální rozvoj</w:t>
      </w:r>
      <w:r>
        <w:t>.</w:t>
      </w:r>
      <w:r w:rsidRPr="00F07BD7">
        <w:rPr>
          <w:vertAlign w:val="superscript"/>
        </w:rPr>
        <w:footnoteReference w:id="18"/>
      </w:r>
    </w:p>
    <w:p w:rsidR="006B6614" w:rsidRDefault="006B6614" w:rsidP="006B6614">
      <w:r>
        <w:t xml:space="preserve">Jeden z nejznámějších programů, který zná každý </w:t>
      </w:r>
      <w:r w:rsidR="00716FBA">
        <w:t>a je využíván napříč celou EU,</w:t>
      </w:r>
      <w:r>
        <w:t xml:space="preserve"> je</w:t>
      </w:r>
      <w:r w:rsidR="002B7F35">
        <w:t> </w:t>
      </w:r>
      <w:r>
        <w:t xml:space="preserve">program </w:t>
      </w:r>
      <w:r w:rsidRPr="00DF1898">
        <w:rPr>
          <w:b/>
        </w:rPr>
        <w:t>Erasmus+</w:t>
      </w:r>
      <w:r>
        <w:t>. Jedná se o jeden z mnoha prog</w:t>
      </w:r>
      <w:r w:rsidR="007A125A">
        <w:t>ramů, které jsou financovány z e</w:t>
      </w:r>
      <w:r>
        <w:t xml:space="preserve">vropských fondů. Na rozdíl od výše uvedených </w:t>
      </w:r>
      <w:r w:rsidR="00716FBA">
        <w:t>OP</w:t>
      </w:r>
      <w:r>
        <w:t xml:space="preserve"> je spravován přímo EU. V ČR provádí administraci tohoto programu Dům zahraniční spolupráce, který je příspěvkovou organizací založenou </w:t>
      </w:r>
      <w:r w:rsidR="00C61CF6" w:rsidRPr="00DB20B5">
        <w:rPr>
          <w:color w:val="000000"/>
        </w:rPr>
        <w:t>Ministerstvem školství, mládeže a tělovýchovy ČR</w:t>
      </w:r>
      <w:r w:rsidRPr="00DB20B5">
        <w:t xml:space="preserve">. </w:t>
      </w:r>
      <w:r w:rsidR="00C61CF6" w:rsidRPr="00DB20B5">
        <w:t>Erasmus+</w:t>
      </w:r>
      <w:r w:rsidRPr="00DB20B5">
        <w:t xml:space="preserve"> je určen firmám </w:t>
      </w:r>
      <w:r w:rsidRPr="00DB20B5">
        <w:lastRenderedPageBreak/>
        <w:t>a</w:t>
      </w:r>
      <w:r w:rsidR="002B7F35">
        <w:t> </w:t>
      </w:r>
      <w:r w:rsidRPr="00DB20B5">
        <w:t xml:space="preserve">institucím, které se věnují vzdělávání, vědě a výzkumu. </w:t>
      </w:r>
      <w:r w:rsidR="00DB20B5" w:rsidRPr="00DB20B5">
        <w:t xml:space="preserve">Je využíván také jejich </w:t>
      </w:r>
      <w:r w:rsidRPr="00DB20B5">
        <w:t>student</w:t>
      </w:r>
      <w:r w:rsidR="00DB20B5" w:rsidRPr="00DB20B5">
        <w:t>y a</w:t>
      </w:r>
      <w:r w:rsidR="002B7F35">
        <w:t> </w:t>
      </w:r>
      <w:r w:rsidR="00DB20B5" w:rsidRPr="00DB20B5">
        <w:t>zaměstnanci</w:t>
      </w:r>
      <w:r w:rsidRPr="00DB20B5">
        <w:t xml:space="preserve">, ať už se jedná o studijní </w:t>
      </w:r>
      <w:r w:rsidR="00DB20B5" w:rsidRPr="00DB20B5">
        <w:t xml:space="preserve">pobyty či praktické stáže studentů </w:t>
      </w:r>
      <w:r w:rsidRPr="00DB20B5">
        <w:t xml:space="preserve">nebo </w:t>
      </w:r>
      <w:r w:rsidR="00DB20B5" w:rsidRPr="00DB20B5">
        <w:t>výukové pobyty či školení zaměstnanců</w:t>
      </w:r>
      <w:r w:rsidRPr="00DB20B5">
        <w:t>.</w:t>
      </w:r>
      <w:r w:rsidRPr="00DB20B5">
        <w:rPr>
          <w:rStyle w:val="Znakapoznpodarou"/>
        </w:rPr>
        <w:footnoteReference w:id="19"/>
      </w:r>
    </w:p>
    <w:p w:rsidR="0095254F" w:rsidRPr="00F542AF" w:rsidRDefault="00F542AF" w:rsidP="00003B60">
      <w:pPr>
        <w:pStyle w:val="Tomk2"/>
        <w:ind w:left="567" w:hanging="567"/>
      </w:pPr>
      <w:bookmarkStart w:id="16" w:name="_Toc38385241"/>
      <w:r w:rsidRPr="00F542AF">
        <w:t>Historie čerpání</w:t>
      </w:r>
      <w:r>
        <w:t xml:space="preserve"> </w:t>
      </w:r>
      <w:r w:rsidR="00472B72">
        <w:t>z </w:t>
      </w:r>
      <w:r w:rsidR="007A125A">
        <w:t>e</w:t>
      </w:r>
      <w:r w:rsidR="00472B72">
        <w:t>vropských fondů v</w:t>
      </w:r>
      <w:r>
        <w:t> letech 2004–2020</w:t>
      </w:r>
      <w:bookmarkEnd w:id="16"/>
    </w:p>
    <w:p w:rsidR="00120D6A" w:rsidRDefault="00536925" w:rsidP="00536925">
      <w:r>
        <w:t>P</w:t>
      </w:r>
      <w:r w:rsidRPr="00C92806">
        <w:t xml:space="preserve">o vstupu </w:t>
      </w:r>
      <w:r>
        <w:t xml:space="preserve">do EU </w:t>
      </w:r>
      <w:r w:rsidRPr="00C92806">
        <w:t>v roce 2004</w:t>
      </w:r>
      <w:r>
        <w:t xml:space="preserve"> mohla ČR přejít z podpory </w:t>
      </w:r>
      <w:r>
        <w:rPr>
          <w:rFonts w:ascii="Roboto" w:hAnsi="Roboto" w:cs="Segoe UI"/>
        </w:rPr>
        <w:t>předvstupních nástrojů</w:t>
      </w:r>
      <w:r w:rsidRPr="00C92806">
        <w:t xml:space="preserve"> </w:t>
      </w:r>
      <w:r>
        <w:t>na č</w:t>
      </w:r>
      <w:r w:rsidRPr="00C92806">
        <w:t>erp</w:t>
      </w:r>
      <w:r>
        <w:t xml:space="preserve">ání </w:t>
      </w:r>
      <w:r w:rsidRPr="00C92806">
        <w:t>ze strukturálních fondů</w:t>
      </w:r>
      <w:r>
        <w:t xml:space="preserve"> a fondu soudržnosti. V již probíhajícím programovém </w:t>
      </w:r>
      <w:r w:rsidRPr="00C92806">
        <w:t>období 2000–2006</w:t>
      </w:r>
      <w:r>
        <w:t xml:space="preserve"> dokázala ČR vyčerpat na realizaci cílů politiky soudržnosti pomocí 13 operačních programů 99,54 % finančních prostředků z </w:t>
      </w:r>
      <w:r w:rsidRPr="00E7194C">
        <w:rPr>
          <w:b/>
        </w:rPr>
        <w:t>1,69 mld. EUR</w:t>
      </w:r>
      <w:r>
        <w:t xml:space="preserve">. V následujícím programovém období 2007–2013 se podařilo vyjednat pro ČR prostředky ve výši </w:t>
      </w:r>
      <w:r w:rsidRPr="00E7194C">
        <w:rPr>
          <w:b/>
        </w:rPr>
        <w:t>26 mld. EUR</w:t>
      </w:r>
      <w:r>
        <w:t xml:space="preserve">. ČR navázala na úspěšné čerpání z předchozího období a díky 26 operačním programům vyčerpala </w:t>
      </w:r>
      <w:r w:rsidRPr="00E7194C">
        <w:t>24,8 mld. EUR</w:t>
      </w:r>
      <w:r>
        <w:t>, tedy 96,4 % z celkové alokace. Evropskou komisí bylo ale vytýkáno vysoké množství operačních programů, které mělo na starost 18 řídících orgánů. Tento vysoký počet zvyšoval náklady na administrativu a nejednotnost v postupech jednotlivých řídících programů</w:t>
      </w:r>
      <w:r w:rsidRPr="00E7194C">
        <w:t>.</w:t>
      </w:r>
      <w:r w:rsidRPr="0058536D">
        <w:rPr>
          <w:vertAlign w:val="superscript"/>
        </w:rPr>
        <w:footnoteReference w:id="20"/>
      </w:r>
      <w:r w:rsidRPr="0058536D">
        <w:t xml:space="preserve"> Na</w:t>
      </w:r>
      <w:r>
        <w:t> </w:t>
      </w:r>
      <w:r w:rsidRPr="0058536D">
        <w:t xml:space="preserve">programové období 2014–2020 bylo k dispozici téměř </w:t>
      </w:r>
      <w:r w:rsidRPr="00F845ED">
        <w:rPr>
          <w:b/>
        </w:rPr>
        <w:t xml:space="preserve">24 mld. </w:t>
      </w:r>
      <w:r>
        <w:rPr>
          <w:b/>
        </w:rPr>
        <w:t>EUR</w:t>
      </w:r>
      <w:r>
        <w:t>. B</w:t>
      </w:r>
      <w:r w:rsidRPr="00E7194C">
        <w:t xml:space="preserve">ližší informace </w:t>
      </w:r>
      <w:r>
        <w:t>k  probíhajícímu programovému období budou představeny v další kapitole</w:t>
      </w:r>
      <w:r w:rsidRPr="0058536D">
        <w:t>.</w:t>
      </w:r>
      <w:r>
        <w:t xml:space="preserve"> Na nadcházející programové období 2021–2027 je n</w:t>
      </w:r>
      <w:r w:rsidRPr="00D831D4">
        <w:t xml:space="preserve">ávrh celkové alokace pro ČR </w:t>
      </w:r>
      <w:r>
        <w:t xml:space="preserve">ve výši </w:t>
      </w:r>
      <w:r w:rsidRPr="00E7194C">
        <w:rPr>
          <w:b/>
        </w:rPr>
        <w:t>20 mld. EUR</w:t>
      </w:r>
      <w:r>
        <w:t>.</w:t>
      </w:r>
      <w:r>
        <w:rPr>
          <w:rStyle w:val="Znakapoznpodarou"/>
        </w:rPr>
        <w:footnoteReference w:id="21"/>
      </w:r>
    </w:p>
    <w:p w:rsidR="00120D6A" w:rsidRDefault="00120D6A" w:rsidP="003D582E"/>
    <w:p w:rsidR="00664FE4" w:rsidRPr="00664FE4" w:rsidRDefault="00664FE4" w:rsidP="00664FE4">
      <w:pPr>
        <w:ind w:firstLine="0"/>
        <w:rPr>
          <w:b/>
        </w:rPr>
      </w:pPr>
      <w:r w:rsidRPr="00664FE4">
        <w:rPr>
          <w:b/>
        </w:rPr>
        <w:t xml:space="preserve">Aktuální programové období </w:t>
      </w:r>
      <w:r>
        <w:rPr>
          <w:b/>
        </w:rPr>
        <w:t>2014</w:t>
      </w:r>
      <w:r w:rsidR="00F972B8">
        <w:rPr>
          <w:b/>
        </w:rPr>
        <w:t>–</w:t>
      </w:r>
      <w:r>
        <w:rPr>
          <w:b/>
        </w:rPr>
        <w:t>2020</w:t>
      </w:r>
      <w:r w:rsidR="00F972B8">
        <w:rPr>
          <w:b/>
        </w:rPr>
        <w:t xml:space="preserve"> a analýza čerpání dotací</w:t>
      </w:r>
    </w:p>
    <w:p w:rsidR="00536925" w:rsidRDefault="00536925" w:rsidP="00536925">
      <w:r>
        <w:t xml:space="preserve">Podle Dohody o partnerství je celková alokace prostředků na současné programové období </w:t>
      </w:r>
      <w:r w:rsidRPr="00664FE4">
        <w:rPr>
          <w:b/>
        </w:rPr>
        <w:t>577 184 mil. Kč</w:t>
      </w:r>
      <w:r>
        <w:t>. Aby nedošlo ke ztrátě finančních prostředků, musí ČR tuto alokovanou částku postupně spotřebovávat podle principu n+3 v průběhu programového období 2014–2020 během každého roku. Jedná se o kontrolní mechanismus, který má ověřovat plynulost čerpání. Finanční prostředky určené pro daný rok musí být spotřebovány do tří let.</w:t>
      </w:r>
    </w:p>
    <w:p w:rsidR="0099108B" w:rsidRDefault="00536925" w:rsidP="00536925">
      <w:r>
        <w:t xml:space="preserve">Ke dni 31. 12. 2019 bylo </w:t>
      </w:r>
      <w:r w:rsidRPr="00664FE4">
        <w:rPr>
          <w:b/>
        </w:rPr>
        <w:t>proplaceno nebo předloženo</w:t>
      </w:r>
      <w:r>
        <w:t xml:space="preserve"> v žádostech o platbu ke schválení Evropské komisi </w:t>
      </w:r>
      <w:r w:rsidRPr="00664FE4">
        <w:rPr>
          <w:b/>
        </w:rPr>
        <w:t>23</w:t>
      </w:r>
      <w:r>
        <w:rPr>
          <w:b/>
        </w:rPr>
        <w:t>8</w:t>
      </w:r>
      <w:r w:rsidRPr="00664FE4">
        <w:rPr>
          <w:b/>
        </w:rPr>
        <w:t> </w:t>
      </w:r>
      <w:r>
        <w:rPr>
          <w:b/>
        </w:rPr>
        <w:t>717</w:t>
      </w:r>
      <w:r w:rsidRPr="00664FE4">
        <w:rPr>
          <w:b/>
        </w:rPr>
        <w:t xml:space="preserve"> mil. K</w:t>
      </w:r>
      <w:r>
        <w:rPr>
          <w:b/>
        </w:rPr>
        <w:t>č</w:t>
      </w:r>
      <w:r>
        <w:t xml:space="preserve"> za jednotlivé programy. N</w:t>
      </w:r>
      <w:r w:rsidRPr="00FC4E79">
        <w:t>ásledující tabulk</w:t>
      </w:r>
      <w:r>
        <w:t>y znázorňují detaily čerpání.</w:t>
      </w:r>
      <w:r w:rsidR="00664FE4">
        <w:t xml:space="preserve"> </w:t>
      </w:r>
    </w:p>
    <w:p w:rsidR="0099108B" w:rsidRDefault="0099108B" w:rsidP="0099108B"/>
    <w:p w:rsidR="00D520F4" w:rsidRDefault="00D520F4" w:rsidP="00D84913">
      <w:pPr>
        <w:ind w:firstLine="0"/>
      </w:pPr>
      <w:bookmarkStart w:id="17" w:name="_Toc38385467"/>
      <w:r>
        <w:lastRenderedPageBreak/>
        <w:t xml:space="preserve">Tabulka č. </w:t>
      </w:r>
      <w:r w:rsidR="000B1805">
        <w:rPr>
          <w:noProof/>
        </w:rPr>
        <w:fldChar w:fldCharType="begin"/>
      </w:r>
      <w:r w:rsidR="000B1805">
        <w:rPr>
          <w:noProof/>
        </w:rPr>
        <w:instrText xml:space="preserve"> SEQ Tabulka_č. \* ARABIC </w:instrText>
      </w:r>
      <w:r w:rsidR="000B1805">
        <w:rPr>
          <w:noProof/>
        </w:rPr>
        <w:fldChar w:fldCharType="separate"/>
      </w:r>
      <w:r w:rsidR="006B6614">
        <w:rPr>
          <w:noProof/>
        </w:rPr>
        <w:t>2</w:t>
      </w:r>
      <w:r w:rsidR="000B1805">
        <w:rPr>
          <w:noProof/>
        </w:rPr>
        <w:fldChar w:fldCharType="end"/>
      </w:r>
      <w:r>
        <w:t xml:space="preserve">: Stav čerpání v programovém období </w:t>
      </w:r>
      <w:r w:rsidR="00536925" w:rsidRPr="00C06911">
        <w:t>2014–2020 k 31. 12. 2019, členění podle fondů</w:t>
      </w:r>
      <w:bookmarkEnd w:id="17"/>
    </w:p>
    <w:tbl>
      <w:tblPr>
        <w:tblStyle w:val="Mkatabulky"/>
        <w:tblW w:w="9067" w:type="dxa"/>
        <w:tblLook w:val="04A0" w:firstRow="1" w:lastRow="0" w:firstColumn="1" w:lastColumn="0" w:noHBand="0" w:noVBand="1"/>
      </w:tblPr>
      <w:tblGrid>
        <w:gridCol w:w="1980"/>
        <w:gridCol w:w="2551"/>
        <w:gridCol w:w="2268"/>
        <w:gridCol w:w="2268"/>
      </w:tblGrid>
      <w:tr w:rsidR="00536925" w:rsidTr="00487F0F">
        <w:tc>
          <w:tcPr>
            <w:tcW w:w="1980" w:type="dxa"/>
            <w:vAlign w:val="center"/>
          </w:tcPr>
          <w:p w:rsidR="00487F0F" w:rsidRDefault="00487F0F" w:rsidP="00FE7933">
            <w:pPr>
              <w:ind w:firstLine="0"/>
              <w:jc w:val="center"/>
              <w:rPr>
                <w:b/>
              </w:rPr>
            </w:pPr>
            <w:r>
              <w:rPr>
                <w:b/>
              </w:rPr>
              <w:t>Evropský</w:t>
            </w:r>
          </w:p>
          <w:p w:rsidR="00536925" w:rsidRPr="00536925" w:rsidRDefault="00536925" w:rsidP="00FE7933">
            <w:pPr>
              <w:ind w:firstLine="0"/>
              <w:jc w:val="center"/>
              <w:rPr>
                <w:b/>
              </w:rPr>
            </w:pPr>
            <w:r w:rsidRPr="00536925">
              <w:rPr>
                <w:b/>
              </w:rPr>
              <w:t>fondy</w:t>
            </w:r>
          </w:p>
        </w:tc>
        <w:tc>
          <w:tcPr>
            <w:tcW w:w="2551" w:type="dxa"/>
            <w:vAlign w:val="center"/>
          </w:tcPr>
          <w:p w:rsidR="00487F0F" w:rsidRDefault="00536925" w:rsidP="00487F0F">
            <w:pPr>
              <w:ind w:firstLine="0"/>
              <w:jc w:val="center"/>
              <w:rPr>
                <w:b/>
              </w:rPr>
            </w:pPr>
            <w:r w:rsidRPr="00536925">
              <w:rPr>
                <w:b/>
              </w:rPr>
              <w:t>Celková alokace</w:t>
            </w:r>
          </w:p>
          <w:p w:rsidR="00536925" w:rsidRPr="00536925" w:rsidRDefault="00536925" w:rsidP="00487F0F">
            <w:pPr>
              <w:ind w:firstLine="0"/>
              <w:jc w:val="center"/>
              <w:rPr>
                <w:b/>
              </w:rPr>
            </w:pPr>
            <w:r w:rsidRPr="00536925">
              <w:rPr>
                <w:b/>
              </w:rPr>
              <w:t>(mil. Kč)</w:t>
            </w:r>
          </w:p>
        </w:tc>
        <w:tc>
          <w:tcPr>
            <w:tcW w:w="2268" w:type="dxa"/>
            <w:vAlign w:val="center"/>
          </w:tcPr>
          <w:p w:rsidR="00536925" w:rsidRPr="00536925" w:rsidRDefault="00536925" w:rsidP="00FE7933">
            <w:pPr>
              <w:ind w:firstLine="0"/>
              <w:jc w:val="center"/>
              <w:rPr>
                <w:b/>
                <w:bCs/>
              </w:rPr>
            </w:pPr>
            <w:r w:rsidRPr="00536925">
              <w:rPr>
                <w:b/>
                <w:bCs/>
              </w:rPr>
              <w:t>Proplaceno nebo předloženo v žádostech o platbu (mil. Kč)</w:t>
            </w:r>
          </w:p>
        </w:tc>
        <w:tc>
          <w:tcPr>
            <w:tcW w:w="2268" w:type="dxa"/>
            <w:vAlign w:val="center"/>
          </w:tcPr>
          <w:p w:rsidR="00536925" w:rsidRPr="00536925" w:rsidRDefault="00536925" w:rsidP="00FE7933">
            <w:pPr>
              <w:ind w:firstLine="0"/>
              <w:jc w:val="center"/>
              <w:rPr>
                <w:b/>
              </w:rPr>
            </w:pPr>
            <w:r w:rsidRPr="00536925">
              <w:rPr>
                <w:b/>
              </w:rPr>
              <w:t>Čerpání z celkové alokace (%)</w:t>
            </w:r>
          </w:p>
        </w:tc>
      </w:tr>
      <w:tr w:rsidR="0099108B" w:rsidTr="00487F0F">
        <w:tc>
          <w:tcPr>
            <w:tcW w:w="1980" w:type="dxa"/>
          </w:tcPr>
          <w:p w:rsidR="0099108B" w:rsidRDefault="0099108B" w:rsidP="00F735A1">
            <w:pPr>
              <w:ind w:firstLine="0"/>
            </w:pPr>
            <w:r>
              <w:t>EFRR</w:t>
            </w:r>
          </w:p>
        </w:tc>
        <w:tc>
          <w:tcPr>
            <w:tcW w:w="2551" w:type="dxa"/>
          </w:tcPr>
          <w:p w:rsidR="0099108B" w:rsidRDefault="0099108B" w:rsidP="004B1698">
            <w:pPr>
              <w:ind w:firstLine="0"/>
              <w:jc w:val="right"/>
            </w:pPr>
            <w:r>
              <w:t>288 034</w:t>
            </w:r>
          </w:p>
        </w:tc>
        <w:tc>
          <w:tcPr>
            <w:tcW w:w="2268" w:type="dxa"/>
          </w:tcPr>
          <w:p w:rsidR="0099108B" w:rsidRDefault="0099108B" w:rsidP="004B1698">
            <w:pPr>
              <w:ind w:firstLine="0"/>
              <w:jc w:val="right"/>
            </w:pPr>
            <w:r>
              <w:t>99 99</w:t>
            </w:r>
            <w:r w:rsidR="00A035A7">
              <w:t>4</w:t>
            </w:r>
          </w:p>
        </w:tc>
        <w:tc>
          <w:tcPr>
            <w:tcW w:w="2268" w:type="dxa"/>
          </w:tcPr>
          <w:p w:rsidR="0099108B" w:rsidRDefault="008F2C5C" w:rsidP="004B1698">
            <w:pPr>
              <w:ind w:firstLine="0"/>
              <w:jc w:val="right"/>
            </w:pPr>
            <w:r>
              <w:t>34</w:t>
            </w:r>
            <w:r w:rsidR="0099108B">
              <w:t>,</w:t>
            </w:r>
            <w:r>
              <w:t>72</w:t>
            </w:r>
          </w:p>
        </w:tc>
      </w:tr>
      <w:tr w:rsidR="0099108B" w:rsidTr="00487F0F">
        <w:tc>
          <w:tcPr>
            <w:tcW w:w="1980" w:type="dxa"/>
          </w:tcPr>
          <w:p w:rsidR="0099108B" w:rsidRDefault="0099108B" w:rsidP="00F735A1">
            <w:pPr>
              <w:ind w:firstLine="0"/>
            </w:pPr>
            <w:r>
              <w:t>FS</w:t>
            </w:r>
          </w:p>
        </w:tc>
        <w:tc>
          <w:tcPr>
            <w:tcW w:w="2551" w:type="dxa"/>
          </w:tcPr>
          <w:p w:rsidR="0099108B" w:rsidRDefault="0099108B" w:rsidP="004B1698">
            <w:pPr>
              <w:ind w:firstLine="0"/>
              <w:jc w:val="right"/>
            </w:pPr>
            <w:r>
              <w:t>148 681</w:t>
            </w:r>
          </w:p>
        </w:tc>
        <w:tc>
          <w:tcPr>
            <w:tcW w:w="2268" w:type="dxa"/>
          </w:tcPr>
          <w:p w:rsidR="0099108B" w:rsidRDefault="0099108B" w:rsidP="004B1698">
            <w:pPr>
              <w:ind w:firstLine="0"/>
              <w:jc w:val="right"/>
            </w:pPr>
            <w:r>
              <w:t>67 015</w:t>
            </w:r>
          </w:p>
        </w:tc>
        <w:tc>
          <w:tcPr>
            <w:tcW w:w="2268" w:type="dxa"/>
          </w:tcPr>
          <w:p w:rsidR="0099108B" w:rsidRDefault="0099108B" w:rsidP="004B1698">
            <w:pPr>
              <w:ind w:firstLine="0"/>
              <w:jc w:val="right"/>
            </w:pPr>
            <w:r>
              <w:t>45,07</w:t>
            </w:r>
          </w:p>
        </w:tc>
      </w:tr>
      <w:tr w:rsidR="0099108B" w:rsidTr="00487F0F">
        <w:tc>
          <w:tcPr>
            <w:tcW w:w="1980" w:type="dxa"/>
          </w:tcPr>
          <w:p w:rsidR="0099108B" w:rsidRDefault="0099108B" w:rsidP="00F735A1">
            <w:pPr>
              <w:ind w:firstLine="0"/>
            </w:pPr>
            <w:r>
              <w:t>ESF</w:t>
            </w:r>
          </w:p>
        </w:tc>
        <w:tc>
          <w:tcPr>
            <w:tcW w:w="2551" w:type="dxa"/>
          </w:tcPr>
          <w:p w:rsidR="0099108B" w:rsidRDefault="0099108B" w:rsidP="004B1698">
            <w:pPr>
              <w:ind w:firstLine="0"/>
              <w:jc w:val="right"/>
            </w:pPr>
            <w:r>
              <w:t>83 334</w:t>
            </w:r>
          </w:p>
        </w:tc>
        <w:tc>
          <w:tcPr>
            <w:tcW w:w="2268" w:type="dxa"/>
          </w:tcPr>
          <w:p w:rsidR="0099108B" w:rsidRDefault="0099108B" w:rsidP="004B1698">
            <w:pPr>
              <w:ind w:firstLine="0"/>
              <w:jc w:val="right"/>
            </w:pPr>
            <w:r>
              <w:t>36 571</w:t>
            </w:r>
          </w:p>
        </w:tc>
        <w:tc>
          <w:tcPr>
            <w:tcW w:w="2268" w:type="dxa"/>
          </w:tcPr>
          <w:p w:rsidR="0099108B" w:rsidRDefault="0099108B" w:rsidP="004B1698">
            <w:pPr>
              <w:ind w:firstLine="0"/>
              <w:jc w:val="right"/>
            </w:pPr>
            <w:r>
              <w:t>43,88</w:t>
            </w:r>
          </w:p>
        </w:tc>
      </w:tr>
      <w:tr w:rsidR="0099108B" w:rsidTr="00487F0F">
        <w:tc>
          <w:tcPr>
            <w:tcW w:w="1980" w:type="dxa"/>
          </w:tcPr>
          <w:p w:rsidR="0099108B" w:rsidRDefault="0099108B" w:rsidP="00F735A1">
            <w:pPr>
              <w:ind w:firstLine="0"/>
            </w:pPr>
            <w:r>
              <w:t>EZFRV</w:t>
            </w:r>
          </w:p>
        </w:tc>
        <w:tc>
          <w:tcPr>
            <w:tcW w:w="2551" w:type="dxa"/>
          </w:tcPr>
          <w:p w:rsidR="0099108B" w:rsidRDefault="0099108B" w:rsidP="004B1698">
            <w:pPr>
              <w:ind w:firstLine="0"/>
              <w:jc w:val="right"/>
            </w:pPr>
            <w:r>
              <w:t>53 687</w:t>
            </w:r>
          </w:p>
        </w:tc>
        <w:tc>
          <w:tcPr>
            <w:tcW w:w="2268" w:type="dxa"/>
          </w:tcPr>
          <w:p w:rsidR="0099108B" w:rsidRDefault="00875301" w:rsidP="004B1698">
            <w:pPr>
              <w:ind w:firstLine="0"/>
              <w:jc w:val="right"/>
            </w:pPr>
            <w:r>
              <w:t>34 864</w:t>
            </w:r>
          </w:p>
        </w:tc>
        <w:tc>
          <w:tcPr>
            <w:tcW w:w="2268" w:type="dxa"/>
          </w:tcPr>
          <w:p w:rsidR="0099108B" w:rsidRDefault="00875301" w:rsidP="004B1698">
            <w:pPr>
              <w:ind w:firstLine="0"/>
              <w:jc w:val="right"/>
            </w:pPr>
            <w:r>
              <w:t>61,83</w:t>
            </w:r>
          </w:p>
        </w:tc>
      </w:tr>
      <w:tr w:rsidR="0099108B" w:rsidTr="00487F0F">
        <w:tc>
          <w:tcPr>
            <w:tcW w:w="1980" w:type="dxa"/>
          </w:tcPr>
          <w:p w:rsidR="0099108B" w:rsidRDefault="0099108B" w:rsidP="00F735A1">
            <w:pPr>
              <w:ind w:firstLine="0"/>
            </w:pPr>
            <w:r>
              <w:t>ENFR</w:t>
            </w:r>
          </w:p>
        </w:tc>
        <w:tc>
          <w:tcPr>
            <w:tcW w:w="2551" w:type="dxa"/>
          </w:tcPr>
          <w:p w:rsidR="0099108B" w:rsidRDefault="0099108B" w:rsidP="004B1698">
            <w:pPr>
              <w:ind w:firstLine="0"/>
              <w:jc w:val="right"/>
            </w:pPr>
            <w:r>
              <w:t>748</w:t>
            </w:r>
          </w:p>
        </w:tc>
        <w:tc>
          <w:tcPr>
            <w:tcW w:w="2268" w:type="dxa"/>
          </w:tcPr>
          <w:p w:rsidR="0099108B" w:rsidRDefault="0099108B" w:rsidP="004B1698">
            <w:pPr>
              <w:ind w:firstLine="0"/>
              <w:jc w:val="right"/>
            </w:pPr>
            <w:r>
              <w:t>273</w:t>
            </w:r>
          </w:p>
        </w:tc>
        <w:tc>
          <w:tcPr>
            <w:tcW w:w="2268" w:type="dxa"/>
          </w:tcPr>
          <w:p w:rsidR="0099108B" w:rsidRDefault="0099108B" w:rsidP="004B1698">
            <w:pPr>
              <w:ind w:firstLine="0"/>
              <w:jc w:val="right"/>
            </w:pPr>
            <w:r>
              <w:t>36,49</w:t>
            </w:r>
          </w:p>
        </w:tc>
      </w:tr>
      <w:tr w:rsidR="0099108B" w:rsidTr="00487F0F">
        <w:tc>
          <w:tcPr>
            <w:tcW w:w="1980" w:type="dxa"/>
          </w:tcPr>
          <w:p w:rsidR="0099108B" w:rsidRPr="00536925" w:rsidRDefault="0099108B" w:rsidP="00536925">
            <w:pPr>
              <w:tabs>
                <w:tab w:val="right" w:pos="1818"/>
              </w:tabs>
              <w:ind w:firstLine="0"/>
              <w:rPr>
                <w:b/>
              </w:rPr>
            </w:pPr>
            <w:r w:rsidRPr="00536925">
              <w:rPr>
                <w:b/>
              </w:rPr>
              <w:t>Celkem</w:t>
            </w:r>
            <w:r w:rsidR="00536925" w:rsidRPr="00536925">
              <w:rPr>
                <w:b/>
              </w:rPr>
              <w:tab/>
            </w:r>
          </w:p>
        </w:tc>
        <w:tc>
          <w:tcPr>
            <w:tcW w:w="2551" w:type="dxa"/>
          </w:tcPr>
          <w:p w:rsidR="0099108B" w:rsidRPr="00536925" w:rsidRDefault="0099108B" w:rsidP="004B1698">
            <w:pPr>
              <w:ind w:firstLine="0"/>
              <w:jc w:val="right"/>
              <w:rPr>
                <w:b/>
              </w:rPr>
            </w:pPr>
            <w:r w:rsidRPr="00536925">
              <w:rPr>
                <w:b/>
              </w:rPr>
              <w:t>577 184</w:t>
            </w:r>
          </w:p>
        </w:tc>
        <w:tc>
          <w:tcPr>
            <w:tcW w:w="2268" w:type="dxa"/>
          </w:tcPr>
          <w:p w:rsidR="0099108B" w:rsidRPr="00536925" w:rsidRDefault="00A035A7" w:rsidP="004B1698">
            <w:pPr>
              <w:ind w:firstLine="0"/>
              <w:jc w:val="right"/>
              <w:rPr>
                <w:b/>
              </w:rPr>
            </w:pPr>
            <w:r w:rsidRPr="00536925">
              <w:rPr>
                <w:b/>
              </w:rPr>
              <w:t>238 717</w:t>
            </w:r>
          </w:p>
        </w:tc>
        <w:tc>
          <w:tcPr>
            <w:tcW w:w="2268" w:type="dxa"/>
          </w:tcPr>
          <w:p w:rsidR="0099108B" w:rsidRPr="00536925" w:rsidRDefault="0099108B" w:rsidP="004B1698">
            <w:pPr>
              <w:ind w:firstLine="0"/>
              <w:jc w:val="right"/>
              <w:rPr>
                <w:b/>
              </w:rPr>
            </w:pPr>
            <w:r w:rsidRPr="00536925">
              <w:rPr>
                <w:b/>
              </w:rPr>
              <w:t>4</w:t>
            </w:r>
            <w:r w:rsidR="00D643F0" w:rsidRPr="00536925">
              <w:rPr>
                <w:b/>
              </w:rPr>
              <w:t>1</w:t>
            </w:r>
            <w:r w:rsidRPr="00536925">
              <w:rPr>
                <w:b/>
              </w:rPr>
              <w:t>,</w:t>
            </w:r>
            <w:r w:rsidR="00D643F0" w:rsidRPr="00536925">
              <w:rPr>
                <w:b/>
              </w:rPr>
              <w:t>36</w:t>
            </w:r>
          </w:p>
        </w:tc>
      </w:tr>
    </w:tbl>
    <w:p w:rsidR="008E14A8" w:rsidRDefault="008E14A8" w:rsidP="00101453">
      <w:pPr>
        <w:ind w:firstLine="0"/>
      </w:pPr>
      <w:r>
        <w:t xml:space="preserve">Zdroj: Čtvrtletní zpráva </w:t>
      </w:r>
      <w:r w:rsidRPr="008E14A8">
        <w:t xml:space="preserve">o implementaci ESI fondů v </w:t>
      </w:r>
      <w:r w:rsidR="00C37A65">
        <w:t>ČR</w:t>
      </w:r>
      <w:r>
        <w:t xml:space="preserve"> za IV. 2019 (vlastní zpracování)</w:t>
      </w:r>
    </w:p>
    <w:p w:rsidR="004B26D2" w:rsidRDefault="004B26D2" w:rsidP="005C009B"/>
    <w:p w:rsidR="00D520F4" w:rsidRDefault="00D520F4" w:rsidP="00D84913">
      <w:pPr>
        <w:pStyle w:val="Titulek"/>
        <w:keepNext/>
        <w:spacing w:after="0" w:line="360" w:lineRule="auto"/>
        <w:ind w:firstLine="0"/>
      </w:pPr>
      <w:bookmarkStart w:id="18" w:name="_Toc38385468"/>
      <w:r w:rsidRPr="00D520F4">
        <w:rPr>
          <w:i w:val="0"/>
          <w:iCs w:val="0"/>
          <w:color w:val="auto"/>
          <w:sz w:val="24"/>
          <w:szCs w:val="24"/>
        </w:rPr>
        <w:t xml:space="preserve">Tabulka č. </w:t>
      </w:r>
      <w:r w:rsidRPr="00D520F4">
        <w:rPr>
          <w:i w:val="0"/>
          <w:iCs w:val="0"/>
          <w:color w:val="auto"/>
          <w:sz w:val="24"/>
          <w:szCs w:val="24"/>
        </w:rPr>
        <w:fldChar w:fldCharType="begin"/>
      </w:r>
      <w:r w:rsidRPr="00D520F4">
        <w:rPr>
          <w:i w:val="0"/>
          <w:iCs w:val="0"/>
          <w:color w:val="auto"/>
          <w:sz w:val="24"/>
          <w:szCs w:val="24"/>
        </w:rPr>
        <w:instrText xml:space="preserve"> SEQ Tabulka_č. \* ARABIC </w:instrText>
      </w:r>
      <w:r w:rsidRPr="00D520F4">
        <w:rPr>
          <w:i w:val="0"/>
          <w:iCs w:val="0"/>
          <w:color w:val="auto"/>
          <w:sz w:val="24"/>
          <w:szCs w:val="24"/>
        </w:rPr>
        <w:fldChar w:fldCharType="separate"/>
      </w:r>
      <w:r w:rsidR="006B6614">
        <w:rPr>
          <w:i w:val="0"/>
          <w:iCs w:val="0"/>
          <w:noProof/>
          <w:color w:val="auto"/>
          <w:sz w:val="24"/>
          <w:szCs w:val="24"/>
        </w:rPr>
        <w:t>3</w:t>
      </w:r>
      <w:r w:rsidRPr="00D520F4">
        <w:rPr>
          <w:i w:val="0"/>
          <w:iCs w:val="0"/>
          <w:color w:val="auto"/>
          <w:sz w:val="24"/>
          <w:szCs w:val="24"/>
        </w:rPr>
        <w:fldChar w:fldCharType="end"/>
      </w:r>
      <w:r w:rsidRPr="00D520F4">
        <w:rPr>
          <w:i w:val="0"/>
          <w:iCs w:val="0"/>
          <w:color w:val="auto"/>
          <w:sz w:val="24"/>
          <w:szCs w:val="24"/>
        </w:rPr>
        <w:t xml:space="preserve">: </w:t>
      </w:r>
      <w:r w:rsidR="00536925" w:rsidRPr="00C06911">
        <w:rPr>
          <w:i w:val="0"/>
          <w:iCs w:val="0"/>
          <w:color w:val="auto"/>
          <w:sz w:val="24"/>
          <w:szCs w:val="24"/>
        </w:rPr>
        <w:t xml:space="preserve">Stav čerpání v programovém období 2014–2020 k 31. 12. 2019, členění podle </w:t>
      </w:r>
      <w:r w:rsidR="00536925">
        <w:rPr>
          <w:i w:val="0"/>
          <w:iCs w:val="0"/>
          <w:color w:val="auto"/>
          <w:sz w:val="24"/>
          <w:szCs w:val="24"/>
        </w:rPr>
        <w:t>operačních</w:t>
      </w:r>
      <w:r w:rsidR="00536925" w:rsidRPr="00C06911">
        <w:rPr>
          <w:i w:val="0"/>
          <w:iCs w:val="0"/>
          <w:color w:val="auto"/>
          <w:sz w:val="24"/>
          <w:szCs w:val="24"/>
        </w:rPr>
        <w:t xml:space="preserve"> programů</w:t>
      </w:r>
      <w:bookmarkEnd w:id="18"/>
    </w:p>
    <w:tbl>
      <w:tblPr>
        <w:tblStyle w:val="Mkatabulky"/>
        <w:tblW w:w="9067" w:type="dxa"/>
        <w:tblLook w:val="04A0" w:firstRow="1" w:lastRow="0" w:firstColumn="1" w:lastColumn="0" w:noHBand="0" w:noVBand="1"/>
      </w:tblPr>
      <w:tblGrid>
        <w:gridCol w:w="2547"/>
        <w:gridCol w:w="1984"/>
        <w:gridCol w:w="2268"/>
        <w:gridCol w:w="2268"/>
      </w:tblGrid>
      <w:tr w:rsidR="00536925" w:rsidTr="00487F0F">
        <w:tc>
          <w:tcPr>
            <w:tcW w:w="2547" w:type="dxa"/>
            <w:vAlign w:val="center"/>
          </w:tcPr>
          <w:p w:rsidR="00487F0F" w:rsidRDefault="00487F0F" w:rsidP="00FE7933">
            <w:pPr>
              <w:ind w:firstLine="0"/>
              <w:jc w:val="center"/>
              <w:rPr>
                <w:b/>
              </w:rPr>
            </w:pPr>
            <w:r>
              <w:rPr>
                <w:b/>
              </w:rPr>
              <w:t>Operační</w:t>
            </w:r>
          </w:p>
          <w:p w:rsidR="00536925" w:rsidRPr="00536925" w:rsidRDefault="00536925" w:rsidP="00FE7933">
            <w:pPr>
              <w:ind w:firstLine="0"/>
              <w:jc w:val="center"/>
              <w:rPr>
                <w:b/>
              </w:rPr>
            </w:pPr>
            <w:r w:rsidRPr="00536925">
              <w:rPr>
                <w:b/>
              </w:rPr>
              <w:t>program</w:t>
            </w:r>
          </w:p>
        </w:tc>
        <w:tc>
          <w:tcPr>
            <w:tcW w:w="1984" w:type="dxa"/>
            <w:vAlign w:val="center"/>
          </w:tcPr>
          <w:p w:rsidR="00536925" w:rsidRPr="00536925" w:rsidRDefault="00536925" w:rsidP="00FE7933">
            <w:pPr>
              <w:ind w:firstLine="0"/>
              <w:jc w:val="center"/>
              <w:rPr>
                <w:b/>
              </w:rPr>
            </w:pPr>
            <w:r w:rsidRPr="00536925">
              <w:rPr>
                <w:b/>
              </w:rPr>
              <w:t>Celková alokace (mil. Kč)</w:t>
            </w:r>
          </w:p>
        </w:tc>
        <w:tc>
          <w:tcPr>
            <w:tcW w:w="2268" w:type="dxa"/>
            <w:vAlign w:val="center"/>
          </w:tcPr>
          <w:p w:rsidR="00536925" w:rsidRPr="00536925" w:rsidRDefault="00536925" w:rsidP="00FE7933">
            <w:pPr>
              <w:ind w:firstLine="0"/>
              <w:jc w:val="center"/>
              <w:rPr>
                <w:b/>
              </w:rPr>
            </w:pPr>
            <w:r w:rsidRPr="00536925">
              <w:rPr>
                <w:b/>
                <w:bCs/>
              </w:rPr>
              <w:t>Proplaceno nebo předloženo v žádostech o platbu (mil. Kč)</w:t>
            </w:r>
          </w:p>
        </w:tc>
        <w:tc>
          <w:tcPr>
            <w:tcW w:w="2268" w:type="dxa"/>
            <w:vAlign w:val="center"/>
          </w:tcPr>
          <w:p w:rsidR="00536925" w:rsidRPr="00536925" w:rsidRDefault="00536925" w:rsidP="00FE7933">
            <w:pPr>
              <w:ind w:firstLine="0"/>
              <w:jc w:val="center"/>
              <w:rPr>
                <w:b/>
              </w:rPr>
            </w:pPr>
            <w:r w:rsidRPr="00536925">
              <w:rPr>
                <w:b/>
              </w:rPr>
              <w:t>Čerpání z celkové alokace (%)</w:t>
            </w:r>
          </w:p>
        </w:tc>
      </w:tr>
      <w:tr w:rsidR="007B184E" w:rsidTr="00487F0F">
        <w:tc>
          <w:tcPr>
            <w:tcW w:w="2547" w:type="dxa"/>
          </w:tcPr>
          <w:p w:rsidR="007B184E" w:rsidRPr="003A0A89" w:rsidRDefault="007B184E" w:rsidP="00F972B8">
            <w:pPr>
              <w:spacing w:before="100" w:beforeAutospacing="1" w:after="100" w:afterAutospacing="1" w:line="240" w:lineRule="auto"/>
              <w:ind w:firstLine="0"/>
              <w:jc w:val="left"/>
              <w:rPr>
                <w:color w:val="000000"/>
              </w:rPr>
            </w:pPr>
            <w:r w:rsidRPr="003A0A89">
              <w:rPr>
                <w:color w:val="000000"/>
              </w:rPr>
              <w:t>Program rozvoje venkova</w:t>
            </w:r>
          </w:p>
        </w:tc>
        <w:tc>
          <w:tcPr>
            <w:tcW w:w="1984" w:type="dxa"/>
          </w:tcPr>
          <w:p w:rsidR="007B184E" w:rsidRPr="003A0A89" w:rsidRDefault="007B184E" w:rsidP="00487F0F">
            <w:pPr>
              <w:spacing w:before="100" w:beforeAutospacing="1" w:after="100" w:afterAutospacing="1" w:line="240" w:lineRule="auto"/>
              <w:ind w:firstLine="0"/>
              <w:jc w:val="right"/>
              <w:rPr>
                <w:color w:val="000000"/>
              </w:rPr>
            </w:pPr>
            <w:r>
              <w:rPr>
                <w:color w:val="000000"/>
              </w:rPr>
              <w:t>56 387</w:t>
            </w:r>
          </w:p>
        </w:tc>
        <w:tc>
          <w:tcPr>
            <w:tcW w:w="2268" w:type="dxa"/>
          </w:tcPr>
          <w:p w:rsidR="007B184E" w:rsidRDefault="007B184E" w:rsidP="00487F0F">
            <w:pPr>
              <w:ind w:firstLine="0"/>
              <w:jc w:val="right"/>
            </w:pPr>
            <w:r>
              <w:t>34 864</w:t>
            </w:r>
          </w:p>
        </w:tc>
        <w:tc>
          <w:tcPr>
            <w:tcW w:w="2268" w:type="dxa"/>
          </w:tcPr>
          <w:p w:rsidR="007B184E" w:rsidRDefault="007B184E" w:rsidP="00487F0F">
            <w:pPr>
              <w:ind w:firstLine="0"/>
              <w:jc w:val="right"/>
            </w:pPr>
            <w:r>
              <w:t>61,83</w:t>
            </w:r>
          </w:p>
        </w:tc>
      </w:tr>
      <w:tr w:rsidR="007B184E" w:rsidTr="00487F0F">
        <w:tc>
          <w:tcPr>
            <w:tcW w:w="2547" w:type="dxa"/>
          </w:tcPr>
          <w:p w:rsidR="007B184E" w:rsidRPr="003A0A89" w:rsidRDefault="007B184E" w:rsidP="00F972B8">
            <w:pPr>
              <w:spacing w:before="100" w:beforeAutospacing="1" w:after="100" w:afterAutospacing="1" w:line="240" w:lineRule="auto"/>
              <w:ind w:firstLine="0"/>
              <w:jc w:val="left"/>
              <w:rPr>
                <w:color w:val="000000"/>
              </w:rPr>
            </w:pPr>
            <w:r w:rsidRPr="003A0A89">
              <w:rPr>
                <w:color w:val="000000"/>
              </w:rPr>
              <w:t>Zaměstnanost</w:t>
            </w:r>
          </w:p>
        </w:tc>
        <w:tc>
          <w:tcPr>
            <w:tcW w:w="1984" w:type="dxa"/>
          </w:tcPr>
          <w:p w:rsidR="007B184E" w:rsidRDefault="007B184E" w:rsidP="00487F0F">
            <w:pPr>
              <w:spacing w:before="100" w:beforeAutospacing="1" w:after="100" w:afterAutospacing="1" w:line="240" w:lineRule="auto"/>
              <w:ind w:firstLine="0"/>
              <w:jc w:val="right"/>
              <w:rPr>
                <w:color w:val="000000"/>
              </w:rPr>
            </w:pPr>
            <w:r>
              <w:rPr>
                <w:color w:val="000000"/>
              </w:rPr>
              <w:t>52 069</w:t>
            </w:r>
          </w:p>
        </w:tc>
        <w:tc>
          <w:tcPr>
            <w:tcW w:w="2268" w:type="dxa"/>
          </w:tcPr>
          <w:p w:rsidR="007B184E" w:rsidRPr="003A0A89" w:rsidRDefault="007B184E" w:rsidP="00487F0F">
            <w:pPr>
              <w:spacing w:before="100" w:beforeAutospacing="1" w:after="100" w:afterAutospacing="1" w:line="240" w:lineRule="auto"/>
              <w:ind w:firstLine="0"/>
              <w:jc w:val="right"/>
              <w:rPr>
                <w:color w:val="000000"/>
              </w:rPr>
            </w:pPr>
            <w:r>
              <w:rPr>
                <w:color w:val="000000"/>
              </w:rPr>
              <w:t>26 286</w:t>
            </w:r>
          </w:p>
        </w:tc>
        <w:tc>
          <w:tcPr>
            <w:tcW w:w="2268" w:type="dxa"/>
          </w:tcPr>
          <w:p w:rsidR="007B184E" w:rsidRDefault="007B184E" w:rsidP="00487F0F">
            <w:pPr>
              <w:ind w:firstLine="0"/>
              <w:jc w:val="right"/>
            </w:pPr>
            <w:r>
              <w:t>50,48</w:t>
            </w:r>
          </w:p>
        </w:tc>
      </w:tr>
      <w:tr w:rsidR="007B184E" w:rsidTr="00487F0F">
        <w:tc>
          <w:tcPr>
            <w:tcW w:w="2547" w:type="dxa"/>
          </w:tcPr>
          <w:p w:rsidR="007B184E" w:rsidRPr="003A0A89" w:rsidRDefault="007B184E" w:rsidP="00F972B8">
            <w:pPr>
              <w:spacing w:before="100" w:beforeAutospacing="1" w:after="100" w:afterAutospacing="1" w:line="240" w:lineRule="auto"/>
              <w:ind w:firstLine="0"/>
              <w:jc w:val="left"/>
              <w:rPr>
                <w:color w:val="000000"/>
              </w:rPr>
            </w:pPr>
            <w:r w:rsidRPr="003A0A89">
              <w:rPr>
                <w:color w:val="000000"/>
              </w:rPr>
              <w:t>Technická pomoc</w:t>
            </w:r>
          </w:p>
        </w:tc>
        <w:tc>
          <w:tcPr>
            <w:tcW w:w="1984" w:type="dxa"/>
          </w:tcPr>
          <w:p w:rsidR="007B184E" w:rsidRPr="003A0A89" w:rsidRDefault="007B184E" w:rsidP="00487F0F">
            <w:pPr>
              <w:spacing w:before="100" w:beforeAutospacing="1" w:after="100" w:afterAutospacing="1" w:line="240" w:lineRule="auto"/>
              <w:ind w:firstLine="0"/>
              <w:jc w:val="right"/>
              <w:rPr>
                <w:color w:val="000000"/>
              </w:rPr>
            </w:pPr>
            <w:r>
              <w:rPr>
                <w:color w:val="000000"/>
              </w:rPr>
              <w:t>5 415</w:t>
            </w:r>
          </w:p>
        </w:tc>
        <w:tc>
          <w:tcPr>
            <w:tcW w:w="2268" w:type="dxa"/>
          </w:tcPr>
          <w:p w:rsidR="007B184E" w:rsidRPr="003A0A89" w:rsidRDefault="007B184E" w:rsidP="00487F0F">
            <w:pPr>
              <w:spacing w:before="100" w:beforeAutospacing="1" w:after="100" w:afterAutospacing="1" w:line="240" w:lineRule="auto"/>
              <w:ind w:firstLine="0"/>
              <w:jc w:val="right"/>
              <w:rPr>
                <w:color w:val="000000"/>
              </w:rPr>
            </w:pPr>
            <w:r>
              <w:rPr>
                <w:color w:val="000000"/>
              </w:rPr>
              <w:t>2 802</w:t>
            </w:r>
          </w:p>
        </w:tc>
        <w:tc>
          <w:tcPr>
            <w:tcW w:w="2268" w:type="dxa"/>
          </w:tcPr>
          <w:p w:rsidR="007B184E" w:rsidRDefault="007B184E" w:rsidP="00487F0F">
            <w:pPr>
              <w:ind w:firstLine="0"/>
              <w:jc w:val="right"/>
            </w:pPr>
            <w:r>
              <w:t>51,74</w:t>
            </w:r>
          </w:p>
        </w:tc>
      </w:tr>
      <w:tr w:rsidR="007B184E" w:rsidTr="00487F0F">
        <w:tc>
          <w:tcPr>
            <w:tcW w:w="2547" w:type="dxa"/>
          </w:tcPr>
          <w:p w:rsidR="007B184E" w:rsidRPr="003A0A89" w:rsidRDefault="007B184E" w:rsidP="00F972B8">
            <w:pPr>
              <w:spacing w:before="100" w:beforeAutospacing="1" w:after="100" w:afterAutospacing="1" w:line="240" w:lineRule="auto"/>
              <w:ind w:firstLine="0"/>
              <w:jc w:val="left"/>
              <w:rPr>
                <w:color w:val="000000"/>
              </w:rPr>
            </w:pPr>
            <w:r w:rsidRPr="003A0A89">
              <w:rPr>
                <w:color w:val="000000"/>
              </w:rPr>
              <w:t>Doprava</w:t>
            </w:r>
          </w:p>
        </w:tc>
        <w:tc>
          <w:tcPr>
            <w:tcW w:w="1984" w:type="dxa"/>
          </w:tcPr>
          <w:p w:rsidR="007B184E" w:rsidRDefault="007B184E" w:rsidP="00487F0F">
            <w:pPr>
              <w:spacing w:before="100" w:beforeAutospacing="1" w:after="100" w:afterAutospacing="1" w:line="240" w:lineRule="auto"/>
              <w:ind w:firstLine="0"/>
              <w:jc w:val="right"/>
              <w:rPr>
                <w:color w:val="000000"/>
              </w:rPr>
            </w:pPr>
            <w:r>
              <w:rPr>
                <w:color w:val="000000"/>
              </w:rPr>
              <w:t>110 265</w:t>
            </w:r>
          </w:p>
        </w:tc>
        <w:tc>
          <w:tcPr>
            <w:tcW w:w="2268" w:type="dxa"/>
          </w:tcPr>
          <w:p w:rsidR="007B184E" w:rsidRPr="003A0A89" w:rsidRDefault="007B184E" w:rsidP="00487F0F">
            <w:pPr>
              <w:spacing w:before="100" w:beforeAutospacing="1" w:after="100" w:afterAutospacing="1" w:line="240" w:lineRule="auto"/>
              <w:ind w:firstLine="0"/>
              <w:jc w:val="right"/>
              <w:rPr>
                <w:color w:val="000000"/>
              </w:rPr>
            </w:pPr>
            <w:r>
              <w:rPr>
                <w:color w:val="000000"/>
              </w:rPr>
              <w:t>47 623</w:t>
            </w:r>
          </w:p>
        </w:tc>
        <w:tc>
          <w:tcPr>
            <w:tcW w:w="2268" w:type="dxa"/>
          </w:tcPr>
          <w:p w:rsidR="007B184E" w:rsidRDefault="007B184E" w:rsidP="00487F0F">
            <w:pPr>
              <w:ind w:firstLine="0"/>
              <w:jc w:val="right"/>
            </w:pPr>
            <w:r>
              <w:t>43,19</w:t>
            </w:r>
          </w:p>
        </w:tc>
      </w:tr>
      <w:tr w:rsidR="007B184E" w:rsidTr="00487F0F">
        <w:tc>
          <w:tcPr>
            <w:tcW w:w="2547" w:type="dxa"/>
          </w:tcPr>
          <w:p w:rsidR="007B184E" w:rsidRPr="003A0A89" w:rsidRDefault="007B184E" w:rsidP="00F972B8">
            <w:pPr>
              <w:spacing w:before="100" w:beforeAutospacing="1" w:after="100" w:afterAutospacing="1" w:line="240" w:lineRule="auto"/>
              <w:ind w:firstLine="0"/>
              <w:jc w:val="left"/>
              <w:rPr>
                <w:color w:val="000000"/>
              </w:rPr>
            </w:pPr>
            <w:r w:rsidRPr="003A0A89">
              <w:rPr>
                <w:color w:val="000000"/>
              </w:rPr>
              <w:t>Integrovaný regionální operační program</w:t>
            </w:r>
          </w:p>
        </w:tc>
        <w:tc>
          <w:tcPr>
            <w:tcW w:w="1984" w:type="dxa"/>
          </w:tcPr>
          <w:p w:rsidR="007B184E" w:rsidRDefault="007B184E" w:rsidP="00487F0F">
            <w:pPr>
              <w:spacing w:before="100" w:beforeAutospacing="1" w:after="100" w:afterAutospacing="1" w:line="240" w:lineRule="auto"/>
              <w:ind w:firstLine="0"/>
              <w:jc w:val="right"/>
              <w:rPr>
                <w:color w:val="000000"/>
              </w:rPr>
            </w:pPr>
            <w:r>
              <w:rPr>
                <w:color w:val="000000"/>
              </w:rPr>
              <w:t>114 780</w:t>
            </w:r>
          </w:p>
        </w:tc>
        <w:tc>
          <w:tcPr>
            <w:tcW w:w="2268" w:type="dxa"/>
          </w:tcPr>
          <w:p w:rsidR="007B184E" w:rsidRPr="003A0A89" w:rsidRDefault="007B184E" w:rsidP="00487F0F">
            <w:pPr>
              <w:spacing w:before="100" w:beforeAutospacing="1" w:after="100" w:afterAutospacing="1" w:line="240" w:lineRule="auto"/>
              <w:ind w:firstLine="0"/>
              <w:jc w:val="right"/>
              <w:rPr>
                <w:color w:val="000000"/>
              </w:rPr>
            </w:pPr>
            <w:r>
              <w:rPr>
                <w:color w:val="000000"/>
              </w:rPr>
              <w:t>43 637</w:t>
            </w:r>
          </w:p>
        </w:tc>
        <w:tc>
          <w:tcPr>
            <w:tcW w:w="2268" w:type="dxa"/>
          </w:tcPr>
          <w:p w:rsidR="007B184E" w:rsidRDefault="007B184E" w:rsidP="00487F0F">
            <w:pPr>
              <w:ind w:firstLine="0"/>
              <w:jc w:val="right"/>
            </w:pPr>
            <w:r>
              <w:t>38,02</w:t>
            </w:r>
          </w:p>
        </w:tc>
      </w:tr>
      <w:tr w:rsidR="007B184E" w:rsidTr="00487F0F">
        <w:tc>
          <w:tcPr>
            <w:tcW w:w="2547" w:type="dxa"/>
          </w:tcPr>
          <w:p w:rsidR="007B184E" w:rsidRPr="003A0A89" w:rsidRDefault="007B184E" w:rsidP="00F972B8">
            <w:pPr>
              <w:spacing w:before="100" w:beforeAutospacing="1" w:after="100" w:afterAutospacing="1" w:line="240" w:lineRule="auto"/>
              <w:ind w:firstLine="0"/>
              <w:jc w:val="left"/>
              <w:rPr>
                <w:color w:val="000000"/>
              </w:rPr>
            </w:pPr>
            <w:r w:rsidRPr="003A0A89">
              <w:rPr>
                <w:color w:val="000000"/>
              </w:rPr>
              <w:t>Životní prostředí</w:t>
            </w:r>
          </w:p>
        </w:tc>
        <w:tc>
          <w:tcPr>
            <w:tcW w:w="1984" w:type="dxa"/>
          </w:tcPr>
          <w:p w:rsidR="007B184E" w:rsidRDefault="007B184E" w:rsidP="00487F0F">
            <w:pPr>
              <w:spacing w:before="100" w:beforeAutospacing="1" w:after="100" w:afterAutospacing="1" w:line="240" w:lineRule="auto"/>
              <w:ind w:firstLine="0"/>
              <w:jc w:val="right"/>
              <w:rPr>
                <w:color w:val="000000"/>
              </w:rPr>
            </w:pPr>
            <w:r>
              <w:rPr>
                <w:color w:val="000000"/>
              </w:rPr>
              <w:t>67 182</w:t>
            </w:r>
          </w:p>
        </w:tc>
        <w:tc>
          <w:tcPr>
            <w:tcW w:w="2268" w:type="dxa"/>
          </w:tcPr>
          <w:p w:rsidR="007B184E" w:rsidRPr="003A0A89" w:rsidRDefault="007B184E" w:rsidP="00487F0F">
            <w:pPr>
              <w:spacing w:before="100" w:beforeAutospacing="1" w:after="100" w:afterAutospacing="1" w:line="240" w:lineRule="auto"/>
              <w:ind w:firstLine="0"/>
              <w:jc w:val="right"/>
              <w:rPr>
                <w:color w:val="000000"/>
              </w:rPr>
            </w:pPr>
            <w:r>
              <w:rPr>
                <w:color w:val="000000"/>
              </w:rPr>
              <w:t>25 753</w:t>
            </w:r>
          </w:p>
        </w:tc>
        <w:tc>
          <w:tcPr>
            <w:tcW w:w="2268" w:type="dxa"/>
          </w:tcPr>
          <w:p w:rsidR="007B184E" w:rsidRDefault="007B184E" w:rsidP="00487F0F">
            <w:pPr>
              <w:ind w:firstLine="0"/>
              <w:jc w:val="right"/>
            </w:pPr>
            <w:r>
              <w:t>38,33</w:t>
            </w:r>
          </w:p>
        </w:tc>
      </w:tr>
      <w:tr w:rsidR="007B184E" w:rsidTr="00487F0F">
        <w:tc>
          <w:tcPr>
            <w:tcW w:w="2547" w:type="dxa"/>
          </w:tcPr>
          <w:p w:rsidR="007B184E" w:rsidRPr="003A0A89" w:rsidRDefault="007B184E" w:rsidP="00F972B8">
            <w:pPr>
              <w:spacing w:before="100" w:beforeAutospacing="1" w:after="100" w:afterAutospacing="1" w:line="240" w:lineRule="auto"/>
              <w:ind w:firstLine="0"/>
              <w:jc w:val="left"/>
              <w:rPr>
                <w:color w:val="000000"/>
              </w:rPr>
            </w:pPr>
            <w:r w:rsidRPr="003A0A89">
              <w:rPr>
                <w:color w:val="000000"/>
              </w:rPr>
              <w:t>Výzkum, vývoj a vzdělávání</w:t>
            </w:r>
          </w:p>
        </w:tc>
        <w:tc>
          <w:tcPr>
            <w:tcW w:w="1984" w:type="dxa"/>
          </w:tcPr>
          <w:p w:rsidR="007B184E" w:rsidRDefault="007B184E" w:rsidP="00487F0F">
            <w:pPr>
              <w:spacing w:before="100" w:beforeAutospacing="1" w:after="100" w:afterAutospacing="1" w:line="240" w:lineRule="auto"/>
              <w:ind w:firstLine="0"/>
              <w:jc w:val="right"/>
              <w:rPr>
                <w:color w:val="000000"/>
              </w:rPr>
            </w:pPr>
            <w:r>
              <w:rPr>
                <w:color w:val="000000"/>
              </w:rPr>
              <w:t>66 745</w:t>
            </w:r>
          </w:p>
        </w:tc>
        <w:tc>
          <w:tcPr>
            <w:tcW w:w="2268" w:type="dxa"/>
          </w:tcPr>
          <w:p w:rsidR="007B184E" w:rsidRPr="003A0A89" w:rsidRDefault="007B184E" w:rsidP="00487F0F">
            <w:pPr>
              <w:spacing w:before="100" w:beforeAutospacing="1" w:after="100" w:afterAutospacing="1" w:line="240" w:lineRule="auto"/>
              <w:ind w:firstLine="0"/>
              <w:jc w:val="right"/>
              <w:rPr>
                <w:color w:val="000000"/>
              </w:rPr>
            </w:pPr>
            <w:r>
              <w:rPr>
                <w:color w:val="000000"/>
              </w:rPr>
              <w:t>25 090</w:t>
            </w:r>
          </w:p>
        </w:tc>
        <w:tc>
          <w:tcPr>
            <w:tcW w:w="2268" w:type="dxa"/>
          </w:tcPr>
          <w:p w:rsidR="007B184E" w:rsidRDefault="007B184E" w:rsidP="00487F0F">
            <w:pPr>
              <w:ind w:firstLine="0"/>
              <w:jc w:val="right"/>
            </w:pPr>
            <w:r>
              <w:t>37,59</w:t>
            </w:r>
          </w:p>
        </w:tc>
      </w:tr>
      <w:tr w:rsidR="007B184E" w:rsidTr="00487F0F">
        <w:tc>
          <w:tcPr>
            <w:tcW w:w="2547" w:type="dxa"/>
          </w:tcPr>
          <w:p w:rsidR="007B184E" w:rsidRPr="003A0A89" w:rsidRDefault="007B184E" w:rsidP="00F972B8">
            <w:pPr>
              <w:spacing w:before="100" w:beforeAutospacing="1" w:after="100" w:afterAutospacing="1" w:line="240" w:lineRule="auto"/>
              <w:ind w:firstLine="0"/>
              <w:jc w:val="left"/>
              <w:rPr>
                <w:color w:val="000000"/>
              </w:rPr>
            </w:pPr>
            <w:r w:rsidRPr="003A0A89">
              <w:rPr>
                <w:color w:val="000000"/>
              </w:rPr>
              <w:t>Rybářství</w:t>
            </w:r>
            <w:r>
              <w:rPr>
                <w:color w:val="000000"/>
              </w:rPr>
              <w:t xml:space="preserve"> 2014 - 2020</w:t>
            </w:r>
          </w:p>
        </w:tc>
        <w:tc>
          <w:tcPr>
            <w:tcW w:w="1984" w:type="dxa"/>
          </w:tcPr>
          <w:p w:rsidR="007B184E" w:rsidRPr="003A0A89" w:rsidRDefault="007B184E" w:rsidP="00487F0F">
            <w:pPr>
              <w:spacing w:before="100" w:beforeAutospacing="1" w:after="100" w:afterAutospacing="1" w:line="240" w:lineRule="auto"/>
              <w:ind w:firstLine="0"/>
              <w:jc w:val="right"/>
              <w:rPr>
                <w:color w:val="000000"/>
              </w:rPr>
            </w:pPr>
            <w:r>
              <w:rPr>
                <w:color w:val="000000"/>
              </w:rPr>
              <w:t>748</w:t>
            </w:r>
          </w:p>
        </w:tc>
        <w:tc>
          <w:tcPr>
            <w:tcW w:w="2268" w:type="dxa"/>
          </w:tcPr>
          <w:p w:rsidR="007B184E" w:rsidRPr="003A0A89" w:rsidRDefault="007B184E" w:rsidP="00487F0F">
            <w:pPr>
              <w:spacing w:before="100" w:beforeAutospacing="1" w:after="100" w:afterAutospacing="1" w:line="240" w:lineRule="auto"/>
              <w:ind w:firstLine="0"/>
              <w:jc w:val="right"/>
              <w:rPr>
                <w:color w:val="000000"/>
              </w:rPr>
            </w:pPr>
            <w:r>
              <w:rPr>
                <w:color w:val="000000"/>
              </w:rPr>
              <w:t>273</w:t>
            </w:r>
          </w:p>
        </w:tc>
        <w:tc>
          <w:tcPr>
            <w:tcW w:w="2268" w:type="dxa"/>
          </w:tcPr>
          <w:p w:rsidR="007B184E" w:rsidRDefault="007B184E" w:rsidP="00487F0F">
            <w:pPr>
              <w:ind w:firstLine="0"/>
              <w:jc w:val="right"/>
            </w:pPr>
            <w:r>
              <w:t>36,52</w:t>
            </w:r>
          </w:p>
        </w:tc>
      </w:tr>
      <w:tr w:rsidR="007B184E" w:rsidTr="00487F0F">
        <w:tc>
          <w:tcPr>
            <w:tcW w:w="2547" w:type="dxa"/>
          </w:tcPr>
          <w:p w:rsidR="007B184E" w:rsidRPr="003A0A89" w:rsidRDefault="007B184E" w:rsidP="00F972B8">
            <w:pPr>
              <w:spacing w:before="100" w:beforeAutospacing="1" w:after="100" w:afterAutospacing="1" w:line="240" w:lineRule="auto"/>
              <w:ind w:firstLine="0"/>
              <w:jc w:val="left"/>
              <w:rPr>
                <w:color w:val="000000"/>
              </w:rPr>
            </w:pPr>
            <w:r w:rsidRPr="003A0A89">
              <w:rPr>
                <w:color w:val="000000"/>
              </w:rPr>
              <w:t>Podnikání a inovace pro konkurenceschopnost</w:t>
            </w:r>
          </w:p>
        </w:tc>
        <w:tc>
          <w:tcPr>
            <w:tcW w:w="1984" w:type="dxa"/>
          </w:tcPr>
          <w:p w:rsidR="007B184E" w:rsidRDefault="007B184E" w:rsidP="00487F0F">
            <w:pPr>
              <w:spacing w:before="100" w:beforeAutospacing="1" w:after="100" w:afterAutospacing="1" w:line="240" w:lineRule="auto"/>
              <w:ind w:firstLine="0"/>
              <w:jc w:val="right"/>
              <w:rPr>
                <w:color w:val="000000"/>
              </w:rPr>
            </w:pPr>
            <w:r>
              <w:rPr>
                <w:color w:val="000000"/>
              </w:rPr>
              <w:t>98 731</w:t>
            </w:r>
          </w:p>
        </w:tc>
        <w:tc>
          <w:tcPr>
            <w:tcW w:w="2268" w:type="dxa"/>
          </w:tcPr>
          <w:p w:rsidR="007B184E" w:rsidRPr="003A0A89" w:rsidRDefault="007B184E" w:rsidP="00487F0F">
            <w:pPr>
              <w:spacing w:before="100" w:beforeAutospacing="1" w:after="100" w:afterAutospacing="1" w:line="240" w:lineRule="auto"/>
              <w:ind w:firstLine="0"/>
              <w:jc w:val="right"/>
              <w:rPr>
                <w:color w:val="000000"/>
              </w:rPr>
            </w:pPr>
            <w:r>
              <w:rPr>
                <w:color w:val="000000"/>
              </w:rPr>
              <w:t>30 905</w:t>
            </w:r>
          </w:p>
        </w:tc>
        <w:tc>
          <w:tcPr>
            <w:tcW w:w="2268" w:type="dxa"/>
          </w:tcPr>
          <w:p w:rsidR="007B184E" w:rsidRDefault="007B184E" w:rsidP="00487F0F">
            <w:pPr>
              <w:ind w:firstLine="0"/>
              <w:jc w:val="right"/>
            </w:pPr>
            <w:r>
              <w:t>31,30</w:t>
            </w:r>
          </w:p>
        </w:tc>
      </w:tr>
      <w:tr w:rsidR="007B184E" w:rsidTr="00487F0F">
        <w:tc>
          <w:tcPr>
            <w:tcW w:w="2547" w:type="dxa"/>
          </w:tcPr>
          <w:p w:rsidR="007B184E" w:rsidRPr="003A0A89" w:rsidRDefault="007B184E" w:rsidP="00F972B8">
            <w:pPr>
              <w:spacing w:before="100" w:beforeAutospacing="1" w:after="100" w:afterAutospacing="1" w:line="240" w:lineRule="auto"/>
              <w:ind w:firstLine="0"/>
              <w:jc w:val="left"/>
              <w:rPr>
                <w:color w:val="000000"/>
              </w:rPr>
            </w:pPr>
            <w:r w:rsidRPr="003A0A89">
              <w:rPr>
                <w:color w:val="000000"/>
              </w:rPr>
              <w:t>Praha – pól růstu ČR</w:t>
            </w:r>
          </w:p>
        </w:tc>
        <w:tc>
          <w:tcPr>
            <w:tcW w:w="1984" w:type="dxa"/>
          </w:tcPr>
          <w:p w:rsidR="007B184E" w:rsidRPr="003A0A89" w:rsidRDefault="007B184E" w:rsidP="00487F0F">
            <w:pPr>
              <w:spacing w:before="100" w:beforeAutospacing="1" w:after="100" w:afterAutospacing="1" w:line="240" w:lineRule="auto"/>
              <w:ind w:firstLine="0"/>
              <w:jc w:val="right"/>
              <w:rPr>
                <w:color w:val="000000"/>
              </w:rPr>
            </w:pPr>
            <w:r>
              <w:rPr>
                <w:color w:val="000000"/>
              </w:rPr>
              <w:t>4 859</w:t>
            </w:r>
          </w:p>
        </w:tc>
        <w:tc>
          <w:tcPr>
            <w:tcW w:w="2268" w:type="dxa"/>
          </w:tcPr>
          <w:p w:rsidR="007B184E" w:rsidRPr="003A0A89" w:rsidRDefault="007B184E" w:rsidP="00487F0F">
            <w:pPr>
              <w:spacing w:before="100" w:beforeAutospacing="1" w:after="100" w:afterAutospacing="1" w:line="240" w:lineRule="auto"/>
              <w:ind w:firstLine="0"/>
              <w:jc w:val="right"/>
              <w:rPr>
                <w:color w:val="000000"/>
              </w:rPr>
            </w:pPr>
            <w:r>
              <w:rPr>
                <w:color w:val="000000"/>
              </w:rPr>
              <w:t>1 484</w:t>
            </w:r>
          </w:p>
        </w:tc>
        <w:tc>
          <w:tcPr>
            <w:tcW w:w="2268" w:type="dxa"/>
          </w:tcPr>
          <w:p w:rsidR="007B184E" w:rsidRDefault="007B184E" w:rsidP="00487F0F">
            <w:pPr>
              <w:ind w:firstLine="0"/>
              <w:jc w:val="right"/>
            </w:pPr>
            <w:r>
              <w:t>30,54</w:t>
            </w:r>
          </w:p>
        </w:tc>
      </w:tr>
      <w:tr w:rsidR="007B184E" w:rsidTr="00487F0F">
        <w:tc>
          <w:tcPr>
            <w:tcW w:w="2547" w:type="dxa"/>
          </w:tcPr>
          <w:p w:rsidR="007B184E" w:rsidRPr="00536925" w:rsidRDefault="007B184E" w:rsidP="00F972B8">
            <w:pPr>
              <w:spacing w:before="100" w:beforeAutospacing="1" w:after="100" w:afterAutospacing="1" w:line="240" w:lineRule="auto"/>
              <w:ind w:firstLine="0"/>
              <w:jc w:val="left"/>
              <w:rPr>
                <w:b/>
                <w:color w:val="000000"/>
              </w:rPr>
            </w:pPr>
            <w:r w:rsidRPr="00536925">
              <w:rPr>
                <w:b/>
                <w:color w:val="000000"/>
              </w:rPr>
              <w:t>Celkem</w:t>
            </w:r>
          </w:p>
        </w:tc>
        <w:tc>
          <w:tcPr>
            <w:tcW w:w="1984" w:type="dxa"/>
          </w:tcPr>
          <w:p w:rsidR="007B184E" w:rsidRPr="00536925" w:rsidRDefault="007B184E" w:rsidP="00487F0F">
            <w:pPr>
              <w:spacing w:before="100" w:beforeAutospacing="1" w:after="100" w:afterAutospacing="1" w:line="240" w:lineRule="auto"/>
              <w:ind w:firstLine="0"/>
              <w:jc w:val="right"/>
              <w:rPr>
                <w:b/>
                <w:color w:val="000000"/>
              </w:rPr>
            </w:pPr>
            <w:r w:rsidRPr="00536925">
              <w:rPr>
                <w:b/>
                <w:color w:val="000000"/>
              </w:rPr>
              <w:t>577 184</w:t>
            </w:r>
          </w:p>
        </w:tc>
        <w:tc>
          <w:tcPr>
            <w:tcW w:w="2268" w:type="dxa"/>
          </w:tcPr>
          <w:p w:rsidR="007B184E" w:rsidRPr="00536925" w:rsidRDefault="007B184E" w:rsidP="00487F0F">
            <w:pPr>
              <w:spacing w:before="100" w:beforeAutospacing="1" w:after="100" w:afterAutospacing="1" w:line="240" w:lineRule="auto"/>
              <w:ind w:firstLine="0"/>
              <w:jc w:val="right"/>
              <w:rPr>
                <w:b/>
                <w:color w:val="000000"/>
              </w:rPr>
            </w:pPr>
            <w:r w:rsidRPr="00536925">
              <w:rPr>
                <w:b/>
                <w:color w:val="000000"/>
              </w:rPr>
              <w:t>238 717</w:t>
            </w:r>
          </w:p>
        </w:tc>
        <w:tc>
          <w:tcPr>
            <w:tcW w:w="2268" w:type="dxa"/>
          </w:tcPr>
          <w:p w:rsidR="007B184E" w:rsidRPr="00536925" w:rsidRDefault="007B184E" w:rsidP="00487F0F">
            <w:pPr>
              <w:ind w:firstLine="0"/>
              <w:jc w:val="right"/>
              <w:rPr>
                <w:b/>
              </w:rPr>
            </w:pPr>
            <w:r w:rsidRPr="00536925">
              <w:rPr>
                <w:b/>
              </w:rPr>
              <w:t>41,36</w:t>
            </w:r>
          </w:p>
        </w:tc>
      </w:tr>
    </w:tbl>
    <w:p w:rsidR="007B184E" w:rsidRDefault="00101453" w:rsidP="00101453">
      <w:pPr>
        <w:ind w:firstLine="0"/>
      </w:pPr>
      <w:r>
        <w:t xml:space="preserve">Zdroj: Čtvrtletní zpráva </w:t>
      </w:r>
      <w:r w:rsidRPr="008E14A8">
        <w:t xml:space="preserve">o implementaci ESI fondů v </w:t>
      </w:r>
      <w:r w:rsidR="00C37A65">
        <w:t>ČR</w:t>
      </w:r>
      <w:r>
        <w:t xml:space="preserve"> za IV. 2019 (vlastní zpracování)</w:t>
      </w:r>
    </w:p>
    <w:p w:rsidR="00101453" w:rsidRDefault="00101453" w:rsidP="00101453">
      <w:pPr>
        <w:ind w:firstLine="0"/>
      </w:pPr>
    </w:p>
    <w:p w:rsidR="00EF7AE9" w:rsidRDefault="00EF7AE9" w:rsidP="00EF7AE9">
      <w:r>
        <w:t xml:space="preserve">Další členění ukazuje, z kterých fondů čerpají peněžní prostředky jednotlivé </w:t>
      </w:r>
      <w:r w:rsidR="00716FBA">
        <w:t xml:space="preserve">OP </w:t>
      </w:r>
      <w:r w:rsidRPr="001F41AA">
        <w:t>(tabulka</w:t>
      </w:r>
      <w:r w:rsidR="00487F0F">
        <w:t> </w:t>
      </w:r>
      <w:r w:rsidRPr="001F41AA">
        <w:t>č.</w:t>
      </w:r>
      <w:r w:rsidR="00487F0F">
        <w:t> </w:t>
      </w:r>
      <w:r w:rsidR="006B6614">
        <w:t>4</w:t>
      </w:r>
      <w:r w:rsidRPr="001F41AA">
        <w:t xml:space="preserve">). </w:t>
      </w:r>
      <w:r w:rsidR="00873EF0" w:rsidRPr="001F41AA">
        <w:t>Alokací</w:t>
      </w:r>
      <w:r w:rsidR="00873EF0">
        <w:t xml:space="preserve"> prostředků je největší</w:t>
      </w:r>
      <w:r>
        <w:t xml:space="preserve"> EFRR</w:t>
      </w:r>
      <w:r w:rsidR="00873EF0">
        <w:t>, který</w:t>
      </w:r>
      <w:r>
        <w:t xml:space="preserve"> je využíván pro financování většiny </w:t>
      </w:r>
      <w:r w:rsidR="001F41AA">
        <w:t>operačních programů</w:t>
      </w:r>
      <w:r>
        <w:t>.</w:t>
      </w:r>
    </w:p>
    <w:p w:rsidR="00D520F4" w:rsidRDefault="00D520F4" w:rsidP="00D520F4">
      <w:pPr>
        <w:ind w:firstLine="0"/>
      </w:pPr>
    </w:p>
    <w:p w:rsidR="00D520F4" w:rsidRDefault="00D520F4" w:rsidP="007A5DAA">
      <w:pPr>
        <w:ind w:firstLine="0"/>
      </w:pPr>
      <w:bookmarkStart w:id="19" w:name="_Toc38385469"/>
      <w:r>
        <w:t xml:space="preserve">Tabulka č. </w:t>
      </w:r>
      <w:r w:rsidR="000B1805">
        <w:rPr>
          <w:noProof/>
        </w:rPr>
        <w:fldChar w:fldCharType="begin"/>
      </w:r>
      <w:r w:rsidR="000B1805">
        <w:rPr>
          <w:noProof/>
        </w:rPr>
        <w:instrText xml:space="preserve"> SEQ Tabulka_č. \* ARABIC </w:instrText>
      </w:r>
      <w:r w:rsidR="000B1805">
        <w:rPr>
          <w:noProof/>
        </w:rPr>
        <w:fldChar w:fldCharType="separate"/>
      </w:r>
      <w:r w:rsidR="006B6614">
        <w:rPr>
          <w:noProof/>
        </w:rPr>
        <w:t>4</w:t>
      </w:r>
      <w:r w:rsidR="000B1805">
        <w:rPr>
          <w:noProof/>
        </w:rPr>
        <w:fldChar w:fldCharType="end"/>
      </w:r>
      <w:r>
        <w:t xml:space="preserve">: </w:t>
      </w:r>
      <w:r w:rsidRPr="002F0EF2">
        <w:t>Rozdělení prostředků na jednotlivé operační programy v programovém období 2014–2020</w:t>
      </w:r>
      <w:r w:rsidR="00536925">
        <w:t xml:space="preserve"> </w:t>
      </w:r>
      <w:r w:rsidR="00536925" w:rsidRPr="00C06911">
        <w:t>v relaci k typu fondu</w:t>
      </w:r>
      <w:bookmarkEnd w:id="19"/>
    </w:p>
    <w:tbl>
      <w:tblPr>
        <w:tblW w:w="9072" w:type="dxa"/>
        <w:tblInd w:w="-5" w:type="dxa"/>
        <w:tblCellMar>
          <w:left w:w="70" w:type="dxa"/>
          <w:right w:w="70" w:type="dxa"/>
        </w:tblCellMar>
        <w:tblLook w:val="04A0" w:firstRow="1" w:lastRow="0" w:firstColumn="1" w:lastColumn="0" w:noHBand="0" w:noVBand="1"/>
      </w:tblPr>
      <w:tblGrid>
        <w:gridCol w:w="5387"/>
        <w:gridCol w:w="1417"/>
        <w:gridCol w:w="2268"/>
      </w:tblGrid>
      <w:tr w:rsidR="00EF7AE9" w:rsidRPr="00EF7AE9" w:rsidTr="00487F0F">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AE9" w:rsidRPr="00536925" w:rsidRDefault="00EF7AE9" w:rsidP="00FE7933">
            <w:pPr>
              <w:spacing w:line="240" w:lineRule="auto"/>
              <w:ind w:firstLine="0"/>
              <w:jc w:val="center"/>
              <w:rPr>
                <w:b/>
                <w:color w:val="000000"/>
                <w:szCs w:val="22"/>
              </w:rPr>
            </w:pPr>
            <w:r w:rsidRPr="00536925">
              <w:rPr>
                <w:b/>
              </w:rPr>
              <w:t>Operační program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F7AE9" w:rsidRPr="00536925" w:rsidRDefault="001F41AA" w:rsidP="00FE7933">
            <w:pPr>
              <w:spacing w:line="240" w:lineRule="auto"/>
              <w:ind w:firstLine="0"/>
              <w:jc w:val="center"/>
              <w:rPr>
                <w:b/>
                <w:color w:val="000000"/>
                <w:szCs w:val="22"/>
              </w:rPr>
            </w:pPr>
            <w:r w:rsidRPr="00536925">
              <w:rPr>
                <w:b/>
                <w:color w:val="000000"/>
                <w:szCs w:val="22"/>
              </w:rPr>
              <w:t>Typ f</w:t>
            </w:r>
            <w:r w:rsidR="00EF7AE9" w:rsidRPr="00536925">
              <w:rPr>
                <w:b/>
                <w:color w:val="000000"/>
                <w:szCs w:val="22"/>
              </w:rPr>
              <w:t>ond</w:t>
            </w:r>
            <w:r w:rsidRPr="00536925">
              <w:rPr>
                <w:b/>
                <w:color w:val="000000"/>
                <w:szCs w:val="22"/>
              </w:rPr>
              <w:t>u</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F7AE9" w:rsidRPr="00536925" w:rsidRDefault="00536925" w:rsidP="00FE7933">
            <w:pPr>
              <w:spacing w:line="240" w:lineRule="auto"/>
              <w:ind w:firstLine="0"/>
              <w:jc w:val="center"/>
              <w:rPr>
                <w:b/>
                <w:color w:val="000000"/>
                <w:szCs w:val="22"/>
              </w:rPr>
            </w:pPr>
            <w:r w:rsidRPr="00536925">
              <w:rPr>
                <w:b/>
                <w:color w:val="000000"/>
                <w:szCs w:val="22"/>
              </w:rPr>
              <w:t>Celková a</w:t>
            </w:r>
            <w:r w:rsidR="00EF7AE9" w:rsidRPr="00536925">
              <w:rPr>
                <w:b/>
                <w:color w:val="000000"/>
                <w:szCs w:val="22"/>
              </w:rPr>
              <w:t>lokace</w:t>
            </w:r>
            <w:r w:rsidR="007E1875" w:rsidRPr="00536925">
              <w:rPr>
                <w:b/>
                <w:color w:val="000000"/>
                <w:szCs w:val="22"/>
              </w:rPr>
              <w:t xml:space="preserve"> (mil. Kč)</w:t>
            </w:r>
          </w:p>
        </w:tc>
      </w:tr>
      <w:tr w:rsidR="00EF7AE9" w:rsidRPr="00EF7AE9" w:rsidTr="00487F0F">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EF7AE9" w:rsidRPr="00EF7AE9" w:rsidRDefault="00EF7AE9" w:rsidP="00F972B8">
            <w:pPr>
              <w:spacing w:line="240" w:lineRule="auto"/>
              <w:ind w:firstLine="0"/>
              <w:jc w:val="left"/>
              <w:rPr>
                <w:color w:val="000000"/>
                <w:szCs w:val="22"/>
              </w:rPr>
            </w:pPr>
            <w:r w:rsidRPr="003A0A89">
              <w:rPr>
                <w:color w:val="000000"/>
              </w:rPr>
              <w:t>Podnikání a inovace pro konkurenceschopnost</w:t>
            </w:r>
          </w:p>
        </w:tc>
        <w:tc>
          <w:tcPr>
            <w:tcW w:w="1417" w:type="dxa"/>
            <w:tcBorders>
              <w:top w:val="nil"/>
              <w:left w:val="nil"/>
              <w:bottom w:val="single" w:sz="4" w:space="0" w:color="auto"/>
              <w:right w:val="single" w:sz="4" w:space="0" w:color="auto"/>
            </w:tcBorders>
            <w:shd w:val="clear" w:color="auto" w:fill="auto"/>
            <w:noWrap/>
            <w:vAlign w:val="center"/>
            <w:hideMark/>
          </w:tcPr>
          <w:p w:rsidR="00EF7AE9" w:rsidRPr="00EF7AE9" w:rsidRDefault="00EF7AE9" w:rsidP="00FE7933">
            <w:pPr>
              <w:spacing w:line="240" w:lineRule="auto"/>
              <w:ind w:firstLine="0"/>
              <w:jc w:val="left"/>
              <w:rPr>
                <w:color w:val="000000"/>
                <w:szCs w:val="22"/>
              </w:rPr>
            </w:pPr>
            <w:r w:rsidRPr="00EF7AE9">
              <w:rPr>
                <w:color w:val="000000"/>
                <w:szCs w:val="22"/>
              </w:rPr>
              <w:t>EFRR</w:t>
            </w:r>
          </w:p>
        </w:tc>
        <w:tc>
          <w:tcPr>
            <w:tcW w:w="2268" w:type="dxa"/>
            <w:tcBorders>
              <w:top w:val="nil"/>
              <w:left w:val="nil"/>
              <w:bottom w:val="single" w:sz="4" w:space="0" w:color="auto"/>
              <w:right w:val="single" w:sz="4" w:space="0" w:color="auto"/>
            </w:tcBorders>
            <w:shd w:val="clear" w:color="auto" w:fill="auto"/>
            <w:noWrap/>
            <w:vAlign w:val="center"/>
            <w:hideMark/>
          </w:tcPr>
          <w:p w:rsidR="00EF7AE9" w:rsidRPr="00705F1A" w:rsidRDefault="00EF7AE9" w:rsidP="00487F0F">
            <w:pPr>
              <w:spacing w:line="240" w:lineRule="auto"/>
              <w:ind w:firstLine="0"/>
              <w:jc w:val="right"/>
              <w:rPr>
                <w:bCs/>
                <w:color w:val="000000"/>
                <w:szCs w:val="22"/>
              </w:rPr>
            </w:pPr>
            <w:r w:rsidRPr="00705F1A">
              <w:rPr>
                <w:bCs/>
                <w:color w:val="000000"/>
                <w:szCs w:val="22"/>
              </w:rPr>
              <w:t>98 731</w:t>
            </w:r>
          </w:p>
        </w:tc>
      </w:tr>
      <w:tr w:rsidR="00EF7AE9" w:rsidRPr="00EF7AE9" w:rsidTr="00487F0F">
        <w:trPr>
          <w:trHeight w:val="300"/>
        </w:trPr>
        <w:tc>
          <w:tcPr>
            <w:tcW w:w="5387" w:type="dxa"/>
            <w:vMerge w:val="restart"/>
            <w:tcBorders>
              <w:top w:val="nil"/>
              <w:left w:val="single" w:sz="4" w:space="0" w:color="auto"/>
              <w:right w:val="single" w:sz="4" w:space="0" w:color="auto"/>
            </w:tcBorders>
            <w:shd w:val="clear" w:color="auto" w:fill="auto"/>
            <w:noWrap/>
            <w:vAlign w:val="center"/>
            <w:hideMark/>
          </w:tcPr>
          <w:p w:rsidR="00EF7AE9" w:rsidRPr="00EF7AE9" w:rsidRDefault="00EF7AE9" w:rsidP="00F972B8">
            <w:pPr>
              <w:spacing w:line="240" w:lineRule="auto"/>
              <w:ind w:firstLine="0"/>
              <w:jc w:val="left"/>
              <w:rPr>
                <w:color w:val="000000"/>
                <w:szCs w:val="22"/>
              </w:rPr>
            </w:pPr>
            <w:r w:rsidRPr="003A0A89">
              <w:rPr>
                <w:color w:val="000000"/>
              </w:rPr>
              <w:t>Výzkum, vývoj a vzdělávání</w:t>
            </w:r>
          </w:p>
        </w:tc>
        <w:tc>
          <w:tcPr>
            <w:tcW w:w="1417" w:type="dxa"/>
            <w:tcBorders>
              <w:top w:val="nil"/>
              <w:left w:val="nil"/>
              <w:bottom w:val="single" w:sz="4" w:space="0" w:color="auto"/>
              <w:right w:val="single" w:sz="4" w:space="0" w:color="auto"/>
            </w:tcBorders>
            <w:shd w:val="clear" w:color="auto" w:fill="auto"/>
            <w:noWrap/>
            <w:vAlign w:val="center"/>
            <w:hideMark/>
          </w:tcPr>
          <w:p w:rsidR="00EF7AE9" w:rsidRPr="00EF7AE9" w:rsidRDefault="00EF7AE9" w:rsidP="00FE7933">
            <w:pPr>
              <w:spacing w:line="240" w:lineRule="auto"/>
              <w:ind w:firstLine="0"/>
              <w:jc w:val="left"/>
              <w:rPr>
                <w:color w:val="000000"/>
                <w:szCs w:val="22"/>
              </w:rPr>
            </w:pPr>
            <w:r w:rsidRPr="00EF7AE9">
              <w:rPr>
                <w:color w:val="000000"/>
                <w:szCs w:val="22"/>
              </w:rPr>
              <w:t>EFRR</w:t>
            </w:r>
          </w:p>
        </w:tc>
        <w:tc>
          <w:tcPr>
            <w:tcW w:w="2268" w:type="dxa"/>
            <w:tcBorders>
              <w:top w:val="nil"/>
              <w:left w:val="nil"/>
              <w:bottom w:val="single" w:sz="4" w:space="0" w:color="auto"/>
              <w:right w:val="single" w:sz="4" w:space="0" w:color="auto"/>
            </w:tcBorders>
            <w:shd w:val="clear" w:color="auto" w:fill="auto"/>
            <w:noWrap/>
            <w:vAlign w:val="center"/>
            <w:hideMark/>
          </w:tcPr>
          <w:p w:rsidR="00EF7AE9" w:rsidRPr="00705F1A" w:rsidRDefault="00EF7AE9" w:rsidP="00487F0F">
            <w:pPr>
              <w:spacing w:line="240" w:lineRule="auto"/>
              <w:ind w:firstLine="0"/>
              <w:jc w:val="right"/>
              <w:rPr>
                <w:color w:val="000000"/>
                <w:szCs w:val="22"/>
              </w:rPr>
            </w:pPr>
            <w:r w:rsidRPr="00705F1A">
              <w:rPr>
                <w:color w:val="000000"/>
                <w:szCs w:val="22"/>
              </w:rPr>
              <w:t>36 637</w:t>
            </w:r>
          </w:p>
        </w:tc>
      </w:tr>
      <w:tr w:rsidR="00EF7AE9" w:rsidRPr="00EF7AE9" w:rsidTr="00487F0F">
        <w:trPr>
          <w:trHeight w:val="300"/>
        </w:trPr>
        <w:tc>
          <w:tcPr>
            <w:tcW w:w="5387" w:type="dxa"/>
            <w:vMerge/>
            <w:tcBorders>
              <w:left w:val="single" w:sz="4" w:space="0" w:color="auto"/>
              <w:bottom w:val="single" w:sz="4" w:space="0" w:color="auto"/>
              <w:right w:val="single" w:sz="4" w:space="0" w:color="auto"/>
            </w:tcBorders>
            <w:shd w:val="clear" w:color="auto" w:fill="auto"/>
            <w:noWrap/>
            <w:vAlign w:val="center"/>
            <w:hideMark/>
          </w:tcPr>
          <w:p w:rsidR="00EF7AE9" w:rsidRPr="00EF7AE9" w:rsidRDefault="00EF7AE9" w:rsidP="00F972B8">
            <w:pPr>
              <w:spacing w:line="240" w:lineRule="auto"/>
              <w:ind w:firstLine="0"/>
              <w:jc w:val="left"/>
              <w:rPr>
                <w:color w:val="000000"/>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EF7AE9" w:rsidRPr="00EF7AE9" w:rsidRDefault="00EF7AE9" w:rsidP="00FE7933">
            <w:pPr>
              <w:spacing w:line="240" w:lineRule="auto"/>
              <w:ind w:firstLine="0"/>
              <w:jc w:val="left"/>
              <w:rPr>
                <w:color w:val="000000"/>
                <w:szCs w:val="22"/>
              </w:rPr>
            </w:pPr>
            <w:r w:rsidRPr="00EF7AE9">
              <w:rPr>
                <w:color w:val="000000"/>
                <w:szCs w:val="22"/>
              </w:rPr>
              <w:t>ESF</w:t>
            </w:r>
          </w:p>
        </w:tc>
        <w:tc>
          <w:tcPr>
            <w:tcW w:w="2268" w:type="dxa"/>
            <w:tcBorders>
              <w:top w:val="nil"/>
              <w:left w:val="nil"/>
              <w:bottom w:val="single" w:sz="4" w:space="0" w:color="auto"/>
              <w:right w:val="single" w:sz="4" w:space="0" w:color="auto"/>
            </w:tcBorders>
            <w:shd w:val="clear" w:color="auto" w:fill="auto"/>
            <w:noWrap/>
            <w:vAlign w:val="center"/>
            <w:hideMark/>
          </w:tcPr>
          <w:p w:rsidR="00EF7AE9" w:rsidRPr="00705F1A" w:rsidRDefault="00EF7AE9" w:rsidP="00487F0F">
            <w:pPr>
              <w:spacing w:line="240" w:lineRule="auto"/>
              <w:ind w:firstLine="0"/>
              <w:jc w:val="right"/>
              <w:rPr>
                <w:color w:val="000000"/>
                <w:szCs w:val="22"/>
              </w:rPr>
            </w:pPr>
            <w:r w:rsidRPr="00705F1A">
              <w:rPr>
                <w:color w:val="000000"/>
                <w:szCs w:val="22"/>
              </w:rPr>
              <w:t>30 108</w:t>
            </w:r>
          </w:p>
        </w:tc>
      </w:tr>
      <w:tr w:rsidR="00EF7AE9" w:rsidRPr="00EF7AE9" w:rsidTr="00487F0F">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EF7AE9" w:rsidRPr="00EF7AE9" w:rsidRDefault="00EF7AE9" w:rsidP="00F972B8">
            <w:pPr>
              <w:spacing w:line="240" w:lineRule="auto"/>
              <w:ind w:firstLine="0"/>
              <w:jc w:val="left"/>
              <w:rPr>
                <w:color w:val="000000"/>
                <w:szCs w:val="22"/>
              </w:rPr>
            </w:pPr>
            <w:r w:rsidRPr="003A0A89">
              <w:rPr>
                <w:color w:val="000000"/>
              </w:rPr>
              <w:t>Zaměstnanost</w:t>
            </w:r>
          </w:p>
        </w:tc>
        <w:tc>
          <w:tcPr>
            <w:tcW w:w="1417" w:type="dxa"/>
            <w:tcBorders>
              <w:top w:val="nil"/>
              <w:left w:val="nil"/>
              <w:bottom w:val="single" w:sz="4" w:space="0" w:color="auto"/>
              <w:right w:val="single" w:sz="4" w:space="0" w:color="auto"/>
            </w:tcBorders>
            <w:shd w:val="clear" w:color="auto" w:fill="auto"/>
            <w:noWrap/>
            <w:vAlign w:val="center"/>
            <w:hideMark/>
          </w:tcPr>
          <w:p w:rsidR="00EF7AE9" w:rsidRPr="00EF7AE9" w:rsidRDefault="00EF7AE9" w:rsidP="00FE7933">
            <w:pPr>
              <w:spacing w:line="240" w:lineRule="auto"/>
              <w:ind w:firstLine="0"/>
              <w:jc w:val="left"/>
              <w:rPr>
                <w:color w:val="000000"/>
                <w:szCs w:val="22"/>
              </w:rPr>
            </w:pPr>
            <w:r w:rsidRPr="00EF7AE9">
              <w:rPr>
                <w:color w:val="000000"/>
                <w:szCs w:val="22"/>
              </w:rPr>
              <w:t>ESF</w:t>
            </w:r>
          </w:p>
        </w:tc>
        <w:tc>
          <w:tcPr>
            <w:tcW w:w="2268" w:type="dxa"/>
            <w:tcBorders>
              <w:top w:val="nil"/>
              <w:left w:val="nil"/>
              <w:bottom w:val="single" w:sz="4" w:space="0" w:color="auto"/>
              <w:right w:val="single" w:sz="4" w:space="0" w:color="auto"/>
            </w:tcBorders>
            <w:shd w:val="clear" w:color="auto" w:fill="auto"/>
            <w:noWrap/>
            <w:vAlign w:val="center"/>
            <w:hideMark/>
          </w:tcPr>
          <w:p w:rsidR="00EF7AE9" w:rsidRPr="00705F1A" w:rsidRDefault="00EF7AE9" w:rsidP="00487F0F">
            <w:pPr>
              <w:spacing w:line="240" w:lineRule="auto"/>
              <w:ind w:firstLine="0"/>
              <w:jc w:val="right"/>
              <w:rPr>
                <w:bCs/>
                <w:color w:val="000000"/>
                <w:szCs w:val="22"/>
              </w:rPr>
            </w:pPr>
            <w:r w:rsidRPr="00705F1A">
              <w:rPr>
                <w:bCs/>
                <w:color w:val="000000"/>
                <w:szCs w:val="22"/>
              </w:rPr>
              <w:t>52 069</w:t>
            </w:r>
          </w:p>
        </w:tc>
      </w:tr>
      <w:tr w:rsidR="00705F1A" w:rsidRPr="00EF7AE9" w:rsidTr="00487F0F">
        <w:trPr>
          <w:trHeight w:val="300"/>
        </w:trPr>
        <w:tc>
          <w:tcPr>
            <w:tcW w:w="5387" w:type="dxa"/>
            <w:vMerge w:val="restart"/>
            <w:tcBorders>
              <w:top w:val="nil"/>
              <w:left w:val="single" w:sz="4" w:space="0" w:color="auto"/>
              <w:right w:val="single" w:sz="4" w:space="0" w:color="auto"/>
            </w:tcBorders>
            <w:shd w:val="clear" w:color="auto" w:fill="auto"/>
            <w:noWrap/>
            <w:vAlign w:val="center"/>
            <w:hideMark/>
          </w:tcPr>
          <w:p w:rsidR="00705F1A" w:rsidRPr="00EF7AE9" w:rsidRDefault="00705F1A" w:rsidP="00F972B8">
            <w:pPr>
              <w:spacing w:line="240" w:lineRule="auto"/>
              <w:ind w:firstLine="0"/>
              <w:jc w:val="left"/>
              <w:rPr>
                <w:color w:val="000000"/>
                <w:szCs w:val="22"/>
              </w:rPr>
            </w:pPr>
            <w:r w:rsidRPr="003A0A89">
              <w:rPr>
                <w:color w:val="000000"/>
              </w:rPr>
              <w:t>Doprava</w:t>
            </w:r>
          </w:p>
        </w:tc>
        <w:tc>
          <w:tcPr>
            <w:tcW w:w="1417" w:type="dxa"/>
            <w:tcBorders>
              <w:top w:val="nil"/>
              <w:left w:val="nil"/>
              <w:bottom w:val="single" w:sz="4" w:space="0" w:color="auto"/>
              <w:right w:val="single" w:sz="4" w:space="0" w:color="auto"/>
            </w:tcBorders>
            <w:shd w:val="clear" w:color="auto" w:fill="auto"/>
            <w:noWrap/>
            <w:vAlign w:val="center"/>
            <w:hideMark/>
          </w:tcPr>
          <w:p w:rsidR="00705F1A" w:rsidRPr="00EF7AE9" w:rsidRDefault="00705F1A" w:rsidP="00FE7933">
            <w:pPr>
              <w:spacing w:line="240" w:lineRule="auto"/>
              <w:ind w:firstLine="0"/>
              <w:jc w:val="left"/>
              <w:rPr>
                <w:color w:val="000000"/>
                <w:szCs w:val="22"/>
              </w:rPr>
            </w:pPr>
            <w:r w:rsidRPr="00EF7AE9">
              <w:rPr>
                <w:color w:val="000000"/>
                <w:szCs w:val="22"/>
              </w:rPr>
              <w:t>FS</w:t>
            </w:r>
          </w:p>
        </w:tc>
        <w:tc>
          <w:tcPr>
            <w:tcW w:w="2268" w:type="dxa"/>
            <w:tcBorders>
              <w:top w:val="nil"/>
              <w:left w:val="nil"/>
              <w:bottom w:val="single" w:sz="4" w:space="0" w:color="auto"/>
              <w:right w:val="single" w:sz="4" w:space="0" w:color="auto"/>
            </w:tcBorders>
            <w:shd w:val="clear" w:color="auto" w:fill="auto"/>
            <w:noWrap/>
            <w:vAlign w:val="center"/>
            <w:hideMark/>
          </w:tcPr>
          <w:p w:rsidR="00705F1A" w:rsidRPr="00705F1A" w:rsidRDefault="00705F1A" w:rsidP="00487F0F">
            <w:pPr>
              <w:spacing w:line="240" w:lineRule="auto"/>
              <w:ind w:firstLine="0"/>
              <w:jc w:val="right"/>
              <w:rPr>
                <w:color w:val="000000"/>
                <w:szCs w:val="22"/>
              </w:rPr>
            </w:pPr>
            <w:r w:rsidRPr="00705F1A">
              <w:rPr>
                <w:color w:val="000000"/>
                <w:szCs w:val="22"/>
              </w:rPr>
              <w:t>88 423</w:t>
            </w:r>
          </w:p>
        </w:tc>
      </w:tr>
      <w:tr w:rsidR="00705F1A" w:rsidRPr="00EF7AE9" w:rsidTr="00487F0F">
        <w:trPr>
          <w:trHeight w:val="300"/>
        </w:trPr>
        <w:tc>
          <w:tcPr>
            <w:tcW w:w="5387" w:type="dxa"/>
            <w:vMerge/>
            <w:tcBorders>
              <w:left w:val="single" w:sz="4" w:space="0" w:color="auto"/>
              <w:bottom w:val="single" w:sz="4" w:space="0" w:color="auto"/>
              <w:right w:val="single" w:sz="4" w:space="0" w:color="auto"/>
            </w:tcBorders>
            <w:shd w:val="clear" w:color="auto" w:fill="auto"/>
            <w:noWrap/>
            <w:vAlign w:val="center"/>
            <w:hideMark/>
          </w:tcPr>
          <w:p w:rsidR="00705F1A" w:rsidRPr="00EF7AE9" w:rsidRDefault="00705F1A" w:rsidP="00F972B8">
            <w:pPr>
              <w:spacing w:line="240" w:lineRule="auto"/>
              <w:ind w:firstLine="0"/>
              <w:jc w:val="left"/>
              <w:rPr>
                <w:color w:val="000000"/>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705F1A" w:rsidRPr="00EF7AE9" w:rsidRDefault="00705F1A" w:rsidP="00FE7933">
            <w:pPr>
              <w:spacing w:line="240" w:lineRule="auto"/>
              <w:ind w:firstLine="0"/>
              <w:jc w:val="left"/>
              <w:rPr>
                <w:color w:val="000000"/>
                <w:szCs w:val="22"/>
              </w:rPr>
            </w:pPr>
            <w:r w:rsidRPr="00EF7AE9">
              <w:rPr>
                <w:color w:val="000000"/>
                <w:szCs w:val="22"/>
              </w:rPr>
              <w:t>EFRR</w:t>
            </w:r>
          </w:p>
        </w:tc>
        <w:tc>
          <w:tcPr>
            <w:tcW w:w="2268" w:type="dxa"/>
            <w:tcBorders>
              <w:top w:val="nil"/>
              <w:left w:val="nil"/>
              <w:bottom w:val="single" w:sz="4" w:space="0" w:color="auto"/>
              <w:right w:val="single" w:sz="4" w:space="0" w:color="auto"/>
            </w:tcBorders>
            <w:shd w:val="clear" w:color="auto" w:fill="auto"/>
            <w:noWrap/>
            <w:vAlign w:val="center"/>
            <w:hideMark/>
          </w:tcPr>
          <w:p w:rsidR="00705F1A" w:rsidRPr="00705F1A" w:rsidRDefault="00705F1A" w:rsidP="00487F0F">
            <w:pPr>
              <w:spacing w:line="240" w:lineRule="auto"/>
              <w:ind w:firstLine="0"/>
              <w:jc w:val="right"/>
              <w:rPr>
                <w:color w:val="000000"/>
                <w:szCs w:val="22"/>
              </w:rPr>
            </w:pPr>
            <w:r w:rsidRPr="00705F1A">
              <w:rPr>
                <w:color w:val="000000"/>
                <w:szCs w:val="22"/>
              </w:rPr>
              <w:t>21 842</w:t>
            </w:r>
          </w:p>
        </w:tc>
      </w:tr>
      <w:tr w:rsidR="00EF7AE9" w:rsidRPr="00EF7AE9" w:rsidTr="00487F0F">
        <w:trPr>
          <w:trHeight w:val="300"/>
        </w:trPr>
        <w:tc>
          <w:tcPr>
            <w:tcW w:w="5387" w:type="dxa"/>
            <w:vMerge w:val="restart"/>
            <w:tcBorders>
              <w:top w:val="nil"/>
              <w:left w:val="single" w:sz="4" w:space="0" w:color="auto"/>
              <w:right w:val="single" w:sz="4" w:space="0" w:color="auto"/>
            </w:tcBorders>
            <w:shd w:val="clear" w:color="auto" w:fill="auto"/>
            <w:noWrap/>
            <w:vAlign w:val="center"/>
            <w:hideMark/>
          </w:tcPr>
          <w:p w:rsidR="00EF7AE9" w:rsidRPr="00EF7AE9" w:rsidRDefault="00EF7AE9" w:rsidP="00F972B8">
            <w:pPr>
              <w:spacing w:line="240" w:lineRule="auto"/>
              <w:ind w:firstLine="0"/>
              <w:jc w:val="left"/>
              <w:rPr>
                <w:color w:val="000000"/>
                <w:szCs w:val="22"/>
              </w:rPr>
            </w:pPr>
            <w:r w:rsidRPr="003A0A89">
              <w:rPr>
                <w:color w:val="000000"/>
              </w:rPr>
              <w:t>Životní prostředí</w:t>
            </w:r>
          </w:p>
        </w:tc>
        <w:tc>
          <w:tcPr>
            <w:tcW w:w="1417" w:type="dxa"/>
            <w:tcBorders>
              <w:top w:val="nil"/>
              <w:left w:val="nil"/>
              <w:bottom w:val="single" w:sz="4" w:space="0" w:color="auto"/>
              <w:right w:val="single" w:sz="4" w:space="0" w:color="auto"/>
            </w:tcBorders>
            <w:shd w:val="clear" w:color="auto" w:fill="auto"/>
            <w:noWrap/>
            <w:vAlign w:val="center"/>
            <w:hideMark/>
          </w:tcPr>
          <w:p w:rsidR="00EF7AE9" w:rsidRPr="00EF7AE9" w:rsidRDefault="00EF7AE9" w:rsidP="00FE7933">
            <w:pPr>
              <w:spacing w:line="240" w:lineRule="auto"/>
              <w:ind w:firstLine="0"/>
              <w:jc w:val="left"/>
              <w:rPr>
                <w:color w:val="000000"/>
                <w:szCs w:val="22"/>
              </w:rPr>
            </w:pPr>
            <w:r w:rsidRPr="00EF7AE9">
              <w:rPr>
                <w:color w:val="000000"/>
                <w:szCs w:val="22"/>
              </w:rPr>
              <w:t>FS</w:t>
            </w:r>
          </w:p>
        </w:tc>
        <w:tc>
          <w:tcPr>
            <w:tcW w:w="2268" w:type="dxa"/>
            <w:tcBorders>
              <w:top w:val="nil"/>
              <w:left w:val="nil"/>
              <w:bottom w:val="single" w:sz="4" w:space="0" w:color="auto"/>
              <w:right w:val="single" w:sz="4" w:space="0" w:color="auto"/>
            </w:tcBorders>
            <w:shd w:val="clear" w:color="auto" w:fill="auto"/>
            <w:noWrap/>
            <w:vAlign w:val="center"/>
            <w:hideMark/>
          </w:tcPr>
          <w:p w:rsidR="00EF7AE9" w:rsidRPr="00705F1A" w:rsidRDefault="00EF7AE9" w:rsidP="00487F0F">
            <w:pPr>
              <w:spacing w:line="240" w:lineRule="auto"/>
              <w:ind w:firstLine="0"/>
              <w:jc w:val="right"/>
              <w:rPr>
                <w:color w:val="000000"/>
                <w:szCs w:val="22"/>
              </w:rPr>
            </w:pPr>
            <w:r w:rsidRPr="00705F1A">
              <w:rPr>
                <w:color w:val="000000"/>
                <w:szCs w:val="22"/>
              </w:rPr>
              <w:t>54 843</w:t>
            </w:r>
          </w:p>
        </w:tc>
      </w:tr>
      <w:tr w:rsidR="00EF7AE9" w:rsidRPr="00EF7AE9" w:rsidTr="00487F0F">
        <w:trPr>
          <w:trHeight w:val="300"/>
        </w:trPr>
        <w:tc>
          <w:tcPr>
            <w:tcW w:w="5387" w:type="dxa"/>
            <w:vMerge/>
            <w:tcBorders>
              <w:left w:val="single" w:sz="4" w:space="0" w:color="auto"/>
              <w:bottom w:val="single" w:sz="4" w:space="0" w:color="auto"/>
              <w:right w:val="single" w:sz="4" w:space="0" w:color="auto"/>
            </w:tcBorders>
            <w:shd w:val="clear" w:color="auto" w:fill="auto"/>
            <w:noWrap/>
            <w:vAlign w:val="center"/>
            <w:hideMark/>
          </w:tcPr>
          <w:p w:rsidR="00EF7AE9" w:rsidRPr="00EF7AE9" w:rsidRDefault="00EF7AE9" w:rsidP="00F972B8">
            <w:pPr>
              <w:spacing w:line="240" w:lineRule="auto"/>
              <w:ind w:firstLine="0"/>
              <w:jc w:val="left"/>
              <w:rPr>
                <w:color w:val="000000"/>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EF7AE9" w:rsidRPr="00EF7AE9" w:rsidRDefault="00EF7AE9" w:rsidP="00FE7933">
            <w:pPr>
              <w:spacing w:line="240" w:lineRule="auto"/>
              <w:ind w:firstLine="0"/>
              <w:jc w:val="left"/>
              <w:rPr>
                <w:color w:val="000000"/>
                <w:szCs w:val="22"/>
              </w:rPr>
            </w:pPr>
            <w:r w:rsidRPr="00EF7AE9">
              <w:rPr>
                <w:color w:val="000000"/>
                <w:szCs w:val="22"/>
              </w:rPr>
              <w:t>EFRR</w:t>
            </w:r>
          </w:p>
        </w:tc>
        <w:tc>
          <w:tcPr>
            <w:tcW w:w="2268" w:type="dxa"/>
            <w:tcBorders>
              <w:top w:val="nil"/>
              <w:left w:val="nil"/>
              <w:bottom w:val="single" w:sz="4" w:space="0" w:color="auto"/>
              <w:right w:val="single" w:sz="4" w:space="0" w:color="auto"/>
            </w:tcBorders>
            <w:shd w:val="clear" w:color="auto" w:fill="auto"/>
            <w:noWrap/>
            <w:vAlign w:val="center"/>
            <w:hideMark/>
          </w:tcPr>
          <w:p w:rsidR="00EF7AE9" w:rsidRPr="00705F1A" w:rsidRDefault="00EF7AE9" w:rsidP="00487F0F">
            <w:pPr>
              <w:spacing w:line="240" w:lineRule="auto"/>
              <w:ind w:firstLine="0"/>
              <w:jc w:val="right"/>
              <w:rPr>
                <w:color w:val="000000"/>
                <w:szCs w:val="22"/>
              </w:rPr>
            </w:pPr>
            <w:r w:rsidRPr="00705F1A">
              <w:rPr>
                <w:color w:val="000000"/>
                <w:szCs w:val="22"/>
              </w:rPr>
              <w:t>12 342</w:t>
            </w:r>
          </w:p>
        </w:tc>
      </w:tr>
      <w:tr w:rsidR="00EF7AE9" w:rsidRPr="00EF7AE9" w:rsidTr="00487F0F">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EF7AE9" w:rsidRPr="00EF7AE9" w:rsidRDefault="00EF7AE9" w:rsidP="00F972B8">
            <w:pPr>
              <w:spacing w:line="240" w:lineRule="auto"/>
              <w:ind w:firstLine="0"/>
              <w:jc w:val="left"/>
              <w:rPr>
                <w:color w:val="000000"/>
                <w:szCs w:val="22"/>
              </w:rPr>
            </w:pPr>
            <w:r w:rsidRPr="003A0A89">
              <w:rPr>
                <w:color w:val="000000"/>
              </w:rPr>
              <w:t>Integrovaný regionální operační program</w:t>
            </w:r>
          </w:p>
        </w:tc>
        <w:tc>
          <w:tcPr>
            <w:tcW w:w="1417" w:type="dxa"/>
            <w:tcBorders>
              <w:top w:val="nil"/>
              <w:left w:val="nil"/>
              <w:bottom w:val="single" w:sz="4" w:space="0" w:color="auto"/>
              <w:right w:val="single" w:sz="4" w:space="0" w:color="auto"/>
            </w:tcBorders>
            <w:shd w:val="clear" w:color="auto" w:fill="auto"/>
            <w:noWrap/>
            <w:vAlign w:val="center"/>
            <w:hideMark/>
          </w:tcPr>
          <w:p w:rsidR="00EF7AE9" w:rsidRPr="00EF7AE9" w:rsidRDefault="00EF7AE9" w:rsidP="00FE7933">
            <w:pPr>
              <w:spacing w:line="240" w:lineRule="auto"/>
              <w:ind w:firstLine="0"/>
              <w:jc w:val="left"/>
              <w:rPr>
                <w:color w:val="000000"/>
                <w:szCs w:val="22"/>
              </w:rPr>
            </w:pPr>
            <w:r w:rsidRPr="00EF7AE9">
              <w:rPr>
                <w:color w:val="000000"/>
                <w:szCs w:val="22"/>
              </w:rPr>
              <w:t>EFRR</w:t>
            </w:r>
          </w:p>
        </w:tc>
        <w:tc>
          <w:tcPr>
            <w:tcW w:w="2268" w:type="dxa"/>
            <w:tcBorders>
              <w:top w:val="nil"/>
              <w:left w:val="nil"/>
              <w:bottom w:val="single" w:sz="4" w:space="0" w:color="auto"/>
              <w:right w:val="single" w:sz="4" w:space="0" w:color="auto"/>
            </w:tcBorders>
            <w:shd w:val="clear" w:color="auto" w:fill="auto"/>
            <w:noWrap/>
            <w:vAlign w:val="center"/>
            <w:hideMark/>
          </w:tcPr>
          <w:p w:rsidR="00EF7AE9" w:rsidRPr="00705F1A" w:rsidRDefault="00EF7AE9" w:rsidP="00487F0F">
            <w:pPr>
              <w:spacing w:line="240" w:lineRule="auto"/>
              <w:ind w:firstLine="0"/>
              <w:jc w:val="right"/>
              <w:rPr>
                <w:color w:val="000000"/>
                <w:szCs w:val="22"/>
              </w:rPr>
            </w:pPr>
            <w:r w:rsidRPr="00705F1A">
              <w:rPr>
                <w:color w:val="000000"/>
                <w:szCs w:val="22"/>
              </w:rPr>
              <w:t>114 780</w:t>
            </w:r>
          </w:p>
        </w:tc>
      </w:tr>
      <w:tr w:rsidR="00EF7AE9" w:rsidRPr="00EF7AE9" w:rsidTr="00487F0F">
        <w:trPr>
          <w:trHeight w:val="300"/>
        </w:trPr>
        <w:tc>
          <w:tcPr>
            <w:tcW w:w="5387" w:type="dxa"/>
            <w:vMerge w:val="restart"/>
            <w:tcBorders>
              <w:top w:val="nil"/>
              <w:left w:val="single" w:sz="4" w:space="0" w:color="auto"/>
              <w:right w:val="single" w:sz="4" w:space="0" w:color="auto"/>
            </w:tcBorders>
            <w:shd w:val="clear" w:color="auto" w:fill="auto"/>
            <w:noWrap/>
            <w:vAlign w:val="center"/>
            <w:hideMark/>
          </w:tcPr>
          <w:p w:rsidR="00EF7AE9" w:rsidRPr="00EF7AE9" w:rsidRDefault="00EF7AE9" w:rsidP="00F972B8">
            <w:pPr>
              <w:spacing w:line="240" w:lineRule="auto"/>
              <w:ind w:firstLine="0"/>
              <w:jc w:val="left"/>
              <w:rPr>
                <w:color w:val="000000"/>
                <w:szCs w:val="22"/>
              </w:rPr>
            </w:pPr>
            <w:r w:rsidRPr="003A0A89">
              <w:rPr>
                <w:color w:val="000000"/>
              </w:rPr>
              <w:t>Praha – pól růstu ČR</w:t>
            </w:r>
          </w:p>
        </w:tc>
        <w:tc>
          <w:tcPr>
            <w:tcW w:w="1417" w:type="dxa"/>
            <w:tcBorders>
              <w:top w:val="nil"/>
              <w:left w:val="nil"/>
              <w:bottom w:val="single" w:sz="4" w:space="0" w:color="auto"/>
              <w:right w:val="single" w:sz="4" w:space="0" w:color="auto"/>
            </w:tcBorders>
            <w:shd w:val="clear" w:color="auto" w:fill="auto"/>
            <w:noWrap/>
            <w:vAlign w:val="center"/>
            <w:hideMark/>
          </w:tcPr>
          <w:p w:rsidR="00EF7AE9" w:rsidRPr="00EF7AE9" w:rsidRDefault="00EF7AE9" w:rsidP="00FE7933">
            <w:pPr>
              <w:spacing w:line="240" w:lineRule="auto"/>
              <w:ind w:firstLine="0"/>
              <w:jc w:val="left"/>
              <w:rPr>
                <w:color w:val="000000"/>
                <w:szCs w:val="22"/>
              </w:rPr>
            </w:pPr>
            <w:r w:rsidRPr="00EF7AE9">
              <w:rPr>
                <w:color w:val="000000"/>
                <w:szCs w:val="22"/>
              </w:rPr>
              <w:t>EFRR</w:t>
            </w:r>
          </w:p>
        </w:tc>
        <w:tc>
          <w:tcPr>
            <w:tcW w:w="2268" w:type="dxa"/>
            <w:tcBorders>
              <w:top w:val="nil"/>
              <w:left w:val="nil"/>
              <w:bottom w:val="single" w:sz="4" w:space="0" w:color="auto"/>
              <w:right w:val="single" w:sz="4" w:space="0" w:color="auto"/>
            </w:tcBorders>
            <w:shd w:val="clear" w:color="auto" w:fill="auto"/>
            <w:noWrap/>
            <w:vAlign w:val="center"/>
            <w:hideMark/>
          </w:tcPr>
          <w:p w:rsidR="00EF7AE9" w:rsidRPr="00705F1A" w:rsidRDefault="00EF7AE9" w:rsidP="00487F0F">
            <w:pPr>
              <w:spacing w:line="240" w:lineRule="auto"/>
              <w:ind w:firstLine="0"/>
              <w:jc w:val="right"/>
              <w:rPr>
                <w:color w:val="000000"/>
                <w:szCs w:val="22"/>
              </w:rPr>
            </w:pPr>
            <w:r w:rsidRPr="00705F1A">
              <w:rPr>
                <w:color w:val="000000"/>
                <w:szCs w:val="22"/>
              </w:rPr>
              <w:t>3 702</w:t>
            </w:r>
          </w:p>
        </w:tc>
      </w:tr>
      <w:tr w:rsidR="00EF7AE9" w:rsidRPr="00EF7AE9" w:rsidTr="00487F0F">
        <w:trPr>
          <w:trHeight w:val="300"/>
        </w:trPr>
        <w:tc>
          <w:tcPr>
            <w:tcW w:w="5387" w:type="dxa"/>
            <w:vMerge/>
            <w:tcBorders>
              <w:left w:val="single" w:sz="4" w:space="0" w:color="auto"/>
              <w:bottom w:val="single" w:sz="4" w:space="0" w:color="auto"/>
              <w:right w:val="single" w:sz="4" w:space="0" w:color="auto"/>
            </w:tcBorders>
            <w:shd w:val="clear" w:color="auto" w:fill="auto"/>
            <w:noWrap/>
            <w:vAlign w:val="center"/>
            <w:hideMark/>
          </w:tcPr>
          <w:p w:rsidR="00EF7AE9" w:rsidRPr="00EF7AE9" w:rsidRDefault="00EF7AE9" w:rsidP="00F972B8">
            <w:pPr>
              <w:spacing w:line="240" w:lineRule="auto"/>
              <w:ind w:firstLine="0"/>
              <w:jc w:val="left"/>
              <w:rPr>
                <w:color w:val="000000"/>
                <w:szCs w:val="22"/>
              </w:rPr>
            </w:pPr>
          </w:p>
        </w:tc>
        <w:tc>
          <w:tcPr>
            <w:tcW w:w="1417" w:type="dxa"/>
            <w:tcBorders>
              <w:top w:val="nil"/>
              <w:left w:val="nil"/>
              <w:bottom w:val="single" w:sz="4" w:space="0" w:color="auto"/>
              <w:right w:val="single" w:sz="4" w:space="0" w:color="auto"/>
            </w:tcBorders>
            <w:shd w:val="clear" w:color="auto" w:fill="auto"/>
            <w:noWrap/>
            <w:vAlign w:val="center"/>
            <w:hideMark/>
          </w:tcPr>
          <w:p w:rsidR="00EF7AE9" w:rsidRPr="00EF7AE9" w:rsidRDefault="00EF7AE9" w:rsidP="00FE7933">
            <w:pPr>
              <w:spacing w:line="240" w:lineRule="auto"/>
              <w:ind w:firstLine="0"/>
              <w:jc w:val="left"/>
              <w:rPr>
                <w:color w:val="000000"/>
                <w:szCs w:val="22"/>
              </w:rPr>
            </w:pPr>
            <w:r w:rsidRPr="00EF7AE9">
              <w:rPr>
                <w:color w:val="000000"/>
                <w:szCs w:val="22"/>
              </w:rPr>
              <w:t>ESF</w:t>
            </w:r>
          </w:p>
        </w:tc>
        <w:tc>
          <w:tcPr>
            <w:tcW w:w="2268" w:type="dxa"/>
            <w:tcBorders>
              <w:top w:val="nil"/>
              <w:left w:val="nil"/>
              <w:bottom w:val="single" w:sz="4" w:space="0" w:color="auto"/>
              <w:right w:val="single" w:sz="4" w:space="0" w:color="auto"/>
            </w:tcBorders>
            <w:shd w:val="clear" w:color="auto" w:fill="auto"/>
            <w:noWrap/>
            <w:vAlign w:val="center"/>
            <w:hideMark/>
          </w:tcPr>
          <w:p w:rsidR="00EF7AE9" w:rsidRPr="00705F1A" w:rsidRDefault="00EF7AE9" w:rsidP="00487F0F">
            <w:pPr>
              <w:spacing w:line="240" w:lineRule="auto"/>
              <w:ind w:firstLine="0"/>
              <w:jc w:val="right"/>
              <w:rPr>
                <w:color w:val="000000"/>
                <w:szCs w:val="22"/>
              </w:rPr>
            </w:pPr>
            <w:r w:rsidRPr="00705F1A">
              <w:rPr>
                <w:color w:val="000000"/>
                <w:szCs w:val="22"/>
              </w:rPr>
              <w:t>1 157</w:t>
            </w:r>
          </w:p>
        </w:tc>
      </w:tr>
      <w:tr w:rsidR="00EF7AE9" w:rsidRPr="00EF7AE9" w:rsidTr="00487F0F">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EF7AE9" w:rsidRPr="00EF7AE9" w:rsidRDefault="00EF7AE9" w:rsidP="00F972B8">
            <w:pPr>
              <w:spacing w:line="240" w:lineRule="auto"/>
              <w:ind w:firstLine="0"/>
              <w:jc w:val="left"/>
              <w:rPr>
                <w:color w:val="000000"/>
                <w:szCs w:val="22"/>
              </w:rPr>
            </w:pPr>
            <w:r w:rsidRPr="003A0A89">
              <w:rPr>
                <w:color w:val="000000"/>
              </w:rPr>
              <w:t>Technická pomoc</w:t>
            </w:r>
          </w:p>
        </w:tc>
        <w:tc>
          <w:tcPr>
            <w:tcW w:w="1417" w:type="dxa"/>
            <w:tcBorders>
              <w:top w:val="nil"/>
              <w:left w:val="nil"/>
              <w:bottom w:val="single" w:sz="4" w:space="0" w:color="auto"/>
              <w:right w:val="single" w:sz="4" w:space="0" w:color="auto"/>
            </w:tcBorders>
            <w:shd w:val="clear" w:color="auto" w:fill="auto"/>
            <w:noWrap/>
            <w:vAlign w:val="center"/>
            <w:hideMark/>
          </w:tcPr>
          <w:p w:rsidR="00EF7AE9" w:rsidRPr="00EF7AE9" w:rsidRDefault="00EF7AE9" w:rsidP="00FE7933">
            <w:pPr>
              <w:spacing w:line="240" w:lineRule="auto"/>
              <w:ind w:firstLine="0"/>
              <w:jc w:val="left"/>
              <w:rPr>
                <w:color w:val="000000"/>
                <w:szCs w:val="22"/>
              </w:rPr>
            </w:pPr>
            <w:r w:rsidRPr="00EF7AE9">
              <w:rPr>
                <w:color w:val="000000"/>
                <w:szCs w:val="22"/>
              </w:rPr>
              <w:t>FS</w:t>
            </w:r>
          </w:p>
        </w:tc>
        <w:tc>
          <w:tcPr>
            <w:tcW w:w="2268" w:type="dxa"/>
            <w:tcBorders>
              <w:top w:val="nil"/>
              <w:left w:val="nil"/>
              <w:bottom w:val="single" w:sz="4" w:space="0" w:color="auto"/>
              <w:right w:val="single" w:sz="4" w:space="0" w:color="auto"/>
            </w:tcBorders>
            <w:shd w:val="clear" w:color="auto" w:fill="auto"/>
            <w:noWrap/>
            <w:vAlign w:val="center"/>
            <w:hideMark/>
          </w:tcPr>
          <w:p w:rsidR="00EF7AE9" w:rsidRPr="00705F1A" w:rsidRDefault="00EF7AE9" w:rsidP="00487F0F">
            <w:pPr>
              <w:spacing w:line="240" w:lineRule="auto"/>
              <w:ind w:firstLine="0"/>
              <w:jc w:val="right"/>
              <w:rPr>
                <w:bCs/>
                <w:color w:val="000000"/>
                <w:szCs w:val="22"/>
              </w:rPr>
            </w:pPr>
            <w:r w:rsidRPr="00705F1A">
              <w:rPr>
                <w:bCs/>
                <w:color w:val="000000"/>
                <w:szCs w:val="22"/>
              </w:rPr>
              <w:t>5 415</w:t>
            </w:r>
          </w:p>
        </w:tc>
      </w:tr>
      <w:tr w:rsidR="00EF7AE9" w:rsidRPr="00EF7AE9" w:rsidTr="00487F0F">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EF7AE9" w:rsidRPr="00EF7AE9" w:rsidRDefault="00EF7AE9" w:rsidP="00F972B8">
            <w:pPr>
              <w:spacing w:line="240" w:lineRule="auto"/>
              <w:ind w:firstLine="0"/>
              <w:jc w:val="left"/>
              <w:rPr>
                <w:color w:val="000000"/>
                <w:szCs w:val="22"/>
              </w:rPr>
            </w:pPr>
            <w:r w:rsidRPr="003A0A89">
              <w:rPr>
                <w:color w:val="000000"/>
              </w:rPr>
              <w:t>Program rozvoje venkova</w:t>
            </w:r>
          </w:p>
        </w:tc>
        <w:tc>
          <w:tcPr>
            <w:tcW w:w="1417" w:type="dxa"/>
            <w:tcBorders>
              <w:top w:val="nil"/>
              <w:left w:val="nil"/>
              <w:bottom w:val="single" w:sz="4" w:space="0" w:color="auto"/>
              <w:right w:val="single" w:sz="4" w:space="0" w:color="auto"/>
            </w:tcBorders>
            <w:shd w:val="clear" w:color="auto" w:fill="auto"/>
            <w:noWrap/>
            <w:vAlign w:val="center"/>
            <w:hideMark/>
          </w:tcPr>
          <w:p w:rsidR="00EF7AE9" w:rsidRPr="00EF7AE9" w:rsidRDefault="00EF7AE9" w:rsidP="00FE7933">
            <w:pPr>
              <w:spacing w:line="240" w:lineRule="auto"/>
              <w:ind w:firstLine="0"/>
              <w:jc w:val="left"/>
              <w:rPr>
                <w:color w:val="000000"/>
                <w:szCs w:val="22"/>
              </w:rPr>
            </w:pPr>
            <w:r w:rsidRPr="00EF7AE9">
              <w:rPr>
                <w:color w:val="000000"/>
                <w:szCs w:val="22"/>
              </w:rPr>
              <w:t>EZFRV</w:t>
            </w:r>
          </w:p>
        </w:tc>
        <w:tc>
          <w:tcPr>
            <w:tcW w:w="2268" w:type="dxa"/>
            <w:tcBorders>
              <w:top w:val="nil"/>
              <w:left w:val="nil"/>
              <w:bottom w:val="single" w:sz="4" w:space="0" w:color="auto"/>
              <w:right w:val="single" w:sz="4" w:space="0" w:color="auto"/>
            </w:tcBorders>
            <w:shd w:val="clear" w:color="auto" w:fill="auto"/>
            <w:noWrap/>
            <w:vAlign w:val="center"/>
            <w:hideMark/>
          </w:tcPr>
          <w:p w:rsidR="00EF7AE9" w:rsidRPr="00705F1A" w:rsidRDefault="00EF7AE9" w:rsidP="00487F0F">
            <w:pPr>
              <w:spacing w:line="240" w:lineRule="auto"/>
              <w:ind w:firstLine="0"/>
              <w:jc w:val="right"/>
              <w:rPr>
                <w:bCs/>
                <w:color w:val="000000"/>
                <w:szCs w:val="22"/>
              </w:rPr>
            </w:pPr>
            <w:r w:rsidRPr="00705F1A">
              <w:rPr>
                <w:bCs/>
                <w:color w:val="000000"/>
                <w:szCs w:val="22"/>
              </w:rPr>
              <w:t>56 387</w:t>
            </w:r>
          </w:p>
        </w:tc>
      </w:tr>
      <w:tr w:rsidR="00EF7AE9" w:rsidRPr="00EF7AE9" w:rsidTr="00487F0F">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EF7AE9" w:rsidRPr="003A0A89" w:rsidRDefault="00EF7AE9" w:rsidP="00F972B8">
            <w:pPr>
              <w:spacing w:before="100" w:beforeAutospacing="1" w:after="100" w:afterAutospacing="1" w:line="240" w:lineRule="auto"/>
              <w:ind w:firstLine="0"/>
              <w:jc w:val="left"/>
              <w:rPr>
                <w:color w:val="000000"/>
              </w:rPr>
            </w:pPr>
            <w:r w:rsidRPr="003A0A89">
              <w:rPr>
                <w:color w:val="000000"/>
              </w:rPr>
              <w:t>Rybářství</w:t>
            </w:r>
            <w:r>
              <w:rPr>
                <w:color w:val="000000"/>
              </w:rPr>
              <w:t xml:space="preserve"> 2014</w:t>
            </w:r>
            <w:r w:rsidR="00FD6296" w:rsidRPr="003A0A89">
              <w:rPr>
                <w:color w:val="000000"/>
              </w:rPr>
              <w:t>–</w:t>
            </w:r>
            <w:r>
              <w:rPr>
                <w:color w:val="000000"/>
              </w:rPr>
              <w:t>2020</w:t>
            </w:r>
          </w:p>
        </w:tc>
        <w:tc>
          <w:tcPr>
            <w:tcW w:w="1417" w:type="dxa"/>
            <w:tcBorders>
              <w:top w:val="nil"/>
              <w:left w:val="nil"/>
              <w:bottom w:val="single" w:sz="4" w:space="0" w:color="auto"/>
              <w:right w:val="single" w:sz="4" w:space="0" w:color="auto"/>
            </w:tcBorders>
            <w:shd w:val="clear" w:color="auto" w:fill="auto"/>
            <w:noWrap/>
            <w:vAlign w:val="center"/>
            <w:hideMark/>
          </w:tcPr>
          <w:p w:rsidR="00EF7AE9" w:rsidRPr="00EF7AE9" w:rsidRDefault="00EF7AE9" w:rsidP="00FE7933">
            <w:pPr>
              <w:spacing w:line="240" w:lineRule="auto"/>
              <w:ind w:firstLine="0"/>
              <w:jc w:val="left"/>
              <w:rPr>
                <w:color w:val="000000"/>
                <w:szCs w:val="22"/>
              </w:rPr>
            </w:pPr>
            <w:r w:rsidRPr="00EF7AE9">
              <w:rPr>
                <w:color w:val="000000"/>
                <w:szCs w:val="22"/>
              </w:rPr>
              <w:t>ENRF</w:t>
            </w:r>
          </w:p>
        </w:tc>
        <w:tc>
          <w:tcPr>
            <w:tcW w:w="2268" w:type="dxa"/>
            <w:tcBorders>
              <w:top w:val="nil"/>
              <w:left w:val="nil"/>
              <w:bottom w:val="single" w:sz="4" w:space="0" w:color="auto"/>
              <w:right w:val="single" w:sz="4" w:space="0" w:color="auto"/>
            </w:tcBorders>
            <w:shd w:val="clear" w:color="auto" w:fill="auto"/>
            <w:noWrap/>
            <w:vAlign w:val="center"/>
            <w:hideMark/>
          </w:tcPr>
          <w:p w:rsidR="00EF7AE9" w:rsidRPr="00705F1A" w:rsidRDefault="00EF7AE9" w:rsidP="00487F0F">
            <w:pPr>
              <w:spacing w:line="240" w:lineRule="auto"/>
              <w:ind w:firstLine="0"/>
              <w:jc w:val="right"/>
              <w:rPr>
                <w:bCs/>
                <w:color w:val="000000"/>
                <w:szCs w:val="22"/>
              </w:rPr>
            </w:pPr>
            <w:r w:rsidRPr="00705F1A">
              <w:rPr>
                <w:bCs/>
                <w:color w:val="000000"/>
                <w:szCs w:val="22"/>
              </w:rPr>
              <w:t>748</w:t>
            </w:r>
          </w:p>
        </w:tc>
      </w:tr>
      <w:tr w:rsidR="00EF7AE9" w:rsidRPr="00EF7AE9" w:rsidTr="00487F0F">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tcPr>
          <w:p w:rsidR="00EF7AE9" w:rsidRPr="00EF7AE9" w:rsidRDefault="00EF7AE9" w:rsidP="00F972B8">
            <w:pPr>
              <w:spacing w:line="240" w:lineRule="auto"/>
              <w:ind w:firstLine="0"/>
              <w:jc w:val="left"/>
              <w:rPr>
                <w:b/>
                <w:color w:val="000000"/>
                <w:szCs w:val="22"/>
              </w:rPr>
            </w:pPr>
            <w:r w:rsidRPr="00EF7AE9">
              <w:rPr>
                <w:b/>
                <w:color w:val="000000"/>
                <w:szCs w:val="22"/>
              </w:rPr>
              <w:t xml:space="preserve">Celková alokace </w:t>
            </w:r>
          </w:p>
        </w:tc>
        <w:tc>
          <w:tcPr>
            <w:tcW w:w="1417" w:type="dxa"/>
            <w:tcBorders>
              <w:top w:val="nil"/>
              <w:left w:val="nil"/>
              <w:bottom w:val="single" w:sz="4" w:space="0" w:color="auto"/>
              <w:right w:val="single" w:sz="4" w:space="0" w:color="auto"/>
            </w:tcBorders>
            <w:shd w:val="clear" w:color="auto" w:fill="auto"/>
            <w:noWrap/>
            <w:vAlign w:val="center"/>
          </w:tcPr>
          <w:p w:rsidR="00EF7AE9" w:rsidRPr="00EF7AE9" w:rsidRDefault="00EF7AE9" w:rsidP="00FE7933">
            <w:pPr>
              <w:spacing w:line="240" w:lineRule="auto"/>
              <w:ind w:firstLine="0"/>
              <w:jc w:val="left"/>
              <w:rPr>
                <w:color w:val="000000"/>
                <w:szCs w:val="22"/>
              </w:rPr>
            </w:pPr>
          </w:p>
        </w:tc>
        <w:tc>
          <w:tcPr>
            <w:tcW w:w="2268" w:type="dxa"/>
            <w:tcBorders>
              <w:top w:val="nil"/>
              <w:left w:val="nil"/>
              <w:bottom w:val="single" w:sz="4" w:space="0" w:color="auto"/>
              <w:right w:val="single" w:sz="4" w:space="0" w:color="auto"/>
            </w:tcBorders>
            <w:shd w:val="clear" w:color="auto" w:fill="auto"/>
            <w:noWrap/>
            <w:vAlign w:val="center"/>
          </w:tcPr>
          <w:p w:rsidR="00EF7AE9" w:rsidRPr="00EF7AE9" w:rsidRDefault="00EF7AE9" w:rsidP="00487F0F">
            <w:pPr>
              <w:spacing w:line="240" w:lineRule="auto"/>
              <w:ind w:firstLine="0"/>
              <w:jc w:val="right"/>
              <w:rPr>
                <w:b/>
                <w:bCs/>
                <w:color w:val="000000"/>
                <w:szCs w:val="22"/>
              </w:rPr>
            </w:pPr>
            <w:r>
              <w:rPr>
                <w:b/>
                <w:bCs/>
                <w:color w:val="000000"/>
                <w:szCs w:val="22"/>
              </w:rPr>
              <w:t>577 184</w:t>
            </w:r>
          </w:p>
        </w:tc>
      </w:tr>
    </w:tbl>
    <w:p w:rsidR="00EF7AE9" w:rsidRDefault="00EF7AE9" w:rsidP="00FD35F8">
      <w:pPr>
        <w:ind w:firstLine="0"/>
      </w:pPr>
      <w:r>
        <w:t xml:space="preserve">Zdroj: Čtvrtletní zpráva </w:t>
      </w:r>
      <w:r w:rsidRPr="008E14A8">
        <w:t>o implementaci ESI fondů v</w:t>
      </w:r>
      <w:r w:rsidR="00C37A65">
        <w:t xml:space="preserve"> ČR </w:t>
      </w:r>
      <w:r>
        <w:t>za IV. 2019 (vlastní zpracování)</w:t>
      </w:r>
    </w:p>
    <w:p w:rsidR="00EF7AE9" w:rsidRDefault="00EF7AE9" w:rsidP="00EF7AE9"/>
    <w:p w:rsidR="00536925" w:rsidRDefault="00536925" w:rsidP="00536925">
      <w:r>
        <w:t>Z předchozích tabulek je vidět, že Česká republika k 31. 12. 2019 spotřebovala pouze 41,36 % finančních prostředků z celkové alokace na programové období 2014–2020. To</w:t>
      </w:r>
      <w:r w:rsidR="00060A5A">
        <w:t> </w:t>
      </w:r>
      <w:r>
        <w:t xml:space="preserve">znamená, že pro splnění pravidla n+3 je nutné profinancovat zbývajících téměř 60 % finančních prostředků během následujících tří let. V tabulce není uveden jeden důležitý údaj, kterým je celková částka obsažená v právních aktech o poskytnutí podpory. Ta činí k 31. 12. 2019 </w:t>
      </w:r>
      <w:r w:rsidRPr="00FC4E79">
        <w:rPr>
          <w:b/>
        </w:rPr>
        <w:t>489 960 mil. Kč, tj. 84,88 %</w:t>
      </w:r>
      <w:r>
        <w:t xml:space="preserve"> z celkové alokace Dohody o partnerství.</w:t>
      </w:r>
      <w:r>
        <w:rPr>
          <w:rStyle w:val="Znakapoznpodarou"/>
        </w:rPr>
        <w:footnoteReference w:id="22"/>
      </w:r>
      <w:r>
        <w:t xml:space="preserve"> Jedná</w:t>
      </w:r>
      <w:r w:rsidR="00060A5A">
        <w:t> </w:t>
      </w:r>
      <w:r>
        <w:t>se o peněžní prostředky, které již byly na základě žádosti proplaceny nebo budou v případě bezproblémové realizace příslušných projektových záměrů příjemcům dotace proplaceny.</w:t>
      </w:r>
    </w:p>
    <w:p w:rsidR="00F35162" w:rsidRDefault="00536925" w:rsidP="00536925">
      <w:r>
        <w:lastRenderedPageBreak/>
        <w:t>Přenesení</w:t>
      </w:r>
      <w:r w:rsidR="00D84913">
        <w:t>m</w:t>
      </w:r>
      <w:r>
        <w:t xml:space="preserve"> údajů z předchozích tabulek do grafů </w:t>
      </w:r>
      <w:r w:rsidR="00D84913">
        <w:t>lze znázornit</w:t>
      </w:r>
      <w:r>
        <w:t xml:space="preserve">, kolik prostředků je </w:t>
      </w:r>
      <w:r w:rsidR="00D84913">
        <w:t>k 31.</w:t>
      </w:r>
      <w:r w:rsidR="00060A5A">
        <w:t> </w:t>
      </w:r>
      <w:r w:rsidR="00D84913">
        <w:t xml:space="preserve">12. 2019 </w:t>
      </w:r>
      <w:r>
        <w:t>ještě k dispozici v členění podle fondů (graf č. 1), z kterých jsou finanční prostředky čerpány, a podle jednotlivých operačních programů (graf č. 2)</w:t>
      </w:r>
      <w:r w:rsidR="00F35162">
        <w:t xml:space="preserve">. </w:t>
      </w:r>
    </w:p>
    <w:p w:rsidR="00CA0400" w:rsidRDefault="00CA0400" w:rsidP="00CA0400">
      <w:pPr>
        <w:ind w:firstLine="0"/>
      </w:pPr>
    </w:p>
    <w:p w:rsidR="00F825A9" w:rsidRDefault="00FD35F8" w:rsidP="00D84913">
      <w:pPr>
        <w:ind w:firstLine="0"/>
      </w:pPr>
      <w:bookmarkStart w:id="20" w:name="_Toc38385521"/>
      <w:r>
        <w:t xml:space="preserve">Graf č. </w:t>
      </w:r>
      <w:r w:rsidR="000B1805">
        <w:rPr>
          <w:noProof/>
        </w:rPr>
        <w:fldChar w:fldCharType="begin"/>
      </w:r>
      <w:r w:rsidR="000B1805">
        <w:rPr>
          <w:noProof/>
        </w:rPr>
        <w:instrText xml:space="preserve"> SEQ Graf_č. \* ARABIC </w:instrText>
      </w:r>
      <w:r w:rsidR="000B1805">
        <w:rPr>
          <w:noProof/>
        </w:rPr>
        <w:fldChar w:fldCharType="separate"/>
      </w:r>
      <w:r w:rsidR="00BA546C">
        <w:rPr>
          <w:noProof/>
        </w:rPr>
        <w:t>1</w:t>
      </w:r>
      <w:r w:rsidR="000B1805">
        <w:rPr>
          <w:noProof/>
        </w:rPr>
        <w:fldChar w:fldCharType="end"/>
      </w:r>
      <w:r>
        <w:t xml:space="preserve">: </w:t>
      </w:r>
      <w:r w:rsidR="00D84913">
        <w:t xml:space="preserve">Stav čerpání v programovém období </w:t>
      </w:r>
      <w:r w:rsidR="00F825A9">
        <w:t xml:space="preserve">2014–2020 k </w:t>
      </w:r>
      <w:r w:rsidR="00D84913" w:rsidRPr="00C06911">
        <w:t>31.</w:t>
      </w:r>
      <w:r w:rsidR="00F825A9">
        <w:t xml:space="preserve"> </w:t>
      </w:r>
      <w:r w:rsidR="00D84913" w:rsidRPr="00C06911">
        <w:t>12.</w:t>
      </w:r>
      <w:r w:rsidR="00F825A9">
        <w:t xml:space="preserve"> </w:t>
      </w:r>
      <w:r w:rsidR="00D84913" w:rsidRPr="00C06911">
        <w:t>2019, členění podle fondů</w:t>
      </w:r>
      <w:bookmarkEnd w:id="20"/>
    </w:p>
    <w:p w:rsidR="00100CEA" w:rsidRDefault="00100CEA" w:rsidP="00D84913">
      <w:pPr>
        <w:ind w:firstLine="0"/>
      </w:pPr>
      <w:r>
        <w:rPr>
          <w:noProof/>
        </w:rPr>
        <w:drawing>
          <wp:inline distT="0" distB="0" distL="0" distR="0" wp14:anchorId="1D6F24B2" wp14:editId="4BDF7962">
            <wp:extent cx="5581650" cy="2800350"/>
            <wp:effectExtent l="0" t="0" r="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25A9" w:rsidRDefault="00FD35F8" w:rsidP="00F825A9">
      <w:pPr>
        <w:ind w:firstLine="0"/>
      </w:pPr>
      <w:r>
        <w:t xml:space="preserve">Zdroj: </w:t>
      </w:r>
      <w:r w:rsidR="00C37A65">
        <w:t xml:space="preserve">Čtvrtletní zpráva </w:t>
      </w:r>
      <w:r w:rsidR="00C37A65" w:rsidRPr="008E14A8">
        <w:t xml:space="preserve">o implementaci ESI fondů v </w:t>
      </w:r>
      <w:r w:rsidR="00C37A65">
        <w:t>ČR za IV. 2019 (</w:t>
      </w:r>
      <w:r>
        <w:t>vlastní zpracování</w:t>
      </w:r>
      <w:r w:rsidR="00C37A65">
        <w:t>)</w:t>
      </w:r>
    </w:p>
    <w:p w:rsidR="004A0F50" w:rsidRDefault="004A0F50" w:rsidP="00F825A9">
      <w:pPr>
        <w:ind w:firstLine="0"/>
      </w:pPr>
      <w:bookmarkStart w:id="21" w:name="_Toc38385522"/>
    </w:p>
    <w:p w:rsidR="00F825A9" w:rsidRDefault="00FD35F8" w:rsidP="00F825A9">
      <w:pPr>
        <w:ind w:firstLine="0"/>
      </w:pPr>
      <w:r>
        <w:t>Graf č.</w:t>
      </w:r>
      <w:r w:rsidR="002E10AB">
        <w:t> </w:t>
      </w:r>
      <w:r w:rsidR="000B1805">
        <w:rPr>
          <w:noProof/>
        </w:rPr>
        <w:fldChar w:fldCharType="begin"/>
      </w:r>
      <w:r w:rsidR="000B1805">
        <w:rPr>
          <w:noProof/>
        </w:rPr>
        <w:instrText xml:space="preserve"> SEQ Graf_č. \* ARABIC </w:instrText>
      </w:r>
      <w:r w:rsidR="000B1805">
        <w:rPr>
          <w:noProof/>
        </w:rPr>
        <w:fldChar w:fldCharType="separate"/>
      </w:r>
      <w:r w:rsidR="00BA546C">
        <w:rPr>
          <w:noProof/>
        </w:rPr>
        <w:t>2</w:t>
      </w:r>
      <w:r w:rsidR="000B1805">
        <w:rPr>
          <w:noProof/>
        </w:rPr>
        <w:fldChar w:fldCharType="end"/>
      </w:r>
      <w:r>
        <w:t xml:space="preserve">: </w:t>
      </w:r>
      <w:r w:rsidR="00D84913" w:rsidRPr="00D84913">
        <w:t>Stav čerpání v programovém období 2014–2020 k 31. 12. 2019, členění podle</w:t>
      </w:r>
      <w:r w:rsidR="00F825A9">
        <w:t xml:space="preserve"> </w:t>
      </w:r>
      <w:r w:rsidR="007A5DAA">
        <w:t>o</w:t>
      </w:r>
      <w:r w:rsidR="00D84913" w:rsidRPr="00D84913">
        <w:t>peračních</w:t>
      </w:r>
      <w:r w:rsidR="007A5DAA">
        <w:t xml:space="preserve"> </w:t>
      </w:r>
      <w:r w:rsidR="00D84913" w:rsidRPr="00D84913">
        <w:t>programů</w:t>
      </w:r>
      <w:bookmarkEnd w:id="21"/>
    </w:p>
    <w:p w:rsidR="005C009B" w:rsidRDefault="00D84913" w:rsidP="00F825A9">
      <w:pPr>
        <w:ind w:firstLine="0"/>
      </w:pPr>
      <w:r w:rsidRPr="00D84913">
        <w:t xml:space="preserve"> </w:t>
      </w:r>
      <w:r w:rsidR="005C009B">
        <w:rPr>
          <w:noProof/>
        </w:rPr>
        <w:drawing>
          <wp:inline distT="0" distB="0" distL="0" distR="0">
            <wp:extent cx="5581650" cy="3028950"/>
            <wp:effectExtent l="0" t="0" r="0"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F7A59" w:rsidRDefault="00FD35F8" w:rsidP="00FD35F8">
      <w:pPr>
        <w:ind w:firstLine="0"/>
      </w:pPr>
      <w:r>
        <w:t>Zdroj:</w:t>
      </w:r>
      <w:r w:rsidR="00C37A65">
        <w:t xml:space="preserve"> Čtvrtletní zpráva </w:t>
      </w:r>
      <w:r w:rsidR="00C37A65" w:rsidRPr="008E14A8">
        <w:t xml:space="preserve">o implementaci ESI fondů v </w:t>
      </w:r>
      <w:r w:rsidR="00C37A65">
        <w:t>ČR za IV. 2019 (</w:t>
      </w:r>
      <w:r>
        <w:t>vlastní zpracování</w:t>
      </w:r>
      <w:r w:rsidR="00C37A65">
        <w:t>)</w:t>
      </w:r>
    </w:p>
    <w:p w:rsidR="00FD35F8" w:rsidRDefault="00FD35F8" w:rsidP="00DD44C5"/>
    <w:p w:rsidR="00100CEA" w:rsidRDefault="00100CEA" w:rsidP="00ED6EF2">
      <w:r>
        <w:lastRenderedPageBreak/>
        <w:t xml:space="preserve"> </w:t>
      </w:r>
      <w:r w:rsidR="0081637D">
        <w:t>Nejlepší</w:t>
      </w:r>
      <w:r w:rsidR="009A5F66">
        <w:t>ch</w:t>
      </w:r>
      <w:r w:rsidR="0081637D">
        <w:t xml:space="preserve"> </w:t>
      </w:r>
      <w:r w:rsidR="0012768A">
        <w:t xml:space="preserve">hodnot z pohledu </w:t>
      </w:r>
      <w:r w:rsidR="009A5F66">
        <w:t xml:space="preserve">úspěšnosti </w:t>
      </w:r>
      <w:r w:rsidR="0081637D">
        <w:t xml:space="preserve">čerpání </w:t>
      </w:r>
      <w:r w:rsidR="0012768A">
        <w:t xml:space="preserve">dosahuje </w:t>
      </w:r>
      <w:r w:rsidR="0081637D" w:rsidRPr="003A0A89">
        <w:rPr>
          <w:color w:val="000000"/>
        </w:rPr>
        <w:t>Program rozvoje venkova</w:t>
      </w:r>
      <w:r w:rsidR="0012768A">
        <w:rPr>
          <w:color w:val="000000"/>
        </w:rPr>
        <w:t xml:space="preserve"> (</w:t>
      </w:r>
      <w:r w:rsidR="009A5F66">
        <w:rPr>
          <w:color w:val="000000"/>
        </w:rPr>
        <w:t>příjemcům poskytnuto</w:t>
      </w:r>
      <w:r w:rsidR="0012768A">
        <w:rPr>
          <w:color w:val="000000"/>
        </w:rPr>
        <w:t xml:space="preserve"> </w:t>
      </w:r>
      <w:r w:rsidR="007A5DAA">
        <w:t>61,83</w:t>
      </w:r>
      <w:r w:rsidR="0012768A">
        <w:t xml:space="preserve"> % z celkové alokace programu)</w:t>
      </w:r>
      <w:r w:rsidR="0081637D">
        <w:rPr>
          <w:color w:val="000000"/>
        </w:rPr>
        <w:t xml:space="preserve">, který je financován </w:t>
      </w:r>
      <w:r w:rsidR="0081637D">
        <w:t>z</w:t>
      </w:r>
      <w:r w:rsidR="00487F0F">
        <w:t> </w:t>
      </w:r>
      <w:r w:rsidR="0081637D" w:rsidRPr="00F35162">
        <w:t>Evropského zemědělského fondu pro rozvoj venkova</w:t>
      </w:r>
      <w:r w:rsidR="0081637D">
        <w:t xml:space="preserve">. Tento </w:t>
      </w:r>
      <w:r w:rsidR="008F2C5C">
        <w:t xml:space="preserve">program </w:t>
      </w:r>
      <w:r w:rsidR="007A5DAA">
        <w:t>řídí</w:t>
      </w:r>
      <w:r w:rsidR="0081637D">
        <w:t xml:space="preserve"> Ministerstv</w:t>
      </w:r>
      <w:r w:rsidR="007A5DAA">
        <w:t>o</w:t>
      </w:r>
      <w:r w:rsidR="0081637D">
        <w:t xml:space="preserve"> zemědělství</w:t>
      </w:r>
      <w:r w:rsidR="007A5DAA">
        <w:t xml:space="preserve"> ČR</w:t>
      </w:r>
      <w:r w:rsidR="008F2C5C">
        <w:t>. C</w:t>
      </w:r>
      <w:r w:rsidR="0081637D">
        <w:t xml:space="preserve">ertifikačním a platebním orgánem </w:t>
      </w:r>
      <w:r w:rsidR="008F2C5C">
        <w:t xml:space="preserve">je </w:t>
      </w:r>
      <w:r w:rsidR="0081637D">
        <w:t xml:space="preserve">Státní zemědělský intervenční fond, který zároveň </w:t>
      </w:r>
      <w:r w:rsidR="007A5DAA">
        <w:t>vystupuje v rol</w:t>
      </w:r>
      <w:r w:rsidR="0081637D">
        <w:t>i</w:t>
      </w:r>
      <w:r w:rsidR="00B73523">
        <w:t> </w:t>
      </w:r>
      <w:r w:rsidR="0081637D">
        <w:t>zprostředkují</w:t>
      </w:r>
      <w:r w:rsidR="007A5DAA">
        <w:t>cího</w:t>
      </w:r>
      <w:r w:rsidR="0081637D">
        <w:t xml:space="preserve"> subjekt</w:t>
      </w:r>
      <w:r w:rsidR="007A5DAA">
        <w:t>u</w:t>
      </w:r>
      <w:r w:rsidR="0081637D">
        <w:t xml:space="preserve">. </w:t>
      </w:r>
      <w:r w:rsidR="008F2C5C">
        <w:t xml:space="preserve">Důvodem pro lepší čerpání na rozdíl od dalších </w:t>
      </w:r>
      <w:r w:rsidR="00B73523">
        <w:t>OP</w:t>
      </w:r>
      <w:r w:rsidR="008F2C5C">
        <w:t xml:space="preserve"> </w:t>
      </w:r>
      <w:r w:rsidR="009A5F66">
        <w:t>mohou</w:t>
      </w:r>
      <w:r w:rsidR="008F2C5C">
        <w:t xml:space="preserve"> </w:t>
      </w:r>
      <w:r w:rsidR="00DC1ED9">
        <w:t xml:space="preserve">být </w:t>
      </w:r>
      <w:r w:rsidR="008F2C5C">
        <w:t>jednodu</w:t>
      </w:r>
      <w:r w:rsidR="0012768A">
        <w:t>š</w:t>
      </w:r>
      <w:r w:rsidR="008F2C5C">
        <w:t xml:space="preserve">ší </w:t>
      </w:r>
      <w:r w:rsidR="00DC1ED9">
        <w:t>a</w:t>
      </w:r>
      <w:r w:rsidR="001F41AA">
        <w:t> </w:t>
      </w:r>
      <w:r w:rsidR="00DC1ED9">
        <w:t xml:space="preserve">srozumitelnější </w:t>
      </w:r>
      <w:r w:rsidR="008F2C5C">
        <w:t>podmínky pro získání dotace a nižší administrativní zátěž pro subjekty</w:t>
      </w:r>
      <w:r w:rsidR="00790B00">
        <w:t>, které žádají o finanční podporu</w:t>
      </w:r>
      <w:r w:rsidR="008F2C5C">
        <w:t xml:space="preserve">. </w:t>
      </w:r>
      <w:r w:rsidR="00B15AC9">
        <w:t>N</w:t>
      </w:r>
      <w:r w:rsidR="00FD6296">
        <w:t>aopak nedostatečné</w:t>
      </w:r>
      <w:r w:rsidR="007A5DAA">
        <w:t xml:space="preserve"> čerpání vykazují</w:t>
      </w:r>
      <w:r w:rsidR="00B15AC9">
        <w:t xml:space="preserve"> i</w:t>
      </w:r>
      <w:r w:rsidR="009A5F66">
        <w:t> </w:t>
      </w:r>
      <w:r w:rsidR="00B15AC9">
        <w:t>s ohledem na velikost alokovaných prostředků OP Podnikání a inovace</w:t>
      </w:r>
      <w:r w:rsidR="00FD6296">
        <w:t xml:space="preserve"> pro</w:t>
      </w:r>
      <w:r w:rsidR="00060A5A">
        <w:t> </w:t>
      </w:r>
      <w:r w:rsidR="00FD6296">
        <w:t>konkurenceschopnost</w:t>
      </w:r>
      <w:r w:rsidR="00B15AC9">
        <w:t xml:space="preserve"> (vyčerpáno 31,3</w:t>
      </w:r>
      <w:r w:rsidR="00347735">
        <w:t> </w:t>
      </w:r>
      <w:r w:rsidR="00B15AC9">
        <w:t>% z 98,7 mld.</w:t>
      </w:r>
      <w:r w:rsidR="00347735">
        <w:t xml:space="preserve"> Kč</w:t>
      </w:r>
      <w:r w:rsidR="00B15AC9">
        <w:t>), OP</w:t>
      </w:r>
      <w:r w:rsidR="00B73523">
        <w:t> </w:t>
      </w:r>
      <w:r w:rsidR="00B15AC9">
        <w:t>Doprava (</w:t>
      </w:r>
      <w:r w:rsidR="00347735">
        <w:t>43,19</w:t>
      </w:r>
      <w:r w:rsidR="00060A5A">
        <w:t> </w:t>
      </w:r>
      <w:r w:rsidR="00347735">
        <w:t>%</w:t>
      </w:r>
      <w:r w:rsidR="00060A5A">
        <w:t xml:space="preserve"> </w:t>
      </w:r>
      <w:r w:rsidR="00347735">
        <w:t>z</w:t>
      </w:r>
      <w:r w:rsidR="00060A5A">
        <w:t> </w:t>
      </w:r>
      <w:r w:rsidR="00347735">
        <w:t>110,2</w:t>
      </w:r>
      <w:r w:rsidR="00060A5A">
        <w:t> </w:t>
      </w:r>
      <w:r w:rsidR="00347735">
        <w:t>mld. Kč) a</w:t>
      </w:r>
      <w:r w:rsidR="00B15AC9">
        <w:t xml:space="preserve"> </w:t>
      </w:r>
      <w:r w:rsidR="00347735">
        <w:t>Integrovaný regionální OP (38,02 % z 114,7 mld. Kč)</w:t>
      </w:r>
      <w:r w:rsidR="00DF06D6">
        <w:t>.</w:t>
      </w:r>
    </w:p>
    <w:p w:rsidR="00D366B6" w:rsidRDefault="00347735" w:rsidP="00ED6EF2">
      <w:r>
        <w:t>P</w:t>
      </w:r>
      <w:r w:rsidR="00DC1ED9">
        <w:t xml:space="preserve">odle Zprávy o implementaci </w:t>
      </w:r>
      <w:r w:rsidR="00FE6338">
        <w:t xml:space="preserve">za IV. čtvrtletí 2019 </w:t>
      </w:r>
      <w:r w:rsidR="00DC1ED9">
        <w:t>Č</w:t>
      </w:r>
      <w:r w:rsidR="00FD6296">
        <w:t>R</w:t>
      </w:r>
      <w:r w:rsidR="00DC1ED9">
        <w:t xml:space="preserve"> splnil</w:t>
      </w:r>
      <w:r w:rsidR="00FD6296">
        <w:t>a</w:t>
      </w:r>
      <w:r w:rsidR="00DC1ED9">
        <w:t xml:space="preserve"> podmínky čerpání u všech </w:t>
      </w:r>
      <w:r>
        <w:t xml:space="preserve">deseti </w:t>
      </w:r>
      <w:r w:rsidR="00DC1ED9">
        <w:t>operačních programů (pravidlo n+3)</w:t>
      </w:r>
      <w:r>
        <w:t>.</w:t>
      </w:r>
      <w:r w:rsidR="007E1875">
        <w:rPr>
          <w:rStyle w:val="Znakapoznpodarou"/>
        </w:rPr>
        <w:footnoteReference w:id="23"/>
      </w:r>
      <w:r>
        <w:t xml:space="preserve"> To </w:t>
      </w:r>
      <w:r w:rsidR="00DC1ED9">
        <w:t xml:space="preserve">znamená, že byly vyčerpány všechny finanční prostředky poskytnuté </w:t>
      </w:r>
      <w:r>
        <w:t xml:space="preserve">na rok </w:t>
      </w:r>
      <w:r w:rsidR="00DC1ED9">
        <w:t>2016.</w:t>
      </w:r>
      <w:r w:rsidR="00FE6338">
        <w:t xml:space="preserve"> Přesto to z</w:t>
      </w:r>
      <w:r w:rsidR="00D366B6">
        <w:t>atím vypadá, že se bude opakovat situace z předchozího programového období 2007–2013,</w:t>
      </w:r>
      <w:r w:rsidR="00FE6338">
        <w:t xml:space="preserve"> </w:t>
      </w:r>
      <w:r w:rsidR="00DC1ED9">
        <w:t>kdy</w:t>
      </w:r>
      <w:r w:rsidR="00FE6338">
        <w:t xml:space="preserve"> </w:t>
      </w:r>
      <w:r w:rsidR="00FD6296">
        <w:t xml:space="preserve">se </w:t>
      </w:r>
      <w:r w:rsidR="00D366B6">
        <w:t xml:space="preserve">ČR </w:t>
      </w:r>
      <w:r w:rsidR="00FE6338">
        <w:t xml:space="preserve">v roce 2015 </w:t>
      </w:r>
      <w:r w:rsidR="00DF06D6">
        <w:t xml:space="preserve">snažila </w:t>
      </w:r>
      <w:r w:rsidR="00D366B6">
        <w:t>překotně dočerpat co nejvíc</w:t>
      </w:r>
      <w:r w:rsidR="00DF06D6">
        <w:t>e</w:t>
      </w:r>
      <w:r w:rsidR="00D366B6">
        <w:t xml:space="preserve"> </w:t>
      </w:r>
      <w:r w:rsidR="00DF06D6">
        <w:t xml:space="preserve">nevyčerpaných </w:t>
      </w:r>
      <w:r>
        <w:t>finančních prostředků</w:t>
      </w:r>
      <w:r w:rsidR="00DF06D6">
        <w:t>. Nakonec se v předchozím období nepodařilo vyčerpat 4 % z celkové alokace. V</w:t>
      </w:r>
      <w:r>
        <w:t xml:space="preserve"> tuto </w:t>
      </w:r>
      <w:r w:rsidR="0012768A">
        <w:t xml:space="preserve">chvíli </w:t>
      </w:r>
      <w:r w:rsidR="00DF06D6">
        <w:t xml:space="preserve">je </w:t>
      </w:r>
      <w:r>
        <w:t>vyčerpáno jen 41,36</w:t>
      </w:r>
      <w:r w:rsidR="00DF06D6">
        <w:t> </w:t>
      </w:r>
      <w:r>
        <w:t xml:space="preserve">% </w:t>
      </w:r>
      <w:r w:rsidR="00DF06D6">
        <w:t xml:space="preserve">prostředků </w:t>
      </w:r>
      <w:r>
        <w:t xml:space="preserve">z celkové alokace na celé </w:t>
      </w:r>
      <w:r w:rsidR="00FD6296">
        <w:t xml:space="preserve">aktuální </w:t>
      </w:r>
      <w:r>
        <w:t>programové období</w:t>
      </w:r>
      <w:r w:rsidR="00DF06D6">
        <w:t>. A</w:t>
      </w:r>
      <w:r>
        <w:t>čkoliv v právních aktech je</w:t>
      </w:r>
      <w:r w:rsidR="00487F0F">
        <w:t> </w:t>
      </w:r>
      <w:proofErr w:type="spellStart"/>
      <w:r w:rsidR="0012768A">
        <w:t>zesmluvněno</w:t>
      </w:r>
      <w:proofErr w:type="spellEnd"/>
      <w:r>
        <w:t xml:space="preserve"> 84,88</w:t>
      </w:r>
      <w:r w:rsidR="00DF06D6">
        <w:t> </w:t>
      </w:r>
      <w:r>
        <w:t>%</w:t>
      </w:r>
      <w:r w:rsidR="00DF06D6">
        <w:t xml:space="preserve">, není předem jisté, </w:t>
      </w:r>
      <w:r w:rsidR="00FD6296">
        <w:t>zda</w:t>
      </w:r>
      <w:r w:rsidR="00DF06D6">
        <w:t xml:space="preserve"> budou všechny projekty profinancovány v plné výši</w:t>
      </w:r>
      <w:r w:rsidR="00E836EC">
        <w:t xml:space="preserve"> a jestli vůbec dojde k realizaci nových projektů, </w:t>
      </w:r>
      <w:r w:rsidR="00C4669E">
        <w:t xml:space="preserve">i </w:t>
      </w:r>
      <w:r w:rsidR="00E836EC">
        <w:t xml:space="preserve">vzhledem </w:t>
      </w:r>
      <w:r w:rsidR="00C4669E">
        <w:t>k</w:t>
      </w:r>
      <w:r w:rsidR="00E836EC">
        <w:t xml:space="preserve"> aktuální situaci okolo </w:t>
      </w:r>
      <w:proofErr w:type="spellStart"/>
      <w:r w:rsidR="00E836EC">
        <w:t>korononaviru</w:t>
      </w:r>
      <w:proofErr w:type="spellEnd"/>
      <w:r>
        <w:t>.</w:t>
      </w:r>
      <w:r w:rsidR="00DC1ED9">
        <w:t xml:space="preserve"> </w:t>
      </w:r>
    </w:p>
    <w:p w:rsidR="00FB165B" w:rsidRDefault="00FB165B" w:rsidP="00790B00">
      <w:pPr>
        <w:ind w:firstLine="0"/>
      </w:pPr>
    </w:p>
    <w:p w:rsidR="00F26FD2" w:rsidRDefault="002B078A" w:rsidP="00135E41">
      <w:pPr>
        <w:pStyle w:val="Tomk"/>
        <w:ind w:left="567" w:hanging="567"/>
      </w:pPr>
      <w:bookmarkStart w:id="22" w:name="_Toc38385242"/>
      <w:bookmarkStart w:id="23" w:name="_Toc31638239"/>
      <w:r>
        <w:lastRenderedPageBreak/>
        <w:t xml:space="preserve">Koordinace a synergie </w:t>
      </w:r>
      <w:r w:rsidR="00C443EB">
        <w:t xml:space="preserve">mezi fondy EU, </w:t>
      </w:r>
      <w:r w:rsidR="00C05D45">
        <w:t>operačními</w:t>
      </w:r>
      <w:r>
        <w:t xml:space="preserve"> </w:t>
      </w:r>
      <w:r w:rsidR="00C443EB">
        <w:t>programy a</w:t>
      </w:r>
      <w:r w:rsidR="00C05D45">
        <w:t> </w:t>
      </w:r>
      <w:r w:rsidR="00C443EB">
        <w:t>orgány ČR</w:t>
      </w:r>
      <w:bookmarkEnd w:id="22"/>
    </w:p>
    <w:p w:rsidR="009D380A" w:rsidRDefault="00C443EB" w:rsidP="009D380A">
      <w:r>
        <w:t>Pro čerpání prostředků z</w:t>
      </w:r>
      <w:r w:rsidR="003B6114">
        <w:t> </w:t>
      </w:r>
      <w:r w:rsidR="007A125A">
        <w:t>e</w:t>
      </w:r>
      <w:r w:rsidR="003B6114">
        <w:t>vropských fondů</w:t>
      </w:r>
      <w:r>
        <w:t xml:space="preserve"> je důležité nastav</w:t>
      </w:r>
      <w:r w:rsidR="003B6114">
        <w:t>it</w:t>
      </w:r>
      <w:r>
        <w:t xml:space="preserve"> </w:t>
      </w:r>
      <w:r w:rsidR="00C05D45">
        <w:t>programy tak, aby</w:t>
      </w:r>
      <w:r w:rsidR="00060A5A">
        <w:t> </w:t>
      </w:r>
      <w:r w:rsidR="00C05D45">
        <w:t>naplňovaly</w:t>
      </w:r>
      <w:r>
        <w:t xml:space="preserve"> </w:t>
      </w:r>
      <w:r w:rsidR="00C05D45">
        <w:t xml:space="preserve">cíle </w:t>
      </w:r>
      <w:r w:rsidR="00335F35">
        <w:t>EU</w:t>
      </w:r>
      <w:r w:rsidR="003B6114">
        <w:t xml:space="preserve">. </w:t>
      </w:r>
      <w:r w:rsidR="00335F35">
        <w:t xml:space="preserve">Je </w:t>
      </w:r>
      <w:r w:rsidR="002B078A">
        <w:t>nutné</w:t>
      </w:r>
      <w:r w:rsidR="00335F35">
        <w:t xml:space="preserve"> </w:t>
      </w:r>
      <w:r w:rsidR="002B078A">
        <w:t>zajistit</w:t>
      </w:r>
      <w:r w:rsidR="00335F35">
        <w:t xml:space="preserve"> pravidla a činnosti</w:t>
      </w:r>
      <w:r w:rsidR="002B078A">
        <w:t xml:space="preserve"> jednotlivých institucí</w:t>
      </w:r>
      <w:r w:rsidR="00335F35">
        <w:t>, aby</w:t>
      </w:r>
      <w:r w:rsidR="008F765B">
        <w:t> </w:t>
      </w:r>
      <w:r w:rsidR="00335F35">
        <w:t>docházelo k</w:t>
      </w:r>
      <w:r w:rsidR="002B078A">
        <w:t>e vzájemné</w:t>
      </w:r>
      <w:r w:rsidR="00335F35">
        <w:t> synergii mezi subjekty implementační struktury</w:t>
      </w:r>
      <w:r w:rsidR="009D380A">
        <w:t xml:space="preserve"> (tzv.</w:t>
      </w:r>
      <w:r w:rsidR="008F765B">
        <w:t> </w:t>
      </w:r>
      <w:r w:rsidR="009D380A">
        <w:t>institucionální zajištění)</w:t>
      </w:r>
      <w:r w:rsidR="00F26319">
        <w:t>,</w:t>
      </w:r>
      <w:r w:rsidR="002B078A">
        <w:t xml:space="preserve"> a</w:t>
      </w:r>
      <w:r w:rsidR="00487F0F">
        <w:t> </w:t>
      </w:r>
      <w:r w:rsidR="002B078A">
        <w:t xml:space="preserve">to </w:t>
      </w:r>
      <w:r w:rsidR="00200D81">
        <w:t xml:space="preserve">pomocí </w:t>
      </w:r>
      <w:r w:rsidR="002B078A">
        <w:t xml:space="preserve">nástrojů jako je např. strategické plánování, koordinace v oblasti výzev, memoranda mezi řídícími orgány a další. </w:t>
      </w:r>
      <w:r w:rsidR="00367A98">
        <w:t>P</w:t>
      </w:r>
      <w:r w:rsidR="002B078A">
        <w:t>oužití</w:t>
      </w:r>
      <w:r w:rsidR="00367A98">
        <w:t>m</w:t>
      </w:r>
      <w:r w:rsidR="002B078A">
        <w:t xml:space="preserve"> </w:t>
      </w:r>
      <w:r w:rsidR="00200D81">
        <w:t xml:space="preserve">těchto </w:t>
      </w:r>
      <w:r w:rsidR="002B078A">
        <w:t>nástrojů</w:t>
      </w:r>
      <w:r w:rsidR="00367A98">
        <w:t>, institucionálním</w:t>
      </w:r>
      <w:r w:rsidR="002B078A">
        <w:t xml:space="preserve"> zajištění</w:t>
      </w:r>
      <w:r w:rsidR="00367A98">
        <w:t>m</w:t>
      </w:r>
      <w:r w:rsidR="002B078A">
        <w:t xml:space="preserve"> a nastavení</w:t>
      </w:r>
      <w:r w:rsidR="00367A98">
        <w:t>m</w:t>
      </w:r>
      <w:r w:rsidR="002B078A">
        <w:t xml:space="preserve"> jasných kompetencí</w:t>
      </w:r>
      <w:r w:rsidR="009D380A">
        <w:t xml:space="preserve"> </w:t>
      </w:r>
      <w:r w:rsidR="00367A98">
        <w:t>má Č</w:t>
      </w:r>
      <w:r w:rsidR="00CF2EC9">
        <w:t>R</w:t>
      </w:r>
      <w:r w:rsidR="00367A98">
        <w:t xml:space="preserve"> </w:t>
      </w:r>
      <w:r w:rsidR="002B078A">
        <w:t xml:space="preserve">dosáhnout </w:t>
      </w:r>
      <w:r w:rsidR="00335F35">
        <w:t>efektivní</w:t>
      </w:r>
      <w:r w:rsidR="002B078A">
        <w:t>ho</w:t>
      </w:r>
      <w:r w:rsidR="00335F35">
        <w:t xml:space="preserve"> řízení a naplnění cílů uvedených v Dohodě o partnerství</w:t>
      </w:r>
      <w:r w:rsidR="00200D81">
        <w:t>, ke kterým se zavázala</w:t>
      </w:r>
      <w:r w:rsidR="00335F35">
        <w:t>.</w:t>
      </w:r>
      <w:r>
        <w:t xml:space="preserve"> </w:t>
      </w:r>
    </w:p>
    <w:p w:rsidR="00120DF8" w:rsidRPr="00F26FD2" w:rsidRDefault="00120DF8" w:rsidP="006948CC">
      <w:pPr>
        <w:pStyle w:val="Tomk2"/>
        <w:ind w:left="567" w:hanging="567"/>
      </w:pPr>
      <w:bookmarkStart w:id="24" w:name="_Toc38385243"/>
      <w:r w:rsidRPr="00F26FD2">
        <w:t xml:space="preserve">Národní orgán pro </w:t>
      </w:r>
      <w:r w:rsidR="00682C37">
        <w:t>koordinaci</w:t>
      </w:r>
      <w:bookmarkEnd w:id="24"/>
    </w:p>
    <w:p w:rsidR="002C2B4C" w:rsidRPr="00A52546" w:rsidRDefault="00650DA0" w:rsidP="007E3511">
      <w:pPr>
        <w:ind w:firstLine="0"/>
      </w:pPr>
      <w:r w:rsidRPr="00650DA0">
        <w:t>Národní koordinační orgán (dále také „NOK</w:t>
      </w:r>
      <w:r w:rsidR="00446B3F">
        <w:t>“</w:t>
      </w:r>
      <w:r w:rsidRPr="00650DA0">
        <w:t>)</w:t>
      </w:r>
      <w:r>
        <w:t xml:space="preserve"> je hlavním orgánem, který má na starost </w:t>
      </w:r>
      <w:r w:rsidR="00BB74AF">
        <w:t>komunikaci</w:t>
      </w:r>
      <w:r>
        <w:t xml:space="preserve"> s Evropskou komis</w:t>
      </w:r>
      <w:r w:rsidR="00446B3F">
        <w:t>í</w:t>
      </w:r>
      <w:r>
        <w:t xml:space="preserve"> v souvislosti s čerpáním finančních prostředků z rozpočtu EU.</w:t>
      </w:r>
      <w:r w:rsidR="005966F4">
        <w:t xml:space="preserve"> </w:t>
      </w:r>
      <w:r w:rsidR="00CF2EC9">
        <w:t xml:space="preserve">V </w:t>
      </w:r>
      <w:r w:rsidR="007E3511" w:rsidRPr="00593A52">
        <w:t xml:space="preserve">současné době </w:t>
      </w:r>
      <w:r w:rsidR="007E3511">
        <w:t xml:space="preserve">se </w:t>
      </w:r>
      <w:r w:rsidR="007E3511" w:rsidRPr="00593A52">
        <w:t>podílí na vyjednávání podmínek</w:t>
      </w:r>
      <w:r w:rsidR="007E3511">
        <w:t xml:space="preserve"> </w:t>
      </w:r>
      <w:r w:rsidR="007E3511" w:rsidRPr="00593A52">
        <w:t xml:space="preserve">pro </w:t>
      </w:r>
      <w:r w:rsidR="007E3511">
        <w:t xml:space="preserve">následující </w:t>
      </w:r>
      <w:r w:rsidR="007E3511" w:rsidRPr="00593A52">
        <w:t>programové období 202</w:t>
      </w:r>
      <w:r w:rsidR="007E3511">
        <w:t>1–2027</w:t>
      </w:r>
      <w:r w:rsidR="007E3511" w:rsidRPr="00593A52">
        <w:t>.</w:t>
      </w:r>
      <w:r w:rsidR="007E3511">
        <w:t xml:space="preserve">  </w:t>
      </w:r>
      <w:r w:rsidR="002C2B4C">
        <w:t xml:space="preserve">Řízením </w:t>
      </w:r>
      <w:r w:rsidR="002C2B4C" w:rsidRPr="00A52546">
        <w:t xml:space="preserve">NOK bylo pověřeno </w:t>
      </w:r>
      <w:r w:rsidR="005966F4" w:rsidRPr="00A52546">
        <w:t>Ministerstvo pro místní rozvoj ČR na základě usnesení vlády ČR č. 198/2006 z 22. února 2006 a č. 448/2013 z 12. června 2013.</w:t>
      </w:r>
      <w:r w:rsidR="005966F4" w:rsidRPr="00A52546">
        <w:rPr>
          <w:vertAlign w:val="superscript"/>
        </w:rPr>
        <w:footnoteReference w:id="24"/>
      </w:r>
      <w:r w:rsidR="00A52546">
        <w:t xml:space="preserve"> </w:t>
      </w:r>
      <w:r w:rsidR="00CF2EC9">
        <w:t>H</w:t>
      </w:r>
      <w:r w:rsidR="00A52546">
        <w:t>lavní činnosti NOK:</w:t>
      </w:r>
    </w:p>
    <w:p w:rsidR="002C2B4C" w:rsidRDefault="002C2B4C" w:rsidP="003E4E35">
      <w:pPr>
        <w:pStyle w:val="Odstavecseseznamem"/>
        <w:numPr>
          <w:ilvl w:val="0"/>
          <w:numId w:val="2"/>
        </w:numPr>
        <w:ind w:left="426" w:hanging="357"/>
      </w:pPr>
      <w:r>
        <w:t>koordin</w:t>
      </w:r>
      <w:r w:rsidR="00446B3F">
        <w:t>uje</w:t>
      </w:r>
      <w:r>
        <w:t xml:space="preserve"> Dohod</w:t>
      </w:r>
      <w:r w:rsidR="00446B3F">
        <w:t>u</w:t>
      </w:r>
      <w:r>
        <w:t xml:space="preserve"> o partnerství,</w:t>
      </w:r>
    </w:p>
    <w:p w:rsidR="00A52546" w:rsidRDefault="00A52546" w:rsidP="003E4E35">
      <w:pPr>
        <w:pStyle w:val="Odstavecseseznamem"/>
        <w:numPr>
          <w:ilvl w:val="0"/>
          <w:numId w:val="2"/>
        </w:numPr>
        <w:ind w:left="426" w:hanging="357"/>
      </w:pPr>
      <w:r w:rsidRPr="002C2B4C">
        <w:t>zastřešuje operační programy</w:t>
      </w:r>
      <w:r>
        <w:t xml:space="preserve"> financované z EU,</w:t>
      </w:r>
    </w:p>
    <w:p w:rsidR="007E5D8E" w:rsidRDefault="002761D6" w:rsidP="003E4E35">
      <w:pPr>
        <w:pStyle w:val="Odstavecseseznamem"/>
        <w:numPr>
          <w:ilvl w:val="0"/>
          <w:numId w:val="2"/>
        </w:numPr>
        <w:ind w:left="426" w:hanging="357"/>
      </w:pPr>
      <w:r>
        <w:t xml:space="preserve">zpracovává </w:t>
      </w:r>
      <w:r w:rsidR="007E5D8E">
        <w:t xml:space="preserve">Metodický pokyn pro způsobilost výdajů, kterým </w:t>
      </w:r>
      <w:r>
        <w:t xml:space="preserve">nastavuje a sjednocuje obecná pravidla pro vykazování způsobilých výdajů, </w:t>
      </w:r>
    </w:p>
    <w:p w:rsidR="00A52546" w:rsidRPr="002C2B4C" w:rsidRDefault="00A52546" w:rsidP="003E4E35">
      <w:pPr>
        <w:pStyle w:val="Odstavecseseznamem"/>
        <w:numPr>
          <w:ilvl w:val="0"/>
          <w:numId w:val="2"/>
        </w:numPr>
        <w:ind w:left="426" w:hanging="357"/>
      </w:pPr>
      <w:r w:rsidRPr="002C2B4C">
        <w:t xml:space="preserve">vykonává dohled </w:t>
      </w:r>
      <w:r>
        <w:t xml:space="preserve">v rámci implementační struktury v oblasti evropských fondů, </w:t>
      </w:r>
    </w:p>
    <w:p w:rsidR="007E3511" w:rsidRPr="002C2B4C" w:rsidRDefault="007E3511" w:rsidP="003E4E35">
      <w:pPr>
        <w:pStyle w:val="Odstavecseseznamem"/>
        <w:numPr>
          <w:ilvl w:val="0"/>
          <w:numId w:val="2"/>
        </w:numPr>
        <w:ind w:left="426" w:hanging="357"/>
      </w:pPr>
      <w:r>
        <w:t>monitoruje realizaci programů, provádí metodický dohled,</w:t>
      </w:r>
    </w:p>
    <w:p w:rsidR="002C2B4C" w:rsidRDefault="00A52546" w:rsidP="003E4E35">
      <w:pPr>
        <w:pStyle w:val="Odstavecseseznamem"/>
        <w:numPr>
          <w:ilvl w:val="0"/>
          <w:numId w:val="2"/>
        </w:numPr>
        <w:ind w:left="426" w:hanging="357"/>
      </w:pPr>
      <w:r>
        <w:t>průběžně vyhodnocuje postu</w:t>
      </w:r>
      <w:r w:rsidR="00446B3F">
        <w:t>p</w:t>
      </w:r>
      <w:r>
        <w:t xml:space="preserve"> čerpání z fondů EU,</w:t>
      </w:r>
    </w:p>
    <w:p w:rsidR="007E3511" w:rsidRPr="002C2B4C" w:rsidRDefault="007E3511" w:rsidP="003E4E35">
      <w:pPr>
        <w:pStyle w:val="Odstavecseseznamem"/>
        <w:numPr>
          <w:ilvl w:val="0"/>
          <w:numId w:val="2"/>
        </w:numPr>
        <w:ind w:left="426" w:hanging="357"/>
      </w:pPr>
      <w:r>
        <w:t xml:space="preserve">zpracovává </w:t>
      </w:r>
      <w:r w:rsidRPr="007E3511">
        <w:t>zpráv</w:t>
      </w:r>
      <w:r>
        <w:t>y</w:t>
      </w:r>
      <w:r w:rsidRPr="007E3511">
        <w:t xml:space="preserve"> o implementaci ESI fondů</w:t>
      </w:r>
      <w:r w:rsidR="00446B3F">
        <w:t>,</w:t>
      </w:r>
    </w:p>
    <w:p w:rsidR="00A52546" w:rsidRDefault="007A125A" w:rsidP="003E4E35">
      <w:pPr>
        <w:pStyle w:val="Odstavecseseznamem"/>
        <w:numPr>
          <w:ilvl w:val="0"/>
          <w:numId w:val="2"/>
        </w:numPr>
        <w:ind w:left="426" w:hanging="357"/>
      </w:pPr>
      <w:r>
        <w:t>zajišťuje publicitu e</w:t>
      </w:r>
      <w:r w:rsidR="00A52546">
        <w:t>vropských fondů,</w:t>
      </w:r>
    </w:p>
    <w:p w:rsidR="007E3511" w:rsidRDefault="007E3511" w:rsidP="003E4E35">
      <w:pPr>
        <w:pStyle w:val="Odstavecseseznamem"/>
        <w:numPr>
          <w:ilvl w:val="0"/>
          <w:numId w:val="2"/>
        </w:numPr>
        <w:ind w:left="426" w:hanging="357"/>
      </w:pPr>
      <w:r w:rsidRPr="00F34084">
        <w:t>má odpovědnost za další činnosti stanovené v Pravidlech řízení Dohody o partnerství</w:t>
      </w:r>
      <w:r>
        <w:t>,</w:t>
      </w:r>
    </w:p>
    <w:p w:rsidR="002C2B4C" w:rsidRDefault="002C2B4C" w:rsidP="003E4E35">
      <w:pPr>
        <w:pStyle w:val="Odstavecseseznamem"/>
        <w:numPr>
          <w:ilvl w:val="0"/>
          <w:numId w:val="2"/>
        </w:numPr>
        <w:ind w:left="426" w:hanging="357"/>
      </w:pPr>
      <w:r w:rsidRPr="002C2B4C">
        <w:t>spravuje jednotný monitorovací systém MS2014+</w:t>
      </w:r>
      <w:r w:rsidR="00A52546">
        <w:t>.</w:t>
      </w:r>
      <w:r w:rsidR="00A52546">
        <w:rPr>
          <w:rStyle w:val="Znakapoznpodarou"/>
        </w:rPr>
        <w:footnoteReference w:id="25"/>
      </w:r>
    </w:p>
    <w:p w:rsidR="007E3511" w:rsidRDefault="007E3511" w:rsidP="00F3588F">
      <w:pPr>
        <w:rPr>
          <w:rFonts w:ascii="Roboto Condensed" w:hAnsi="Roboto Condensed" w:cs="Arial"/>
          <w:color w:val="333333"/>
        </w:rPr>
      </w:pPr>
    </w:p>
    <w:p w:rsidR="00692C84" w:rsidRPr="00F3588F" w:rsidRDefault="00F34785" w:rsidP="00F3588F">
      <w:pPr>
        <w:rPr>
          <w:rFonts w:ascii="Roboto Condensed" w:hAnsi="Roboto Condensed" w:cs="Arial"/>
          <w:color w:val="333333"/>
        </w:rPr>
      </w:pPr>
      <w:r>
        <w:rPr>
          <w:rFonts w:ascii="Roboto Condensed" w:hAnsi="Roboto Condensed" w:cs="Arial"/>
          <w:color w:val="333333"/>
        </w:rPr>
        <w:t>Pro programové období 2014–2020 bylo u</w:t>
      </w:r>
      <w:r w:rsidR="00692C84">
        <w:rPr>
          <w:rFonts w:ascii="Roboto Condensed" w:hAnsi="Roboto Condensed" w:cs="Arial"/>
          <w:color w:val="333333"/>
        </w:rPr>
        <w:t xml:space="preserve">snesením vlády ČR č. 664 ze dne 8. září 2011 </w:t>
      </w:r>
      <w:r>
        <w:rPr>
          <w:rFonts w:ascii="Roboto Condensed" w:hAnsi="Roboto Condensed" w:cs="Arial"/>
          <w:color w:val="333333"/>
        </w:rPr>
        <w:t>schváleno vytvoření</w:t>
      </w:r>
      <w:r w:rsidR="00692C84">
        <w:rPr>
          <w:rFonts w:ascii="Roboto Condensed" w:hAnsi="Roboto Condensed" w:cs="Arial"/>
          <w:color w:val="333333"/>
        </w:rPr>
        <w:t xml:space="preserve"> </w:t>
      </w:r>
      <w:r>
        <w:rPr>
          <w:rFonts w:ascii="Roboto Condensed" w:hAnsi="Roboto Condensed" w:cs="Arial"/>
          <w:color w:val="333333"/>
        </w:rPr>
        <w:t xml:space="preserve">informačního a monitorovacího systém MS2014+. </w:t>
      </w:r>
      <w:r w:rsidR="00D55395">
        <w:rPr>
          <w:rFonts w:ascii="Roboto Condensed" w:hAnsi="Roboto Condensed" w:cs="Arial"/>
          <w:color w:val="333333"/>
        </w:rPr>
        <w:t xml:space="preserve">MS2014+ nahradil předchozí aplikace, kdy existovalo současně několik informačních </w:t>
      </w:r>
      <w:r w:rsidR="002B78A9">
        <w:rPr>
          <w:rFonts w:ascii="Roboto Condensed" w:hAnsi="Roboto Condensed" w:cs="Arial"/>
          <w:color w:val="333333"/>
        </w:rPr>
        <w:t>platforem</w:t>
      </w:r>
      <w:r w:rsidR="00D55395">
        <w:rPr>
          <w:rFonts w:ascii="Roboto Condensed" w:hAnsi="Roboto Condensed" w:cs="Arial"/>
          <w:color w:val="333333"/>
        </w:rPr>
        <w:t>,</w:t>
      </w:r>
      <w:r w:rsidR="00D55395" w:rsidRPr="00D55395">
        <w:rPr>
          <w:rFonts w:ascii="Roboto Condensed" w:hAnsi="Roboto Condensed" w:cs="Arial"/>
          <w:color w:val="333333"/>
        </w:rPr>
        <w:t xml:space="preserve"> </w:t>
      </w:r>
      <w:r w:rsidR="002B78A9">
        <w:rPr>
          <w:rFonts w:ascii="Roboto Condensed" w:hAnsi="Roboto Condensed" w:cs="Arial"/>
          <w:color w:val="333333"/>
        </w:rPr>
        <w:t>které sloužily</w:t>
      </w:r>
      <w:r w:rsidR="00D55395">
        <w:rPr>
          <w:rFonts w:ascii="Roboto Condensed" w:hAnsi="Roboto Condensed" w:cs="Arial"/>
          <w:color w:val="333333"/>
        </w:rPr>
        <w:t xml:space="preserve"> k administraci a</w:t>
      </w:r>
      <w:r w:rsidR="00D55395" w:rsidRPr="00F3588F">
        <w:rPr>
          <w:rFonts w:ascii="Roboto Condensed" w:hAnsi="Roboto Condensed" w:cs="Arial"/>
          <w:color w:val="333333"/>
        </w:rPr>
        <w:t xml:space="preserve"> monitorování programů</w:t>
      </w:r>
      <w:r w:rsidR="00D55395">
        <w:rPr>
          <w:rFonts w:ascii="Roboto Condensed" w:hAnsi="Roboto Condensed" w:cs="Arial"/>
          <w:color w:val="333333"/>
        </w:rPr>
        <w:t xml:space="preserve">. Dříve používané programy byly </w:t>
      </w:r>
      <w:r w:rsidR="00D55395" w:rsidRPr="00F3588F">
        <w:rPr>
          <w:rFonts w:ascii="Roboto Condensed" w:hAnsi="Roboto Condensed" w:cs="Arial"/>
          <w:color w:val="333333"/>
        </w:rPr>
        <w:t>IS BENE</w:t>
      </w:r>
      <w:r w:rsidR="00D55395">
        <w:rPr>
          <w:rFonts w:ascii="Roboto Condensed" w:hAnsi="Roboto Condensed" w:cs="Arial" w:hint="eastAsia"/>
          <w:color w:val="333333"/>
        </w:rPr>
        <w:t> </w:t>
      </w:r>
      <w:r w:rsidR="00D55395" w:rsidRPr="00F3588F">
        <w:rPr>
          <w:rFonts w:ascii="Roboto Condensed" w:hAnsi="Roboto Condensed" w:cs="Arial"/>
          <w:color w:val="333333"/>
        </w:rPr>
        <w:t xml:space="preserve">FILL, BENEFIT7 a </w:t>
      </w:r>
      <w:proofErr w:type="spellStart"/>
      <w:r w:rsidR="00D55395" w:rsidRPr="00F3588F">
        <w:rPr>
          <w:rFonts w:ascii="Roboto Condensed" w:hAnsi="Roboto Condensed" w:cs="Arial"/>
          <w:color w:val="333333"/>
        </w:rPr>
        <w:t>eAccount</w:t>
      </w:r>
      <w:proofErr w:type="spellEnd"/>
      <w:r w:rsidR="00D55395">
        <w:rPr>
          <w:rFonts w:ascii="Roboto Condensed" w:hAnsi="Roboto Condensed" w:cs="Arial"/>
          <w:color w:val="333333"/>
        </w:rPr>
        <w:t>. Každý z nich byl určen pro jiné projekty a spravoval je jiný řídící orgán</w:t>
      </w:r>
      <w:r w:rsidR="00D55395" w:rsidRPr="00F3588F">
        <w:rPr>
          <w:rFonts w:ascii="Roboto Condensed" w:hAnsi="Roboto Condensed" w:cs="Arial"/>
          <w:color w:val="333333"/>
        </w:rPr>
        <w:t>.</w:t>
      </w:r>
      <w:r w:rsidR="00D55395">
        <w:rPr>
          <w:rFonts w:ascii="Roboto Condensed" w:hAnsi="Roboto Condensed" w:cs="Arial"/>
          <w:color w:val="333333"/>
        </w:rPr>
        <w:t xml:space="preserve"> </w:t>
      </w:r>
      <w:r w:rsidR="00513642">
        <w:rPr>
          <w:rFonts w:ascii="Roboto Condensed" w:hAnsi="Roboto Condensed" w:cs="Arial"/>
          <w:color w:val="333333"/>
        </w:rPr>
        <w:t>V</w:t>
      </w:r>
      <w:r w:rsidR="00D55395">
        <w:t>ývoj</w:t>
      </w:r>
      <w:r w:rsidR="00513642">
        <w:t>, provoz</w:t>
      </w:r>
      <w:r w:rsidR="00D55395">
        <w:t xml:space="preserve"> a podporu aplikace MS2014+ zajišťuje pouze </w:t>
      </w:r>
      <w:r w:rsidR="002B78A9">
        <w:t>NOK</w:t>
      </w:r>
      <w:r w:rsidR="00D55395">
        <w:t xml:space="preserve">. </w:t>
      </w:r>
      <w:r w:rsidR="00D55395">
        <w:rPr>
          <w:rFonts w:ascii="Roboto Condensed" w:hAnsi="Roboto Condensed" w:cs="Arial"/>
          <w:color w:val="333333"/>
        </w:rPr>
        <w:t>Ú</w:t>
      </w:r>
      <w:r>
        <w:rPr>
          <w:rFonts w:ascii="Roboto Condensed" w:hAnsi="Roboto Condensed" w:cs="Arial"/>
          <w:color w:val="333333"/>
        </w:rPr>
        <w:t xml:space="preserve">kolem </w:t>
      </w:r>
      <w:r w:rsidR="00CF2EC9">
        <w:rPr>
          <w:rFonts w:ascii="Roboto Condensed" w:hAnsi="Roboto Condensed" w:cs="Arial"/>
          <w:color w:val="333333"/>
        </w:rPr>
        <w:t xml:space="preserve">této aplikace </w:t>
      </w:r>
      <w:r>
        <w:rPr>
          <w:rFonts w:ascii="Roboto Condensed" w:hAnsi="Roboto Condensed" w:cs="Arial"/>
          <w:color w:val="333333"/>
        </w:rPr>
        <w:t xml:space="preserve">je zabezpečit </w:t>
      </w:r>
      <w:r w:rsidR="00692C84">
        <w:rPr>
          <w:rFonts w:ascii="Roboto Condensed" w:hAnsi="Roboto Condensed" w:cs="Arial"/>
          <w:color w:val="333333"/>
        </w:rPr>
        <w:t xml:space="preserve">kompletní </w:t>
      </w:r>
      <w:r w:rsidR="00CF2EC9">
        <w:rPr>
          <w:rFonts w:ascii="Roboto Condensed" w:hAnsi="Roboto Condensed" w:cs="Arial"/>
          <w:color w:val="333333"/>
        </w:rPr>
        <w:t xml:space="preserve">informační a monitorovací systém pro </w:t>
      </w:r>
      <w:r w:rsidR="00692C84">
        <w:rPr>
          <w:rFonts w:ascii="Roboto Condensed" w:hAnsi="Roboto Condensed" w:cs="Arial"/>
          <w:color w:val="333333"/>
        </w:rPr>
        <w:t>všech</w:t>
      </w:r>
      <w:r w:rsidR="00CF2EC9">
        <w:rPr>
          <w:rFonts w:ascii="Roboto Condensed" w:hAnsi="Roboto Condensed" w:cs="Arial"/>
          <w:color w:val="333333"/>
        </w:rPr>
        <w:t>ny</w:t>
      </w:r>
      <w:r w:rsidR="00692C84">
        <w:rPr>
          <w:rFonts w:ascii="Roboto Condensed" w:hAnsi="Roboto Condensed" w:cs="Arial"/>
          <w:color w:val="333333"/>
        </w:rPr>
        <w:t xml:space="preserve"> </w:t>
      </w:r>
      <w:r w:rsidR="002B78A9">
        <w:rPr>
          <w:rFonts w:ascii="Roboto Condensed" w:hAnsi="Roboto Condensed" w:cs="Arial"/>
          <w:color w:val="333333"/>
        </w:rPr>
        <w:t>OP</w:t>
      </w:r>
      <w:r w:rsidR="00CF2EC9">
        <w:rPr>
          <w:rFonts w:ascii="Roboto Condensed" w:hAnsi="Roboto Condensed" w:cs="Arial"/>
          <w:color w:val="333333"/>
        </w:rPr>
        <w:t xml:space="preserve">, který </w:t>
      </w:r>
      <w:r w:rsidR="00513642">
        <w:rPr>
          <w:rFonts w:ascii="Roboto Condensed" w:hAnsi="Roboto Condensed" w:cs="Arial"/>
          <w:color w:val="333333"/>
        </w:rPr>
        <w:t xml:space="preserve">je </w:t>
      </w:r>
      <w:r w:rsidRPr="00F3588F">
        <w:rPr>
          <w:rFonts w:ascii="Roboto Condensed" w:hAnsi="Roboto Condensed" w:cs="Arial"/>
          <w:color w:val="333333"/>
        </w:rPr>
        <w:t xml:space="preserve">zároveň </w:t>
      </w:r>
      <w:r w:rsidR="002B78A9">
        <w:rPr>
          <w:rFonts w:ascii="Roboto Condensed" w:hAnsi="Roboto Condensed" w:cs="Arial"/>
          <w:color w:val="333333"/>
        </w:rPr>
        <w:t>používán</w:t>
      </w:r>
      <w:r w:rsidRPr="00F3588F">
        <w:rPr>
          <w:rFonts w:ascii="Roboto Condensed" w:hAnsi="Roboto Condensed" w:cs="Arial"/>
          <w:color w:val="333333"/>
        </w:rPr>
        <w:t xml:space="preserve"> ke komunikaci </w:t>
      </w:r>
      <w:r w:rsidR="00CF2EC9">
        <w:rPr>
          <w:rFonts w:ascii="Roboto Condensed" w:hAnsi="Roboto Condensed" w:cs="Arial"/>
          <w:color w:val="333333"/>
        </w:rPr>
        <w:t xml:space="preserve">mezi </w:t>
      </w:r>
      <w:r w:rsidRPr="00F3588F">
        <w:rPr>
          <w:rFonts w:ascii="Roboto Condensed" w:hAnsi="Roboto Condensed" w:cs="Arial"/>
          <w:color w:val="333333"/>
        </w:rPr>
        <w:t>žadateli a příjemci podpory</w:t>
      </w:r>
      <w:r>
        <w:t>.</w:t>
      </w:r>
      <w:r w:rsidR="00F3588F">
        <w:rPr>
          <w:rStyle w:val="Znakapoznpodarou"/>
        </w:rPr>
        <w:footnoteReference w:id="26"/>
      </w:r>
      <w:r>
        <w:rPr>
          <w:rFonts w:ascii="Roboto Condensed" w:hAnsi="Roboto Condensed" w:cs="Arial"/>
          <w:color w:val="333333"/>
        </w:rPr>
        <w:t xml:space="preserve"> </w:t>
      </w:r>
      <w:r w:rsidR="00F3588F" w:rsidRPr="00F3588F">
        <w:rPr>
          <w:rFonts w:ascii="Roboto Condensed" w:hAnsi="Roboto Condensed" w:cs="Arial"/>
          <w:color w:val="333333"/>
        </w:rPr>
        <w:t>Aplikace MS2014+ slouží</w:t>
      </w:r>
      <w:r w:rsidR="00F3588F">
        <w:rPr>
          <w:rFonts w:ascii="Roboto Condensed" w:hAnsi="Roboto Condensed" w:cs="Arial"/>
          <w:color w:val="333333"/>
        </w:rPr>
        <w:t xml:space="preserve"> k</w:t>
      </w:r>
      <w:r w:rsidR="00F3588F" w:rsidRPr="00F3588F">
        <w:rPr>
          <w:rFonts w:ascii="Roboto Condensed" w:hAnsi="Roboto Condensed" w:cs="Arial"/>
          <w:color w:val="333333"/>
        </w:rPr>
        <w:t>:</w:t>
      </w:r>
    </w:p>
    <w:p w:rsidR="0038259A" w:rsidRDefault="0038259A" w:rsidP="003E4E35">
      <w:pPr>
        <w:pStyle w:val="Odstavecseseznamem"/>
        <w:numPr>
          <w:ilvl w:val="0"/>
          <w:numId w:val="2"/>
        </w:numPr>
        <w:ind w:left="426" w:hanging="357"/>
      </w:pPr>
      <w:r>
        <w:t>evidenci výzev k podání žádostí o dotaci,</w:t>
      </w:r>
    </w:p>
    <w:p w:rsidR="00692C84" w:rsidRDefault="00692C84" w:rsidP="003E4E35">
      <w:pPr>
        <w:pStyle w:val="Odstavecseseznamem"/>
        <w:numPr>
          <w:ilvl w:val="0"/>
          <w:numId w:val="2"/>
        </w:numPr>
        <w:ind w:left="426" w:hanging="357"/>
      </w:pPr>
      <w:r>
        <w:t xml:space="preserve">podávání </w:t>
      </w:r>
      <w:r w:rsidR="0038259A">
        <w:t xml:space="preserve">a kontrole </w:t>
      </w:r>
      <w:r>
        <w:t>žádostí</w:t>
      </w:r>
      <w:r w:rsidR="0038259A">
        <w:t xml:space="preserve"> o dotaci</w:t>
      </w:r>
      <w:r w:rsidR="00F3588F">
        <w:t>,</w:t>
      </w:r>
    </w:p>
    <w:p w:rsidR="00692C84" w:rsidRDefault="0038259A" w:rsidP="004E3DB7">
      <w:pPr>
        <w:pStyle w:val="Odstavecseseznamem"/>
        <w:numPr>
          <w:ilvl w:val="0"/>
          <w:numId w:val="2"/>
        </w:numPr>
        <w:ind w:left="426" w:hanging="357"/>
      </w:pPr>
      <w:r>
        <w:t>vkládání dokumentů souvisejících</w:t>
      </w:r>
      <w:r w:rsidR="009A3B0A">
        <w:t xml:space="preserve"> s administrací projektů (účetní doklady,</w:t>
      </w:r>
      <w:r>
        <w:t xml:space="preserve"> </w:t>
      </w:r>
      <w:r w:rsidR="00692C84">
        <w:t>průběžné a</w:t>
      </w:r>
      <w:r w:rsidR="009A3B0A">
        <w:t> </w:t>
      </w:r>
      <w:r w:rsidR="00692C84">
        <w:t>závěrečné zprávy o realizaci</w:t>
      </w:r>
      <w:r>
        <w:t xml:space="preserve"> nebo</w:t>
      </w:r>
      <w:r w:rsidR="00692C84">
        <w:t xml:space="preserve"> </w:t>
      </w:r>
      <w:r w:rsidR="00692C84" w:rsidRPr="007F5B1F">
        <w:t>o udržitelnosti projektu</w:t>
      </w:r>
      <w:r w:rsidR="00F3588F">
        <w:t>,</w:t>
      </w:r>
      <w:r w:rsidR="009A3B0A">
        <w:t xml:space="preserve"> </w:t>
      </w:r>
      <w:r w:rsidR="00692C84">
        <w:t>přehled zdrojů financování</w:t>
      </w:r>
      <w:r w:rsidR="009A3B0A">
        <w:t>),</w:t>
      </w:r>
    </w:p>
    <w:p w:rsidR="00F3588F" w:rsidRDefault="00F3588F" w:rsidP="003E4E35">
      <w:pPr>
        <w:pStyle w:val="Odstavecseseznamem"/>
        <w:numPr>
          <w:ilvl w:val="0"/>
          <w:numId w:val="2"/>
        </w:numPr>
        <w:ind w:left="426" w:hanging="357"/>
      </w:pPr>
      <w:r>
        <w:t>podávání žádostí</w:t>
      </w:r>
      <w:r w:rsidR="00692C84">
        <w:t xml:space="preserve"> o platbu</w:t>
      </w:r>
      <w:r>
        <w:t>,</w:t>
      </w:r>
    </w:p>
    <w:p w:rsidR="006C53F2" w:rsidRDefault="00F3588F" w:rsidP="003E4E35">
      <w:pPr>
        <w:pStyle w:val="Odstavecseseznamem"/>
        <w:numPr>
          <w:ilvl w:val="0"/>
          <w:numId w:val="2"/>
        </w:numPr>
        <w:ind w:left="426" w:hanging="357"/>
      </w:pPr>
      <w:r>
        <w:t xml:space="preserve">přenosu dat mezi ČR a </w:t>
      </w:r>
      <w:r w:rsidR="009A3B0A">
        <w:t>Evrop</w:t>
      </w:r>
      <w:r w:rsidR="004E3DB7">
        <w:t>s</w:t>
      </w:r>
      <w:r w:rsidR="009A3B0A">
        <w:t>kou komisí</w:t>
      </w:r>
      <w:r>
        <w:t>.</w:t>
      </w:r>
    </w:p>
    <w:p w:rsidR="00CB18D7" w:rsidRPr="006948CC" w:rsidRDefault="00CB18D7" w:rsidP="006948CC">
      <w:pPr>
        <w:pStyle w:val="Tomk2"/>
        <w:ind w:left="567" w:hanging="567"/>
      </w:pPr>
      <w:bookmarkStart w:id="25" w:name="_Toc38385244"/>
      <w:r w:rsidRPr="006948CC">
        <w:t>Instituce implementační struktury</w:t>
      </w:r>
      <w:bookmarkEnd w:id="25"/>
    </w:p>
    <w:p w:rsidR="00200D81" w:rsidRPr="00FD35F8" w:rsidRDefault="00200D81" w:rsidP="00200D81">
      <w:r>
        <w:t xml:space="preserve">Základní implementační struktura </w:t>
      </w:r>
      <w:r w:rsidR="00AF4310" w:rsidRPr="0036415E">
        <w:t xml:space="preserve">v oblasti </w:t>
      </w:r>
      <w:r w:rsidR="007A125A">
        <w:t>e</w:t>
      </w:r>
      <w:r w:rsidR="00AF4310" w:rsidRPr="0036415E">
        <w:t>vropských fondů</w:t>
      </w:r>
      <w:r w:rsidR="00AF4310">
        <w:t xml:space="preserve"> </w:t>
      </w:r>
      <w:r>
        <w:t>je tvořena subjekty</w:t>
      </w:r>
      <w:r w:rsidR="00B93C38">
        <w:t xml:space="preserve">, kdy je nutné důsledně oddělit řídící, platební a auditní </w:t>
      </w:r>
      <w:r w:rsidR="00B93C38" w:rsidRPr="00FD35F8">
        <w:t>funkce</w:t>
      </w:r>
      <w:r w:rsidR="00AF4310" w:rsidRPr="00FD35F8">
        <w:t xml:space="preserve"> (obr</w:t>
      </w:r>
      <w:r w:rsidR="00FD35F8" w:rsidRPr="00FD35F8">
        <w:t>.</w:t>
      </w:r>
      <w:r w:rsidR="00AF4310" w:rsidRPr="00FD35F8">
        <w:t xml:space="preserve"> 1)</w:t>
      </w:r>
      <w:r w:rsidR="00B93C38" w:rsidRPr="00FD35F8">
        <w:t>. Implementační struktura se</w:t>
      </w:r>
      <w:r w:rsidR="00487F0F">
        <w:t> </w:t>
      </w:r>
      <w:r w:rsidR="00B93C38" w:rsidRPr="00FD35F8">
        <w:t>skládá z následujících orgánů</w:t>
      </w:r>
      <w:r w:rsidRPr="00FD35F8">
        <w:t>:</w:t>
      </w:r>
    </w:p>
    <w:p w:rsidR="00B93C38" w:rsidRPr="00FD35F8" w:rsidRDefault="00B93C38" w:rsidP="003E4E35">
      <w:pPr>
        <w:pStyle w:val="Odstavecseseznamem"/>
        <w:numPr>
          <w:ilvl w:val="0"/>
          <w:numId w:val="2"/>
        </w:numPr>
        <w:ind w:left="426" w:hanging="357"/>
      </w:pPr>
      <w:r w:rsidRPr="00FD35F8">
        <w:t>auditní orgán,</w:t>
      </w:r>
    </w:p>
    <w:p w:rsidR="00200D81" w:rsidRPr="00FD35F8" w:rsidRDefault="00200D81" w:rsidP="003E4E35">
      <w:pPr>
        <w:pStyle w:val="Odstavecseseznamem"/>
        <w:numPr>
          <w:ilvl w:val="0"/>
          <w:numId w:val="2"/>
        </w:numPr>
        <w:ind w:left="426" w:hanging="357"/>
      </w:pPr>
      <w:r w:rsidRPr="00FD35F8">
        <w:t>řídící orgány</w:t>
      </w:r>
      <w:r w:rsidR="00294F01">
        <w:t xml:space="preserve"> a jejich</w:t>
      </w:r>
      <w:r w:rsidR="00B93C38" w:rsidRPr="00FD35F8">
        <w:t xml:space="preserve"> </w:t>
      </w:r>
      <w:r w:rsidRPr="00FD35F8">
        <w:t>zprostředkující orgány,</w:t>
      </w:r>
    </w:p>
    <w:p w:rsidR="00200D81" w:rsidRPr="00FD35F8" w:rsidRDefault="00200D81" w:rsidP="003E4E35">
      <w:pPr>
        <w:pStyle w:val="Odstavecseseznamem"/>
        <w:numPr>
          <w:ilvl w:val="0"/>
          <w:numId w:val="2"/>
        </w:numPr>
        <w:ind w:left="426" w:hanging="357"/>
      </w:pPr>
      <w:r w:rsidRPr="00FD35F8">
        <w:t>platební a certifikační orgán,</w:t>
      </w:r>
    </w:p>
    <w:p w:rsidR="00200D81" w:rsidRPr="00FD35F8" w:rsidRDefault="00200D81" w:rsidP="003E4E35">
      <w:pPr>
        <w:pStyle w:val="Odstavecseseznamem"/>
        <w:numPr>
          <w:ilvl w:val="0"/>
          <w:numId w:val="2"/>
        </w:numPr>
        <w:ind w:left="426" w:hanging="357"/>
      </w:pPr>
      <w:r w:rsidRPr="00FD35F8">
        <w:t>příjemci.</w:t>
      </w:r>
    </w:p>
    <w:p w:rsidR="000B1E29" w:rsidRDefault="002B78A9" w:rsidP="005474C1">
      <w:pPr>
        <w:ind w:firstLine="0"/>
      </w:pPr>
      <w:r>
        <w:t>P</w:t>
      </w:r>
      <w:r w:rsidR="000B1E29">
        <w:t xml:space="preserve">rimární </w:t>
      </w:r>
      <w:r w:rsidR="009658BF">
        <w:t xml:space="preserve">povinnosti </w:t>
      </w:r>
      <w:r>
        <w:t xml:space="preserve">jednotlivých subjektů </w:t>
      </w:r>
      <w:r w:rsidR="000B1E29">
        <w:t xml:space="preserve">jsou implementované v Metodickém pokynu finančních toků. </w:t>
      </w:r>
    </w:p>
    <w:p w:rsidR="000B1E29" w:rsidRDefault="000B1E29" w:rsidP="005474C1">
      <w:pPr>
        <w:ind w:firstLine="0"/>
      </w:pPr>
    </w:p>
    <w:p w:rsidR="000B1E29" w:rsidRDefault="000B1E29" w:rsidP="005474C1">
      <w:pPr>
        <w:ind w:firstLine="0"/>
      </w:pPr>
    </w:p>
    <w:p w:rsidR="002B78A9" w:rsidRDefault="002B78A9" w:rsidP="005474C1">
      <w:pPr>
        <w:ind w:firstLine="0"/>
      </w:pPr>
    </w:p>
    <w:p w:rsidR="000B1E29" w:rsidRDefault="000B1E29" w:rsidP="005474C1">
      <w:pPr>
        <w:ind w:firstLine="0"/>
      </w:pPr>
    </w:p>
    <w:p w:rsidR="00200D81" w:rsidRPr="009D3ADC" w:rsidRDefault="005474C1" w:rsidP="005474C1">
      <w:pPr>
        <w:ind w:firstLine="0"/>
        <w:rPr>
          <w:highlight w:val="yellow"/>
        </w:rPr>
      </w:pPr>
      <w:r>
        <w:rPr>
          <w:noProof/>
        </w:rPr>
        <w:lastRenderedPageBreak/>
        <mc:AlternateContent>
          <mc:Choice Requires="wps">
            <w:drawing>
              <wp:anchor distT="0" distB="0" distL="114300" distR="114300" simplePos="0" relativeHeight="251683840" behindDoc="0" locked="0" layoutInCell="1" allowOverlap="1" wp14:anchorId="73B3EF57" wp14:editId="58F1E50C">
                <wp:simplePos x="0" y="0"/>
                <wp:positionH relativeFrom="column">
                  <wp:posOffset>1058604</wp:posOffset>
                </wp:positionH>
                <wp:positionV relativeFrom="paragraph">
                  <wp:posOffset>108205</wp:posOffset>
                </wp:positionV>
                <wp:extent cx="4391455" cy="200025"/>
                <wp:effectExtent l="0" t="0" r="3175" b="3175"/>
                <wp:wrapNone/>
                <wp:docPr id="15" name="Textové pole 15"/>
                <wp:cNvGraphicFramePr/>
                <a:graphic xmlns:a="http://schemas.openxmlformats.org/drawingml/2006/main">
                  <a:graphicData uri="http://schemas.microsoft.com/office/word/2010/wordprocessingShape">
                    <wps:wsp>
                      <wps:cNvSpPr txBox="1"/>
                      <wps:spPr>
                        <a:xfrm>
                          <a:off x="0" y="0"/>
                          <a:ext cx="4391455" cy="200025"/>
                        </a:xfrm>
                        <a:prstGeom prst="rect">
                          <a:avLst/>
                        </a:prstGeom>
                        <a:solidFill>
                          <a:prstClr val="white"/>
                        </a:solidFill>
                        <a:ln>
                          <a:noFill/>
                        </a:ln>
                        <a:effectLst/>
                      </wps:spPr>
                      <wps:txbx>
                        <w:txbxContent>
                          <w:p w:rsidR="005230E1" w:rsidRPr="005474C1" w:rsidRDefault="005230E1" w:rsidP="005474C1">
                            <w:pPr>
                              <w:ind w:firstLine="0"/>
                              <w:jc w:val="center"/>
                            </w:pPr>
                            <w:bookmarkStart w:id="26" w:name="_Toc38398858"/>
                            <w:r>
                              <w:t xml:space="preserve">Obr. </w:t>
                            </w:r>
                            <w:r>
                              <w:fldChar w:fldCharType="begin"/>
                            </w:r>
                            <w:r>
                              <w:instrText xml:space="preserve"> SEQ Obr. \* ARABIC </w:instrText>
                            </w:r>
                            <w:r>
                              <w:fldChar w:fldCharType="separate"/>
                            </w:r>
                            <w:r>
                              <w:t>1</w:t>
                            </w:r>
                            <w:r>
                              <w:fldChar w:fldCharType="end"/>
                            </w:r>
                            <w:r>
                              <w:t xml:space="preserve">: </w:t>
                            </w:r>
                            <w:r w:rsidRPr="00511D31">
                              <w:t xml:space="preserve">Schéma implementační struktury v oblasti </w:t>
                            </w:r>
                            <w:r>
                              <w:t>e</w:t>
                            </w:r>
                            <w:r w:rsidRPr="00511D31">
                              <w:t>vropských fondů</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3EF57" id="_x0000_t202" coordsize="21600,21600" o:spt="202" path="m,l,21600r21600,l21600,xe">
                <v:stroke joinstyle="miter"/>
                <v:path gradientshapeok="t" o:connecttype="rect"/>
              </v:shapetype>
              <v:shape id="Textové pole 15" o:spid="_x0000_s1026" type="#_x0000_t202" style="position:absolute;left:0;text-align:left;margin-left:83.35pt;margin-top:8.5pt;width:345.8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" stroked="f">
                <v:textbox inset="0,0,0,0">
                  <w:txbxContent>
                    <w:p w:rsidR="005230E1" w:rsidRPr="005474C1" w:rsidRDefault="005230E1" w:rsidP="005474C1">
                      <w:pPr>
                        <w:ind w:firstLine="0"/>
                        <w:jc w:val="center"/>
                      </w:pPr>
                      <w:bookmarkStart w:id="27" w:name="_Toc38398858"/>
                      <w:r>
                        <w:t xml:space="preserve">Obr. </w:t>
                      </w:r>
                      <w:r>
                        <w:fldChar w:fldCharType="begin"/>
                      </w:r>
                      <w:r>
                        <w:instrText xml:space="preserve"> SEQ Obr. \* ARABIC </w:instrText>
                      </w:r>
                      <w:r>
                        <w:fldChar w:fldCharType="separate"/>
                      </w:r>
                      <w:r>
                        <w:t>1</w:t>
                      </w:r>
                      <w:r>
                        <w:fldChar w:fldCharType="end"/>
                      </w:r>
                      <w:r>
                        <w:t xml:space="preserve">: </w:t>
                      </w:r>
                      <w:r w:rsidRPr="00511D31">
                        <w:t xml:space="preserve">Schéma implementační struktury v oblasti </w:t>
                      </w:r>
                      <w:r>
                        <w:t>e</w:t>
                      </w:r>
                      <w:r w:rsidRPr="00511D31">
                        <w:t>vropských fondů</w:t>
                      </w:r>
                      <w:bookmarkEnd w:id="27"/>
                    </w:p>
                  </w:txbxContent>
                </v:textbox>
              </v:shape>
            </w:pict>
          </mc:Fallback>
        </mc:AlternateContent>
      </w:r>
    </w:p>
    <w:p w:rsidR="00CA6441" w:rsidRDefault="00CA6441" w:rsidP="00ED5B48">
      <w:pPr>
        <w:ind w:firstLine="708"/>
        <w:rPr>
          <w:b/>
        </w:rPr>
      </w:pPr>
      <w:r w:rsidRPr="003174A2">
        <w:rPr>
          <w:b/>
          <w:noProof/>
        </w:rPr>
        <mc:AlternateContent>
          <mc:Choice Requires="wps">
            <w:drawing>
              <wp:anchor distT="0" distB="0" distL="114300" distR="114300" simplePos="0" relativeHeight="251677696" behindDoc="0" locked="0" layoutInCell="1" allowOverlap="1" wp14:anchorId="3F269114" wp14:editId="45988069">
                <wp:simplePos x="0" y="0"/>
                <wp:positionH relativeFrom="column">
                  <wp:posOffset>2129155</wp:posOffset>
                </wp:positionH>
                <wp:positionV relativeFrom="paragraph">
                  <wp:posOffset>173355</wp:posOffset>
                </wp:positionV>
                <wp:extent cx="1762125" cy="371475"/>
                <wp:effectExtent l="0" t="0" r="28575" b="28575"/>
                <wp:wrapNone/>
                <wp:docPr id="1" name="Lichoběžník 5"/>
                <wp:cNvGraphicFramePr/>
                <a:graphic xmlns:a="http://schemas.openxmlformats.org/drawingml/2006/main">
                  <a:graphicData uri="http://schemas.microsoft.com/office/word/2010/wordprocessingShape">
                    <wps:wsp>
                      <wps:cNvSpPr/>
                      <wps:spPr bwMode="white">
                        <a:xfrm>
                          <a:off x="0" y="0"/>
                          <a:ext cx="1762125" cy="371475"/>
                        </a:xfrm>
                        <a:prstGeom prst="trapezoid">
                          <a:avLst/>
                        </a:prstGeom>
                      </wps:spPr>
                      <wps:style>
                        <a:lnRef idx="2">
                          <a:schemeClr val="dk1"/>
                        </a:lnRef>
                        <a:fillRef idx="1">
                          <a:schemeClr val="lt1"/>
                        </a:fillRef>
                        <a:effectRef idx="0">
                          <a:schemeClr val="dk1"/>
                        </a:effectRef>
                        <a:fontRef idx="minor">
                          <a:schemeClr val="dk1"/>
                        </a:fontRef>
                      </wps:style>
                      <wps:txbx>
                        <w:txbxContent>
                          <w:p w:rsidR="005230E1" w:rsidRDefault="005230E1" w:rsidP="00CA6441">
                            <w:pPr>
                              <w:pStyle w:val="Normlnweb"/>
                              <w:spacing w:before="0" w:beforeAutospacing="0" w:after="0" w:afterAutospacing="0"/>
                              <w:jc w:val="center"/>
                              <w:rPr>
                                <w:color w:val="000000" w:themeColor="text1"/>
                                <w:kern w:val="24"/>
                              </w:rPr>
                            </w:pPr>
                            <w:r>
                              <w:rPr>
                                <w:color w:val="000000" w:themeColor="text1"/>
                                <w:kern w:val="24"/>
                              </w:rPr>
                              <w:t>Evropská komise</w:t>
                            </w:r>
                          </w:p>
                          <w:p w:rsidR="005230E1" w:rsidRPr="00752EB6" w:rsidRDefault="005230E1" w:rsidP="00CA6441">
                            <w:pPr>
                              <w:pStyle w:val="Normlnweb"/>
                              <w:spacing w:before="0" w:beforeAutospacing="0" w:after="0" w:afterAutospacing="0"/>
                              <w:jc w:val="center"/>
                              <w:rPr>
                                <w:color w:val="000000" w:themeColor="text1"/>
                                <w:kern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69114" id="Lichoběžník 5" o:spid="_x0000_s1027" style="position:absolute;left:0;text-align:left;margin-left:167.65pt;margin-top:13.65pt;width:138.7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62125,371475" o:spt="100"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" adj="-11796480,,5400" path="m,371475l92869,,1669256,r92869,371475l,371475xe" fillcolor="white [3201]" strokecolor="black [3200]" strokeweight="2pt">
                <v:stroke joinstyle="miter"/>
                <v:formulas/>
                <v:path arrowok="t" o:connecttype="custom" o:connectlocs="0,371475;92869,0;1669256,0;1762125,371475;0,371475" o:connectangles="0,0,0,0,0" textboxrect="0,0,1762125,371475"/>
                <v:textbox>
                  <w:txbxContent>
                    <w:p w:rsidR="005230E1" w:rsidRDefault="005230E1" w:rsidP="00CA6441">
                      <w:pPr>
                        <w:pStyle w:val="Normlnweb"/>
                        <w:spacing w:before="0" w:beforeAutospacing="0" w:after="0" w:afterAutospacing="0"/>
                        <w:jc w:val="center"/>
                        <w:rPr>
                          <w:color w:val="000000" w:themeColor="text1"/>
                          <w:kern w:val="24"/>
                        </w:rPr>
                      </w:pPr>
                      <w:r>
                        <w:rPr>
                          <w:color w:val="000000" w:themeColor="text1"/>
                          <w:kern w:val="24"/>
                        </w:rPr>
                        <w:t>Evropská komise</w:t>
                      </w:r>
                    </w:p>
                    <w:p w:rsidR="005230E1" w:rsidRPr="00752EB6" w:rsidRDefault="005230E1" w:rsidP="00CA6441">
                      <w:pPr>
                        <w:pStyle w:val="Normlnweb"/>
                        <w:spacing w:before="0" w:beforeAutospacing="0" w:after="0" w:afterAutospacing="0"/>
                        <w:jc w:val="center"/>
                        <w:rPr>
                          <w:color w:val="000000" w:themeColor="text1"/>
                          <w:kern w:val="24"/>
                        </w:rPr>
                      </w:pPr>
                    </w:p>
                  </w:txbxContent>
                </v:textbox>
              </v:shape>
            </w:pict>
          </mc:Fallback>
        </mc:AlternateContent>
      </w:r>
    </w:p>
    <w:p w:rsidR="00CA6441" w:rsidRDefault="00CA6441" w:rsidP="00ED5B48">
      <w:pPr>
        <w:ind w:firstLine="708"/>
        <w:rPr>
          <w:b/>
        </w:rPr>
      </w:pPr>
    </w:p>
    <w:p w:rsidR="00ED5B48" w:rsidRDefault="007B6E70" w:rsidP="00ED5B48">
      <w:pPr>
        <w:ind w:firstLine="708"/>
        <w:rPr>
          <w:b/>
        </w:rPr>
      </w:pPr>
      <w:r w:rsidRPr="009966FB">
        <w:rPr>
          <w:b/>
          <w:noProof/>
        </w:rPr>
        <mc:AlternateContent>
          <mc:Choice Requires="wps">
            <w:drawing>
              <wp:anchor distT="0" distB="0" distL="114300" distR="114300" simplePos="0" relativeHeight="251679744" behindDoc="0" locked="0" layoutInCell="1" allowOverlap="1" wp14:anchorId="482E828A" wp14:editId="3B52B4A3">
                <wp:simplePos x="0" y="0"/>
                <wp:positionH relativeFrom="column">
                  <wp:posOffset>490855</wp:posOffset>
                </wp:positionH>
                <wp:positionV relativeFrom="paragraph">
                  <wp:posOffset>133350</wp:posOffset>
                </wp:positionV>
                <wp:extent cx="5057775" cy="0"/>
                <wp:effectExtent l="38100" t="38100" r="66675" b="95250"/>
                <wp:wrapNone/>
                <wp:docPr id="2" name="Přímá spojnice 16"/>
                <wp:cNvGraphicFramePr/>
                <a:graphic xmlns:a="http://schemas.openxmlformats.org/drawingml/2006/main">
                  <a:graphicData uri="http://schemas.microsoft.com/office/word/2010/wordprocessingShape">
                    <wps:wsp>
                      <wps:cNvCnPr/>
                      <wps:spPr>
                        <a:xfrm>
                          <a:off x="0" y="0"/>
                          <a:ext cx="50577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2D5DFA" id="Přímá spojnice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10.5pt" to="43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" strokecolor="black [3200]" strokeweight="2pt">
                <v:shadow on="t" color="black" opacity="24903f" origin=",.5" offset="0,.55556mm"/>
              </v:line>
            </w:pict>
          </mc:Fallback>
        </mc:AlternateContent>
      </w:r>
      <w:r w:rsidR="00CA6441" w:rsidRPr="003174A2">
        <w:rPr>
          <w:noProof/>
          <w:highlight w:val="yellow"/>
        </w:rPr>
        <mc:AlternateContent>
          <mc:Choice Requires="wps">
            <w:drawing>
              <wp:anchor distT="0" distB="0" distL="114300" distR="114300" simplePos="0" relativeHeight="251667456" behindDoc="0" locked="0" layoutInCell="1" allowOverlap="1" wp14:anchorId="2F1FB9A9" wp14:editId="6F2263F4">
                <wp:simplePos x="0" y="0"/>
                <wp:positionH relativeFrom="column">
                  <wp:posOffset>-147320</wp:posOffset>
                </wp:positionH>
                <wp:positionV relativeFrom="paragraph">
                  <wp:posOffset>200025</wp:posOffset>
                </wp:positionV>
                <wp:extent cx="533400" cy="2133600"/>
                <wp:effectExtent l="0" t="0" r="19050" b="19050"/>
                <wp:wrapNone/>
                <wp:docPr id="3" name="Zástupný symbol pro obsah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33400" cy="2133600"/>
                        </a:xfrm>
                        <a:prstGeom prst="rect">
                          <a:avLst/>
                        </a:prstGeom>
                      </wps:spPr>
                      <wps:style>
                        <a:lnRef idx="2">
                          <a:schemeClr val="dk1"/>
                        </a:lnRef>
                        <a:fillRef idx="1">
                          <a:schemeClr val="lt1"/>
                        </a:fillRef>
                        <a:effectRef idx="0">
                          <a:schemeClr val="dk1"/>
                        </a:effectRef>
                        <a:fontRef idx="minor">
                          <a:schemeClr val="dk1"/>
                        </a:fontRef>
                      </wps:style>
                      <wps:txbx>
                        <w:txbxContent>
                          <w:p w:rsidR="005230E1" w:rsidRDefault="005230E1" w:rsidP="00752EB6">
                            <w:pPr>
                              <w:pStyle w:val="Normlnweb"/>
                              <w:spacing w:before="0" w:beforeAutospacing="0" w:after="0" w:afterAutospacing="0"/>
                              <w:jc w:val="center"/>
                              <w:rPr>
                                <w:color w:val="000000" w:themeColor="text1"/>
                                <w:kern w:val="24"/>
                              </w:rPr>
                            </w:pPr>
                            <w:r w:rsidRPr="00752EB6">
                              <w:rPr>
                                <w:color w:val="000000" w:themeColor="text1"/>
                                <w:kern w:val="24"/>
                              </w:rPr>
                              <w:t>Národní koordinační orgán</w:t>
                            </w:r>
                          </w:p>
                          <w:p w:rsidR="005230E1" w:rsidRPr="00752EB6" w:rsidRDefault="005230E1" w:rsidP="00752EB6">
                            <w:pPr>
                              <w:pStyle w:val="Normlnweb"/>
                              <w:spacing w:before="0" w:beforeAutospacing="0" w:after="0" w:afterAutospacing="0"/>
                              <w:jc w:val="center"/>
                              <w:rPr>
                                <w:color w:val="000000" w:themeColor="text1"/>
                                <w:kern w:val="24"/>
                              </w:rPr>
                            </w:pPr>
                            <w:r>
                              <w:rPr>
                                <w:color w:val="000000" w:themeColor="text1"/>
                                <w:kern w:val="24"/>
                              </w:rPr>
                              <w:t>(MMR)</w:t>
                            </w:r>
                          </w:p>
                        </w:txbxContent>
                      </wps:txbx>
                      <wps:bodyPr vert="vert270"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2F1FB9A9" id="Zástupný symbol pro obsah 2" o:spid="_x0000_s1028" style="position:absolute;left:0;text-align:left;margin-left:-11.6pt;margin-top:15.75pt;width:42pt;height: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" fillcolor="white [3201]" strokecolor="black [3200]" strokeweight="2pt">
                <v:path arrowok="t"/>
                <o:lock v:ext="edit" grouping="t"/>
                <v:textbox style="layout-flow:vertical;mso-layout-flow-alt:bottom-to-top">
                  <w:txbxContent>
                    <w:p w:rsidR="005230E1" w:rsidRDefault="005230E1" w:rsidP="00752EB6">
                      <w:pPr>
                        <w:pStyle w:val="Normlnweb"/>
                        <w:spacing w:before="0" w:beforeAutospacing="0" w:after="0" w:afterAutospacing="0"/>
                        <w:jc w:val="center"/>
                        <w:rPr>
                          <w:color w:val="000000" w:themeColor="text1"/>
                          <w:kern w:val="24"/>
                        </w:rPr>
                      </w:pPr>
                      <w:r w:rsidRPr="00752EB6">
                        <w:rPr>
                          <w:color w:val="000000" w:themeColor="text1"/>
                          <w:kern w:val="24"/>
                        </w:rPr>
                        <w:t>Národní koordinační orgán</w:t>
                      </w:r>
                    </w:p>
                    <w:p w:rsidR="005230E1" w:rsidRPr="00752EB6" w:rsidRDefault="005230E1" w:rsidP="00752EB6">
                      <w:pPr>
                        <w:pStyle w:val="Normlnweb"/>
                        <w:spacing w:before="0" w:beforeAutospacing="0" w:after="0" w:afterAutospacing="0"/>
                        <w:jc w:val="center"/>
                        <w:rPr>
                          <w:color w:val="000000" w:themeColor="text1"/>
                          <w:kern w:val="24"/>
                        </w:rPr>
                      </w:pPr>
                      <w:r>
                        <w:rPr>
                          <w:color w:val="000000" w:themeColor="text1"/>
                          <w:kern w:val="24"/>
                        </w:rPr>
                        <w:t>(MMR)</w:t>
                      </w:r>
                    </w:p>
                  </w:txbxContent>
                </v:textbox>
              </v:rect>
            </w:pict>
          </mc:Fallback>
        </mc:AlternateContent>
      </w:r>
    </w:p>
    <w:p w:rsidR="00C77398" w:rsidRDefault="00CA6441" w:rsidP="00ED5B48">
      <w:pPr>
        <w:ind w:firstLine="708"/>
        <w:rPr>
          <w:b/>
        </w:rPr>
      </w:pPr>
      <w:r w:rsidRPr="003174A2">
        <w:rPr>
          <w:b/>
          <w:noProof/>
        </w:rPr>
        <mc:AlternateContent>
          <mc:Choice Requires="wps">
            <w:drawing>
              <wp:anchor distT="0" distB="0" distL="114300" distR="114300" simplePos="0" relativeHeight="251669504" behindDoc="0" locked="0" layoutInCell="1" allowOverlap="1" wp14:anchorId="5BA84256" wp14:editId="6105CB03">
                <wp:simplePos x="0" y="0"/>
                <wp:positionH relativeFrom="column">
                  <wp:posOffset>3081655</wp:posOffset>
                </wp:positionH>
                <wp:positionV relativeFrom="paragraph">
                  <wp:posOffset>22860</wp:posOffset>
                </wp:positionV>
                <wp:extent cx="1800225" cy="447675"/>
                <wp:effectExtent l="0" t="0" r="28575" b="28575"/>
                <wp:wrapNone/>
                <wp:docPr id="4" name="Lichoběžník 5"/>
                <wp:cNvGraphicFramePr/>
                <a:graphic xmlns:a="http://schemas.openxmlformats.org/drawingml/2006/main">
                  <a:graphicData uri="http://schemas.microsoft.com/office/word/2010/wordprocessingShape">
                    <wps:wsp>
                      <wps:cNvSpPr/>
                      <wps:spPr bwMode="white">
                        <a:xfrm>
                          <a:off x="0" y="0"/>
                          <a:ext cx="1800225" cy="447675"/>
                        </a:xfrm>
                        <a:prstGeom prst="trapezoid">
                          <a:avLst>
                            <a:gd name="adj" fmla="val 0"/>
                          </a:avLst>
                        </a:prstGeom>
                      </wps:spPr>
                      <wps:style>
                        <a:lnRef idx="2">
                          <a:schemeClr val="dk1"/>
                        </a:lnRef>
                        <a:fillRef idx="1">
                          <a:schemeClr val="lt1"/>
                        </a:fillRef>
                        <a:effectRef idx="0">
                          <a:schemeClr val="dk1"/>
                        </a:effectRef>
                        <a:fontRef idx="minor">
                          <a:schemeClr val="dk1"/>
                        </a:fontRef>
                      </wps:style>
                      <wps:txbx>
                        <w:txbxContent>
                          <w:p w:rsidR="005230E1" w:rsidRPr="00752EB6" w:rsidRDefault="005230E1" w:rsidP="00752EB6">
                            <w:pPr>
                              <w:pStyle w:val="Normlnweb"/>
                              <w:spacing w:before="0" w:beforeAutospacing="0" w:after="0" w:afterAutospacing="0"/>
                              <w:jc w:val="center"/>
                            </w:pPr>
                            <w:r w:rsidRPr="00752EB6">
                              <w:rPr>
                                <w:color w:val="000000" w:themeColor="text1"/>
                                <w:kern w:val="24"/>
                              </w:rPr>
                              <w:t>Auditní orgán</w:t>
                            </w:r>
                          </w:p>
                          <w:p w:rsidR="005230E1" w:rsidRPr="00752EB6" w:rsidRDefault="005230E1" w:rsidP="00752EB6">
                            <w:pPr>
                              <w:pStyle w:val="Normlnweb"/>
                              <w:spacing w:before="0" w:beforeAutospacing="0" w:after="0" w:afterAutospacing="0"/>
                              <w:jc w:val="center"/>
                            </w:pPr>
                            <w:r w:rsidRPr="00752EB6">
                              <w:rPr>
                                <w:color w:val="000000" w:themeColor="text1"/>
                                <w:kern w:val="24"/>
                              </w:rPr>
                              <w:t>(MF)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84256" id="_x0000_s1029" style="position:absolute;left:0;text-align:left;margin-left:242.65pt;margin-top:1.8pt;width:141.7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0225,447675" o:spt="100"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" adj="-11796480,,5400" path="m,447675l,,1800225,r,447675l,447675xe" fillcolor="white [3201]" strokecolor="black [3200]" strokeweight="2pt">
                <v:stroke joinstyle="miter"/>
                <v:formulas/>
                <v:path arrowok="t" o:connecttype="custom" o:connectlocs="0,447675;0,0;1800225,0;1800225,447675;0,447675" o:connectangles="0,0,0,0,0" textboxrect="0,0,1800225,447675"/>
                <v:textbox>
                  <w:txbxContent>
                    <w:p w:rsidR="005230E1" w:rsidRPr="00752EB6" w:rsidRDefault="005230E1" w:rsidP="00752EB6">
                      <w:pPr>
                        <w:pStyle w:val="Normlnweb"/>
                        <w:spacing w:before="0" w:beforeAutospacing="0" w:after="0" w:afterAutospacing="0"/>
                        <w:jc w:val="center"/>
                      </w:pPr>
                      <w:r w:rsidRPr="00752EB6">
                        <w:rPr>
                          <w:color w:val="000000" w:themeColor="text1"/>
                          <w:kern w:val="24"/>
                        </w:rPr>
                        <w:t>Auditní orgán</w:t>
                      </w:r>
                    </w:p>
                    <w:p w:rsidR="005230E1" w:rsidRPr="00752EB6" w:rsidRDefault="005230E1" w:rsidP="00752EB6">
                      <w:pPr>
                        <w:pStyle w:val="Normlnweb"/>
                        <w:spacing w:before="0" w:beforeAutospacing="0" w:after="0" w:afterAutospacing="0"/>
                        <w:jc w:val="center"/>
                      </w:pPr>
                      <w:r w:rsidRPr="00752EB6">
                        <w:rPr>
                          <w:color w:val="000000" w:themeColor="text1"/>
                          <w:kern w:val="24"/>
                        </w:rPr>
                        <w:t>(MF)</w:t>
                      </w:r>
                    </w:p>
                  </w:txbxContent>
                </v:textbox>
              </v:shape>
            </w:pict>
          </mc:Fallback>
        </mc:AlternateContent>
      </w:r>
      <w:r w:rsidRPr="003174A2">
        <w:rPr>
          <w:b/>
          <w:noProof/>
        </w:rPr>
        <mc:AlternateContent>
          <mc:Choice Requires="wps">
            <w:drawing>
              <wp:anchor distT="0" distB="0" distL="114300" distR="114300" simplePos="0" relativeHeight="251661312" behindDoc="0" locked="0" layoutInCell="1" allowOverlap="1" wp14:anchorId="678BC5B2" wp14:editId="06E2743A">
                <wp:simplePos x="0" y="0"/>
                <wp:positionH relativeFrom="column">
                  <wp:posOffset>843280</wp:posOffset>
                </wp:positionH>
                <wp:positionV relativeFrom="paragraph">
                  <wp:posOffset>22860</wp:posOffset>
                </wp:positionV>
                <wp:extent cx="1981200" cy="447675"/>
                <wp:effectExtent l="0" t="0" r="19050" b="28575"/>
                <wp:wrapNone/>
                <wp:docPr id="6" name="Lichoběžník 5"/>
                <wp:cNvGraphicFramePr/>
                <a:graphic xmlns:a="http://schemas.openxmlformats.org/drawingml/2006/main">
                  <a:graphicData uri="http://schemas.microsoft.com/office/word/2010/wordprocessingShape">
                    <wps:wsp>
                      <wps:cNvSpPr/>
                      <wps:spPr bwMode="white">
                        <a:xfrm>
                          <a:off x="0" y="0"/>
                          <a:ext cx="1981200" cy="447675"/>
                        </a:xfrm>
                        <a:prstGeom prst="trapezoid">
                          <a:avLst>
                            <a:gd name="adj" fmla="val 0"/>
                          </a:avLst>
                        </a:prstGeom>
                      </wps:spPr>
                      <wps:style>
                        <a:lnRef idx="2">
                          <a:schemeClr val="dk1"/>
                        </a:lnRef>
                        <a:fillRef idx="1">
                          <a:schemeClr val="lt1"/>
                        </a:fillRef>
                        <a:effectRef idx="0">
                          <a:schemeClr val="dk1"/>
                        </a:effectRef>
                        <a:fontRef idx="minor">
                          <a:schemeClr val="dk1"/>
                        </a:fontRef>
                      </wps:style>
                      <wps:txbx>
                        <w:txbxContent>
                          <w:p w:rsidR="005230E1" w:rsidRDefault="005230E1" w:rsidP="00752EB6">
                            <w:pPr>
                              <w:pStyle w:val="Normlnweb"/>
                              <w:spacing w:before="0" w:beforeAutospacing="0" w:after="0" w:afterAutospacing="0"/>
                              <w:jc w:val="center"/>
                              <w:rPr>
                                <w:color w:val="000000" w:themeColor="text1"/>
                                <w:kern w:val="24"/>
                              </w:rPr>
                            </w:pPr>
                            <w:r w:rsidRPr="00752EB6">
                              <w:rPr>
                                <w:color w:val="000000" w:themeColor="text1"/>
                                <w:kern w:val="24"/>
                              </w:rPr>
                              <w:t>Platební a certifikační orgán</w:t>
                            </w:r>
                          </w:p>
                          <w:p w:rsidR="005230E1" w:rsidRPr="00752EB6" w:rsidRDefault="005230E1" w:rsidP="00752EB6">
                            <w:pPr>
                              <w:pStyle w:val="Normlnweb"/>
                              <w:spacing w:before="0" w:beforeAutospacing="0" w:after="0" w:afterAutospacing="0"/>
                              <w:jc w:val="center"/>
                              <w:rPr>
                                <w:color w:val="000000" w:themeColor="text1"/>
                                <w:kern w:val="24"/>
                              </w:rPr>
                            </w:pPr>
                            <w:r>
                              <w:rPr>
                                <w:color w:val="000000" w:themeColor="text1"/>
                                <w:kern w:val="24"/>
                              </w:rPr>
                              <w:t>(MF)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BC5B2" id="_x0000_s1030" style="position:absolute;left:0;text-align:left;margin-left:66.4pt;margin-top:1.8pt;width:156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1200,447675" o:spt="100"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" adj="-11796480,,5400" path="m,447675l,,1981200,r,447675l,447675xe" fillcolor="white [3201]" strokecolor="black [3200]" strokeweight="2pt">
                <v:stroke joinstyle="miter"/>
                <v:formulas/>
                <v:path arrowok="t" o:connecttype="custom" o:connectlocs="0,447675;0,0;1981200,0;1981200,447675;0,447675" o:connectangles="0,0,0,0,0" textboxrect="0,0,1981200,447675"/>
                <v:textbox>
                  <w:txbxContent>
                    <w:p w:rsidR="005230E1" w:rsidRDefault="005230E1" w:rsidP="00752EB6">
                      <w:pPr>
                        <w:pStyle w:val="Normlnweb"/>
                        <w:spacing w:before="0" w:beforeAutospacing="0" w:after="0" w:afterAutospacing="0"/>
                        <w:jc w:val="center"/>
                        <w:rPr>
                          <w:color w:val="000000" w:themeColor="text1"/>
                          <w:kern w:val="24"/>
                        </w:rPr>
                      </w:pPr>
                      <w:r w:rsidRPr="00752EB6">
                        <w:rPr>
                          <w:color w:val="000000" w:themeColor="text1"/>
                          <w:kern w:val="24"/>
                        </w:rPr>
                        <w:t>Platební a certifikační orgán</w:t>
                      </w:r>
                    </w:p>
                    <w:p w:rsidR="005230E1" w:rsidRPr="00752EB6" w:rsidRDefault="005230E1" w:rsidP="00752EB6">
                      <w:pPr>
                        <w:pStyle w:val="Normlnweb"/>
                        <w:spacing w:before="0" w:beforeAutospacing="0" w:after="0" w:afterAutospacing="0"/>
                        <w:jc w:val="center"/>
                        <w:rPr>
                          <w:color w:val="000000" w:themeColor="text1"/>
                          <w:kern w:val="24"/>
                        </w:rPr>
                      </w:pPr>
                      <w:r>
                        <w:rPr>
                          <w:color w:val="000000" w:themeColor="text1"/>
                          <w:kern w:val="24"/>
                        </w:rPr>
                        <w:t>(MF)</w:t>
                      </w:r>
                    </w:p>
                  </w:txbxContent>
                </v:textbox>
              </v:shape>
            </w:pict>
          </mc:Fallback>
        </mc:AlternateContent>
      </w:r>
    </w:p>
    <w:p w:rsidR="00C77398" w:rsidRDefault="00C77398" w:rsidP="00ED5B48">
      <w:pPr>
        <w:ind w:firstLine="708"/>
        <w:rPr>
          <w:b/>
        </w:rPr>
      </w:pPr>
    </w:p>
    <w:p w:rsidR="00C77398" w:rsidRDefault="00CA6441" w:rsidP="00ED5B48">
      <w:pPr>
        <w:ind w:firstLine="708"/>
        <w:rPr>
          <w:b/>
        </w:rPr>
      </w:pPr>
      <w:r w:rsidRPr="003174A2">
        <w:rPr>
          <w:b/>
          <w:noProof/>
        </w:rPr>
        <mc:AlternateContent>
          <mc:Choice Requires="wps">
            <w:drawing>
              <wp:anchor distT="0" distB="0" distL="114300" distR="114300" simplePos="0" relativeHeight="251663360" behindDoc="0" locked="0" layoutInCell="1" allowOverlap="1" wp14:anchorId="32A97B51" wp14:editId="5654344E">
                <wp:simplePos x="0" y="0"/>
                <wp:positionH relativeFrom="column">
                  <wp:posOffset>1833881</wp:posOffset>
                </wp:positionH>
                <wp:positionV relativeFrom="paragraph">
                  <wp:posOffset>125731</wp:posOffset>
                </wp:positionV>
                <wp:extent cx="2305050" cy="666750"/>
                <wp:effectExtent l="0" t="0" r="19050" b="19050"/>
                <wp:wrapNone/>
                <wp:docPr id="8" name="Lichoběžník 7"/>
                <wp:cNvGraphicFramePr/>
                <a:graphic xmlns:a="http://schemas.openxmlformats.org/drawingml/2006/main">
                  <a:graphicData uri="http://schemas.microsoft.com/office/word/2010/wordprocessingShape">
                    <wps:wsp>
                      <wps:cNvSpPr/>
                      <wps:spPr bwMode="white">
                        <a:xfrm>
                          <a:off x="0" y="0"/>
                          <a:ext cx="2305050" cy="666750"/>
                        </a:xfrm>
                        <a:prstGeom prst="trapezoid">
                          <a:avLst/>
                        </a:prstGeom>
                      </wps:spPr>
                      <wps:style>
                        <a:lnRef idx="2">
                          <a:schemeClr val="dk1"/>
                        </a:lnRef>
                        <a:fillRef idx="1">
                          <a:schemeClr val="lt1"/>
                        </a:fillRef>
                        <a:effectRef idx="0">
                          <a:schemeClr val="dk1"/>
                        </a:effectRef>
                        <a:fontRef idx="minor">
                          <a:schemeClr val="dk1"/>
                        </a:fontRef>
                      </wps:style>
                      <wps:txbx>
                        <w:txbxContent>
                          <w:p w:rsidR="005230E1" w:rsidRDefault="005230E1" w:rsidP="003174A2">
                            <w:pPr>
                              <w:pStyle w:val="Normlnweb"/>
                              <w:spacing w:before="0" w:beforeAutospacing="0" w:after="0" w:afterAutospacing="0"/>
                              <w:jc w:val="center"/>
                              <w:rPr>
                                <w:color w:val="000000" w:themeColor="text1"/>
                                <w:kern w:val="24"/>
                              </w:rPr>
                            </w:pPr>
                            <w:r w:rsidRPr="00752EB6">
                              <w:rPr>
                                <w:color w:val="000000" w:themeColor="text1"/>
                                <w:kern w:val="24"/>
                              </w:rPr>
                              <w:t>Řídící orgán</w:t>
                            </w:r>
                            <w:r>
                              <w:rPr>
                                <w:color w:val="000000" w:themeColor="text1"/>
                                <w:kern w:val="24"/>
                              </w:rPr>
                              <w:t xml:space="preserve"> programů</w:t>
                            </w:r>
                          </w:p>
                          <w:p w:rsidR="005230E1" w:rsidRPr="00752EB6" w:rsidRDefault="005230E1" w:rsidP="003174A2">
                            <w:pPr>
                              <w:pStyle w:val="Normlnweb"/>
                              <w:spacing w:before="0" w:beforeAutospacing="0" w:after="0" w:afterAutospacing="0"/>
                              <w:jc w:val="center"/>
                              <w:rPr>
                                <w:color w:val="000000" w:themeColor="text1"/>
                                <w:kern w:val="24"/>
                              </w:rPr>
                            </w:pPr>
                            <w:r>
                              <w:rPr>
                                <w:color w:val="000000" w:themeColor="text1"/>
                                <w:kern w:val="24"/>
                              </w:rPr>
                              <w:t>(ministerstva, magistrát hl. města Prahy)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7B51" id="Lichoběžník 7" o:spid="_x0000_s1031" style="position:absolute;left:0;text-align:left;margin-left:144.4pt;margin-top:9.9pt;width:181.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5050,666750" o:spt="100"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" adj="-11796480,,5400" path="m,666750l166688,,2138363,r166687,666750l,666750xe" fillcolor="white [3201]" strokecolor="black [3200]" strokeweight="2pt">
                <v:stroke joinstyle="miter"/>
                <v:formulas/>
                <v:path arrowok="t" o:connecttype="custom" o:connectlocs="0,666750;166688,0;2138363,0;2305050,666750;0,666750" o:connectangles="0,0,0,0,0" textboxrect="0,0,2305050,666750"/>
                <v:textbox>
                  <w:txbxContent>
                    <w:p w:rsidR="005230E1" w:rsidRDefault="005230E1" w:rsidP="003174A2">
                      <w:pPr>
                        <w:pStyle w:val="Normlnweb"/>
                        <w:spacing w:before="0" w:beforeAutospacing="0" w:after="0" w:afterAutospacing="0"/>
                        <w:jc w:val="center"/>
                        <w:rPr>
                          <w:color w:val="000000" w:themeColor="text1"/>
                          <w:kern w:val="24"/>
                        </w:rPr>
                      </w:pPr>
                      <w:r w:rsidRPr="00752EB6">
                        <w:rPr>
                          <w:color w:val="000000" w:themeColor="text1"/>
                          <w:kern w:val="24"/>
                        </w:rPr>
                        <w:t>Řídící orgán</w:t>
                      </w:r>
                      <w:r>
                        <w:rPr>
                          <w:color w:val="000000" w:themeColor="text1"/>
                          <w:kern w:val="24"/>
                        </w:rPr>
                        <w:t xml:space="preserve"> programů</w:t>
                      </w:r>
                    </w:p>
                    <w:p w:rsidR="005230E1" w:rsidRPr="00752EB6" w:rsidRDefault="005230E1" w:rsidP="003174A2">
                      <w:pPr>
                        <w:pStyle w:val="Normlnweb"/>
                        <w:spacing w:before="0" w:beforeAutospacing="0" w:after="0" w:afterAutospacing="0"/>
                        <w:jc w:val="center"/>
                        <w:rPr>
                          <w:color w:val="000000" w:themeColor="text1"/>
                          <w:kern w:val="24"/>
                        </w:rPr>
                      </w:pPr>
                      <w:r>
                        <w:rPr>
                          <w:color w:val="000000" w:themeColor="text1"/>
                          <w:kern w:val="24"/>
                        </w:rPr>
                        <w:t>(ministerstva, magistrát hl. města Prahy)</w:t>
                      </w:r>
                    </w:p>
                  </w:txbxContent>
                </v:textbox>
              </v:shape>
            </w:pict>
          </mc:Fallback>
        </mc:AlternateContent>
      </w:r>
    </w:p>
    <w:p w:rsidR="00C77398" w:rsidRDefault="00C77398" w:rsidP="00ED5B48">
      <w:pPr>
        <w:ind w:firstLine="708"/>
        <w:rPr>
          <w:b/>
        </w:rPr>
      </w:pPr>
    </w:p>
    <w:p w:rsidR="00C77398" w:rsidRDefault="00C77398" w:rsidP="00ED5B48">
      <w:pPr>
        <w:ind w:firstLine="708"/>
        <w:rPr>
          <w:b/>
        </w:rPr>
      </w:pPr>
    </w:p>
    <w:p w:rsidR="00C77398" w:rsidRDefault="00CA6441" w:rsidP="00ED5B48">
      <w:pPr>
        <w:ind w:firstLine="708"/>
        <w:rPr>
          <w:b/>
        </w:rPr>
      </w:pPr>
      <w:r w:rsidRPr="003174A2">
        <w:rPr>
          <w:b/>
          <w:noProof/>
        </w:rPr>
        <mc:AlternateContent>
          <mc:Choice Requires="wps">
            <w:drawing>
              <wp:anchor distT="0" distB="0" distL="114300" distR="114300" simplePos="0" relativeHeight="251671552" behindDoc="0" locked="0" layoutInCell="1" allowOverlap="1" wp14:anchorId="20DC39AC" wp14:editId="3B9D4690">
                <wp:simplePos x="0" y="0"/>
                <wp:positionH relativeFrom="column">
                  <wp:posOffset>2109470</wp:posOffset>
                </wp:positionH>
                <wp:positionV relativeFrom="paragraph">
                  <wp:posOffset>146685</wp:posOffset>
                </wp:positionV>
                <wp:extent cx="1762125" cy="523875"/>
                <wp:effectExtent l="0" t="0" r="28575" b="28575"/>
                <wp:wrapNone/>
                <wp:docPr id="7" name="Lichoběžník 8"/>
                <wp:cNvGraphicFramePr/>
                <a:graphic xmlns:a="http://schemas.openxmlformats.org/drawingml/2006/main">
                  <a:graphicData uri="http://schemas.microsoft.com/office/word/2010/wordprocessingShape">
                    <wps:wsp>
                      <wps:cNvSpPr/>
                      <wps:spPr bwMode="white">
                        <a:xfrm>
                          <a:off x="0" y="0"/>
                          <a:ext cx="1762125" cy="523875"/>
                        </a:xfrm>
                        <a:prstGeom prst="trapezoid">
                          <a:avLst>
                            <a:gd name="adj" fmla="val 0"/>
                          </a:avLst>
                        </a:prstGeom>
                      </wps:spPr>
                      <wps:style>
                        <a:lnRef idx="2">
                          <a:schemeClr val="dk1"/>
                        </a:lnRef>
                        <a:fillRef idx="1">
                          <a:schemeClr val="lt1"/>
                        </a:fillRef>
                        <a:effectRef idx="0">
                          <a:schemeClr val="dk1"/>
                        </a:effectRef>
                        <a:fontRef idx="minor">
                          <a:schemeClr val="dk1"/>
                        </a:fontRef>
                      </wps:style>
                      <wps:txbx>
                        <w:txbxContent>
                          <w:p w:rsidR="005230E1" w:rsidRDefault="005230E1" w:rsidP="001C1E46">
                            <w:pPr>
                              <w:pStyle w:val="Normlnweb"/>
                              <w:spacing w:before="0" w:beforeAutospacing="0" w:after="0" w:afterAutospacing="0"/>
                              <w:jc w:val="center"/>
                              <w:rPr>
                                <w:color w:val="000000" w:themeColor="text1"/>
                                <w:kern w:val="24"/>
                              </w:rPr>
                            </w:pPr>
                            <w:r>
                              <w:rPr>
                                <w:color w:val="000000" w:themeColor="text1"/>
                                <w:kern w:val="24"/>
                              </w:rPr>
                              <w:t>Zprostředkující subjekty</w:t>
                            </w:r>
                          </w:p>
                          <w:p w:rsidR="005230E1" w:rsidRPr="00752EB6" w:rsidRDefault="005230E1" w:rsidP="001C1E46">
                            <w:pPr>
                              <w:pStyle w:val="Normlnweb"/>
                              <w:spacing w:before="0" w:beforeAutospacing="0" w:after="0" w:afterAutospacing="0"/>
                              <w:jc w:val="center"/>
                              <w:rPr>
                                <w:color w:val="000000" w:themeColor="text1"/>
                                <w:kern w:val="24"/>
                              </w:rPr>
                            </w:pPr>
                            <w:r>
                              <w:rPr>
                                <w:color w:val="000000" w:themeColor="text1"/>
                                <w:kern w:val="24"/>
                              </w:rPr>
                              <w:t>(API, SFDI, SFŽP,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C39AC" id="Lichoběžník 8" o:spid="_x0000_s1032" style="position:absolute;left:0;text-align:left;margin-left:166.1pt;margin-top:11.55pt;width:138.7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62125,523875" o:spt="100"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" adj="-11796480,,5400" path="m,523875l,,1762125,r,523875l,523875xe" fillcolor="white [3201]" strokecolor="black [3200]" strokeweight="2pt">
                <v:stroke joinstyle="miter"/>
                <v:formulas/>
                <v:path arrowok="t" o:connecttype="custom" o:connectlocs="0,523875;0,0;1762125,0;1762125,523875;0,523875" o:connectangles="0,0,0,0,0" textboxrect="0,0,1762125,523875"/>
                <v:textbox>
                  <w:txbxContent>
                    <w:p w:rsidR="005230E1" w:rsidRDefault="005230E1" w:rsidP="001C1E46">
                      <w:pPr>
                        <w:pStyle w:val="Normlnweb"/>
                        <w:spacing w:before="0" w:beforeAutospacing="0" w:after="0" w:afterAutospacing="0"/>
                        <w:jc w:val="center"/>
                        <w:rPr>
                          <w:color w:val="000000" w:themeColor="text1"/>
                          <w:kern w:val="24"/>
                        </w:rPr>
                      </w:pPr>
                      <w:r>
                        <w:rPr>
                          <w:color w:val="000000" w:themeColor="text1"/>
                          <w:kern w:val="24"/>
                        </w:rPr>
                        <w:t>Zprostředkující subjekty</w:t>
                      </w:r>
                    </w:p>
                    <w:p w:rsidR="005230E1" w:rsidRPr="00752EB6" w:rsidRDefault="005230E1" w:rsidP="001C1E46">
                      <w:pPr>
                        <w:pStyle w:val="Normlnweb"/>
                        <w:spacing w:before="0" w:beforeAutospacing="0" w:after="0" w:afterAutospacing="0"/>
                        <w:jc w:val="center"/>
                        <w:rPr>
                          <w:color w:val="000000" w:themeColor="text1"/>
                          <w:kern w:val="24"/>
                        </w:rPr>
                      </w:pPr>
                      <w:r>
                        <w:rPr>
                          <w:color w:val="000000" w:themeColor="text1"/>
                          <w:kern w:val="24"/>
                        </w:rPr>
                        <w:t>(API, SFDI, SFŽP, …)</w:t>
                      </w:r>
                    </w:p>
                  </w:txbxContent>
                </v:textbox>
              </v:shape>
            </w:pict>
          </mc:Fallback>
        </mc:AlternateContent>
      </w:r>
    </w:p>
    <w:p w:rsidR="00C77398" w:rsidRDefault="00C77398" w:rsidP="00ED5B48">
      <w:pPr>
        <w:ind w:firstLine="708"/>
        <w:rPr>
          <w:b/>
        </w:rPr>
      </w:pPr>
    </w:p>
    <w:p w:rsidR="00C77398" w:rsidRDefault="00CA6441" w:rsidP="00ED5B48">
      <w:pPr>
        <w:ind w:firstLine="708"/>
        <w:rPr>
          <w:b/>
        </w:rPr>
      </w:pPr>
      <w:r w:rsidRPr="009966FB">
        <w:rPr>
          <w:b/>
          <w:noProof/>
        </w:rPr>
        <mc:AlternateContent>
          <mc:Choice Requires="wps">
            <w:drawing>
              <wp:anchor distT="0" distB="0" distL="114300" distR="114300" simplePos="0" relativeHeight="251681792" behindDoc="0" locked="0" layoutInCell="1" allowOverlap="1" wp14:anchorId="781CD916" wp14:editId="05C12C4A">
                <wp:simplePos x="0" y="0"/>
                <wp:positionH relativeFrom="column">
                  <wp:posOffset>538480</wp:posOffset>
                </wp:positionH>
                <wp:positionV relativeFrom="paragraph">
                  <wp:posOffset>230505</wp:posOffset>
                </wp:positionV>
                <wp:extent cx="5010150" cy="0"/>
                <wp:effectExtent l="38100" t="38100" r="76200" b="95250"/>
                <wp:wrapNone/>
                <wp:docPr id="5" name="Přímá spojnice 16"/>
                <wp:cNvGraphicFramePr/>
                <a:graphic xmlns:a="http://schemas.openxmlformats.org/drawingml/2006/main">
                  <a:graphicData uri="http://schemas.microsoft.com/office/word/2010/wordprocessingShape">
                    <wps:wsp>
                      <wps:cNvCnPr/>
                      <wps:spPr>
                        <a:xfrm>
                          <a:off x="0" y="0"/>
                          <a:ext cx="50101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FD56F" id="Přímá spojnice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18.15pt" to="436.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" strokecolor="black [3200]" strokeweight="2pt">
                <v:shadow on="t" color="black" opacity="24903f" origin=",.5" offset="0,.55556mm"/>
              </v:line>
            </w:pict>
          </mc:Fallback>
        </mc:AlternateContent>
      </w:r>
    </w:p>
    <w:p w:rsidR="00C77398" w:rsidRDefault="00CA6441" w:rsidP="00ED5B48">
      <w:pPr>
        <w:ind w:firstLine="708"/>
        <w:rPr>
          <w:b/>
        </w:rPr>
      </w:pPr>
      <w:r w:rsidRPr="003174A2">
        <w:rPr>
          <w:b/>
          <w:noProof/>
        </w:rPr>
        <mc:AlternateContent>
          <mc:Choice Requires="wps">
            <w:drawing>
              <wp:anchor distT="0" distB="0" distL="114300" distR="114300" simplePos="0" relativeHeight="251665408" behindDoc="0" locked="0" layoutInCell="1" allowOverlap="1" wp14:anchorId="31F3CA68" wp14:editId="38C08F2F">
                <wp:simplePos x="0" y="0"/>
                <wp:positionH relativeFrom="column">
                  <wp:posOffset>2217805</wp:posOffset>
                </wp:positionH>
                <wp:positionV relativeFrom="paragraph">
                  <wp:posOffset>71125</wp:posOffset>
                </wp:positionV>
                <wp:extent cx="1675725" cy="447675"/>
                <wp:effectExtent l="12700" t="12700" r="13970" b="9525"/>
                <wp:wrapNone/>
                <wp:docPr id="9" name="Lichoběžník 8"/>
                <wp:cNvGraphicFramePr/>
                <a:graphic xmlns:a="http://schemas.openxmlformats.org/drawingml/2006/main">
                  <a:graphicData uri="http://schemas.microsoft.com/office/word/2010/wordprocessingShape">
                    <wps:wsp>
                      <wps:cNvSpPr/>
                      <wps:spPr bwMode="white">
                        <a:xfrm>
                          <a:off x="0" y="0"/>
                          <a:ext cx="1675725" cy="447675"/>
                        </a:xfrm>
                        <a:prstGeom prst="trapezoid">
                          <a:avLst>
                            <a:gd name="adj" fmla="val 0"/>
                          </a:avLst>
                        </a:prstGeom>
                      </wps:spPr>
                      <wps:style>
                        <a:lnRef idx="2">
                          <a:schemeClr val="dk1"/>
                        </a:lnRef>
                        <a:fillRef idx="1">
                          <a:schemeClr val="lt1"/>
                        </a:fillRef>
                        <a:effectRef idx="0">
                          <a:schemeClr val="dk1"/>
                        </a:effectRef>
                        <a:fontRef idx="minor">
                          <a:schemeClr val="dk1"/>
                        </a:fontRef>
                      </wps:style>
                      <wps:txbx>
                        <w:txbxContent>
                          <w:p w:rsidR="005230E1" w:rsidRDefault="005230E1" w:rsidP="003174A2">
                            <w:pPr>
                              <w:pStyle w:val="Normlnweb"/>
                              <w:spacing w:before="0" w:beforeAutospacing="0" w:after="0" w:afterAutospacing="0"/>
                              <w:jc w:val="center"/>
                              <w:rPr>
                                <w:color w:val="000000" w:themeColor="text1"/>
                                <w:kern w:val="24"/>
                              </w:rPr>
                            </w:pPr>
                            <w:r>
                              <w:rPr>
                                <w:color w:val="000000" w:themeColor="text1"/>
                                <w:kern w:val="24"/>
                              </w:rPr>
                              <w:t>Příjemce dotace</w:t>
                            </w:r>
                          </w:p>
                          <w:p w:rsidR="005230E1" w:rsidRPr="00752EB6" w:rsidRDefault="005230E1" w:rsidP="003174A2">
                            <w:pPr>
                              <w:pStyle w:val="Normlnweb"/>
                              <w:spacing w:before="0" w:beforeAutospacing="0" w:after="0" w:afterAutospacing="0"/>
                              <w:jc w:val="center"/>
                              <w:rPr>
                                <w:color w:val="000000" w:themeColor="text1"/>
                                <w:kern w:val="24"/>
                              </w:rPr>
                            </w:pPr>
                            <w:r>
                              <w:rPr>
                                <w:color w:val="000000" w:themeColor="text1"/>
                                <w:kern w:val="24"/>
                              </w:rPr>
                              <w:t>(FO, PO nebo OSS)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CA68" id="_x0000_s1033" style="position:absolute;left:0;text-align:left;margin-left:174.65pt;margin-top:5.6pt;width:131.9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5725,447675" o:spt="100"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" adj="-11796480,,5400" path="m,447675l,,1675725,r,447675l,447675xe" fillcolor="white [3201]" strokecolor="black [3200]" strokeweight="2pt">
                <v:stroke joinstyle="miter"/>
                <v:formulas/>
                <v:path arrowok="t" o:connecttype="custom" o:connectlocs="0,447675;0,0;1675725,0;1675725,447675;0,447675" o:connectangles="0,0,0,0,0" textboxrect="0,0,1675725,447675"/>
                <v:textbox>
                  <w:txbxContent>
                    <w:p w:rsidR="005230E1" w:rsidRDefault="005230E1" w:rsidP="003174A2">
                      <w:pPr>
                        <w:pStyle w:val="Normlnweb"/>
                        <w:spacing w:before="0" w:beforeAutospacing="0" w:after="0" w:afterAutospacing="0"/>
                        <w:jc w:val="center"/>
                        <w:rPr>
                          <w:color w:val="000000" w:themeColor="text1"/>
                          <w:kern w:val="24"/>
                        </w:rPr>
                      </w:pPr>
                      <w:r>
                        <w:rPr>
                          <w:color w:val="000000" w:themeColor="text1"/>
                          <w:kern w:val="24"/>
                        </w:rPr>
                        <w:t>Příjemce dotace</w:t>
                      </w:r>
                    </w:p>
                    <w:p w:rsidR="005230E1" w:rsidRPr="00752EB6" w:rsidRDefault="005230E1" w:rsidP="003174A2">
                      <w:pPr>
                        <w:pStyle w:val="Normlnweb"/>
                        <w:spacing w:before="0" w:beforeAutospacing="0" w:after="0" w:afterAutospacing="0"/>
                        <w:jc w:val="center"/>
                        <w:rPr>
                          <w:color w:val="000000" w:themeColor="text1"/>
                          <w:kern w:val="24"/>
                        </w:rPr>
                      </w:pPr>
                      <w:r>
                        <w:rPr>
                          <w:color w:val="000000" w:themeColor="text1"/>
                          <w:kern w:val="24"/>
                        </w:rPr>
                        <w:t>(FO, PO nebo OSS)</w:t>
                      </w:r>
                    </w:p>
                  </w:txbxContent>
                </v:textbox>
              </v:shape>
            </w:pict>
          </mc:Fallback>
        </mc:AlternateContent>
      </w:r>
    </w:p>
    <w:p w:rsidR="00C77398" w:rsidRDefault="00C77398" w:rsidP="00ED5B48">
      <w:pPr>
        <w:ind w:firstLine="708"/>
        <w:rPr>
          <w:b/>
        </w:rPr>
      </w:pPr>
    </w:p>
    <w:p w:rsidR="00AF4310" w:rsidRDefault="00AF4310" w:rsidP="00AF4310">
      <w:pPr>
        <w:ind w:firstLine="708"/>
        <w:jc w:val="center"/>
      </w:pPr>
    </w:p>
    <w:p w:rsidR="00ED5B48" w:rsidRDefault="00AF4310" w:rsidP="00AF4310">
      <w:pPr>
        <w:ind w:firstLine="708"/>
        <w:jc w:val="center"/>
      </w:pPr>
      <w:r w:rsidRPr="00AF4310">
        <w:t xml:space="preserve">Zdroj: </w:t>
      </w:r>
      <w:r w:rsidRPr="00ED5B48">
        <w:t>https://www.dotaceeu.cz/cs/evropske-fondy-v-cr</w:t>
      </w:r>
      <w:r w:rsidRPr="00AF4310">
        <w:t xml:space="preserve"> </w:t>
      </w:r>
      <w:r>
        <w:t>(</w:t>
      </w:r>
      <w:r w:rsidRPr="00AF4310">
        <w:t>vlastní zpracování</w:t>
      </w:r>
      <w:r>
        <w:t>)</w:t>
      </w:r>
    </w:p>
    <w:p w:rsidR="00DF3EFC" w:rsidRDefault="00DF3EFC" w:rsidP="00FD4415">
      <w:pPr>
        <w:ind w:firstLine="0"/>
      </w:pPr>
    </w:p>
    <w:p w:rsidR="00961233" w:rsidRDefault="00F939B4" w:rsidP="00487F0F">
      <w:pPr>
        <w:ind w:firstLine="0"/>
        <w:rPr>
          <w:szCs w:val="22"/>
        </w:rPr>
      </w:pPr>
      <w:r w:rsidRPr="00AE4EE7">
        <w:rPr>
          <w:b/>
          <w:szCs w:val="22"/>
        </w:rPr>
        <w:t>Auditním orgánem</w:t>
      </w:r>
      <w:r w:rsidRPr="00D91EFC">
        <w:rPr>
          <w:szCs w:val="22"/>
        </w:rPr>
        <w:t xml:space="preserve"> je nezávislý subjekt, </w:t>
      </w:r>
      <w:r>
        <w:rPr>
          <w:szCs w:val="22"/>
        </w:rPr>
        <w:t xml:space="preserve">jehož hlavním posláním je audit </w:t>
      </w:r>
      <w:r w:rsidRPr="00D91EFC">
        <w:rPr>
          <w:szCs w:val="22"/>
        </w:rPr>
        <w:t xml:space="preserve">prostředků </w:t>
      </w:r>
      <w:r w:rsidR="00FD4415">
        <w:rPr>
          <w:szCs w:val="22"/>
        </w:rPr>
        <w:t xml:space="preserve">z fondů </w:t>
      </w:r>
      <w:r w:rsidR="00FD4415" w:rsidRPr="00D91EFC">
        <w:rPr>
          <w:szCs w:val="22"/>
        </w:rPr>
        <w:t>Evropské unie</w:t>
      </w:r>
      <w:r w:rsidR="00FD4415">
        <w:rPr>
          <w:szCs w:val="22"/>
        </w:rPr>
        <w:t xml:space="preserve"> </w:t>
      </w:r>
      <w:r>
        <w:rPr>
          <w:szCs w:val="22"/>
        </w:rPr>
        <w:t xml:space="preserve">poskytnutých </w:t>
      </w:r>
      <w:r w:rsidR="00FD4415">
        <w:rPr>
          <w:szCs w:val="22"/>
        </w:rPr>
        <w:t>subjekt</w:t>
      </w:r>
      <w:r w:rsidR="00294F01">
        <w:rPr>
          <w:szCs w:val="22"/>
        </w:rPr>
        <w:t>ům</w:t>
      </w:r>
      <w:r w:rsidR="00FD4415" w:rsidRPr="001F2145">
        <w:rPr>
          <w:szCs w:val="22"/>
        </w:rPr>
        <w:t xml:space="preserve"> implementační struktury</w:t>
      </w:r>
      <w:r>
        <w:rPr>
          <w:szCs w:val="22"/>
        </w:rPr>
        <w:t xml:space="preserve">. </w:t>
      </w:r>
      <w:r w:rsidR="00FD4415">
        <w:rPr>
          <w:szCs w:val="22"/>
        </w:rPr>
        <w:t>Funkc</w:t>
      </w:r>
      <w:r w:rsidR="00ED6EF2">
        <w:rPr>
          <w:szCs w:val="22"/>
        </w:rPr>
        <w:t>í</w:t>
      </w:r>
      <w:r w:rsidR="00FD4415">
        <w:rPr>
          <w:szCs w:val="22"/>
        </w:rPr>
        <w:t xml:space="preserve"> auditního orgánu bylo </w:t>
      </w:r>
      <w:r w:rsidR="00294F01">
        <w:rPr>
          <w:szCs w:val="22"/>
        </w:rPr>
        <w:t xml:space="preserve">v ČR </w:t>
      </w:r>
      <w:r w:rsidR="00FD4415">
        <w:rPr>
          <w:szCs w:val="22"/>
        </w:rPr>
        <w:t>ustanoveno Ministerstvo</w:t>
      </w:r>
      <w:r w:rsidR="00FD4415" w:rsidRPr="007409E6">
        <w:rPr>
          <w:szCs w:val="22"/>
        </w:rPr>
        <w:t xml:space="preserve"> financí</w:t>
      </w:r>
      <w:r w:rsidR="00ED6EF2">
        <w:rPr>
          <w:szCs w:val="22"/>
        </w:rPr>
        <w:t xml:space="preserve"> ČR</w:t>
      </w:r>
      <w:r w:rsidR="00FD4415" w:rsidRPr="007409E6">
        <w:rPr>
          <w:szCs w:val="22"/>
        </w:rPr>
        <w:t xml:space="preserve"> </w:t>
      </w:r>
      <w:r w:rsidR="00FD4415">
        <w:rPr>
          <w:szCs w:val="22"/>
        </w:rPr>
        <w:t xml:space="preserve">– </w:t>
      </w:r>
      <w:r w:rsidR="00FD4415" w:rsidRPr="007409E6">
        <w:rPr>
          <w:szCs w:val="22"/>
        </w:rPr>
        <w:t xml:space="preserve">odbor </w:t>
      </w:r>
      <w:r w:rsidR="00FD4415">
        <w:rPr>
          <w:szCs w:val="22"/>
        </w:rPr>
        <w:t xml:space="preserve">52. </w:t>
      </w:r>
      <w:r>
        <w:rPr>
          <w:szCs w:val="22"/>
        </w:rPr>
        <w:t xml:space="preserve">Cílem </w:t>
      </w:r>
      <w:r w:rsidR="00FD4415">
        <w:rPr>
          <w:szCs w:val="22"/>
        </w:rPr>
        <w:t xml:space="preserve">auditu </w:t>
      </w:r>
      <w:r>
        <w:rPr>
          <w:szCs w:val="22"/>
        </w:rPr>
        <w:t xml:space="preserve">je </w:t>
      </w:r>
      <w:r w:rsidR="00FD4415">
        <w:rPr>
          <w:szCs w:val="22"/>
        </w:rPr>
        <w:t>správné nastavení řídí</w:t>
      </w:r>
      <w:r w:rsidRPr="001F2145">
        <w:rPr>
          <w:szCs w:val="22"/>
        </w:rPr>
        <w:t>cí</w:t>
      </w:r>
      <w:r w:rsidR="00FD4415">
        <w:rPr>
          <w:szCs w:val="22"/>
        </w:rPr>
        <w:t>ch</w:t>
      </w:r>
      <w:r w:rsidRPr="001F2145">
        <w:rPr>
          <w:szCs w:val="22"/>
        </w:rPr>
        <w:t xml:space="preserve"> a kontrolní</w:t>
      </w:r>
      <w:r w:rsidR="00FD4415">
        <w:rPr>
          <w:szCs w:val="22"/>
        </w:rPr>
        <w:t>ch systémů</w:t>
      </w:r>
      <w:r w:rsidR="00294F01">
        <w:rPr>
          <w:szCs w:val="22"/>
        </w:rPr>
        <w:t>. Auditní orgán kontroluje</w:t>
      </w:r>
      <w:r w:rsidR="00961233">
        <w:rPr>
          <w:szCs w:val="22"/>
        </w:rPr>
        <w:t xml:space="preserve"> zejména:</w:t>
      </w:r>
    </w:p>
    <w:p w:rsidR="00961233" w:rsidRDefault="00961233" w:rsidP="003E4E35">
      <w:pPr>
        <w:pStyle w:val="Odstavecseseznamem"/>
        <w:numPr>
          <w:ilvl w:val="0"/>
          <w:numId w:val="2"/>
        </w:numPr>
        <w:ind w:left="426" w:hanging="357"/>
      </w:pPr>
      <w:r>
        <w:t xml:space="preserve">soulad </w:t>
      </w:r>
      <w:r w:rsidRPr="00623024">
        <w:t>s kritérii výz</w:t>
      </w:r>
      <w:r w:rsidR="00294F01">
        <w:t>e</w:t>
      </w:r>
      <w:r w:rsidRPr="00623024">
        <w:t>v daného OP</w:t>
      </w:r>
      <w:r>
        <w:t>,</w:t>
      </w:r>
    </w:p>
    <w:p w:rsidR="00961233" w:rsidRDefault="00961233" w:rsidP="003E4E35">
      <w:pPr>
        <w:pStyle w:val="Odstavecseseznamem"/>
        <w:numPr>
          <w:ilvl w:val="0"/>
          <w:numId w:val="2"/>
        </w:numPr>
        <w:ind w:left="426" w:hanging="357"/>
      </w:pPr>
      <w:r>
        <w:t>s</w:t>
      </w:r>
      <w:r w:rsidR="00FD4415">
        <w:t>hod</w:t>
      </w:r>
      <w:r w:rsidR="00294F01">
        <w:t>u v</w:t>
      </w:r>
      <w:r w:rsidR="00FD4415">
        <w:t xml:space="preserve"> </w:t>
      </w:r>
      <w:r w:rsidRPr="00623024">
        <w:t>realizac</w:t>
      </w:r>
      <w:r w:rsidR="00ED6EF2">
        <w:t>i</w:t>
      </w:r>
      <w:r w:rsidRPr="00623024">
        <w:t xml:space="preserve"> projektu s právním aktem </w:t>
      </w:r>
      <w:r w:rsidR="00294F01">
        <w:t>a p</w:t>
      </w:r>
      <w:r w:rsidRPr="00623024">
        <w:t>odmínkami dotace</w:t>
      </w:r>
      <w:r>
        <w:t>,</w:t>
      </w:r>
    </w:p>
    <w:p w:rsidR="00961233" w:rsidRPr="00034782" w:rsidRDefault="00961233" w:rsidP="003E4E35">
      <w:pPr>
        <w:pStyle w:val="Odstavecseseznamem"/>
        <w:numPr>
          <w:ilvl w:val="0"/>
          <w:numId w:val="2"/>
        </w:numPr>
        <w:ind w:left="426" w:hanging="357"/>
        <w:rPr>
          <w:szCs w:val="22"/>
        </w:rPr>
      </w:pPr>
      <w:r>
        <w:t>z</w:t>
      </w:r>
      <w:r w:rsidRPr="00623024">
        <w:t>působilost výdajů</w:t>
      </w:r>
      <w:r>
        <w:t>,</w:t>
      </w:r>
    </w:p>
    <w:p w:rsidR="00034782" w:rsidRPr="00A12754" w:rsidRDefault="00961233" w:rsidP="00A12754">
      <w:pPr>
        <w:pStyle w:val="Odstavecseseznamem"/>
        <w:numPr>
          <w:ilvl w:val="0"/>
          <w:numId w:val="2"/>
        </w:numPr>
        <w:ind w:left="426" w:hanging="357"/>
        <w:rPr>
          <w:szCs w:val="22"/>
        </w:rPr>
      </w:pPr>
      <w:r>
        <w:t xml:space="preserve">soulad </w:t>
      </w:r>
      <w:r w:rsidRPr="00623024">
        <w:t>realizace projektu s právními předpisy EU a ČR</w:t>
      </w:r>
      <w:r>
        <w:t xml:space="preserve"> (účetnictví, zadávání veřejných zakázek,</w:t>
      </w:r>
      <w:r w:rsidR="00FD4415">
        <w:t xml:space="preserve"> publicita, splnění indikátorů)</w:t>
      </w:r>
      <w:r w:rsidR="00F939B4" w:rsidRPr="00FD4415">
        <w:rPr>
          <w:szCs w:val="22"/>
        </w:rPr>
        <w:t>.</w:t>
      </w:r>
      <w:r w:rsidR="00F939B4">
        <w:rPr>
          <w:rStyle w:val="Znakapoznpodarou"/>
          <w:szCs w:val="22"/>
        </w:rPr>
        <w:footnoteReference w:id="27"/>
      </w:r>
    </w:p>
    <w:p w:rsidR="00DF3EFC" w:rsidRDefault="00294F01" w:rsidP="00487F0F">
      <w:pPr>
        <w:ind w:firstLine="0"/>
        <w:rPr>
          <w:szCs w:val="22"/>
        </w:rPr>
      </w:pPr>
      <w:r>
        <w:rPr>
          <w:b/>
          <w:szCs w:val="22"/>
        </w:rPr>
        <w:t>Platební a certifikační orgán</w:t>
      </w:r>
      <w:r w:rsidR="00DF3EFC">
        <w:rPr>
          <w:szCs w:val="22"/>
        </w:rPr>
        <w:t xml:space="preserve"> je </w:t>
      </w:r>
      <w:r w:rsidR="00DF3EFC" w:rsidRPr="007409E6">
        <w:rPr>
          <w:szCs w:val="22"/>
        </w:rPr>
        <w:t xml:space="preserve">ústřední orgán státní správy zodpovědný za celkové finanční řízení prostředků poskytnutých </w:t>
      </w:r>
      <w:r>
        <w:rPr>
          <w:szCs w:val="22"/>
        </w:rPr>
        <w:t xml:space="preserve">ČR </w:t>
      </w:r>
      <w:r w:rsidR="00DF3EFC" w:rsidRPr="007409E6">
        <w:rPr>
          <w:szCs w:val="22"/>
        </w:rPr>
        <w:t xml:space="preserve">z rozpočtu EU. </w:t>
      </w:r>
      <w:r>
        <w:rPr>
          <w:szCs w:val="22"/>
        </w:rPr>
        <w:t>V ČR vykonáv</w:t>
      </w:r>
      <w:r w:rsidR="00602735">
        <w:rPr>
          <w:szCs w:val="22"/>
        </w:rPr>
        <w:t>á</w:t>
      </w:r>
      <w:r>
        <w:rPr>
          <w:szCs w:val="22"/>
        </w:rPr>
        <w:t xml:space="preserve"> </w:t>
      </w:r>
      <w:r w:rsidR="00DF3EFC" w:rsidRPr="00B932B6">
        <w:rPr>
          <w:szCs w:val="22"/>
        </w:rPr>
        <w:t xml:space="preserve">funkci </w:t>
      </w:r>
      <w:r>
        <w:rPr>
          <w:szCs w:val="22"/>
        </w:rPr>
        <w:t>platebního a</w:t>
      </w:r>
      <w:r w:rsidR="00487F0F">
        <w:rPr>
          <w:szCs w:val="22"/>
        </w:rPr>
        <w:t> </w:t>
      </w:r>
      <w:r>
        <w:rPr>
          <w:szCs w:val="22"/>
        </w:rPr>
        <w:t>certifikačního orgánu (PCO)</w:t>
      </w:r>
      <w:r w:rsidR="00DF3EFC" w:rsidRPr="00B932B6">
        <w:rPr>
          <w:szCs w:val="22"/>
        </w:rPr>
        <w:t xml:space="preserve"> útvar Ministerstva financí</w:t>
      </w:r>
      <w:r w:rsidR="00DF3EFC">
        <w:rPr>
          <w:szCs w:val="22"/>
        </w:rPr>
        <w:t xml:space="preserve"> </w:t>
      </w:r>
      <w:r w:rsidR="00ED6EF2">
        <w:rPr>
          <w:szCs w:val="22"/>
        </w:rPr>
        <w:t xml:space="preserve">ČR </w:t>
      </w:r>
      <w:r w:rsidR="00873EF0">
        <w:rPr>
          <w:szCs w:val="22"/>
        </w:rPr>
        <w:t xml:space="preserve">– </w:t>
      </w:r>
      <w:r w:rsidR="00DF3EFC" w:rsidRPr="00B932B6">
        <w:rPr>
          <w:szCs w:val="22"/>
        </w:rPr>
        <w:t>odbor 55 Národní fond</w:t>
      </w:r>
      <w:r w:rsidR="0018753E">
        <w:rPr>
          <w:szCs w:val="22"/>
        </w:rPr>
        <w:t>.</w:t>
      </w:r>
      <w:r w:rsidR="00813A1B">
        <w:rPr>
          <w:rStyle w:val="Znakapoznpodarou"/>
          <w:szCs w:val="22"/>
        </w:rPr>
        <w:footnoteReference w:id="28"/>
      </w:r>
    </w:p>
    <w:p w:rsidR="001F41AA" w:rsidRDefault="00DF3EFC" w:rsidP="00A12754">
      <w:pPr>
        <w:rPr>
          <w:szCs w:val="22"/>
        </w:rPr>
      </w:pPr>
      <w:r>
        <w:rPr>
          <w:szCs w:val="22"/>
        </w:rPr>
        <w:lastRenderedPageBreak/>
        <w:t>Řídící orgány, které mají na starost jednotlivé operační programy, předkládají PCO své</w:t>
      </w:r>
      <w:r w:rsidR="00060A5A">
        <w:rPr>
          <w:szCs w:val="22"/>
        </w:rPr>
        <w:t> </w:t>
      </w:r>
      <w:r>
        <w:rPr>
          <w:szCs w:val="22"/>
        </w:rPr>
        <w:t>výdaje k certifikaci, tedy k posouzení způsobilosti. Po schválení PCO zasílá Evropské komisi výkaz výdajů spolu se žádostí o platbu. Po certifikaci platebním orgánem EU přijímá</w:t>
      </w:r>
      <w:r w:rsidR="00A12754">
        <w:rPr>
          <w:szCs w:val="22"/>
        </w:rPr>
        <w:t xml:space="preserve"> PCO platby z </w:t>
      </w:r>
      <w:r w:rsidR="007A125A">
        <w:rPr>
          <w:szCs w:val="22"/>
        </w:rPr>
        <w:t>e</w:t>
      </w:r>
      <w:r w:rsidR="00A12754">
        <w:rPr>
          <w:szCs w:val="22"/>
        </w:rPr>
        <w:t xml:space="preserve">vropských fondů. </w:t>
      </w:r>
      <w:r>
        <w:rPr>
          <w:szCs w:val="22"/>
        </w:rPr>
        <w:t xml:space="preserve">PCO </w:t>
      </w:r>
      <w:r w:rsidR="00A12754">
        <w:rPr>
          <w:szCs w:val="22"/>
        </w:rPr>
        <w:t xml:space="preserve">tedy </w:t>
      </w:r>
      <w:r>
        <w:rPr>
          <w:szCs w:val="22"/>
        </w:rPr>
        <w:t>spravuje finanční prostředky ČR z rozpočtu EU, což je uvedeno i v rozpočtových pra</w:t>
      </w:r>
      <w:r w:rsidR="00A12754">
        <w:rPr>
          <w:szCs w:val="22"/>
        </w:rPr>
        <w:t>vidlech (§ 37 odst. 2 RP).</w:t>
      </w:r>
    </w:p>
    <w:p w:rsidR="006E4F01" w:rsidRDefault="00FF7D4C" w:rsidP="00487F0F">
      <w:pPr>
        <w:ind w:firstLine="0"/>
      </w:pPr>
      <w:r w:rsidRPr="00756999">
        <w:rPr>
          <w:b/>
        </w:rPr>
        <w:t>Řídící orgán</w:t>
      </w:r>
      <w:r w:rsidR="0077458D">
        <w:t xml:space="preserve"> </w:t>
      </w:r>
      <w:r w:rsidR="006B4A67">
        <w:t>j</w:t>
      </w:r>
      <w:r w:rsidR="00ED6EF2">
        <w:t>e</w:t>
      </w:r>
      <w:r w:rsidR="006B4A67">
        <w:t xml:space="preserve"> </w:t>
      </w:r>
      <w:r w:rsidR="00ED4ED9">
        <w:t xml:space="preserve">zákonem </w:t>
      </w:r>
      <w:r w:rsidR="00A12754">
        <w:t>pověřený</w:t>
      </w:r>
      <w:r w:rsidR="00E94936">
        <w:t xml:space="preserve"> </w:t>
      </w:r>
      <w:r w:rsidR="00A12754">
        <w:t>orgán</w:t>
      </w:r>
      <w:r w:rsidR="00ED4ED9">
        <w:t xml:space="preserve"> státní správy</w:t>
      </w:r>
      <w:r w:rsidR="00A12754">
        <w:t>. Ve většině případech se jedná o </w:t>
      </w:r>
      <w:r w:rsidR="00A12754" w:rsidRPr="00A12754">
        <w:t xml:space="preserve">jednotlivá </w:t>
      </w:r>
      <w:r w:rsidR="006B4A67">
        <w:t>ministerstva</w:t>
      </w:r>
      <w:r w:rsidR="00A12754">
        <w:t xml:space="preserve"> ČR</w:t>
      </w:r>
      <w:r w:rsidR="006B4A67">
        <w:t>, kter</w:t>
      </w:r>
      <w:r w:rsidR="00ED6EF2">
        <w:t>á</w:t>
      </w:r>
      <w:r w:rsidR="006B4A67">
        <w:t xml:space="preserve"> jsou odpovědn</w:t>
      </w:r>
      <w:r w:rsidR="00ED6EF2">
        <w:t>á</w:t>
      </w:r>
      <w:r w:rsidR="006B4A67">
        <w:t xml:space="preserve"> za </w:t>
      </w:r>
      <w:r w:rsidR="00A12754">
        <w:t xml:space="preserve">přípravu a </w:t>
      </w:r>
      <w:r w:rsidR="006B4A67">
        <w:t>realizaci operačních programů financovaných z EU.</w:t>
      </w:r>
      <w:r w:rsidR="00ED4ED9">
        <w:rPr>
          <w:rStyle w:val="Znakapoznpodarou"/>
        </w:rPr>
        <w:footnoteReference w:id="29"/>
      </w:r>
      <w:r w:rsidR="006B4A67">
        <w:t xml:space="preserve"> </w:t>
      </w:r>
      <w:r w:rsidR="00A12754">
        <w:t>Řídící orgán z</w:t>
      </w:r>
      <w:r w:rsidR="00E94936">
        <w:t xml:space="preserve">ajišťuje vzájemnou synergii při plánování výzev </w:t>
      </w:r>
      <w:r w:rsidR="00ED4ED9">
        <w:t xml:space="preserve">v součinnosti s ostatními </w:t>
      </w:r>
      <w:r w:rsidR="00E94936">
        <w:t xml:space="preserve">řídícími orgány, které mají směřovat ke splnění tematických cílů uvedených v Dohodě o partnerství. Je odpovědný za </w:t>
      </w:r>
      <w:r w:rsidR="00ED4ED9">
        <w:t>nastavení procesů a metodiky k</w:t>
      </w:r>
      <w:r w:rsidR="00A12754">
        <w:t xml:space="preserve"> </w:t>
      </w:r>
      <w:r w:rsidR="00ED4ED9">
        <w:t>operačních programům</w:t>
      </w:r>
      <w:r w:rsidR="00A12754">
        <w:t>, které zastřešuje</w:t>
      </w:r>
      <w:r w:rsidR="00ED4ED9">
        <w:t xml:space="preserve">. Provádí kontrolní činnost probíhajících i ukončených projektů. </w:t>
      </w:r>
      <w:r w:rsidR="00E94936">
        <w:t xml:space="preserve">Částečně </w:t>
      </w:r>
      <w:r w:rsidR="00ED4ED9">
        <w:t>může řídící orgán</w:t>
      </w:r>
      <w:r w:rsidR="00E94936">
        <w:t xml:space="preserve"> převést některé kompetence na zprostředkující subjekt. </w:t>
      </w:r>
      <w:r w:rsidR="00ED4ED9">
        <w:t>Řídící</w:t>
      </w:r>
      <w:r w:rsidR="00060A5A">
        <w:t> </w:t>
      </w:r>
      <w:r w:rsidR="00ED4ED9">
        <w:t xml:space="preserve">orgány </w:t>
      </w:r>
      <w:r w:rsidR="00A12754">
        <w:t xml:space="preserve">jsou </w:t>
      </w:r>
      <w:r w:rsidR="00ED4ED9">
        <w:t>odpovědn</w:t>
      </w:r>
      <w:r w:rsidR="00A12754">
        <w:t>é i</w:t>
      </w:r>
      <w:r w:rsidR="00ED4ED9">
        <w:t xml:space="preserve"> za další činnosti stanovené v Dohod</w:t>
      </w:r>
      <w:r w:rsidR="00A12754">
        <w:t xml:space="preserve">ě o partnerství </w:t>
      </w:r>
      <w:r w:rsidR="00ED4ED9">
        <w:t>a</w:t>
      </w:r>
      <w:r w:rsidR="00A12754">
        <w:t xml:space="preserve"> v </w:t>
      </w:r>
      <w:r w:rsidR="00ED4ED9">
        <w:t>řídících dokumentech jednotlivých programů.</w:t>
      </w:r>
      <w:r w:rsidR="00ED4ED9">
        <w:rPr>
          <w:rStyle w:val="Znakapoznpodarou"/>
        </w:rPr>
        <w:footnoteReference w:id="30"/>
      </w:r>
    </w:p>
    <w:p w:rsidR="001F41AA" w:rsidRDefault="00CB18D7" w:rsidP="00487F0F">
      <w:pPr>
        <w:ind w:firstLine="0"/>
      </w:pPr>
      <w:r w:rsidRPr="00756999">
        <w:rPr>
          <w:b/>
        </w:rPr>
        <w:t>Zprostředkující subjekt</w:t>
      </w:r>
      <w:r>
        <w:t xml:space="preserve"> </w:t>
      </w:r>
      <w:r w:rsidR="00FA5ADE">
        <w:t xml:space="preserve">vykonává svou činnost na základě </w:t>
      </w:r>
      <w:r w:rsidR="00091912">
        <w:t>delegování řídící</w:t>
      </w:r>
      <w:r w:rsidR="00A12754">
        <w:t>ho orgánu</w:t>
      </w:r>
      <w:r w:rsidR="00091912">
        <w:t>.</w:t>
      </w:r>
      <w:r>
        <w:t xml:space="preserve"> </w:t>
      </w:r>
      <w:r w:rsidR="00BD6917">
        <w:t>Vě</w:t>
      </w:r>
      <w:r w:rsidR="0052768A">
        <w:t>tšinou</w:t>
      </w:r>
      <w:r w:rsidR="00BD6917">
        <w:t xml:space="preserve"> </w:t>
      </w:r>
      <w:r w:rsidR="0052768A">
        <w:t>z</w:t>
      </w:r>
      <w:r w:rsidR="00091912">
        <w:t>ajiš</w:t>
      </w:r>
      <w:r w:rsidR="0052768A">
        <w:t>ťuje</w:t>
      </w:r>
      <w:r w:rsidR="00091912">
        <w:t xml:space="preserve"> </w:t>
      </w:r>
      <w:r w:rsidR="0052768A">
        <w:t xml:space="preserve">kompletní agendu </w:t>
      </w:r>
      <w:r w:rsidR="00A12754">
        <w:t>spojenou s poskytováním dotací a</w:t>
      </w:r>
      <w:r w:rsidR="00BD6917">
        <w:t xml:space="preserve"> činnosti následující po</w:t>
      </w:r>
      <w:r w:rsidR="00A12754">
        <w:t> </w:t>
      </w:r>
      <w:r w:rsidR="00BD6917">
        <w:t>schválení. Dále posky</w:t>
      </w:r>
      <w:r w:rsidR="001F41AA">
        <w:t>tuje</w:t>
      </w:r>
      <w:r w:rsidR="00BD6917">
        <w:t xml:space="preserve"> základní informace a poradenství k vyhlášeným výzvám a</w:t>
      </w:r>
      <w:r w:rsidR="001F41AA">
        <w:t> </w:t>
      </w:r>
      <w:r w:rsidR="00BD6917">
        <w:t>projektům daného operačního programu.</w:t>
      </w:r>
      <w:r w:rsidR="00BD6917">
        <w:rPr>
          <w:rStyle w:val="Znakapoznpodarou"/>
        </w:rPr>
        <w:footnoteReference w:id="31"/>
      </w:r>
    </w:p>
    <w:p w:rsidR="006C53F2" w:rsidRDefault="006C53F2" w:rsidP="00CB18D7">
      <w:r>
        <w:t xml:space="preserve">V tomto </w:t>
      </w:r>
      <w:r w:rsidR="004757B8">
        <w:t xml:space="preserve">programovém </w:t>
      </w:r>
      <w:r>
        <w:t xml:space="preserve">období </w:t>
      </w:r>
      <w:r w:rsidR="00557E41">
        <w:t>jsou pověřeny ke své činnosti jednotlivými ministerstv</w:t>
      </w:r>
      <w:r w:rsidR="00BE469A">
        <w:t>y</w:t>
      </w:r>
      <w:r w:rsidR="004757B8">
        <w:t xml:space="preserve"> </w:t>
      </w:r>
      <w:r>
        <w:t>tyto zprostředkující organizace:</w:t>
      </w:r>
    </w:p>
    <w:p w:rsidR="004047CD" w:rsidRDefault="004047CD" w:rsidP="003E4E35">
      <w:pPr>
        <w:pStyle w:val="Odstavecseseznamem"/>
        <w:numPr>
          <w:ilvl w:val="0"/>
          <w:numId w:val="2"/>
        </w:numPr>
        <w:ind w:left="426" w:hanging="357"/>
      </w:pPr>
      <w:r w:rsidRPr="00C77398">
        <w:t xml:space="preserve">Agentura pro podnikání a inovace </w:t>
      </w:r>
      <w:r>
        <w:t>(API),</w:t>
      </w:r>
      <w:r w:rsidR="00F264A9">
        <w:t xml:space="preserve"> řídícím orgánem je MPO,</w:t>
      </w:r>
    </w:p>
    <w:p w:rsidR="004047CD" w:rsidRDefault="004047CD" w:rsidP="003E4E35">
      <w:pPr>
        <w:pStyle w:val="Odstavecseseznamem"/>
        <w:numPr>
          <w:ilvl w:val="0"/>
          <w:numId w:val="2"/>
        </w:numPr>
        <w:ind w:left="426" w:hanging="357"/>
      </w:pPr>
      <w:r>
        <w:t>Státní fond dopravní infrastruktury (SFDI),</w:t>
      </w:r>
      <w:r w:rsidR="00F264A9">
        <w:t xml:space="preserve"> řídícím orgánem je MD,</w:t>
      </w:r>
    </w:p>
    <w:p w:rsidR="004757B8" w:rsidRDefault="004047CD" w:rsidP="003E4E35">
      <w:pPr>
        <w:pStyle w:val="Odstavecseseznamem"/>
        <w:numPr>
          <w:ilvl w:val="0"/>
          <w:numId w:val="2"/>
        </w:numPr>
        <w:ind w:left="426" w:hanging="357"/>
      </w:pPr>
      <w:r>
        <w:t>Státní zemědělský intervenční fond (SZIF)</w:t>
      </w:r>
      <w:r w:rsidR="004757B8">
        <w:t>,</w:t>
      </w:r>
      <w:r w:rsidR="00F264A9">
        <w:t xml:space="preserve"> řídícím orgánem je </w:t>
      </w:r>
      <w:proofErr w:type="spellStart"/>
      <w:r w:rsidR="00F264A9">
        <w:t>MZe</w:t>
      </w:r>
      <w:proofErr w:type="spellEnd"/>
      <w:r w:rsidR="00F264A9">
        <w:t>,</w:t>
      </w:r>
    </w:p>
    <w:p w:rsidR="00F264A9" w:rsidRDefault="00F264A9" w:rsidP="003E4E35">
      <w:pPr>
        <w:pStyle w:val="Odstavecseseznamem"/>
        <w:numPr>
          <w:ilvl w:val="0"/>
          <w:numId w:val="2"/>
        </w:numPr>
        <w:ind w:left="426" w:hanging="357"/>
      </w:pPr>
      <w:r>
        <w:t>Státní fond životního prostředí (SFŽP), řídícím orgánem je MŽP,</w:t>
      </w:r>
    </w:p>
    <w:p w:rsidR="00BE469A" w:rsidRDefault="004757B8" w:rsidP="00ED6EF2">
      <w:pPr>
        <w:pStyle w:val="Odstavecseseznamem"/>
        <w:numPr>
          <w:ilvl w:val="0"/>
          <w:numId w:val="2"/>
        </w:numPr>
        <w:ind w:left="426" w:hanging="357"/>
      </w:pPr>
      <w:r>
        <w:t>Agentura na ochranu přírody a krajiny ČR (</w:t>
      </w:r>
      <w:r w:rsidR="001630F0">
        <w:t>AOPK ČR</w:t>
      </w:r>
      <w:r>
        <w:t>)</w:t>
      </w:r>
      <w:r w:rsidR="00F264A9">
        <w:t>, řídícím orgánem je MŽP</w:t>
      </w:r>
      <w:r w:rsidR="004047CD">
        <w:t>.</w:t>
      </w:r>
    </w:p>
    <w:p w:rsidR="002D036A" w:rsidRPr="0083654A" w:rsidRDefault="005D6412" w:rsidP="00AD2934">
      <w:r w:rsidRPr="002746A5">
        <w:rPr>
          <w:i/>
        </w:rPr>
        <w:t xml:space="preserve">Státní fond dopravní infrastruktury </w:t>
      </w:r>
      <w:r w:rsidR="002D036A" w:rsidRPr="002746A5">
        <w:rPr>
          <w:i/>
        </w:rPr>
        <w:t xml:space="preserve">a </w:t>
      </w:r>
      <w:r w:rsidRPr="002746A5">
        <w:rPr>
          <w:i/>
        </w:rPr>
        <w:t>Státní fond životního prostředí</w:t>
      </w:r>
      <w:r w:rsidRPr="0083654A">
        <w:t xml:space="preserve"> </w:t>
      </w:r>
      <w:r w:rsidR="00B66C16">
        <w:t>k</w:t>
      </w:r>
      <w:r w:rsidR="001636E7" w:rsidRPr="0083654A">
        <w:t xml:space="preserve">romě </w:t>
      </w:r>
      <w:r w:rsidR="00B66C16">
        <w:t>funkce poskytování</w:t>
      </w:r>
      <w:r w:rsidR="00430C17">
        <w:t xml:space="preserve"> </w:t>
      </w:r>
      <w:r w:rsidR="001636E7" w:rsidRPr="0083654A">
        <w:t>finančních prostředků</w:t>
      </w:r>
      <w:r w:rsidRPr="0083654A">
        <w:t xml:space="preserve"> z E</w:t>
      </w:r>
      <w:r w:rsidR="00B66C16">
        <w:t>U</w:t>
      </w:r>
      <w:r w:rsidR="00430C17">
        <w:t xml:space="preserve"> </w:t>
      </w:r>
      <w:r w:rsidR="00B66C16">
        <w:t xml:space="preserve">řeší i agendu vycházející ze zákona č. 104/2000 Sb., </w:t>
      </w:r>
      <w:r w:rsidR="00AD2934" w:rsidRPr="00AD2934">
        <w:t>o Státním fondu dopravní infrastruktury</w:t>
      </w:r>
      <w:r w:rsidR="00AD2934">
        <w:t xml:space="preserve"> a zákona č. 388/1991 Sb., </w:t>
      </w:r>
      <w:r w:rsidR="00AD2934" w:rsidRPr="00AD2934">
        <w:t>o Státním fondu životního prostředí České republiky</w:t>
      </w:r>
      <w:r w:rsidR="008C28D8">
        <w:t xml:space="preserve">. Jedná se o činnosti spojené </w:t>
      </w:r>
      <w:r w:rsidR="00ED4B26">
        <w:t xml:space="preserve">se </w:t>
      </w:r>
      <w:r w:rsidR="008C28D8">
        <w:t>zajištění</w:t>
      </w:r>
      <w:r w:rsidR="00ED4B26">
        <w:t>m</w:t>
      </w:r>
      <w:r w:rsidR="008C28D8">
        <w:t xml:space="preserve"> dopravní infrastruktury </w:t>
      </w:r>
      <w:r w:rsidR="008C28D8">
        <w:lastRenderedPageBreak/>
        <w:t>(stavby</w:t>
      </w:r>
      <w:r w:rsidR="00ED4B26">
        <w:t>,</w:t>
      </w:r>
      <w:r w:rsidR="008C28D8">
        <w:t xml:space="preserve"> opravy silnic a dálnic) a </w:t>
      </w:r>
      <w:r w:rsidR="00ED4B26">
        <w:t xml:space="preserve">o </w:t>
      </w:r>
      <w:r w:rsidR="008C28D8">
        <w:t>podpor</w:t>
      </w:r>
      <w:r w:rsidR="004B6AFA">
        <w:t>u</w:t>
      </w:r>
      <w:r w:rsidR="008C28D8">
        <w:t xml:space="preserve"> investic na ochranu životního prostředí. Proto jsou součástí </w:t>
      </w:r>
      <w:r w:rsidR="00435E43">
        <w:t>rozpočtu fondu i další příjmy</w:t>
      </w:r>
      <w:r w:rsidR="008C28D8">
        <w:t xml:space="preserve">. </w:t>
      </w:r>
      <w:r w:rsidR="001636E7" w:rsidRPr="0083654A">
        <w:t>U</w:t>
      </w:r>
      <w:r w:rsidRPr="0083654A">
        <w:t xml:space="preserve"> </w:t>
      </w:r>
      <w:r w:rsidR="001636E7" w:rsidRPr="0083654A">
        <w:t xml:space="preserve">SFDI </w:t>
      </w:r>
      <w:r w:rsidR="00AD2934">
        <w:t>jde o</w:t>
      </w:r>
      <w:r w:rsidR="0090602C" w:rsidRPr="0083654A">
        <w:t xml:space="preserve"> </w:t>
      </w:r>
      <w:r w:rsidR="001636E7" w:rsidRPr="0083654A">
        <w:t>příjmy</w:t>
      </w:r>
      <w:r w:rsidR="004B6AFA">
        <w:t xml:space="preserve"> z mýtného (dálniční známky)</w:t>
      </w:r>
      <w:r w:rsidR="00ED4B26">
        <w:t xml:space="preserve"> a</w:t>
      </w:r>
      <w:r w:rsidR="00487F0F">
        <w:t> </w:t>
      </w:r>
      <w:r w:rsidR="00E11259">
        <w:t>ze</w:t>
      </w:r>
      <w:r w:rsidR="00487F0F">
        <w:t> </w:t>
      </w:r>
      <w:r w:rsidR="004B6AFA">
        <w:t>silniční daně</w:t>
      </w:r>
      <w:r w:rsidR="00ED4B26">
        <w:t xml:space="preserve">, o </w:t>
      </w:r>
      <w:r w:rsidR="001636E7" w:rsidRPr="0083654A">
        <w:t>část výnosů ze spotřební daně z minerálních olejů</w:t>
      </w:r>
      <w:r w:rsidR="0090602C" w:rsidRPr="0083654A">
        <w:t xml:space="preserve"> a </w:t>
      </w:r>
      <w:r w:rsidR="00E11259">
        <w:t xml:space="preserve">o </w:t>
      </w:r>
      <w:r w:rsidR="0090602C" w:rsidRPr="0083654A">
        <w:t>další</w:t>
      </w:r>
      <w:r w:rsidR="00BB74AF">
        <w:t xml:space="preserve"> příjmy</w:t>
      </w:r>
      <w:r w:rsidR="001636E7" w:rsidRPr="0083654A">
        <w:t>.</w:t>
      </w:r>
      <w:r w:rsidR="001636E7" w:rsidRPr="0083654A">
        <w:rPr>
          <w:rStyle w:val="Znakapoznpodarou"/>
        </w:rPr>
        <w:footnoteReference w:id="32"/>
      </w:r>
      <w:r w:rsidR="001636E7" w:rsidRPr="0083654A">
        <w:t xml:space="preserve"> </w:t>
      </w:r>
      <w:r w:rsidR="0090602C" w:rsidRPr="0083654A">
        <w:t>Mezi</w:t>
      </w:r>
      <w:r w:rsidR="00487F0F">
        <w:t> </w:t>
      </w:r>
      <w:r w:rsidR="0090602C" w:rsidRPr="0083654A">
        <w:t>příjmy SFŽP se</w:t>
      </w:r>
      <w:r w:rsidR="004B6AFA">
        <w:t> </w:t>
      </w:r>
      <w:r w:rsidR="0090602C" w:rsidRPr="0083654A">
        <w:t xml:space="preserve">řadí </w:t>
      </w:r>
      <w:r w:rsidR="001636E7" w:rsidRPr="0083654A">
        <w:t xml:space="preserve">poplatky a platby týkající se </w:t>
      </w:r>
      <w:r w:rsidR="0090602C" w:rsidRPr="0083654A">
        <w:t xml:space="preserve">znečišťování </w:t>
      </w:r>
      <w:r w:rsidR="001636E7" w:rsidRPr="0083654A">
        <w:t>životního prostředí</w:t>
      </w:r>
      <w:r w:rsidR="00694D64">
        <w:t xml:space="preserve"> </w:t>
      </w:r>
      <w:r w:rsidR="00694D64" w:rsidRPr="0083654A">
        <w:t>(</w:t>
      </w:r>
      <w:r w:rsidR="00AD2934" w:rsidRPr="00AD2934">
        <w:t>poplatky podle zákona o</w:t>
      </w:r>
      <w:r w:rsidR="008C28D8">
        <w:t> </w:t>
      </w:r>
      <w:r w:rsidR="00AD2934" w:rsidRPr="00AD2934">
        <w:t>odpadech</w:t>
      </w:r>
      <w:r w:rsidR="00E11259">
        <w:t>,</w:t>
      </w:r>
      <w:r w:rsidR="00AD2934">
        <w:t xml:space="preserve"> </w:t>
      </w:r>
      <w:r w:rsidR="004B6AFA" w:rsidRPr="004B6AFA">
        <w:t>poplatky za vypouštění odpadních vod do vod povrchových</w:t>
      </w:r>
      <w:r w:rsidR="00E11259">
        <w:t xml:space="preserve">, </w:t>
      </w:r>
      <w:r w:rsidR="00AD2934">
        <w:t>dotace ze SR</w:t>
      </w:r>
      <w:r w:rsidR="00694D64" w:rsidRPr="0083654A">
        <w:t>)</w:t>
      </w:r>
      <w:r w:rsidR="001636E7" w:rsidRPr="0083654A">
        <w:t>.</w:t>
      </w:r>
      <w:r w:rsidR="0090602C" w:rsidRPr="0083654A">
        <w:rPr>
          <w:rStyle w:val="Znakapoznpodarou"/>
        </w:rPr>
        <w:footnoteReference w:id="33"/>
      </w:r>
    </w:p>
    <w:p w:rsidR="00694D64" w:rsidRDefault="00C037C8" w:rsidP="004047CD">
      <w:r w:rsidRPr="002746A5">
        <w:rPr>
          <w:i/>
        </w:rPr>
        <w:t>Státní zemědělský intervenční fond</w:t>
      </w:r>
      <w:r>
        <w:t xml:space="preserve"> </w:t>
      </w:r>
      <w:r w:rsidR="004A6EC9">
        <w:t xml:space="preserve">poskytuje </w:t>
      </w:r>
      <w:r w:rsidR="002746A5">
        <w:t xml:space="preserve">nejen </w:t>
      </w:r>
      <w:r w:rsidR="004A6EC9">
        <w:t>účelové dotace</w:t>
      </w:r>
      <w:r w:rsidR="002746A5">
        <w:t xml:space="preserve"> v oblasti zemědělství, ale </w:t>
      </w:r>
      <w:r w:rsidR="00E11259">
        <w:t xml:space="preserve">také </w:t>
      </w:r>
      <w:r w:rsidR="007A125A">
        <w:t xml:space="preserve">podporu </w:t>
      </w:r>
      <w:r w:rsidR="002746A5">
        <w:t>formou přímých plateb na</w:t>
      </w:r>
      <w:r w:rsidR="007A125A">
        <w:t xml:space="preserve">př. </w:t>
      </w:r>
      <w:r w:rsidR="002746A5">
        <w:t>mladý</w:t>
      </w:r>
      <w:r w:rsidR="007A125A">
        <w:t>m</w:t>
      </w:r>
      <w:r w:rsidR="002746A5">
        <w:t xml:space="preserve"> zemědělců</w:t>
      </w:r>
      <w:r w:rsidR="007A125A">
        <w:t>m</w:t>
      </w:r>
      <w:r w:rsidR="004A6EC9">
        <w:t xml:space="preserve">. </w:t>
      </w:r>
      <w:r w:rsidR="002746A5">
        <w:t>Programy jsou financovány jak</w:t>
      </w:r>
      <w:r w:rsidR="004A6EC9">
        <w:t xml:space="preserve"> z národních zdrojů, tak i</w:t>
      </w:r>
      <w:r w:rsidR="002746A5">
        <w:t xml:space="preserve"> z evropských fondů </w:t>
      </w:r>
      <w:r w:rsidR="004A6EC9">
        <w:t>z</w:t>
      </w:r>
      <w:r w:rsidR="002746A5">
        <w:t> </w:t>
      </w:r>
      <w:r w:rsidR="004A6EC9">
        <w:t>EU</w:t>
      </w:r>
      <w:r w:rsidR="002746A5">
        <w:t xml:space="preserve">. SZIF je </w:t>
      </w:r>
      <w:r w:rsidR="004A6EC9">
        <w:t xml:space="preserve">zároveň </w:t>
      </w:r>
      <w:r>
        <w:t>akreditovanou platební agenturou</w:t>
      </w:r>
      <w:r w:rsidR="007A125A">
        <w:t xml:space="preserve"> pro zajištění Společné zemědělské politiky EU</w:t>
      </w:r>
      <w:r>
        <w:rPr>
          <w:szCs w:val="22"/>
        </w:rPr>
        <w:t>.</w:t>
      </w:r>
      <w:r>
        <w:rPr>
          <w:rStyle w:val="Znakapoznpodarou"/>
          <w:szCs w:val="22"/>
        </w:rPr>
        <w:footnoteReference w:id="34"/>
      </w:r>
    </w:p>
    <w:p w:rsidR="004757B8" w:rsidRPr="00ED6EF2" w:rsidRDefault="0083654A" w:rsidP="00ED6EF2">
      <w:pPr>
        <w:rPr>
          <w:rFonts w:ascii="Merriweather" w:hAnsi="Merriweather"/>
          <w:bCs/>
        </w:rPr>
      </w:pPr>
      <w:r>
        <w:t>Z</w:t>
      </w:r>
      <w:r w:rsidR="004047CD" w:rsidRPr="0083654A">
        <w:t>ákonem č. 149/2016 Sb., kterým se mění zákon č. 47/2002 Sb., o</w:t>
      </w:r>
      <w:r w:rsidR="0090602C" w:rsidRPr="0083654A">
        <w:t> </w:t>
      </w:r>
      <w:r w:rsidR="004047CD" w:rsidRPr="0083654A">
        <w:t>po</w:t>
      </w:r>
      <w:r w:rsidR="004047CD" w:rsidRPr="00A35445">
        <w:t>dpoře malého a</w:t>
      </w:r>
      <w:r w:rsidR="001F41AA">
        <w:t> </w:t>
      </w:r>
      <w:r w:rsidR="004047CD" w:rsidRPr="00A35445">
        <w:t>středního podnikání a o změně zákona č. 2/1969 Sb., o zřízení ministerstev a jiných ústředních orgánů státní správy České republiky, ve znění pozdějších předpisů, s</w:t>
      </w:r>
      <w:r w:rsidR="0090602C">
        <w:t> </w:t>
      </w:r>
      <w:r w:rsidR="004047CD" w:rsidRPr="00A35445">
        <w:t xml:space="preserve">účinností od 1. </w:t>
      </w:r>
      <w:r w:rsidR="00060E49">
        <w:t>6.</w:t>
      </w:r>
      <w:r w:rsidR="004047CD" w:rsidRPr="00A35445">
        <w:t xml:space="preserve"> 2016</w:t>
      </w:r>
      <w:r>
        <w:t xml:space="preserve"> </w:t>
      </w:r>
      <w:r w:rsidRPr="0083654A">
        <w:t>byla zřízena</w:t>
      </w:r>
      <w:r>
        <w:t xml:space="preserve"> </w:t>
      </w:r>
      <w:r w:rsidRPr="002746A5">
        <w:rPr>
          <w:i/>
        </w:rPr>
        <w:t>Agentura pro podnikání a inovace</w:t>
      </w:r>
      <w:r w:rsidR="004047CD">
        <w:t>.</w:t>
      </w:r>
      <w:r w:rsidR="004047CD">
        <w:rPr>
          <w:rStyle w:val="Znakapoznpodarou"/>
        </w:rPr>
        <w:footnoteReference w:id="35"/>
      </w:r>
      <w:r w:rsidR="003571E7">
        <w:t xml:space="preserve"> Před vznikem této agentury měla na starost podporu </w:t>
      </w:r>
      <w:r w:rsidR="003571E7">
        <w:rPr>
          <w:rFonts w:ascii="Merriweather" w:hAnsi="Merriweather"/>
        </w:rPr>
        <w:t xml:space="preserve">malého a středního podnikání </w:t>
      </w:r>
      <w:r w:rsidR="003571E7" w:rsidRPr="002746A5">
        <w:rPr>
          <w:rStyle w:val="Siln"/>
          <w:rFonts w:ascii="Merriweather" w:hAnsi="Merriweather"/>
          <w:b w:val="0"/>
          <w:i/>
        </w:rPr>
        <w:t xml:space="preserve">Agentura pro podporu podnikání a investic </w:t>
      </w:r>
      <w:proofErr w:type="spellStart"/>
      <w:r w:rsidR="003571E7" w:rsidRPr="002746A5">
        <w:rPr>
          <w:rStyle w:val="Siln"/>
          <w:rFonts w:ascii="Merriweather" w:hAnsi="Merriweather"/>
          <w:b w:val="0"/>
          <w:i/>
        </w:rPr>
        <w:t>CzechInvest</w:t>
      </w:r>
      <w:proofErr w:type="spellEnd"/>
      <w:r w:rsidR="003571E7">
        <w:rPr>
          <w:rStyle w:val="Siln"/>
          <w:rFonts w:ascii="Merriweather" w:hAnsi="Merriweather"/>
          <w:b w:val="0"/>
        </w:rPr>
        <w:t xml:space="preserve">, zkráceně </w:t>
      </w:r>
      <w:proofErr w:type="spellStart"/>
      <w:r w:rsidR="003571E7">
        <w:rPr>
          <w:rStyle w:val="Siln"/>
          <w:rFonts w:ascii="Merriweather" w:hAnsi="Merriweather"/>
          <w:b w:val="0"/>
        </w:rPr>
        <w:t>CzechInvest</w:t>
      </w:r>
      <w:proofErr w:type="spellEnd"/>
      <w:r w:rsidR="003571E7">
        <w:rPr>
          <w:rStyle w:val="Siln"/>
          <w:rFonts w:ascii="Merriweather" w:hAnsi="Merriweather"/>
          <w:b w:val="0"/>
        </w:rPr>
        <w:t>, která vznikla 2. ledna 2004 před vstupem ČR do EU</w:t>
      </w:r>
      <w:r w:rsidR="004047CD">
        <w:rPr>
          <w:rStyle w:val="Siln"/>
          <w:rFonts w:ascii="Merriweather" w:hAnsi="Merriweather"/>
          <w:b w:val="0"/>
        </w:rPr>
        <w:t>.</w:t>
      </w:r>
      <w:r w:rsidR="004047CD">
        <w:rPr>
          <w:rStyle w:val="Znakapoznpodarou"/>
          <w:rFonts w:ascii="Merriweather" w:hAnsi="Merriweather"/>
          <w:bCs/>
        </w:rPr>
        <w:footnoteReference w:id="36"/>
      </w:r>
    </w:p>
    <w:p w:rsidR="008F3762" w:rsidRDefault="00CB18D7" w:rsidP="00487F0F">
      <w:pPr>
        <w:ind w:firstLine="0"/>
      </w:pPr>
      <w:r w:rsidRPr="00DF4DDE">
        <w:rPr>
          <w:b/>
        </w:rPr>
        <w:t>Příjemcem</w:t>
      </w:r>
      <w:r w:rsidR="00AC0303">
        <w:t xml:space="preserve"> </w:t>
      </w:r>
      <w:r w:rsidR="00AC0303" w:rsidRPr="00DF4DDE">
        <w:t xml:space="preserve">je </w:t>
      </w:r>
      <w:r w:rsidRPr="00DF4DDE">
        <w:t xml:space="preserve">subjekt realizující projekt spolufinancovaný z rozpočtu EU, který na základě </w:t>
      </w:r>
      <w:r w:rsidR="002C0AA0">
        <w:t>r</w:t>
      </w:r>
      <w:r w:rsidR="00DF4DDE" w:rsidRPr="00675B54">
        <w:t>ozhodnutí</w:t>
      </w:r>
      <w:r w:rsidR="002C0AA0">
        <w:t>, s</w:t>
      </w:r>
      <w:r w:rsidR="00DF4DDE">
        <w:t xml:space="preserve">mlouvy nebo Dohody </w:t>
      </w:r>
      <w:r w:rsidRPr="00DF4DDE">
        <w:t xml:space="preserve">o poskytnutí dotace žádá </w:t>
      </w:r>
      <w:r w:rsidR="00DF4DDE">
        <w:t xml:space="preserve">poskytovatele </w:t>
      </w:r>
      <w:r w:rsidRPr="00DF4DDE">
        <w:t>o</w:t>
      </w:r>
      <w:r w:rsidR="004B6AFA">
        <w:t xml:space="preserve"> finanční</w:t>
      </w:r>
      <w:r w:rsidRPr="00DF4DDE">
        <w:t xml:space="preserve"> prostředky</w:t>
      </w:r>
      <w:r w:rsidR="005901B8" w:rsidRPr="00DF4DDE">
        <w:t xml:space="preserve">. </w:t>
      </w:r>
      <w:r w:rsidR="00AE4EE7">
        <w:t>O</w:t>
      </w:r>
      <w:r w:rsidR="001630F0">
        <w:t> </w:t>
      </w:r>
      <w:r w:rsidR="00AE4EE7">
        <w:t xml:space="preserve">dotace mohou žádat </w:t>
      </w:r>
      <w:r w:rsidR="00E11259">
        <w:t>fyzické</w:t>
      </w:r>
      <w:r w:rsidR="00AE4EE7">
        <w:t xml:space="preserve"> nebo</w:t>
      </w:r>
      <w:r w:rsidR="00E11259">
        <w:t xml:space="preserve"> právnické osoby</w:t>
      </w:r>
      <w:r w:rsidR="00AE4EE7">
        <w:t xml:space="preserve">, </w:t>
      </w:r>
      <w:r w:rsidR="00AE4EE7" w:rsidRPr="00AE4EE7">
        <w:t>obce, kraje, ministerstva, neziskové organizace a další</w:t>
      </w:r>
      <w:r w:rsidR="00FD4415">
        <w:t xml:space="preserve"> subjekty</w:t>
      </w:r>
      <w:r w:rsidR="00AE4EE7">
        <w:t>.</w:t>
      </w:r>
      <w:r w:rsidR="006C53F2">
        <w:t xml:space="preserve"> </w:t>
      </w:r>
      <w:r w:rsidR="00FD4415">
        <w:t>Příjemce j</w:t>
      </w:r>
      <w:r w:rsidR="006C53F2">
        <w:t>e</w:t>
      </w:r>
      <w:r w:rsidR="001F41AA">
        <w:t> </w:t>
      </w:r>
      <w:r w:rsidR="006C53F2">
        <w:t>odpovědný za realizaci projektu, odpovídá za dodržování podmínek dotace (např. publicita, výběrová řízení, monitorovací zprávy) a</w:t>
      </w:r>
      <w:r w:rsidR="00487F0F">
        <w:t> </w:t>
      </w:r>
      <w:r w:rsidR="004B6AFA">
        <w:t>na</w:t>
      </w:r>
      <w:r w:rsidR="00487F0F">
        <w:t> </w:t>
      </w:r>
      <w:r w:rsidR="004B6AFA">
        <w:t xml:space="preserve">základě způsobilých výdajů </w:t>
      </w:r>
      <w:r w:rsidR="006C53F2">
        <w:t>předkládá žádosti o platbu.</w:t>
      </w:r>
    </w:p>
    <w:p w:rsidR="008F3762" w:rsidRDefault="008F3762" w:rsidP="005B6AA9"/>
    <w:p w:rsidR="009D1ADE" w:rsidRPr="00CB18D7" w:rsidRDefault="00610124" w:rsidP="00135E41">
      <w:pPr>
        <w:pStyle w:val="Tomk"/>
        <w:ind w:left="567" w:hanging="567"/>
      </w:pPr>
      <w:bookmarkStart w:id="28" w:name="_Toc38385245"/>
      <w:r>
        <w:lastRenderedPageBreak/>
        <w:t>K</w:t>
      </w:r>
      <w:r w:rsidR="005671B1" w:rsidRPr="00CB18D7">
        <w:t>ontrolní orgány</w:t>
      </w:r>
      <w:bookmarkEnd w:id="23"/>
      <w:r w:rsidR="002F0E35">
        <w:t xml:space="preserve"> při poskytování dotací nebo </w:t>
      </w:r>
      <w:r w:rsidR="00600587">
        <w:t>n</w:t>
      </w:r>
      <w:r w:rsidR="002F0E35">
        <w:t>ávratných finančních výpomocí</w:t>
      </w:r>
      <w:r w:rsidR="008474C7">
        <w:t xml:space="preserve"> z prostředků EU</w:t>
      </w:r>
      <w:bookmarkEnd w:id="28"/>
    </w:p>
    <w:p w:rsidR="00FE0F6D" w:rsidRDefault="003A33BC" w:rsidP="00FE0F6D">
      <w:r>
        <w:t xml:space="preserve">V rámci poskytování dotací </w:t>
      </w:r>
      <w:r w:rsidR="001E4196">
        <w:t xml:space="preserve">z EU </w:t>
      </w:r>
      <w:r>
        <w:t>se lze setkat s velkým množství institucí, které mohou kontrolovat čerpání</w:t>
      </w:r>
      <w:r w:rsidRPr="00075551">
        <w:t xml:space="preserve"> </w:t>
      </w:r>
      <w:r w:rsidR="007A125A">
        <w:t>peněz z e</w:t>
      </w:r>
      <w:r>
        <w:t>vropských fondů</w:t>
      </w:r>
      <w:r w:rsidR="00600587">
        <w:t>, způsobilost výdajů na poskytnuté programy a</w:t>
      </w:r>
      <w:r w:rsidR="00700674">
        <w:t> </w:t>
      </w:r>
      <w:r w:rsidR="00600587">
        <w:t>projekty a</w:t>
      </w:r>
      <w:r w:rsidR="0095327F">
        <w:t xml:space="preserve"> další činnosti</w:t>
      </w:r>
      <w:r w:rsidR="0083654A">
        <w:t>.</w:t>
      </w:r>
      <w:r w:rsidR="0095327F">
        <w:t xml:space="preserve"> </w:t>
      </w:r>
      <w:r w:rsidR="0083654A">
        <w:t>I</w:t>
      </w:r>
      <w:r w:rsidR="00133E3F">
        <w:t>nstituce</w:t>
      </w:r>
      <w:r w:rsidR="00FE0F6D">
        <w:t xml:space="preserve">, které </w:t>
      </w:r>
      <w:r w:rsidR="00E94F48">
        <w:t>jsou oprávněny</w:t>
      </w:r>
      <w:r w:rsidR="00FE0F6D">
        <w:t xml:space="preserve"> kontrolovat čerpání </w:t>
      </w:r>
      <w:r w:rsidR="00200D81">
        <w:t>peněžních</w:t>
      </w:r>
      <w:r w:rsidR="00FE0F6D">
        <w:t xml:space="preserve"> prostředků z </w:t>
      </w:r>
      <w:r w:rsidR="007A125A">
        <w:t>e</w:t>
      </w:r>
      <w:r w:rsidR="00FE0F6D">
        <w:t>vropských fondů,</w:t>
      </w:r>
      <w:r w:rsidR="003864D9">
        <w:t xml:space="preserve"> </w:t>
      </w:r>
      <w:r w:rsidR="00133E3F">
        <w:t xml:space="preserve">lze </w:t>
      </w:r>
      <w:r w:rsidR="00623024">
        <w:t>ro</w:t>
      </w:r>
      <w:r w:rsidR="008474C7">
        <w:t xml:space="preserve">zdělit </w:t>
      </w:r>
      <w:r w:rsidR="003864D9">
        <w:t>na</w:t>
      </w:r>
      <w:r w:rsidR="0083654A">
        <w:t xml:space="preserve"> orgány</w:t>
      </w:r>
      <w:r w:rsidR="00FE0F6D">
        <w:t>:</w:t>
      </w:r>
    </w:p>
    <w:p w:rsidR="00FE0F6D" w:rsidRDefault="00FE0F6D" w:rsidP="003E4E35">
      <w:pPr>
        <w:pStyle w:val="Odstavecseseznamem"/>
        <w:numPr>
          <w:ilvl w:val="0"/>
          <w:numId w:val="4"/>
        </w:numPr>
        <w:ind w:left="426"/>
      </w:pPr>
      <w:r>
        <w:t xml:space="preserve">Evropské unie – </w:t>
      </w:r>
      <w:r w:rsidRPr="006343A9">
        <w:t>Evropský úřad pro boj proti podvodům,</w:t>
      </w:r>
      <w:r>
        <w:t xml:space="preserve"> </w:t>
      </w:r>
      <w:r w:rsidRPr="006343A9">
        <w:t>Evropský účetní dvůr</w:t>
      </w:r>
      <w:r>
        <w:t>, Evropská komise,</w:t>
      </w:r>
    </w:p>
    <w:p w:rsidR="004A7D38" w:rsidRDefault="00FE0F6D" w:rsidP="00B65638">
      <w:pPr>
        <w:pStyle w:val="Odstavecseseznamem"/>
        <w:numPr>
          <w:ilvl w:val="0"/>
          <w:numId w:val="4"/>
        </w:numPr>
        <w:ind w:left="426"/>
      </w:pPr>
      <w:r>
        <w:t xml:space="preserve">České republiky – </w:t>
      </w:r>
      <w:r w:rsidR="00E94F48">
        <w:t>A</w:t>
      </w:r>
      <w:r>
        <w:t>uditní orgán</w:t>
      </w:r>
      <w:r w:rsidR="00E94F48">
        <w:t xml:space="preserve"> (Ministerstvo financí ČR – odbor 52)</w:t>
      </w:r>
      <w:r>
        <w:t xml:space="preserve">, </w:t>
      </w:r>
      <w:r w:rsidR="00623024" w:rsidRPr="00FE0F6D">
        <w:t>Platební a</w:t>
      </w:r>
      <w:r w:rsidR="00700674">
        <w:t> </w:t>
      </w:r>
      <w:r w:rsidR="00623024" w:rsidRPr="00FE0F6D">
        <w:t>certifikační orgán</w:t>
      </w:r>
      <w:r w:rsidR="00E94F48">
        <w:t xml:space="preserve"> (Ministerstvo financí – </w:t>
      </w:r>
      <w:r w:rsidR="00E94F48" w:rsidRPr="00B932B6">
        <w:rPr>
          <w:szCs w:val="22"/>
        </w:rPr>
        <w:t>odbor 55 Národní fond</w:t>
      </w:r>
      <w:r w:rsidR="00E94F48">
        <w:rPr>
          <w:szCs w:val="22"/>
        </w:rPr>
        <w:t>)</w:t>
      </w:r>
      <w:r w:rsidR="00623024">
        <w:t xml:space="preserve">, </w:t>
      </w:r>
      <w:r w:rsidR="00E94F48">
        <w:t>Ř</w:t>
      </w:r>
      <w:r>
        <w:t>ídící orgán (jednotlivá ministerstva), zprostředkovatelsk</w:t>
      </w:r>
      <w:r w:rsidR="00B65638">
        <w:t>é</w:t>
      </w:r>
      <w:r>
        <w:t xml:space="preserve"> subjekt</w:t>
      </w:r>
      <w:r w:rsidR="00200D81">
        <w:t>y</w:t>
      </w:r>
      <w:r>
        <w:t xml:space="preserve"> (</w:t>
      </w:r>
      <w:r w:rsidRPr="006343A9">
        <w:t>Agentura pro podnikání a inovace</w:t>
      </w:r>
      <w:r w:rsidR="00FB58F3">
        <w:t>, SFDI, SFŽP</w:t>
      </w:r>
      <w:r w:rsidR="00A07F6F">
        <w:t>, SZIF</w:t>
      </w:r>
      <w:r>
        <w:t xml:space="preserve">), </w:t>
      </w:r>
      <w:r w:rsidR="00200D81">
        <w:t>Finanční správa (F</w:t>
      </w:r>
      <w:r>
        <w:t>inanční úřad</w:t>
      </w:r>
      <w:r w:rsidR="00200D81">
        <w:t>y)</w:t>
      </w:r>
      <w:r w:rsidR="00C42E84">
        <w:t xml:space="preserve"> a</w:t>
      </w:r>
      <w:r w:rsidR="00623024">
        <w:t xml:space="preserve"> Nejvyšší kontrolní úřad</w:t>
      </w:r>
      <w:r>
        <w:t>.</w:t>
      </w:r>
      <w:r w:rsidR="00EA7180">
        <w:t xml:space="preserve"> </w:t>
      </w:r>
    </w:p>
    <w:p w:rsidR="00C9422A" w:rsidRDefault="00600587" w:rsidP="00BA546C">
      <w:r>
        <w:t xml:space="preserve">Samotná kontrolní činnost se soustředí buď na kontrolu procesů a pravidel pro poskytování finančních prostředků, </w:t>
      </w:r>
      <w:r w:rsidR="00B65638">
        <w:t xml:space="preserve">přičemž </w:t>
      </w:r>
      <w:r>
        <w:t>taková kontrola se provádí především u řídících orgánů</w:t>
      </w:r>
      <w:r w:rsidR="00B65638">
        <w:t xml:space="preserve">, </w:t>
      </w:r>
      <w:r w:rsidR="008474C7">
        <w:t>resp.</w:t>
      </w:r>
      <w:r w:rsidR="00700674">
        <w:t> </w:t>
      </w:r>
      <w:r>
        <w:t>poskytovatelů</w:t>
      </w:r>
      <w:r w:rsidR="008474C7">
        <w:t>,</w:t>
      </w:r>
      <w:r>
        <w:t xml:space="preserve"> nebo na kontrolu plnění dotačních podmínek stanovených na základě </w:t>
      </w:r>
      <w:r w:rsidR="00EE2711">
        <w:t xml:space="preserve">právního aktu, </w:t>
      </w:r>
      <w:r w:rsidR="00B65638">
        <w:t>tj.</w:t>
      </w:r>
      <w:r w:rsidR="00EE2711">
        <w:t xml:space="preserve"> na základě </w:t>
      </w:r>
      <w:r>
        <w:t>rozhodnutí</w:t>
      </w:r>
      <w:r w:rsidR="00EE2711">
        <w:t>, smlouvy</w:t>
      </w:r>
      <w:r>
        <w:t xml:space="preserve"> nebo dohody mezi poskytovatelem a</w:t>
      </w:r>
      <w:r w:rsidR="00700674">
        <w:t> </w:t>
      </w:r>
      <w:r>
        <w:t>příjemcem dotace. Rozhodnutí je individuální právní akt správního orgánu vůči žadateli (příjemci), v kterém správní orgán jednostranně stanovuje podmínky na základě skutečností uvedených v žádosti. Naopak dohoda nebo smlouva je dvojstranný právní akt mezi příjemcem a poskytovatelem. Nastavení podmínek by mělo být výsledkem jednání o</w:t>
      </w:r>
      <w:r w:rsidR="00700674">
        <w:t> </w:t>
      </w:r>
      <w:r>
        <w:t>požadavcích posky</w:t>
      </w:r>
      <w:r w:rsidR="00BA546C">
        <w:t>tovatele a možnostech příjemce.</w:t>
      </w:r>
    </w:p>
    <w:p w:rsidR="002525A4" w:rsidRDefault="002525A4" w:rsidP="002525A4">
      <w:pPr>
        <w:pStyle w:val="Tomk2"/>
        <w:ind w:left="567" w:hanging="567"/>
      </w:pPr>
      <w:bookmarkStart w:id="29" w:name="_Toc38385246"/>
      <w:r>
        <w:t>Kontrolní orgány EU</w:t>
      </w:r>
      <w:bookmarkEnd w:id="29"/>
    </w:p>
    <w:p w:rsidR="001F2145" w:rsidRDefault="001F2145" w:rsidP="004A7D38">
      <w:pPr>
        <w:ind w:firstLine="0"/>
      </w:pPr>
      <w:r w:rsidRPr="001F2145">
        <w:rPr>
          <w:b/>
        </w:rPr>
        <w:t>Evropská komise</w:t>
      </w:r>
      <w:r w:rsidR="0083654A">
        <w:rPr>
          <w:b/>
        </w:rPr>
        <w:t xml:space="preserve"> (</w:t>
      </w:r>
      <w:proofErr w:type="spellStart"/>
      <w:r w:rsidR="00156343">
        <w:rPr>
          <w:b/>
        </w:rPr>
        <w:t>European</w:t>
      </w:r>
      <w:proofErr w:type="spellEnd"/>
      <w:r w:rsidR="00156343">
        <w:rPr>
          <w:b/>
        </w:rPr>
        <w:t xml:space="preserve"> </w:t>
      </w:r>
      <w:proofErr w:type="spellStart"/>
      <w:r w:rsidR="00156343">
        <w:rPr>
          <w:b/>
        </w:rPr>
        <w:t>Commis</w:t>
      </w:r>
      <w:r w:rsidR="00B65638">
        <w:rPr>
          <w:b/>
        </w:rPr>
        <w:t>s</w:t>
      </w:r>
      <w:r w:rsidR="00156343">
        <w:rPr>
          <w:b/>
        </w:rPr>
        <w:t>ion</w:t>
      </w:r>
      <w:proofErr w:type="spellEnd"/>
      <w:r w:rsidR="0083654A">
        <w:rPr>
          <w:b/>
        </w:rPr>
        <w:t>)</w:t>
      </w:r>
      <w:r>
        <w:t xml:space="preserve"> </w:t>
      </w:r>
      <w:r w:rsidR="00156343">
        <w:t xml:space="preserve">vytváří celkovou strategii EU, má na starost rozpočet EU a řídí programy, které jsou financovány EU. </w:t>
      </w:r>
      <w:r w:rsidR="00B829A4">
        <w:t>Iniciuje</w:t>
      </w:r>
      <w:r w:rsidR="00156343">
        <w:t xml:space="preserve"> právní předpisy</w:t>
      </w:r>
      <w:r w:rsidR="00B829A4">
        <w:t xml:space="preserve"> a</w:t>
      </w:r>
      <w:r w:rsidR="00F85292">
        <w:t xml:space="preserve"> legislativu</w:t>
      </w:r>
      <w:r w:rsidR="00B829A4">
        <w:t xml:space="preserve">. </w:t>
      </w:r>
      <w:r w:rsidR="00B829A4" w:rsidRPr="00B829A4">
        <w:t xml:space="preserve">Sleduje dodržování a správné uplatňování </w:t>
      </w:r>
      <w:r w:rsidR="00B829A4">
        <w:t xml:space="preserve">evropského </w:t>
      </w:r>
      <w:r w:rsidR="00B829A4" w:rsidRPr="00B829A4">
        <w:t>práva</w:t>
      </w:r>
      <w:r w:rsidR="00156343">
        <w:t xml:space="preserve"> a </w:t>
      </w:r>
      <w:r w:rsidR="00F85292">
        <w:t xml:space="preserve">provádí </w:t>
      </w:r>
      <w:r w:rsidR="00156343">
        <w:t>další činnosti spojené s EU.</w:t>
      </w:r>
      <w:r w:rsidR="001E2378">
        <w:t xml:space="preserve"> Evropská komise má svá zastoupení v každém členském státě EU.</w:t>
      </w:r>
      <w:r w:rsidR="00156343">
        <w:rPr>
          <w:rStyle w:val="Znakapoznpodarou"/>
        </w:rPr>
        <w:footnoteReference w:id="37"/>
      </w:r>
    </w:p>
    <w:p w:rsidR="002525A4" w:rsidRDefault="002525A4" w:rsidP="0083654A">
      <w:pPr>
        <w:ind w:firstLine="0"/>
      </w:pPr>
      <w:r w:rsidRPr="00AB685E">
        <w:rPr>
          <w:b/>
        </w:rPr>
        <w:t>Evropský úřad pro boj proti podvodům</w:t>
      </w:r>
      <w:r w:rsidR="0083654A">
        <w:rPr>
          <w:b/>
        </w:rPr>
        <w:t xml:space="preserve"> (</w:t>
      </w:r>
      <w:proofErr w:type="spellStart"/>
      <w:r w:rsidR="00E853AB" w:rsidRPr="00E853AB">
        <w:rPr>
          <w:b/>
        </w:rPr>
        <w:t>European</w:t>
      </w:r>
      <w:proofErr w:type="spellEnd"/>
      <w:r w:rsidR="00E853AB" w:rsidRPr="00E853AB">
        <w:rPr>
          <w:b/>
        </w:rPr>
        <w:t xml:space="preserve"> Anti-</w:t>
      </w:r>
      <w:proofErr w:type="spellStart"/>
      <w:r w:rsidR="00E853AB" w:rsidRPr="00E853AB">
        <w:rPr>
          <w:b/>
        </w:rPr>
        <w:t>Fraud</w:t>
      </w:r>
      <w:proofErr w:type="spellEnd"/>
      <w:r w:rsidR="00E853AB" w:rsidRPr="00E853AB">
        <w:rPr>
          <w:b/>
        </w:rPr>
        <w:t xml:space="preserve"> Office</w:t>
      </w:r>
      <w:r w:rsidR="00B65638">
        <w:rPr>
          <w:b/>
        </w:rPr>
        <w:t xml:space="preserve"> „</w:t>
      </w:r>
      <w:r w:rsidRPr="00AB685E">
        <w:rPr>
          <w:b/>
        </w:rPr>
        <w:t>OLAF</w:t>
      </w:r>
      <w:r w:rsidR="00B65638">
        <w:rPr>
          <w:b/>
        </w:rPr>
        <w:t>“</w:t>
      </w:r>
      <w:r w:rsidRPr="00AB685E">
        <w:rPr>
          <w:b/>
        </w:rPr>
        <w:t>)</w:t>
      </w:r>
      <w:r w:rsidR="0083654A">
        <w:rPr>
          <w:b/>
        </w:rPr>
        <w:t xml:space="preserve"> </w:t>
      </w:r>
      <w:r w:rsidR="0083654A" w:rsidRPr="0083654A">
        <w:t>byl</w:t>
      </w:r>
      <w:r w:rsidR="0083654A">
        <w:t xml:space="preserve"> v</w:t>
      </w:r>
      <w:r w:rsidRPr="00AE7B32">
        <w:t>ytvořen v roce 1999</w:t>
      </w:r>
      <w:r>
        <w:t xml:space="preserve"> rozhodnutím Evropské komise. </w:t>
      </w:r>
      <w:r w:rsidR="00E853AB" w:rsidRPr="00E853AB">
        <w:t>OLAF vyšetřuje</w:t>
      </w:r>
      <w:r w:rsidR="0038450B">
        <w:t xml:space="preserve"> podezření na podvody </w:t>
      </w:r>
      <w:r w:rsidR="0038450B" w:rsidRPr="0038450B">
        <w:lastRenderedPageBreak/>
        <w:t>a</w:t>
      </w:r>
      <w:r w:rsidR="00305EEE">
        <w:t> </w:t>
      </w:r>
      <w:r w:rsidR="0038450B" w:rsidRPr="0038450B">
        <w:t>další nesrovnalosti, které mají dopad na rozpočet EU</w:t>
      </w:r>
      <w:r w:rsidR="00AE3983">
        <w:t>,</w:t>
      </w:r>
      <w:r w:rsidR="0038450B" w:rsidRPr="0038450B">
        <w:t xml:space="preserve"> </w:t>
      </w:r>
      <w:r w:rsidR="00A07F6F">
        <w:t xml:space="preserve">např. </w:t>
      </w:r>
      <w:r w:rsidR="00E853AB">
        <w:t>dot</w:t>
      </w:r>
      <w:r w:rsidR="00A07F6F">
        <w:t>ační prostředky, obcházení cel nebo</w:t>
      </w:r>
      <w:r w:rsidR="00700674">
        <w:t> </w:t>
      </w:r>
      <w:r w:rsidR="00E853AB">
        <w:t>daní</w:t>
      </w:r>
      <w:r w:rsidR="0038450B">
        <w:t xml:space="preserve">. Dále se zaměřuje na </w:t>
      </w:r>
      <w:r w:rsidR="00E853AB" w:rsidRPr="00E853AB">
        <w:t>korupci a závažn</w:t>
      </w:r>
      <w:r w:rsidR="00AE3983">
        <w:t>á</w:t>
      </w:r>
      <w:r w:rsidR="00E853AB" w:rsidRPr="00E853AB">
        <w:t xml:space="preserve"> pochybení v evropských orgánech</w:t>
      </w:r>
      <w:r w:rsidR="0038450B">
        <w:t>.</w:t>
      </w:r>
      <w:r w:rsidR="00E853AB" w:rsidRPr="00E853AB">
        <w:t xml:space="preserve"> </w:t>
      </w:r>
      <w:r w:rsidR="0038450B" w:rsidRPr="0038450B">
        <w:t>Jeho</w:t>
      </w:r>
      <w:r w:rsidR="00487F0F">
        <w:t> </w:t>
      </w:r>
      <w:r w:rsidR="0038450B" w:rsidRPr="0038450B">
        <w:t xml:space="preserve">posláním je ochrana finančních a ekonomických zájmů </w:t>
      </w:r>
      <w:r w:rsidR="0038450B">
        <w:t>Evropské unie</w:t>
      </w:r>
      <w:r>
        <w:t>.</w:t>
      </w:r>
      <w:r>
        <w:rPr>
          <w:rStyle w:val="Znakapoznpodarou"/>
        </w:rPr>
        <w:footnoteReference w:id="38"/>
      </w:r>
    </w:p>
    <w:p w:rsidR="001F2145" w:rsidRPr="002525A4" w:rsidRDefault="002525A4" w:rsidP="00305EEE">
      <w:pPr>
        <w:ind w:firstLine="0"/>
        <w:rPr>
          <w:szCs w:val="22"/>
        </w:rPr>
      </w:pPr>
      <w:r w:rsidRPr="00DE67B9">
        <w:rPr>
          <w:b/>
          <w:szCs w:val="22"/>
        </w:rPr>
        <w:t>Evropský účetní dvůr</w:t>
      </w:r>
      <w:r w:rsidR="00305EEE">
        <w:rPr>
          <w:b/>
          <w:szCs w:val="22"/>
        </w:rPr>
        <w:t xml:space="preserve"> (</w:t>
      </w:r>
      <w:proofErr w:type="spellStart"/>
      <w:r w:rsidR="00BF07E5" w:rsidRPr="00BF07E5">
        <w:rPr>
          <w:b/>
          <w:szCs w:val="22"/>
        </w:rPr>
        <w:t>E</w:t>
      </w:r>
      <w:r w:rsidR="00BF07E5">
        <w:rPr>
          <w:b/>
          <w:szCs w:val="22"/>
        </w:rPr>
        <w:t>uropean</w:t>
      </w:r>
      <w:proofErr w:type="spellEnd"/>
      <w:r w:rsidR="00BF07E5">
        <w:rPr>
          <w:b/>
          <w:szCs w:val="22"/>
        </w:rPr>
        <w:t xml:space="preserve"> </w:t>
      </w:r>
      <w:proofErr w:type="spellStart"/>
      <w:r w:rsidR="00AE3983">
        <w:rPr>
          <w:b/>
          <w:szCs w:val="22"/>
        </w:rPr>
        <w:t>C</w:t>
      </w:r>
      <w:r w:rsidR="00BF07E5">
        <w:rPr>
          <w:b/>
          <w:szCs w:val="22"/>
        </w:rPr>
        <w:t>ourt</w:t>
      </w:r>
      <w:proofErr w:type="spellEnd"/>
      <w:r w:rsidR="00BF07E5">
        <w:rPr>
          <w:b/>
          <w:szCs w:val="22"/>
        </w:rPr>
        <w:t xml:space="preserve"> </w:t>
      </w:r>
      <w:proofErr w:type="spellStart"/>
      <w:r w:rsidR="00BF07E5">
        <w:rPr>
          <w:b/>
          <w:szCs w:val="22"/>
        </w:rPr>
        <w:t>of</w:t>
      </w:r>
      <w:proofErr w:type="spellEnd"/>
      <w:r w:rsidR="00BF07E5">
        <w:rPr>
          <w:b/>
          <w:szCs w:val="22"/>
        </w:rPr>
        <w:t xml:space="preserve"> </w:t>
      </w:r>
      <w:proofErr w:type="spellStart"/>
      <w:r w:rsidR="00BF07E5">
        <w:rPr>
          <w:b/>
          <w:szCs w:val="22"/>
        </w:rPr>
        <w:t>Auditors</w:t>
      </w:r>
      <w:proofErr w:type="spellEnd"/>
      <w:r w:rsidR="00305EEE">
        <w:rPr>
          <w:b/>
          <w:szCs w:val="22"/>
        </w:rPr>
        <w:t xml:space="preserve">) </w:t>
      </w:r>
      <w:r w:rsidR="00305EEE">
        <w:rPr>
          <w:szCs w:val="22"/>
        </w:rPr>
        <w:t>v</w:t>
      </w:r>
      <w:r w:rsidRPr="00DE67B9">
        <w:rPr>
          <w:szCs w:val="22"/>
        </w:rPr>
        <w:t xml:space="preserve"> rámci své působnosti vykonává samostatné a nezávislé audity</w:t>
      </w:r>
      <w:r w:rsidR="00BF07E5">
        <w:rPr>
          <w:szCs w:val="22"/>
        </w:rPr>
        <w:t xml:space="preserve"> hospodaření s</w:t>
      </w:r>
      <w:r>
        <w:rPr>
          <w:szCs w:val="22"/>
        </w:rPr>
        <w:t xml:space="preserve"> </w:t>
      </w:r>
      <w:r w:rsidR="00BF07E5">
        <w:rPr>
          <w:szCs w:val="22"/>
        </w:rPr>
        <w:t>finančními prostředky EU</w:t>
      </w:r>
      <w:r>
        <w:rPr>
          <w:szCs w:val="22"/>
        </w:rPr>
        <w:t>.</w:t>
      </w:r>
      <w:r w:rsidR="00BF07E5">
        <w:rPr>
          <w:szCs w:val="22"/>
        </w:rPr>
        <w:t xml:space="preserve"> </w:t>
      </w:r>
      <w:r w:rsidR="00C07E7C">
        <w:rPr>
          <w:szCs w:val="22"/>
        </w:rPr>
        <w:t xml:space="preserve">Má zajišťovat ochranu zájmů občanů EU. </w:t>
      </w:r>
      <w:r w:rsidR="00BF07E5">
        <w:rPr>
          <w:szCs w:val="22"/>
        </w:rPr>
        <w:t>Evropský účetní dvůr byl zřízen v roce 1977</w:t>
      </w:r>
      <w:r w:rsidR="00FB58F3">
        <w:rPr>
          <w:szCs w:val="22"/>
        </w:rPr>
        <w:t xml:space="preserve"> se sídlem v Lucembursku</w:t>
      </w:r>
      <w:r w:rsidR="00BF07E5">
        <w:rPr>
          <w:szCs w:val="22"/>
        </w:rPr>
        <w:t>.</w:t>
      </w:r>
      <w:r w:rsidR="00BF07E5">
        <w:rPr>
          <w:rStyle w:val="Znakapoznpodarou"/>
          <w:szCs w:val="22"/>
        </w:rPr>
        <w:footnoteReference w:id="39"/>
      </w:r>
    </w:p>
    <w:p w:rsidR="009C6737" w:rsidRDefault="009C6737" w:rsidP="009C6737">
      <w:pPr>
        <w:pStyle w:val="Tomk2"/>
        <w:ind w:left="567" w:hanging="567"/>
      </w:pPr>
      <w:bookmarkStart w:id="30" w:name="_Toc38385247"/>
      <w:r>
        <w:t>Kontrolní orgány</w:t>
      </w:r>
      <w:r w:rsidR="003864D9">
        <w:t xml:space="preserve"> ČR</w:t>
      </w:r>
      <w:bookmarkEnd w:id="30"/>
    </w:p>
    <w:p w:rsidR="001E7DE3" w:rsidRDefault="00BF423C" w:rsidP="00EC7342">
      <w:pPr>
        <w:rPr>
          <w:rFonts w:eastAsia="Calibri"/>
          <w:lang w:eastAsia="en-US"/>
        </w:rPr>
      </w:pPr>
      <w:r w:rsidRPr="00BF423C">
        <w:t xml:space="preserve">Pro kontrolu dotací nebo návratných finančních výpomocí </w:t>
      </w:r>
      <w:r w:rsidR="00A35391" w:rsidRPr="00026FFE">
        <w:rPr>
          <w:rFonts w:eastAsia="Calibri"/>
          <w:lang w:eastAsia="en-US"/>
        </w:rPr>
        <w:t>poskytování</w:t>
      </w:r>
      <w:r w:rsidR="00A35391">
        <w:rPr>
          <w:rFonts w:eastAsia="Calibri"/>
          <w:lang w:eastAsia="en-US"/>
        </w:rPr>
        <w:t>m</w:t>
      </w:r>
      <w:r w:rsidR="00A35391" w:rsidRPr="00026FFE">
        <w:rPr>
          <w:rFonts w:eastAsia="Calibri"/>
          <w:lang w:eastAsia="en-US"/>
        </w:rPr>
        <w:t xml:space="preserve"> účelově určených prostředků </w:t>
      </w:r>
      <w:r w:rsidR="006C22BD">
        <w:rPr>
          <w:rFonts w:eastAsia="Calibri"/>
          <w:lang w:eastAsia="en-US"/>
        </w:rPr>
        <w:t>na programy</w:t>
      </w:r>
      <w:r w:rsidR="00AE3983">
        <w:rPr>
          <w:rFonts w:eastAsia="Calibri"/>
          <w:lang w:eastAsia="en-US"/>
        </w:rPr>
        <w:t xml:space="preserve"> </w:t>
      </w:r>
      <w:r w:rsidR="006C22BD" w:rsidRPr="00BF423C">
        <w:t>a</w:t>
      </w:r>
      <w:r w:rsidR="006C22BD">
        <w:t xml:space="preserve"> projekty financované </w:t>
      </w:r>
      <w:r w:rsidR="006C22BD" w:rsidRPr="00026FFE">
        <w:rPr>
          <w:rFonts w:eastAsia="Calibri"/>
          <w:lang w:eastAsia="en-US"/>
        </w:rPr>
        <w:t xml:space="preserve">ze </w:t>
      </w:r>
      <w:r w:rsidR="00D74571">
        <w:rPr>
          <w:rFonts w:eastAsia="Calibri"/>
          <w:lang w:eastAsia="en-US"/>
        </w:rPr>
        <w:t>SR</w:t>
      </w:r>
      <w:r w:rsidR="00AE3983">
        <w:rPr>
          <w:rFonts w:eastAsia="Calibri"/>
          <w:lang w:eastAsia="en-US"/>
        </w:rPr>
        <w:t xml:space="preserve">, </w:t>
      </w:r>
      <w:r w:rsidR="006C22BD">
        <w:rPr>
          <w:rFonts w:eastAsia="Calibri"/>
          <w:lang w:eastAsia="en-US"/>
        </w:rPr>
        <w:t>resp. z N</w:t>
      </w:r>
      <w:r w:rsidR="00D74571">
        <w:rPr>
          <w:rFonts w:eastAsia="Calibri"/>
          <w:lang w:eastAsia="en-US"/>
        </w:rPr>
        <w:t>F</w:t>
      </w:r>
      <w:r w:rsidR="006C22BD" w:rsidRPr="00BF423C">
        <w:t xml:space="preserve"> </w:t>
      </w:r>
      <w:r w:rsidR="006C22BD">
        <w:t>nebo</w:t>
      </w:r>
      <w:r w:rsidR="00487F0F">
        <w:t> </w:t>
      </w:r>
      <w:r w:rsidR="006C22BD" w:rsidRPr="00BF423C">
        <w:t>spolufinancovan</w:t>
      </w:r>
      <w:r w:rsidR="00AE3983">
        <w:t>é</w:t>
      </w:r>
      <w:r w:rsidR="006C22BD" w:rsidRPr="00BF423C">
        <w:t xml:space="preserve"> EU</w:t>
      </w:r>
      <w:r w:rsidR="006C22BD" w:rsidRPr="00961233">
        <w:t xml:space="preserve"> </w:t>
      </w:r>
      <w:r w:rsidRPr="00961233">
        <w:t>je</w:t>
      </w:r>
      <w:r w:rsidRPr="000666F5">
        <w:rPr>
          <w:b/>
        </w:rPr>
        <w:t xml:space="preserve"> nejdůležitější právní normou zákon č. 218/2000 Sb.</w:t>
      </w:r>
      <w:r w:rsidRPr="00BF423C">
        <w:t xml:space="preserve">, </w:t>
      </w:r>
      <w:r w:rsidRPr="00A35391">
        <w:rPr>
          <w:b/>
          <w:bCs/>
        </w:rPr>
        <w:t>o</w:t>
      </w:r>
      <w:r w:rsidR="006C22BD">
        <w:rPr>
          <w:b/>
          <w:bCs/>
        </w:rPr>
        <w:t> </w:t>
      </w:r>
      <w:r w:rsidRPr="00A35391">
        <w:rPr>
          <w:b/>
          <w:bCs/>
        </w:rPr>
        <w:t>rozpočtových pravidlech</w:t>
      </w:r>
      <w:r w:rsidRPr="00BF423C">
        <w:t xml:space="preserve">.  </w:t>
      </w:r>
      <w:r>
        <w:t>I</w:t>
      </w:r>
      <w:r w:rsidR="00177CB9" w:rsidRPr="00177CB9">
        <w:t xml:space="preserve">nstituce, které jsou oprávněny provádět finanční kontrolu dotací a </w:t>
      </w:r>
      <w:r w:rsidR="007D51C6">
        <w:t>n</w:t>
      </w:r>
      <w:r w:rsidR="00177CB9" w:rsidRPr="00177CB9">
        <w:t>ávratných finančních výpomocí</w:t>
      </w:r>
      <w:r w:rsidR="00AE3983">
        <w:t>,</w:t>
      </w:r>
      <w:r>
        <w:t xml:space="preserve"> jsou: </w:t>
      </w:r>
      <w:r w:rsidR="00E733CA">
        <w:t xml:space="preserve">ministerstva, finanční úřady a správci kapitol (§ 39 odst. 2 RP). </w:t>
      </w:r>
      <w:r w:rsidR="00DD474F">
        <w:t>Stejný zákon vymezuje</w:t>
      </w:r>
      <w:r w:rsidR="00EC7342">
        <w:t xml:space="preserve"> poskytovatele</w:t>
      </w:r>
      <w:r w:rsidR="00DD474F">
        <w:t xml:space="preserve">, </w:t>
      </w:r>
      <w:r w:rsidR="00EC7342">
        <w:t>který je</w:t>
      </w:r>
      <w:r w:rsidR="00DD474F">
        <w:t xml:space="preserve"> oprávněn </w:t>
      </w:r>
      <w:r w:rsidR="006C22BD">
        <w:t>proplácet</w:t>
      </w:r>
      <w:r w:rsidR="00DD474F">
        <w:t xml:space="preserve"> dotace nebo</w:t>
      </w:r>
      <w:r w:rsidR="00487F0F">
        <w:t> </w:t>
      </w:r>
      <w:r w:rsidR="00DD474F">
        <w:t>návratné finanční výpomoc</w:t>
      </w:r>
      <w:r w:rsidR="00AE3983">
        <w:t>i</w:t>
      </w:r>
      <w:r w:rsidR="00DD474F">
        <w:t xml:space="preserve"> (§ 14 odst. 2</w:t>
      </w:r>
      <w:r>
        <w:t xml:space="preserve"> RP</w:t>
      </w:r>
      <w:r w:rsidR="00DD474F">
        <w:t>).</w:t>
      </w:r>
      <w:r w:rsidR="00A35391">
        <w:t xml:space="preserve"> </w:t>
      </w:r>
      <w:r w:rsidR="00A35391" w:rsidRPr="00026FFE">
        <w:rPr>
          <w:rFonts w:eastAsia="Calibri"/>
          <w:lang w:eastAsia="en-US"/>
        </w:rPr>
        <w:t>Druhý zákon, který upravuje účelové poskytování finančních prostředků, ale z rozpočtů pro územní samosprávní celky, tedy obc</w:t>
      </w:r>
      <w:r w:rsidR="00A35391">
        <w:rPr>
          <w:rFonts w:eastAsia="Calibri"/>
          <w:lang w:eastAsia="en-US"/>
        </w:rPr>
        <w:t>í</w:t>
      </w:r>
      <w:r w:rsidR="00A35391" w:rsidRPr="00026FFE">
        <w:rPr>
          <w:rFonts w:eastAsia="Calibri"/>
          <w:lang w:eastAsia="en-US"/>
        </w:rPr>
        <w:t xml:space="preserve"> a</w:t>
      </w:r>
      <w:r w:rsidR="00544912">
        <w:rPr>
          <w:rFonts w:eastAsia="Calibri"/>
          <w:lang w:eastAsia="en-US"/>
        </w:rPr>
        <w:t> </w:t>
      </w:r>
      <w:r w:rsidR="00A35391" w:rsidRPr="00026FFE">
        <w:rPr>
          <w:rFonts w:eastAsia="Calibri"/>
          <w:lang w:eastAsia="en-US"/>
        </w:rPr>
        <w:t>kraj</w:t>
      </w:r>
      <w:r w:rsidR="00A35391">
        <w:rPr>
          <w:rFonts w:eastAsia="Calibri"/>
          <w:lang w:eastAsia="en-US"/>
        </w:rPr>
        <w:t>ů</w:t>
      </w:r>
      <w:r w:rsidR="00A35391" w:rsidRPr="00026FFE">
        <w:rPr>
          <w:rFonts w:eastAsia="Calibri"/>
          <w:lang w:eastAsia="en-US"/>
        </w:rPr>
        <w:t xml:space="preserve">, je </w:t>
      </w:r>
      <w:r w:rsidR="00A35391" w:rsidRPr="00A35391">
        <w:rPr>
          <w:rFonts w:eastAsia="Calibri"/>
          <w:b/>
          <w:bCs/>
          <w:lang w:eastAsia="en-US"/>
        </w:rPr>
        <w:t>zákon č. 250/2000 Sb., o rozpočtových pravidlech územních rozpočtů</w:t>
      </w:r>
      <w:r w:rsidR="00A35391">
        <w:rPr>
          <w:rFonts w:eastAsia="Calibri"/>
          <w:lang w:eastAsia="en-US"/>
        </w:rPr>
        <w:t xml:space="preserve">, </w:t>
      </w:r>
      <w:r w:rsidR="00A35391" w:rsidRPr="00026FFE">
        <w:rPr>
          <w:rFonts w:eastAsia="Calibri"/>
          <w:lang w:eastAsia="en-US"/>
        </w:rPr>
        <w:t>ve znění pozdějších předpisů</w:t>
      </w:r>
      <w:r w:rsidR="00A35391" w:rsidRPr="00026FFE">
        <w:t>.</w:t>
      </w:r>
      <w:r w:rsidR="00A35391" w:rsidRPr="00026FFE">
        <w:rPr>
          <w:rStyle w:val="Znakapoznpodarou"/>
        </w:rPr>
        <w:footnoteReference w:id="40"/>
      </w:r>
      <w:r w:rsidR="00A35391">
        <w:t xml:space="preserve"> Oba zákony nabyly ú</w:t>
      </w:r>
      <w:r w:rsidR="00A35391">
        <w:rPr>
          <w:rFonts w:eastAsia="Calibri"/>
          <w:lang w:eastAsia="en-US"/>
        </w:rPr>
        <w:t>činnost dne 1. 1. 2001.</w:t>
      </w:r>
    </w:p>
    <w:p w:rsidR="00FD4415" w:rsidRDefault="00AE3983" w:rsidP="00EC7342">
      <w:r>
        <w:rPr>
          <w:rFonts w:eastAsia="Calibri"/>
          <w:lang w:eastAsia="en-US"/>
        </w:rPr>
        <w:t>Ve stejném</w:t>
      </w:r>
      <w:r w:rsidR="00FD4415">
        <w:rPr>
          <w:rFonts w:eastAsia="Calibri"/>
          <w:lang w:eastAsia="en-US"/>
        </w:rPr>
        <w:t xml:space="preserve"> ro</w:t>
      </w:r>
      <w:r>
        <w:rPr>
          <w:rFonts w:eastAsia="Calibri"/>
          <w:lang w:eastAsia="en-US"/>
        </w:rPr>
        <w:t>ce byl</w:t>
      </w:r>
      <w:r w:rsidR="00FD4415">
        <w:rPr>
          <w:rFonts w:eastAsia="Calibri"/>
          <w:lang w:eastAsia="en-US"/>
        </w:rPr>
        <w:t xml:space="preserve"> </w:t>
      </w:r>
      <w:r w:rsidR="00EC7342">
        <w:rPr>
          <w:rFonts w:eastAsia="Calibri"/>
          <w:lang w:eastAsia="en-US"/>
        </w:rPr>
        <w:t xml:space="preserve">schválen další důležitý </w:t>
      </w:r>
      <w:r w:rsidR="00EC7342" w:rsidRPr="00544912">
        <w:rPr>
          <w:rFonts w:eastAsia="Calibri"/>
          <w:b/>
          <w:lang w:eastAsia="en-US"/>
        </w:rPr>
        <w:t>zákon č</w:t>
      </w:r>
      <w:r w:rsidR="00FD4415" w:rsidRPr="00544912">
        <w:rPr>
          <w:rFonts w:eastAsia="Calibri"/>
          <w:b/>
          <w:lang w:eastAsia="en-US"/>
        </w:rPr>
        <w:t>. 320/2001</w:t>
      </w:r>
      <w:r w:rsidR="00EC7342" w:rsidRPr="00544912">
        <w:rPr>
          <w:rFonts w:eastAsia="Calibri"/>
          <w:b/>
          <w:lang w:eastAsia="en-US"/>
        </w:rPr>
        <w:t xml:space="preserve"> Sb., o</w:t>
      </w:r>
      <w:r w:rsidR="00544912">
        <w:rPr>
          <w:rFonts w:eastAsia="Calibri"/>
          <w:b/>
          <w:lang w:eastAsia="en-US"/>
        </w:rPr>
        <w:t> </w:t>
      </w:r>
      <w:r w:rsidR="00EC7342" w:rsidRPr="00544912">
        <w:rPr>
          <w:rFonts w:eastAsia="Calibri"/>
          <w:b/>
          <w:lang w:eastAsia="en-US"/>
        </w:rPr>
        <w:t>finanční kontrole ve veřejné správě a o změně některých zákonů (zákon o finanční kontrole)</w:t>
      </w:r>
      <w:r w:rsidR="00EC7342" w:rsidRPr="00106EB6">
        <w:rPr>
          <w:rFonts w:eastAsia="Calibri"/>
          <w:lang w:eastAsia="en-US"/>
        </w:rPr>
        <w:t>.</w:t>
      </w:r>
      <w:r w:rsidR="00106EB6">
        <w:rPr>
          <w:rFonts w:eastAsia="Calibri"/>
          <w:lang w:eastAsia="en-US"/>
        </w:rPr>
        <w:t xml:space="preserve"> </w:t>
      </w:r>
      <w:r w:rsidR="00EC7342" w:rsidRPr="00106EB6">
        <w:rPr>
          <w:rFonts w:eastAsia="Calibri"/>
          <w:lang w:eastAsia="en-US"/>
        </w:rPr>
        <w:t>Tento zákon upravuje působnost kontrolních orgánů při veřejnosprávní kontrole, procesní pravidla, metody a postupy při kontrole.</w:t>
      </w:r>
      <w:r w:rsidR="00FD4415" w:rsidRPr="00106EB6">
        <w:rPr>
          <w:rFonts w:eastAsia="Calibri"/>
          <w:lang w:eastAsia="en-US"/>
        </w:rPr>
        <w:t xml:space="preserve"> Působnost</w:t>
      </w:r>
      <w:r w:rsidR="00106EB6">
        <w:rPr>
          <w:rFonts w:eastAsia="Calibri"/>
          <w:lang w:eastAsia="en-US"/>
        </w:rPr>
        <w:t xml:space="preserve"> provádět kontrolu </w:t>
      </w:r>
      <w:r w:rsidR="00FD4415" w:rsidRPr="00106EB6">
        <w:rPr>
          <w:rFonts w:eastAsia="Calibri"/>
          <w:lang w:eastAsia="en-US"/>
        </w:rPr>
        <w:t>podle zákona o finanční kontrole m</w:t>
      </w:r>
      <w:r w:rsidR="00106EB6">
        <w:rPr>
          <w:rFonts w:eastAsia="Calibri"/>
          <w:lang w:eastAsia="en-US"/>
        </w:rPr>
        <w:t>á</w:t>
      </w:r>
      <w:r w:rsidR="00FD4415">
        <w:t>:</w:t>
      </w:r>
    </w:p>
    <w:p w:rsidR="00FD4415" w:rsidRDefault="00FD4415" w:rsidP="003E4E35">
      <w:pPr>
        <w:pStyle w:val="Odstavecseseznamem"/>
        <w:numPr>
          <w:ilvl w:val="0"/>
          <w:numId w:val="2"/>
        </w:numPr>
        <w:ind w:left="426" w:hanging="357"/>
      </w:pPr>
      <w:r w:rsidRPr="002961AE">
        <w:t>Ministerstvo financí</w:t>
      </w:r>
      <w:r w:rsidR="00AE3983">
        <w:t xml:space="preserve"> ČR</w:t>
      </w:r>
      <w:r>
        <w:t>,</w:t>
      </w:r>
    </w:p>
    <w:p w:rsidR="00FD4415" w:rsidRDefault="00FD4415" w:rsidP="003E4E35">
      <w:pPr>
        <w:pStyle w:val="Odstavecseseznamem"/>
        <w:numPr>
          <w:ilvl w:val="0"/>
          <w:numId w:val="2"/>
        </w:numPr>
        <w:ind w:left="426"/>
      </w:pPr>
      <w:r>
        <w:t>s</w:t>
      </w:r>
      <w:r w:rsidRPr="002961AE">
        <w:t xml:space="preserve">právce kapitoly </w:t>
      </w:r>
      <w:r w:rsidR="00115467">
        <w:t>SR</w:t>
      </w:r>
      <w:r>
        <w:t>,</w:t>
      </w:r>
    </w:p>
    <w:p w:rsidR="00FD4415" w:rsidRPr="002961AE" w:rsidRDefault="00FD4415" w:rsidP="003E4E35">
      <w:pPr>
        <w:pStyle w:val="Odstavecseseznamem"/>
        <w:numPr>
          <w:ilvl w:val="0"/>
          <w:numId w:val="2"/>
        </w:numPr>
        <w:ind w:left="426"/>
      </w:pPr>
      <w:r>
        <w:rPr>
          <w:color w:val="000000"/>
        </w:rPr>
        <w:t>řídící orgány a platební agentury,</w:t>
      </w:r>
    </w:p>
    <w:p w:rsidR="00FD4415" w:rsidRDefault="00FD4415" w:rsidP="003E4E35">
      <w:pPr>
        <w:pStyle w:val="Odstavecseseznamem"/>
        <w:numPr>
          <w:ilvl w:val="0"/>
          <w:numId w:val="2"/>
        </w:numPr>
        <w:ind w:left="426"/>
      </w:pPr>
      <w:r>
        <w:t>územně samosprávné celky (obce a kraje).</w:t>
      </w:r>
    </w:p>
    <w:p w:rsidR="00FD4415" w:rsidRDefault="00EC7342" w:rsidP="00692C84">
      <w:r>
        <w:t xml:space="preserve">Tímto zákonem se při kontrole neřídí </w:t>
      </w:r>
      <w:r w:rsidR="00E97BF4">
        <w:t>F</w:t>
      </w:r>
      <w:r>
        <w:t xml:space="preserve">inanční </w:t>
      </w:r>
      <w:r w:rsidR="00E97BF4">
        <w:t>správa a Nejvyšší kontrolní úřad</w:t>
      </w:r>
      <w:r>
        <w:t>, které mají sv</w:t>
      </w:r>
      <w:r w:rsidR="001E7DE3">
        <w:t xml:space="preserve">é </w:t>
      </w:r>
      <w:r>
        <w:t>vlastní procesní zákon</w:t>
      </w:r>
      <w:r w:rsidR="00A07F6F">
        <w:t>y</w:t>
      </w:r>
      <w:r>
        <w:t>.</w:t>
      </w:r>
    </w:p>
    <w:p w:rsidR="00E733CA" w:rsidRDefault="002E149C" w:rsidP="002F3B37">
      <w:r>
        <w:lastRenderedPageBreak/>
        <w:t>V</w:t>
      </w:r>
      <w:r w:rsidR="00177CB9">
        <w:t> </w:t>
      </w:r>
      <w:r w:rsidR="006C22BD">
        <w:t>ČR</w:t>
      </w:r>
      <w:r>
        <w:t xml:space="preserve"> se </w:t>
      </w:r>
      <w:r w:rsidR="006C22BD">
        <w:t xml:space="preserve">tedy </w:t>
      </w:r>
      <w:r>
        <w:t xml:space="preserve">kontrolou dotačních prostředků zabývají hlavně </w:t>
      </w:r>
      <w:r w:rsidR="00177CB9">
        <w:t xml:space="preserve">řídící orgány </w:t>
      </w:r>
      <w:r w:rsidR="0078245F">
        <w:t>nebo</w:t>
      </w:r>
      <w:r>
        <w:t xml:space="preserve"> jejich implementační orgány</w:t>
      </w:r>
      <w:r w:rsidR="00FB58F3">
        <w:t xml:space="preserve">, na které jsou </w:t>
      </w:r>
      <w:r w:rsidR="0078245F">
        <w:t>částečně převedeny</w:t>
      </w:r>
      <w:r w:rsidR="00FB58F3">
        <w:t xml:space="preserve"> pravomoci</w:t>
      </w:r>
      <w:r w:rsidR="0078245F">
        <w:t xml:space="preserve"> řídícího orgánu</w:t>
      </w:r>
      <w:r w:rsidR="008474C7">
        <w:t xml:space="preserve"> (zprostředkovatelské subjekty)</w:t>
      </w:r>
      <w:r>
        <w:t>.</w:t>
      </w:r>
      <w:r w:rsidR="00FB58F3">
        <w:t xml:space="preserve"> Další veřejný orgán, který má na starost</w:t>
      </w:r>
      <w:r w:rsidR="00274F95">
        <w:t xml:space="preserve"> dozor nad dotacemi</w:t>
      </w:r>
      <w:r w:rsidR="00114C7B">
        <w:t>,</w:t>
      </w:r>
      <w:r w:rsidR="00274F95">
        <w:t xml:space="preserve"> </w:t>
      </w:r>
      <w:r w:rsidR="00FB58F3">
        <w:t>je</w:t>
      </w:r>
      <w:r w:rsidR="00060A5A">
        <w:t> </w:t>
      </w:r>
      <w:r w:rsidR="00FB58F3">
        <w:t xml:space="preserve">Finanční správa prostřednictvím jednotlivých </w:t>
      </w:r>
      <w:r w:rsidR="00114C7B">
        <w:t>f</w:t>
      </w:r>
      <w:r w:rsidR="00FB58F3">
        <w:t>inančních úřad</w:t>
      </w:r>
      <w:r w:rsidR="00114C7B">
        <w:t>ů</w:t>
      </w:r>
      <w:r w:rsidR="00FB58F3">
        <w:t xml:space="preserve"> (</w:t>
      </w:r>
      <w:r w:rsidR="00274F95">
        <w:t>O</w:t>
      </w:r>
      <w:r w:rsidR="00FB58F3">
        <w:t>dděl</w:t>
      </w:r>
      <w:r w:rsidR="00114C7B">
        <w:t>e</w:t>
      </w:r>
      <w:r w:rsidR="00FB58F3">
        <w:t>ní zvláštních činností).</w:t>
      </w:r>
      <w:r w:rsidR="00D91EFC">
        <w:t xml:space="preserve"> V menší míře </w:t>
      </w:r>
      <w:r w:rsidR="00A04D83">
        <w:t xml:space="preserve">může provádět </w:t>
      </w:r>
      <w:r w:rsidR="00D91EFC">
        <w:t>kontrol</w:t>
      </w:r>
      <w:r w:rsidR="00A04D83">
        <w:t>u u</w:t>
      </w:r>
      <w:r w:rsidR="00700674">
        <w:t> </w:t>
      </w:r>
      <w:r w:rsidR="0078245F">
        <w:t>příjemců dotace</w:t>
      </w:r>
      <w:r w:rsidR="005427AB">
        <w:t xml:space="preserve"> </w:t>
      </w:r>
      <w:r w:rsidR="00114C7B">
        <w:t>Nejvyšší kontrolní úřad a</w:t>
      </w:r>
      <w:r w:rsidR="00060A5A">
        <w:t> </w:t>
      </w:r>
      <w:r w:rsidR="005427AB">
        <w:t>Ministerstvo financí (A</w:t>
      </w:r>
      <w:r w:rsidR="0078245F">
        <w:t>uditní orgán</w:t>
      </w:r>
      <w:r w:rsidR="005427AB">
        <w:t>), které</w:t>
      </w:r>
      <w:r w:rsidR="00A04D83">
        <w:t xml:space="preserve"> </w:t>
      </w:r>
      <w:r w:rsidR="005427AB">
        <w:t xml:space="preserve">se ale zaměřuje </w:t>
      </w:r>
      <w:r w:rsidR="00114C7B">
        <w:t>primárně</w:t>
      </w:r>
      <w:r w:rsidR="005427AB">
        <w:t xml:space="preserve"> na </w:t>
      </w:r>
      <w:r w:rsidR="00A04D83">
        <w:t>audity řídících orgánů.</w:t>
      </w:r>
    </w:p>
    <w:p w:rsidR="00C52BF5" w:rsidRPr="00A04D83" w:rsidRDefault="00C52BF5" w:rsidP="00C52BF5">
      <w:pPr>
        <w:pStyle w:val="Tomik3"/>
        <w:numPr>
          <w:ilvl w:val="2"/>
          <w:numId w:val="1"/>
        </w:numPr>
        <w:ind w:left="851" w:hanging="851"/>
      </w:pPr>
      <w:bookmarkStart w:id="31" w:name="_Toc38385248"/>
      <w:r w:rsidRPr="00177CB9">
        <w:t>Nejvyšší kontrolní úřad</w:t>
      </w:r>
      <w:bookmarkEnd w:id="31"/>
    </w:p>
    <w:p w:rsidR="00177CB9" w:rsidRDefault="0011549D" w:rsidP="00F34F76">
      <w:pPr>
        <w:rPr>
          <w:b/>
        </w:rPr>
      </w:pPr>
      <w:r>
        <w:t xml:space="preserve">Působnost </w:t>
      </w:r>
      <w:r w:rsidR="00177CB9" w:rsidRPr="00A04D83">
        <w:rPr>
          <w:b/>
        </w:rPr>
        <w:t>Nejvyšší</w:t>
      </w:r>
      <w:r>
        <w:rPr>
          <w:b/>
        </w:rPr>
        <w:t>ho</w:t>
      </w:r>
      <w:r w:rsidR="00177CB9" w:rsidRPr="00A04D83">
        <w:rPr>
          <w:b/>
        </w:rPr>
        <w:t xml:space="preserve"> kontrolní</w:t>
      </w:r>
      <w:r>
        <w:rPr>
          <w:b/>
        </w:rPr>
        <w:t>ho</w:t>
      </w:r>
      <w:r w:rsidR="00177CB9" w:rsidRPr="00A04D83">
        <w:rPr>
          <w:b/>
        </w:rPr>
        <w:t xml:space="preserve"> úřad</w:t>
      </w:r>
      <w:r w:rsidR="006662B0">
        <w:rPr>
          <w:b/>
        </w:rPr>
        <w:t>u</w:t>
      </w:r>
      <w:r w:rsidR="00177CB9">
        <w:t xml:space="preserve"> </w:t>
      </w:r>
      <w:r w:rsidR="00114C7B">
        <w:t xml:space="preserve">(dále také </w:t>
      </w:r>
      <w:r>
        <w:t>„NKÚ“</w:t>
      </w:r>
      <w:r w:rsidR="00114C7B">
        <w:t>)</w:t>
      </w:r>
      <w:r w:rsidR="00177CB9" w:rsidRPr="00C741AB">
        <w:t xml:space="preserve"> je zakotvena </w:t>
      </w:r>
      <w:r>
        <w:t xml:space="preserve">přímo </w:t>
      </w:r>
      <w:r w:rsidR="00177CB9" w:rsidRPr="00C741AB">
        <w:t>v</w:t>
      </w:r>
      <w:r w:rsidR="00487F0F">
        <w:t> </w:t>
      </w:r>
      <w:r w:rsidR="00177CB9" w:rsidRPr="00C741AB">
        <w:t>Ústavě ČR</w:t>
      </w:r>
      <w:r>
        <w:t>. J</w:t>
      </w:r>
      <w:r w:rsidR="00177CB9" w:rsidRPr="00C741AB">
        <w:t>eho činnost a</w:t>
      </w:r>
      <w:r w:rsidR="00305EEE">
        <w:t> </w:t>
      </w:r>
      <w:r w:rsidR="00177CB9" w:rsidRPr="00C741AB">
        <w:t>pravomoci upravuje</w:t>
      </w:r>
      <w:r w:rsidR="00177CB9">
        <w:t xml:space="preserve"> </w:t>
      </w:r>
      <w:r w:rsidR="00177CB9" w:rsidRPr="00A04D83">
        <w:t xml:space="preserve">zákon č. 166/1993 Sb., o Nejvyšším kontrolním úřadu. NKÚ </w:t>
      </w:r>
      <w:r w:rsidR="00A07F6F">
        <w:t>dohlíží</w:t>
      </w:r>
      <w:r w:rsidR="00177CB9" w:rsidRPr="00A04D83">
        <w:t xml:space="preserve">, </w:t>
      </w:r>
      <w:r w:rsidR="006662B0">
        <w:t>zda</w:t>
      </w:r>
      <w:r w:rsidR="00177CB9" w:rsidRPr="00A04D83">
        <w:t xml:space="preserve"> jsou kontrolované činnosti v souladu s právními předpisy (např. zadávání státní</w:t>
      </w:r>
      <w:r w:rsidR="00177CB9">
        <w:t>c</w:t>
      </w:r>
      <w:r w:rsidR="00177CB9" w:rsidRPr="00A04D83">
        <w:t>h zakázek). Dále prověřuje, jak stát hospodaří se státním majetkem a</w:t>
      </w:r>
      <w:r w:rsidR="00487F0F">
        <w:t> </w:t>
      </w:r>
      <w:r w:rsidR="00177CB9" w:rsidRPr="00A04D83">
        <w:t>s</w:t>
      </w:r>
      <w:r w:rsidR="00487F0F">
        <w:t> </w:t>
      </w:r>
      <w:r w:rsidR="00177CB9" w:rsidRPr="00A04D83">
        <w:t>prostředky získanými ze zahraničí, a provádí auditní činnost.</w:t>
      </w:r>
      <w:r w:rsidR="00177CB9" w:rsidRPr="00A04D83">
        <w:rPr>
          <w:vertAlign w:val="superscript"/>
        </w:rPr>
        <w:footnoteReference w:id="41"/>
      </w:r>
      <w:r w:rsidR="00177CB9" w:rsidRPr="00A04D83">
        <w:t xml:space="preserve"> Kontroly jsou prováděn</w:t>
      </w:r>
      <w:r w:rsidR="006662B0">
        <w:t>y</w:t>
      </w:r>
      <w:r w:rsidR="00177CB9" w:rsidRPr="00A04D83">
        <w:t xml:space="preserve"> na</w:t>
      </w:r>
      <w:r w:rsidR="00487F0F">
        <w:t> </w:t>
      </w:r>
      <w:r w:rsidR="00177CB9" w:rsidRPr="00A04D83">
        <w:t xml:space="preserve">základě kontrolního plánu, ale i </w:t>
      </w:r>
      <w:r w:rsidR="00A07F6F">
        <w:t xml:space="preserve">podnětů od vlády, </w:t>
      </w:r>
      <w:r w:rsidR="00177CB9" w:rsidRPr="00A04D83">
        <w:t xml:space="preserve">parlamentu nebo občanů. Ze statistik vedených NKÚ </w:t>
      </w:r>
      <w:r w:rsidR="00700674">
        <w:t>vypl</w:t>
      </w:r>
      <w:r w:rsidR="006662B0">
        <w:t>ý</w:t>
      </w:r>
      <w:r w:rsidR="00700674">
        <w:t xml:space="preserve">vá, že </w:t>
      </w:r>
      <w:r w:rsidR="00177CB9" w:rsidRPr="00A04D83">
        <w:t>v</w:t>
      </w:r>
      <w:r w:rsidR="00700674">
        <w:t xml:space="preserve"> letech 2014–2018 </w:t>
      </w:r>
      <w:r w:rsidR="00A07F6F">
        <w:t xml:space="preserve">provedl 1 090 kontrol, z toho </w:t>
      </w:r>
      <w:r w:rsidR="00AE0A0A">
        <w:t xml:space="preserve">předal </w:t>
      </w:r>
      <w:r w:rsidR="00177CB9" w:rsidRPr="00A04D83">
        <w:t>průměrně 3</w:t>
      </w:r>
      <w:r w:rsidR="00700674">
        <w:t>8</w:t>
      </w:r>
      <w:r w:rsidR="00177CB9" w:rsidRPr="00A04D83">
        <w:t xml:space="preserve"> podnětů </w:t>
      </w:r>
      <w:r w:rsidR="00AE0A0A" w:rsidRPr="00A04D83">
        <w:t xml:space="preserve">za rok </w:t>
      </w:r>
      <w:r w:rsidR="00177CB9" w:rsidRPr="00A04D83">
        <w:t xml:space="preserve">orgánům </w:t>
      </w:r>
      <w:r w:rsidR="00A07F6F">
        <w:t>F</w:t>
      </w:r>
      <w:r w:rsidR="00177CB9" w:rsidRPr="00A04D83">
        <w:t>inanční správy.</w:t>
      </w:r>
      <w:r w:rsidR="00177CB9">
        <w:rPr>
          <w:rStyle w:val="Znakapoznpodarou"/>
          <w:szCs w:val="22"/>
        </w:rPr>
        <w:footnoteReference w:id="42"/>
      </w:r>
    </w:p>
    <w:p w:rsidR="00A04D83" w:rsidRDefault="0064724F" w:rsidP="00C52BF5">
      <w:pPr>
        <w:pStyle w:val="Tomik3"/>
        <w:numPr>
          <w:ilvl w:val="2"/>
          <w:numId w:val="1"/>
        </w:numPr>
        <w:ind w:left="851" w:hanging="851"/>
      </w:pPr>
      <w:bookmarkStart w:id="32" w:name="_Toc38385249"/>
      <w:r>
        <w:t>Poskytovatel</w:t>
      </w:r>
      <w:r w:rsidR="00A04D83">
        <w:t>é</w:t>
      </w:r>
      <w:r w:rsidR="0011549D">
        <w:t xml:space="preserve"> a</w:t>
      </w:r>
      <w:r w:rsidR="00FE0F6D" w:rsidRPr="006343A9">
        <w:t xml:space="preserve"> </w:t>
      </w:r>
      <w:r w:rsidR="00A04D83">
        <w:t>zprostředkující subjekty</w:t>
      </w:r>
      <w:bookmarkEnd w:id="32"/>
    </w:p>
    <w:p w:rsidR="00177CB9" w:rsidRDefault="00387656" w:rsidP="00A71521">
      <w:r>
        <w:t xml:space="preserve">Na základě principu </w:t>
      </w:r>
      <w:r w:rsidR="00010982">
        <w:t>„</w:t>
      </w:r>
      <w:r w:rsidR="00FE0F6D" w:rsidRPr="006343A9">
        <w:t>kdo přiděluje peníze, také jejich využití kontroluje</w:t>
      </w:r>
      <w:r w:rsidR="00010982">
        <w:t>“</w:t>
      </w:r>
      <w:r>
        <w:t xml:space="preserve"> </w:t>
      </w:r>
      <w:r w:rsidR="006662B0">
        <w:t>jsou poskytovatelé a</w:t>
      </w:r>
      <w:r w:rsidR="006662B0" w:rsidRPr="006343A9">
        <w:t xml:space="preserve"> </w:t>
      </w:r>
      <w:r w:rsidR="006662B0">
        <w:t>zprostředkující subjekty</w:t>
      </w:r>
      <w:r w:rsidR="003D2933">
        <w:t> </w:t>
      </w:r>
      <w:r w:rsidRPr="006343A9">
        <w:t xml:space="preserve">primární kontrolní </w:t>
      </w:r>
      <w:r>
        <w:t>orgán</w:t>
      </w:r>
      <w:r w:rsidR="006662B0">
        <w:t>y</w:t>
      </w:r>
      <w:r>
        <w:t>.</w:t>
      </w:r>
      <w:r w:rsidR="00FE0F6D" w:rsidRPr="006343A9">
        <w:t xml:space="preserve"> </w:t>
      </w:r>
      <w:r w:rsidR="002F0E35">
        <w:t>V</w:t>
      </w:r>
      <w:r w:rsidR="002F0E35" w:rsidRPr="006343A9">
        <w:t> průběhu realizace projektu</w:t>
      </w:r>
      <w:r w:rsidR="002F0E35">
        <w:t xml:space="preserve"> ř</w:t>
      </w:r>
      <w:r w:rsidR="002F0E35" w:rsidRPr="006343A9">
        <w:t>íd</w:t>
      </w:r>
      <w:r w:rsidR="000679B2">
        <w:t>í</w:t>
      </w:r>
      <w:r w:rsidR="002F0E35" w:rsidRPr="006343A9">
        <w:t xml:space="preserve">cí orgán </w:t>
      </w:r>
      <w:r w:rsidR="00177CB9">
        <w:t xml:space="preserve">ve spolupráci se zprostředkujícím subjektem </w:t>
      </w:r>
      <w:r w:rsidR="002F0E35">
        <w:t xml:space="preserve">provádí administrativní kontrolu </w:t>
      </w:r>
      <w:r w:rsidR="00FE0F6D" w:rsidRPr="006343A9">
        <w:t xml:space="preserve">100 % projektů </w:t>
      </w:r>
      <w:r w:rsidR="005E253E">
        <w:t xml:space="preserve">v </w:t>
      </w:r>
      <w:r w:rsidR="00FE0F6D" w:rsidRPr="006343A9">
        <w:t>on-line</w:t>
      </w:r>
      <w:r w:rsidR="005E253E">
        <w:t xml:space="preserve"> prostředí</w:t>
      </w:r>
      <w:r w:rsidR="00FE0F6D" w:rsidRPr="006343A9">
        <w:t>, jelikož většina dokumentace se předává v elektronické podobě.</w:t>
      </w:r>
      <w:r w:rsidR="0099711C">
        <w:rPr>
          <w:rStyle w:val="Znakapoznpodarou"/>
        </w:rPr>
        <w:footnoteReference w:id="43"/>
      </w:r>
      <w:r w:rsidR="003D2933">
        <w:t xml:space="preserve"> </w:t>
      </w:r>
      <w:r w:rsidR="002F0E35">
        <w:t>Dalším typem kontroly je veřejnosprávní kontrola</w:t>
      </w:r>
      <w:r w:rsidR="000679B2">
        <w:t>, tj. fyzická kontrola na místě, jejímž cílem je</w:t>
      </w:r>
      <w:r w:rsidR="00177CB9">
        <w:t xml:space="preserve"> především:</w:t>
      </w:r>
    </w:p>
    <w:p w:rsidR="00177CB9" w:rsidRDefault="00177CB9" w:rsidP="003E4E35">
      <w:pPr>
        <w:pStyle w:val="Odstavecseseznamem"/>
        <w:numPr>
          <w:ilvl w:val="0"/>
          <w:numId w:val="2"/>
        </w:numPr>
        <w:ind w:left="426" w:hanging="357"/>
      </w:pPr>
      <w:r>
        <w:t>ověření pořízeného majetku v rámci realizovaného projektu,</w:t>
      </w:r>
    </w:p>
    <w:p w:rsidR="00A71521" w:rsidRDefault="00A71521" w:rsidP="003E4E35">
      <w:pPr>
        <w:pStyle w:val="Odstavecseseznamem"/>
        <w:numPr>
          <w:ilvl w:val="0"/>
          <w:numId w:val="2"/>
        </w:numPr>
        <w:ind w:left="426" w:hanging="357"/>
      </w:pPr>
      <w:r w:rsidRPr="006343A9">
        <w:t>soulad elektronických kopií s</w:t>
      </w:r>
      <w:r>
        <w:t> </w:t>
      </w:r>
      <w:r w:rsidRPr="006343A9">
        <w:t>originály</w:t>
      </w:r>
      <w:r>
        <w:t>, a dalš</w:t>
      </w:r>
      <w:r w:rsidR="00514813">
        <w:t>í</w:t>
      </w:r>
      <w:r>
        <w:t xml:space="preserve"> doklad</w:t>
      </w:r>
      <w:r w:rsidR="00514813">
        <w:t>y</w:t>
      </w:r>
      <w:r>
        <w:t>, které se elektronicky nepodávají,</w:t>
      </w:r>
    </w:p>
    <w:p w:rsidR="00177CB9" w:rsidRDefault="00A71521" w:rsidP="003E4E35">
      <w:pPr>
        <w:pStyle w:val="Odstavecseseznamem"/>
        <w:numPr>
          <w:ilvl w:val="0"/>
          <w:numId w:val="2"/>
        </w:numPr>
        <w:ind w:left="426" w:hanging="357"/>
      </w:pPr>
      <w:r>
        <w:t>dodržení příslušných zákonů (např. zákona o účetnictví),</w:t>
      </w:r>
    </w:p>
    <w:p w:rsidR="00177CB9" w:rsidRDefault="00177CB9" w:rsidP="003E4E35">
      <w:pPr>
        <w:pStyle w:val="Odstavecseseznamem"/>
        <w:numPr>
          <w:ilvl w:val="0"/>
          <w:numId w:val="2"/>
        </w:numPr>
        <w:ind w:left="426" w:hanging="357"/>
      </w:pPr>
      <w:r>
        <w:lastRenderedPageBreak/>
        <w:t>ověření souladu provedení projektu s projektovou dokumentací</w:t>
      </w:r>
      <w:r w:rsidR="002F0E35">
        <w:t xml:space="preserve"> nebo </w:t>
      </w:r>
      <w:r>
        <w:t>podnikatelským záměrem a fakturovanými položkami,</w:t>
      </w:r>
    </w:p>
    <w:p w:rsidR="00A71521" w:rsidRDefault="00177CB9" w:rsidP="003E4E35">
      <w:pPr>
        <w:pStyle w:val="Odstavecseseznamem"/>
        <w:numPr>
          <w:ilvl w:val="0"/>
          <w:numId w:val="2"/>
        </w:numPr>
        <w:ind w:left="426" w:hanging="357"/>
      </w:pPr>
      <w:r>
        <w:t>posouzení skutečného využívání projektu (účelnost) a posouzení dostatečné publicity podpořeného projektu,</w:t>
      </w:r>
    </w:p>
    <w:p w:rsidR="00A51E47" w:rsidRDefault="00177CB9" w:rsidP="00514813">
      <w:pPr>
        <w:pStyle w:val="Odstavecseseznamem"/>
        <w:numPr>
          <w:ilvl w:val="0"/>
          <w:numId w:val="2"/>
        </w:numPr>
        <w:ind w:left="426" w:hanging="357"/>
      </w:pPr>
      <w:r>
        <w:t>ověření velikosti podniku.</w:t>
      </w:r>
    </w:p>
    <w:p w:rsidR="00EE2711" w:rsidRDefault="001E7DE3" w:rsidP="00544912">
      <w:r>
        <w:t xml:space="preserve">Poskytovatelé postupují podle </w:t>
      </w:r>
      <w:r w:rsidRPr="00544912">
        <w:rPr>
          <w:b/>
        </w:rPr>
        <w:t xml:space="preserve">zákona </w:t>
      </w:r>
      <w:r w:rsidR="00544912" w:rsidRPr="00544912">
        <w:rPr>
          <w:b/>
        </w:rPr>
        <w:t xml:space="preserve">č. 320/2001 Sb., </w:t>
      </w:r>
      <w:r w:rsidRPr="00544912">
        <w:rPr>
          <w:b/>
        </w:rPr>
        <w:t>o finanční kontrole</w:t>
      </w:r>
      <w:r>
        <w:t>, ale</w:t>
      </w:r>
      <w:r w:rsidR="00487F0F">
        <w:t> </w:t>
      </w:r>
      <w:r>
        <w:t xml:space="preserve">v některých případech </w:t>
      </w:r>
      <w:r w:rsidR="00544912">
        <w:t>se řídí speciálním právním předpisem, a to</w:t>
      </w:r>
      <w:r w:rsidR="002F3B37" w:rsidRPr="000666F5">
        <w:t xml:space="preserve"> </w:t>
      </w:r>
      <w:r w:rsidR="002F3B37" w:rsidRPr="000666F5">
        <w:rPr>
          <w:b/>
        </w:rPr>
        <w:t>zákon</w:t>
      </w:r>
      <w:r w:rsidR="00514813">
        <w:rPr>
          <w:b/>
        </w:rPr>
        <w:t>em</w:t>
      </w:r>
      <w:r w:rsidR="002F3B37" w:rsidRPr="000666F5">
        <w:rPr>
          <w:b/>
        </w:rPr>
        <w:t xml:space="preserve"> č.</w:t>
      </w:r>
      <w:r>
        <w:rPr>
          <w:b/>
        </w:rPr>
        <w:t> </w:t>
      </w:r>
      <w:r w:rsidR="002F3B37" w:rsidRPr="000666F5">
        <w:rPr>
          <w:b/>
        </w:rPr>
        <w:t>255/2012</w:t>
      </w:r>
      <w:r w:rsidR="00487F0F">
        <w:rPr>
          <w:b/>
        </w:rPr>
        <w:t> </w:t>
      </w:r>
      <w:r w:rsidR="002F3B37" w:rsidRPr="000666F5">
        <w:rPr>
          <w:b/>
        </w:rPr>
        <w:t>Sb., o kontrole (kontrolní řád)</w:t>
      </w:r>
      <w:r w:rsidR="00544912">
        <w:t xml:space="preserve">. Podle těchto </w:t>
      </w:r>
      <w:r w:rsidR="002F3B37">
        <w:t>zákon</w:t>
      </w:r>
      <w:r w:rsidR="00544912">
        <w:t>ů nepostupuje</w:t>
      </w:r>
      <w:r w:rsidR="002F3B37">
        <w:t xml:space="preserve"> </w:t>
      </w:r>
      <w:r w:rsidR="002F3B37" w:rsidRPr="000666F5">
        <w:t>Nejvyšší</w:t>
      </w:r>
      <w:r w:rsidR="00544912">
        <w:t xml:space="preserve"> kontrolní</w:t>
      </w:r>
      <w:r w:rsidR="002F3B37" w:rsidRPr="000666F5">
        <w:t xml:space="preserve"> úřad</w:t>
      </w:r>
      <w:r w:rsidR="00544912">
        <w:t xml:space="preserve"> a Finanční správa</w:t>
      </w:r>
      <w:r w:rsidR="002F3B37" w:rsidRPr="000666F5">
        <w:t xml:space="preserve">, které mají </w:t>
      </w:r>
      <w:r w:rsidR="00544912">
        <w:t xml:space="preserve">při provádění kontroly </w:t>
      </w:r>
      <w:r w:rsidR="002F3B37" w:rsidRPr="000666F5">
        <w:t xml:space="preserve">své </w:t>
      </w:r>
      <w:r w:rsidR="00544912">
        <w:t xml:space="preserve">vlastní </w:t>
      </w:r>
      <w:r w:rsidR="002F3B37" w:rsidRPr="000666F5">
        <w:t>procesní předpisy</w:t>
      </w:r>
      <w:r w:rsidR="00544912">
        <w:t>.</w:t>
      </w:r>
      <w:r w:rsidR="00AE0A0A">
        <w:t xml:space="preserve"> Nestanoví-li uvedené zákony jiný postup, aplikuji se zásady správního řízení podle </w:t>
      </w:r>
      <w:r w:rsidR="00AE0A0A" w:rsidRPr="00544912">
        <w:rPr>
          <w:b/>
        </w:rPr>
        <w:t>zákona č. 500/2004 Sb., správní řád</w:t>
      </w:r>
      <w:r w:rsidR="00AE0A0A" w:rsidRPr="000666F5">
        <w:t>.</w:t>
      </w:r>
    </w:p>
    <w:p w:rsidR="00A04D83" w:rsidRDefault="00FE0F6D" w:rsidP="00C52BF5">
      <w:pPr>
        <w:pStyle w:val="Tomik3"/>
        <w:numPr>
          <w:ilvl w:val="2"/>
          <w:numId w:val="1"/>
        </w:numPr>
        <w:ind w:left="851" w:hanging="851"/>
      </w:pPr>
      <w:bookmarkStart w:id="33" w:name="_Toc38385250"/>
      <w:r w:rsidRPr="006343A9">
        <w:t>Finanční úřad</w:t>
      </w:r>
      <w:r w:rsidR="00D9113D">
        <w:t xml:space="preserve">y, jejich </w:t>
      </w:r>
      <w:r w:rsidR="008D7E0B">
        <w:t>organizační řád</w:t>
      </w:r>
      <w:r w:rsidR="00D9113D">
        <w:t xml:space="preserve"> a oprávnění ke kontrole dotací</w:t>
      </w:r>
      <w:bookmarkEnd w:id="33"/>
    </w:p>
    <w:p w:rsidR="008D7E0B" w:rsidRDefault="00060E49" w:rsidP="00D9113D">
      <w:r>
        <w:t>O</w:t>
      </w:r>
      <w:r w:rsidR="006C50A8">
        <w:t xml:space="preserve">právněnost provádět finanční kontrolu </w:t>
      </w:r>
      <w:r w:rsidR="00D9113D" w:rsidRPr="00177CB9">
        <w:t>(§ 39</w:t>
      </w:r>
      <w:r w:rsidR="00D9113D">
        <w:t xml:space="preserve"> RP)</w:t>
      </w:r>
      <w:r w:rsidR="008D7E0B">
        <w:t xml:space="preserve"> a zároveň </w:t>
      </w:r>
      <w:r w:rsidR="00D9113D">
        <w:t>vykonávat správu odvodů za</w:t>
      </w:r>
      <w:r w:rsidR="00487F0F">
        <w:t> </w:t>
      </w:r>
      <w:r w:rsidR="00622045">
        <w:t>PRK</w:t>
      </w:r>
      <w:r w:rsidR="00D9113D">
        <w:t xml:space="preserve"> (§ 44a odst. 11 RP</w:t>
      </w:r>
      <w:r w:rsidR="00D9113D" w:rsidRPr="00177CB9">
        <w:t>)</w:t>
      </w:r>
      <w:r w:rsidR="008D7E0B">
        <w:t xml:space="preserve"> je ukotveno v zákoně o rozpočtových pravidlech</w:t>
      </w:r>
      <w:r w:rsidR="006C50A8">
        <w:t xml:space="preserve">. </w:t>
      </w:r>
      <w:r w:rsidR="00900C62" w:rsidRPr="00682C37">
        <w:t>K</w:t>
      </w:r>
      <w:r w:rsidR="004903DC" w:rsidRPr="00682C37">
        <w:t>ompetence a</w:t>
      </w:r>
      <w:r w:rsidR="00487F0F">
        <w:t> </w:t>
      </w:r>
      <w:r w:rsidR="004903DC" w:rsidRPr="00682C37">
        <w:t>pravomoci</w:t>
      </w:r>
      <w:r w:rsidR="00900C62" w:rsidRPr="00682C37">
        <w:t xml:space="preserve"> Finanční správ</w:t>
      </w:r>
      <w:r w:rsidR="00C84999">
        <w:t>y</w:t>
      </w:r>
      <w:r w:rsidR="00900C62">
        <w:t xml:space="preserve"> a jejich orgánů</w:t>
      </w:r>
      <w:r w:rsidR="004903DC">
        <w:t xml:space="preserve"> jsou vymezeny </w:t>
      </w:r>
      <w:r w:rsidR="004903DC" w:rsidRPr="000666F5">
        <w:rPr>
          <w:b/>
        </w:rPr>
        <w:t>zákonem č. 456/2011 Sb., o</w:t>
      </w:r>
      <w:r w:rsidR="00487F0F">
        <w:rPr>
          <w:b/>
        </w:rPr>
        <w:t> </w:t>
      </w:r>
      <w:r w:rsidR="004903DC" w:rsidRPr="000666F5">
        <w:rPr>
          <w:b/>
        </w:rPr>
        <w:t>Finanční správě České republiky</w:t>
      </w:r>
      <w:r w:rsidR="004903DC">
        <w:t xml:space="preserve">, ve znění pozdějších předpisů. </w:t>
      </w:r>
      <w:r w:rsidR="00F46298">
        <w:t xml:space="preserve">Před účinnosti tohoto zákona </w:t>
      </w:r>
      <w:r w:rsidR="00701420">
        <w:t>vycházel</w:t>
      </w:r>
      <w:r w:rsidR="00F46298">
        <w:t xml:space="preserve"> organizační </w:t>
      </w:r>
      <w:r w:rsidR="00701420">
        <w:t>řád</w:t>
      </w:r>
      <w:r w:rsidR="00F46298">
        <w:t xml:space="preserve"> ze zákona č.</w:t>
      </w:r>
      <w:r w:rsidR="00333150">
        <w:t> </w:t>
      </w:r>
      <w:r w:rsidR="00F46298">
        <w:t xml:space="preserve">531/1990 Sb., </w:t>
      </w:r>
      <w:r w:rsidR="00D9113D">
        <w:t>o územních finančních orgánech</w:t>
      </w:r>
      <w:r w:rsidR="008D7E0B">
        <w:t xml:space="preserve"> (účinnost </w:t>
      </w:r>
      <w:r>
        <w:t>od</w:t>
      </w:r>
      <w:r w:rsidR="008D7E0B">
        <w:t> 1.</w:t>
      </w:r>
      <w:r w:rsidR="00701420">
        <w:t> </w:t>
      </w:r>
      <w:r w:rsidR="008D7E0B">
        <w:t>1.</w:t>
      </w:r>
      <w:r w:rsidR="00701420">
        <w:t> </w:t>
      </w:r>
      <w:r w:rsidR="008D7E0B">
        <w:t>1990).</w:t>
      </w:r>
      <w:r w:rsidR="00D9113D">
        <w:t xml:space="preserve"> </w:t>
      </w:r>
      <w:r w:rsidR="00701420">
        <w:t>Mezi ú</w:t>
      </w:r>
      <w:r w:rsidR="00701420">
        <w:rPr>
          <w:color w:val="000000"/>
        </w:rPr>
        <w:t>zemní finanční orgány byly zařazeny do 31. 12. 2012</w:t>
      </w:r>
      <w:r w:rsidR="008D7E0B">
        <w:t>:</w:t>
      </w:r>
    </w:p>
    <w:p w:rsidR="008D7E0B" w:rsidRDefault="00D9113D" w:rsidP="003E4E35">
      <w:pPr>
        <w:pStyle w:val="Odstavecseseznamem"/>
        <w:numPr>
          <w:ilvl w:val="0"/>
          <w:numId w:val="2"/>
        </w:numPr>
        <w:ind w:left="426" w:hanging="357"/>
      </w:pPr>
      <w:r w:rsidRPr="00D9113D">
        <w:t>Generální finanční ředitelství</w:t>
      </w:r>
      <w:r w:rsidR="00785291">
        <w:t xml:space="preserve"> (GFŘ)</w:t>
      </w:r>
      <w:r w:rsidRPr="00D9113D">
        <w:t>,</w:t>
      </w:r>
    </w:p>
    <w:p w:rsidR="008D7E0B" w:rsidRDefault="00D9113D" w:rsidP="003E4E35">
      <w:pPr>
        <w:pStyle w:val="Odstavecseseznamem"/>
        <w:numPr>
          <w:ilvl w:val="0"/>
          <w:numId w:val="2"/>
        </w:numPr>
        <w:ind w:left="426" w:hanging="357"/>
      </w:pPr>
      <w:r w:rsidRPr="00D9113D">
        <w:t xml:space="preserve">finanční ředitelství </w:t>
      </w:r>
      <w:r>
        <w:t xml:space="preserve">(celkem </w:t>
      </w:r>
      <w:r w:rsidR="008D7E0B">
        <w:t>8 FŘ</w:t>
      </w:r>
      <w:r>
        <w:t>)</w:t>
      </w:r>
      <w:r w:rsidR="008D7E0B">
        <w:t>,</w:t>
      </w:r>
    </w:p>
    <w:p w:rsidR="008D7E0B" w:rsidRDefault="008D7E0B" w:rsidP="003E4E35">
      <w:pPr>
        <w:pStyle w:val="Odstavecseseznamem"/>
        <w:numPr>
          <w:ilvl w:val="0"/>
          <w:numId w:val="2"/>
        </w:numPr>
        <w:ind w:left="426" w:hanging="357"/>
      </w:pPr>
      <w:r>
        <w:t>Specializovaný finanční úřad (od</w:t>
      </w:r>
      <w:r w:rsidR="00C84999">
        <w:t xml:space="preserve"> </w:t>
      </w:r>
      <w:r>
        <w:t>1. 1. 2011),</w:t>
      </w:r>
    </w:p>
    <w:p w:rsidR="00701420" w:rsidRDefault="00D9113D" w:rsidP="00514813">
      <w:pPr>
        <w:pStyle w:val="Odstavecseseznamem"/>
        <w:numPr>
          <w:ilvl w:val="0"/>
          <w:numId w:val="2"/>
        </w:numPr>
        <w:ind w:left="426" w:hanging="357"/>
      </w:pPr>
      <w:r w:rsidRPr="00D9113D">
        <w:t>finanční</w:t>
      </w:r>
      <w:r w:rsidR="008D7E0B">
        <w:t xml:space="preserve"> úřady</w:t>
      </w:r>
      <w:r w:rsidR="00F936D7">
        <w:t xml:space="preserve"> (FÚ)</w:t>
      </w:r>
      <w:r>
        <w:t>.</w:t>
      </w:r>
      <w:r w:rsidR="00D74FE8">
        <w:rPr>
          <w:rStyle w:val="Znakapoznpodarou"/>
        </w:rPr>
        <w:footnoteReference w:id="44"/>
      </w:r>
    </w:p>
    <w:p w:rsidR="00900C62" w:rsidRDefault="00701420" w:rsidP="00900C62">
      <w:r>
        <w:t xml:space="preserve">Po schválení </w:t>
      </w:r>
      <w:r w:rsidR="00D74FE8">
        <w:t xml:space="preserve">nového zákona </w:t>
      </w:r>
      <w:r w:rsidR="00D74FE8" w:rsidRPr="004903DC">
        <w:t>č. 456/2011 Sb., o Finanční správě České republik</w:t>
      </w:r>
      <w:r w:rsidR="00D74FE8">
        <w:t>y</w:t>
      </w:r>
      <w:r>
        <w:t xml:space="preserve"> (účinnost od 1. 1. 2013)</w:t>
      </w:r>
      <w:r w:rsidR="00D74FE8">
        <w:t xml:space="preserve"> se začala</w:t>
      </w:r>
      <w:r w:rsidR="008D7E0B">
        <w:t xml:space="preserve"> </w:t>
      </w:r>
      <w:r w:rsidR="00D74FE8">
        <w:t>soustava</w:t>
      </w:r>
      <w:r w:rsidR="00900C62">
        <w:t xml:space="preserve"> </w:t>
      </w:r>
      <w:r w:rsidR="00D74FE8">
        <w:t xml:space="preserve">správních orgánů nazývat Finanční správa, kterou </w:t>
      </w:r>
      <w:r w:rsidR="00900C62">
        <w:t>tvoří:</w:t>
      </w:r>
    </w:p>
    <w:p w:rsidR="00900C62" w:rsidRDefault="00900C62" w:rsidP="003E4E35">
      <w:pPr>
        <w:pStyle w:val="Odstavecseseznamem"/>
        <w:numPr>
          <w:ilvl w:val="0"/>
          <w:numId w:val="2"/>
        </w:numPr>
        <w:ind w:left="426" w:hanging="357"/>
      </w:pPr>
      <w:r>
        <w:t xml:space="preserve">Generální finanční ředitelství, </w:t>
      </w:r>
    </w:p>
    <w:p w:rsidR="00900C62" w:rsidRDefault="00900C62" w:rsidP="003E4E35">
      <w:pPr>
        <w:pStyle w:val="Odstavecseseznamem"/>
        <w:numPr>
          <w:ilvl w:val="0"/>
          <w:numId w:val="2"/>
        </w:numPr>
        <w:ind w:left="426" w:hanging="357"/>
      </w:pPr>
      <w:r>
        <w:t xml:space="preserve">Odvolací finanční ředitelství, </w:t>
      </w:r>
    </w:p>
    <w:p w:rsidR="00D74FE8" w:rsidRDefault="00900C62" w:rsidP="00514813">
      <w:pPr>
        <w:pStyle w:val="Odstavecseseznamem"/>
        <w:numPr>
          <w:ilvl w:val="0"/>
          <w:numId w:val="2"/>
        </w:numPr>
        <w:ind w:left="426" w:hanging="357"/>
      </w:pPr>
      <w:r>
        <w:t>finanční úřady (</w:t>
      </w:r>
      <w:r w:rsidR="008D7E0B">
        <w:t xml:space="preserve">celkem </w:t>
      </w:r>
      <w:r>
        <w:t xml:space="preserve">14 </w:t>
      </w:r>
      <w:r w:rsidR="003E1174">
        <w:t xml:space="preserve">FÚ </w:t>
      </w:r>
      <w:r>
        <w:t xml:space="preserve">podle jednotlivých krajů </w:t>
      </w:r>
      <w:r w:rsidR="00060E49">
        <w:t>a</w:t>
      </w:r>
      <w:r>
        <w:t xml:space="preserve"> Specializovaný finanční úřad).</w:t>
      </w:r>
      <w:r>
        <w:rPr>
          <w:rStyle w:val="Znakapoznpodarou"/>
        </w:rPr>
        <w:footnoteReference w:id="45"/>
      </w:r>
    </w:p>
    <w:p w:rsidR="003D2933" w:rsidRPr="003571E7" w:rsidRDefault="00F46298" w:rsidP="003D2933">
      <w:pPr>
        <w:rPr>
          <w:highlight w:val="yellow"/>
        </w:rPr>
      </w:pPr>
      <w:r>
        <w:t>Na rozdíl od ostatních kontrolních orgánů se</w:t>
      </w:r>
      <w:r w:rsidRPr="00177CB9">
        <w:t xml:space="preserve"> </w:t>
      </w:r>
      <w:r w:rsidR="00C84999">
        <w:t>f</w:t>
      </w:r>
      <w:r>
        <w:t xml:space="preserve">inanční úřady v oblasti dotací </w:t>
      </w:r>
      <w:r w:rsidRPr="006343A9">
        <w:t>zaměřují na</w:t>
      </w:r>
      <w:r w:rsidR="00C84999">
        <w:t> </w:t>
      </w:r>
      <w:r w:rsidRPr="006343A9">
        <w:t xml:space="preserve">kontrolu </w:t>
      </w:r>
      <w:r>
        <w:t xml:space="preserve">spojenou se správou odvodu za </w:t>
      </w:r>
      <w:r w:rsidR="00622045">
        <w:t>PRK</w:t>
      </w:r>
      <w:r>
        <w:t xml:space="preserve"> (§ 44a odst. 11 RP).</w:t>
      </w:r>
      <w:r w:rsidR="005E381E">
        <w:t xml:space="preserve"> </w:t>
      </w:r>
      <w:r w:rsidR="00886637">
        <w:t xml:space="preserve">Finanční úřady </w:t>
      </w:r>
      <w:r w:rsidR="00201648">
        <w:t>provádí kontrolu</w:t>
      </w:r>
      <w:r w:rsidR="00886637">
        <w:t xml:space="preserve">, </w:t>
      </w:r>
      <w:r w:rsidR="005C16AC">
        <w:t>zda</w:t>
      </w:r>
      <w:r w:rsidR="00886637">
        <w:t xml:space="preserve"> byly </w:t>
      </w:r>
      <w:r w:rsidR="005E381E">
        <w:t>poskytnuté prostředky použit</w:t>
      </w:r>
      <w:r w:rsidR="005C16AC">
        <w:t xml:space="preserve">y </w:t>
      </w:r>
      <w:r w:rsidR="005E381E">
        <w:t xml:space="preserve">v souladu s podmínkami, které si </w:t>
      </w:r>
      <w:r w:rsidR="005E381E">
        <w:lastRenderedPageBreak/>
        <w:t>poskytovatel určil v právních aktech</w:t>
      </w:r>
      <w:r w:rsidR="00886637">
        <w:t xml:space="preserve"> a příjemce dotace se zavázal je dodržet</w:t>
      </w:r>
      <w:r w:rsidR="005E381E">
        <w:t xml:space="preserve">. </w:t>
      </w:r>
      <w:r w:rsidR="00886637">
        <w:t xml:space="preserve">Nekontrolují tedy </w:t>
      </w:r>
      <w:r w:rsidR="00C84999">
        <w:t xml:space="preserve">postupy při </w:t>
      </w:r>
      <w:r w:rsidR="00886637">
        <w:t>výběru a schvalování žádostí</w:t>
      </w:r>
      <w:r w:rsidR="00C84999">
        <w:t>,</w:t>
      </w:r>
      <w:r w:rsidR="00886637">
        <w:t xml:space="preserve"> ani nastavení administrativních </w:t>
      </w:r>
      <w:r w:rsidR="00F936D7">
        <w:t>nebo</w:t>
      </w:r>
      <w:r w:rsidR="00886637">
        <w:t xml:space="preserve"> kontrolních procesů. </w:t>
      </w:r>
      <w:r>
        <w:t>Procesn</w:t>
      </w:r>
      <w:r w:rsidR="000666F5">
        <w:t>í norma, podle které</w:t>
      </w:r>
      <w:r>
        <w:t xml:space="preserve"> postupuje </w:t>
      </w:r>
      <w:r w:rsidR="00886637">
        <w:t>F</w:t>
      </w:r>
      <w:r>
        <w:t>inanční správa</w:t>
      </w:r>
      <w:r w:rsidR="005C16AC">
        <w:t>,</w:t>
      </w:r>
      <w:r>
        <w:t xml:space="preserve"> </w:t>
      </w:r>
      <w:r w:rsidR="000666F5">
        <w:t xml:space="preserve">je </w:t>
      </w:r>
      <w:r w:rsidR="000666F5" w:rsidRPr="000666F5">
        <w:rPr>
          <w:b/>
        </w:rPr>
        <w:t>zákon</w:t>
      </w:r>
      <w:r w:rsidRPr="000666F5">
        <w:rPr>
          <w:b/>
        </w:rPr>
        <w:t xml:space="preserve"> č. 280/2009 Sb., daňový řád</w:t>
      </w:r>
      <w:r w:rsidR="00D0566D">
        <w:rPr>
          <w:b/>
        </w:rPr>
        <w:t xml:space="preserve"> </w:t>
      </w:r>
      <w:r w:rsidR="00D0566D">
        <w:t>(dále také „DŘ“)</w:t>
      </w:r>
      <w:r>
        <w:t xml:space="preserve">. </w:t>
      </w:r>
      <w:r w:rsidR="002E21E0" w:rsidRPr="002E21E0">
        <w:t xml:space="preserve">Finanční úřady správu odvodů za </w:t>
      </w:r>
      <w:r w:rsidR="00622045">
        <w:t>PRK</w:t>
      </w:r>
      <w:r w:rsidR="002E21E0" w:rsidRPr="002E21E0">
        <w:t xml:space="preserve"> vykonávají na základě vlastní vyhledávací činnosti nebo na základě </w:t>
      </w:r>
      <w:r w:rsidR="002E21E0" w:rsidRPr="00D3089D">
        <w:rPr>
          <w:b/>
        </w:rPr>
        <w:t>podnětů</w:t>
      </w:r>
      <w:r w:rsidR="00E733CA">
        <w:t>, které podávají ostatní veřejné orgány na základě svých kontrol</w:t>
      </w:r>
      <w:r w:rsidR="005E381E">
        <w:t>. Nejvy</w:t>
      </w:r>
      <w:r w:rsidR="00EE2711">
        <w:t>š</w:t>
      </w:r>
      <w:r w:rsidR="005E381E">
        <w:t xml:space="preserve">ší kontrolní úřad a další kontrolní orgány jsou v souladu s ustanovením § 59 </w:t>
      </w:r>
      <w:r w:rsidR="00D0566D">
        <w:t>DŘ</w:t>
      </w:r>
      <w:r w:rsidR="005E381E">
        <w:t xml:space="preserve"> povinny údaje uvedené v</w:t>
      </w:r>
      <w:r w:rsidR="00C84999">
        <w:t> </w:t>
      </w:r>
      <w:r w:rsidR="005E381E">
        <w:t xml:space="preserve">kontrolních protokolech, které mají vztah ke správě daní (resp. správě odvodů za </w:t>
      </w:r>
      <w:r w:rsidR="00622045">
        <w:t>PRK</w:t>
      </w:r>
      <w:r w:rsidR="005E381E">
        <w:t>)</w:t>
      </w:r>
      <w:r w:rsidR="00C84999">
        <w:t>,</w:t>
      </w:r>
      <w:r w:rsidR="005E381E">
        <w:t xml:space="preserve"> předávat příslušným správcům daně bez vyžádání do 30</w:t>
      </w:r>
      <w:r w:rsidR="00487F0F">
        <w:t> </w:t>
      </w:r>
      <w:r w:rsidR="005E381E">
        <w:t>dnů od</w:t>
      </w:r>
      <w:r w:rsidR="00C84999">
        <w:t> </w:t>
      </w:r>
      <w:r w:rsidR="005E381E">
        <w:t>provedeného kontrolního zjištění.</w:t>
      </w:r>
      <w:r w:rsidR="00D86EF7">
        <w:rPr>
          <w:rStyle w:val="Znakapoznpodarou"/>
        </w:rPr>
        <w:footnoteReference w:id="46"/>
      </w:r>
      <w:r w:rsidR="005E381E">
        <w:t xml:space="preserve"> </w:t>
      </w:r>
      <w:r w:rsidR="002E21E0" w:rsidRPr="00D3089D">
        <w:t xml:space="preserve">Podnět s podezřením na </w:t>
      </w:r>
      <w:r w:rsidR="00622045">
        <w:t>PRK</w:t>
      </w:r>
      <w:r w:rsidR="002E21E0">
        <w:t xml:space="preserve"> je pro finanční úřad impulsem pro to, aby zahájil daňové řízení</w:t>
      </w:r>
      <w:r w:rsidR="00994F72">
        <w:t>. V</w:t>
      </w:r>
      <w:r w:rsidR="002E21E0">
        <w:t xml:space="preserve"> rámci </w:t>
      </w:r>
      <w:r w:rsidR="00994F72">
        <w:t>daňového řízení</w:t>
      </w:r>
      <w:r w:rsidR="00222BEF">
        <w:t xml:space="preserve"> prověří skutečnosti uvedené v podnětu a buď </w:t>
      </w:r>
      <w:r w:rsidR="00622045">
        <w:t>PRK</w:t>
      </w:r>
      <w:r w:rsidR="00222BEF">
        <w:t xml:space="preserve"> potvrdí či nikoliv</w:t>
      </w:r>
      <w:r w:rsidR="002E21E0">
        <w:t>.</w:t>
      </w:r>
      <w:r w:rsidR="002E21E0">
        <w:rPr>
          <w:rStyle w:val="Znakapoznpodarou"/>
        </w:rPr>
        <w:footnoteReference w:id="47"/>
      </w:r>
      <w:r w:rsidR="00886637">
        <w:t xml:space="preserve"> V podnětu musí být uvedeno pochybení, kterého se </w:t>
      </w:r>
      <w:r w:rsidR="005C16AC">
        <w:t xml:space="preserve">měl </w:t>
      </w:r>
      <w:r w:rsidR="00886637">
        <w:t>příjemce</w:t>
      </w:r>
      <w:r w:rsidR="005C16AC">
        <w:t xml:space="preserve"> </w:t>
      </w:r>
      <w:r w:rsidR="00886637">
        <w:t>dopustit</w:t>
      </w:r>
      <w:r w:rsidR="005C16AC">
        <w:t>. N</w:t>
      </w:r>
      <w:r w:rsidR="00886637">
        <w:t xml:space="preserve">a </w:t>
      </w:r>
      <w:r w:rsidR="005C16AC">
        <w:t xml:space="preserve">jeho </w:t>
      </w:r>
      <w:r w:rsidR="00886637">
        <w:t xml:space="preserve">základě by měl finanční úřad </w:t>
      </w:r>
      <w:r w:rsidR="00C84999">
        <w:t>potvrdit</w:t>
      </w:r>
      <w:r w:rsidR="00886637">
        <w:t>, že došlo k</w:t>
      </w:r>
      <w:r w:rsidR="00487F0F">
        <w:t> </w:t>
      </w:r>
      <w:r w:rsidR="00622045">
        <w:t>PRK</w:t>
      </w:r>
      <w:r w:rsidR="00886637">
        <w:t xml:space="preserve"> a uložit platební výměr na odvod</w:t>
      </w:r>
      <w:r w:rsidR="00886637" w:rsidRPr="002E21E0">
        <w:t>.</w:t>
      </w:r>
      <w:r w:rsidR="00886637">
        <w:t xml:space="preserve"> </w:t>
      </w:r>
      <w:r w:rsidR="000C2520" w:rsidRPr="000C2520">
        <w:t>Aby nedocházelo k duplicitám kontrol</w:t>
      </w:r>
      <w:r w:rsidR="000F7D66">
        <w:t xml:space="preserve"> a zrychl</w:t>
      </w:r>
      <w:r w:rsidR="00C84999">
        <w:t>ilo se</w:t>
      </w:r>
      <w:r w:rsidR="000F7D66">
        <w:t xml:space="preserve"> řízení veden</w:t>
      </w:r>
      <w:r w:rsidR="00C84999">
        <w:t>é</w:t>
      </w:r>
      <w:r w:rsidR="000F7D66">
        <w:t xml:space="preserve"> finančními úřady</w:t>
      </w:r>
      <w:r w:rsidR="000C2520">
        <w:t xml:space="preserve">, vydalo Ministerstvo financí </w:t>
      </w:r>
      <w:r w:rsidR="00D77AF3">
        <w:t xml:space="preserve">ČR </w:t>
      </w:r>
      <w:r w:rsidR="000C2520">
        <w:t>M</w:t>
      </w:r>
      <w:r w:rsidR="000C2520" w:rsidRPr="000C2520">
        <w:t>etodický pokyn CHJ č. 4 – Metodika předávání podnětů na orgány Finanční správy České republiky</w:t>
      </w:r>
      <w:r w:rsidR="00D3089D">
        <w:t xml:space="preserve"> (</w:t>
      </w:r>
      <w:r w:rsidR="000C2520">
        <w:t>stav k 31.</w:t>
      </w:r>
      <w:r w:rsidR="00D3089D">
        <w:t> </w:t>
      </w:r>
      <w:r w:rsidR="000C2520">
        <w:t>12.</w:t>
      </w:r>
      <w:r w:rsidR="00D3089D">
        <w:t> </w:t>
      </w:r>
      <w:r w:rsidR="000C2520">
        <w:t>2017</w:t>
      </w:r>
      <w:r w:rsidR="00D3089D">
        <w:t xml:space="preserve">). Tímto pokynem mají povinnost se </w:t>
      </w:r>
      <w:r w:rsidR="000C2520">
        <w:t>říd</w:t>
      </w:r>
      <w:r w:rsidR="00D3089D">
        <w:t>it</w:t>
      </w:r>
      <w:r w:rsidR="000C2520">
        <w:t xml:space="preserve"> kontrolní orgány ČR</w:t>
      </w:r>
      <w:r w:rsidR="00D3089D">
        <w:t xml:space="preserve">, </w:t>
      </w:r>
      <w:r w:rsidR="00D3089D" w:rsidRPr="000C2520">
        <w:t xml:space="preserve">zejména </w:t>
      </w:r>
      <w:r w:rsidR="00D77AF3">
        <w:t>pak</w:t>
      </w:r>
      <w:r w:rsidR="000F7D66">
        <w:t xml:space="preserve"> poskytovatel</w:t>
      </w:r>
      <w:r w:rsidR="00D77AF3">
        <w:t>é</w:t>
      </w:r>
      <w:r w:rsidR="000C2520">
        <w:t>.</w:t>
      </w:r>
      <w:r w:rsidR="000C2520" w:rsidRPr="000C2520">
        <w:rPr>
          <w:vertAlign w:val="superscript"/>
        </w:rPr>
        <w:footnoteReference w:id="48"/>
      </w:r>
      <w:r w:rsidR="00D3089D">
        <w:t xml:space="preserve"> Pokyn</w:t>
      </w:r>
      <w:r w:rsidR="000C2520">
        <w:t xml:space="preserve"> upravuje formu, náležitosti podnětu</w:t>
      </w:r>
      <w:r w:rsidR="00D3089D">
        <w:t xml:space="preserve"> a </w:t>
      </w:r>
      <w:r w:rsidR="00E6114C">
        <w:t>podklady potřebné k zahájení řízení</w:t>
      </w:r>
      <w:r w:rsidR="00D3089D">
        <w:t xml:space="preserve">. V případě, že podnět obsahuje veškeré potřebné náležitosti, může provést </w:t>
      </w:r>
      <w:r w:rsidR="00E6114C">
        <w:t>f</w:t>
      </w:r>
      <w:r w:rsidR="00D3089D">
        <w:t>inanční úřad kontrolu bez fyzické kontroly u</w:t>
      </w:r>
      <w:r w:rsidR="00E6114C">
        <w:t> </w:t>
      </w:r>
      <w:r w:rsidR="00D3089D">
        <w:t>příjemce dotace</w:t>
      </w:r>
      <w:r w:rsidR="00C84999">
        <w:t>, tzv. vyměření bez kontroly,</w:t>
      </w:r>
      <w:r w:rsidR="00D3089D">
        <w:t xml:space="preserve"> při zachování práv kontrolovaného subjektu. </w:t>
      </w:r>
    </w:p>
    <w:p w:rsidR="00F34F76" w:rsidRDefault="002E21E0" w:rsidP="00A71521">
      <w:pPr>
        <w:pStyle w:val="Tomk2"/>
        <w:ind w:left="567" w:hanging="567"/>
      </w:pPr>
      <w:bookmarkStart w:id="34" w:name="_Toc38385251"/>
      <w:r>
        <w:t>Nesrovnalost</w:t>
      </w:r>
      <w:bookmarkEnd w:id="34"/>
    </w:p>
    <w:p w:rsidR="00E03BD1" w:rsidRPr="00E03BD1" w:rsidRDefault="00E762D1" w:rsidP="00E762D1">
      <w:r>
        <w:t>Po</w:t>
      </w:r>
      <w:r w:rsidRPr="00E762D1">
        <w:t>dle Nařízení Rady (ES) č. 1083/2006</w:t>
      </w:r>
      <w:r>
        <w:t xml:space="preserve"> ze dne 11. </w:t>
      </w:r>
      <w:r w:rsidR="00D77AF3">
        <w:t xml:space="preserve">7. </w:t>
      </w:r>
      <w:r>
        <w:t xml:space="preserve">2006 se </w:t>
      </w:r>
      <w:r w:rsidR="00E03BD1" w:rsidRPr="00E03BD1">
        <w:t>pojm</w:t>
      </w:r>
      <w:r>
        <w:t>em</w:t>
      </w:r>
      <w:r w:rsidR="00E03BD1" w:rsidRPr="00E03BD1">
        <w:t xml:space="preserve"> </w:t>
      </w:r>
      <w:r>
        <w:t>nesrovnalost</w:t>
      </w:r>
      <w:r w:rsidR="00B60734">
        <w:t xml:space="preserve"> rozumí</w:t>
      </w:r>
      <w:r>
        <w:t xml:space="preserve"> </w:t>
      </w:r>
      <w:r w:rsidR="00B60734">
        <w:t>„</w:t>
      </w:r>
      <w:r w:rsidRPr="00E762D1">
        <w:rPr>
          <w:i/>
        </w:rPr>
        <w:t>porušení právních předpisů Společenství v důsledku jednání nebo opomenutí hospodářského subjektu, které vede nebo by mohlo vést ke ztrátě v souhrnném rozpočtu Evropské unie, a to započtením neoprávněného výdaje do souhrnného rozpočtu.</w:t>
      </w:r>
      <w:r>
        <w:t>“</w:t>
      </w:r>
      <w:r w:rsidR="003E606D">
        <w:rPr>
          <w:rStyle w:val="Znakapoznpodarou"/>
        </w:rPr>
        <w:footnoteReference w:id="49"/>
      </w:r>
      <w:r w:rsidR="00E03BD1" w:rsidRPr="00E03BD1">
        <w:t xml:space="preserve"> </w:t>
      </w:r>
    </w:p>
    <w:p w:rsidR="00277ED7" w:rsidRDefault="00E762D1" w:rsidP="008C14EA">
      <w:r>
        <w:t xml:space="preserve">Z </w:t>
      </w:r>
      <w:r w:rsidR="00D77AF3">
        <w:t>n</w:t>
      </w:r>
      <w:r w:rsidR="00E03BD1" w:rsidRPr="00E03BD1">
        <w:t>árodní</w:t>
      </w:r>
      <w:r>
        <w:t>ho</w:t>
      </w:r>
      <w:r w:rsidR="00E03BD1" w:rsidRPr="00E03BD1">
        <w:t xml:space="preserve"> hledisk</w:t>
      </w:r>
      <w:r w:rsidR="00D77AF3">
        <w:t>a</w:t>
      </w:r>
      <w:r w:rsidR="00E03BD1" w:rsidRPr="00E03BD1">
        <w:t xml:space="preserve"> </w:t>
      </w:r>
      <w:r>
        <w:t xml:space="preserve">se </w:t>
      </w:r>
      <w:r w:rsidR="001318B9">
        <w:t>za</w:t>
      </w:r>
      <w:r w:rsidR="00AE4EE7" w:rsidRPr="00AE4EE7">
        <w:t xml:space="preserve"> nesrovnalost označuje</w:t>
      </w:r>
      <w:r w:rsidR="008C14EA">
        <w:t xml:space="preserve"> </w:t>
      </w:r>
      <w:r w:rsidR="008C14EA" w:rsidRPr="008C14EA">
        <w:rPr>
          <w:i/>
        </w:rPr>
        <w:t>„</w:t>
      </w:r>
      <w:r w:rsidR="00B60734">
        <w:rPr>
          <w:i/>
        </w:rPr>
        <w:t>p</w:t>
      </w:r>
      <w:r w:rsidR="008C14EA" w:rsidRPr="008C14EA">
        <w:rPr>
          <w:i/>
        </w:rPr>
        <w:t xml:space="preserve">orušení právních předpisů ES nebo ČR v důsledku jednání nebo opomenutí hospodářského subjektu, které vede nebo by mohlo vést </w:t>
      </w:r>
      <w:r w:rsidR="008C14EA" w:rsidRPr="008C14EA">
        <w:rPr>
          <w:i/>
        </w:rPr>
        <w:lastRenderedPageBreak/>
        <w:t>ke ztrátě v souhrnném rozpočtu EU nebo ve veřejném rozpočtu ČR, a to započtením neoprávněného výdaje do souhrnného rozpočtu EU nebo do veřejného rozpočtu ČR.“</w:t>
      </w:r>
      <w:r w:rsidR="008117F5">
        <w:rPr>
          <w:rStyle w:val="Znakapoznpodarou"/>
        </w:rPr>
        <w:footnoteReference w:id="50"/>
      </w:r>
      <w:r w:rsidR="00CA0E5B">
        <w:t xml:space="preserve"> </w:t>
      </w:r>
    </w:p>
    <w:p w:rsidR="00FD5458" w:rsidRDefault="00277ED7" w:rsidP="008C14EA">
      <w:r>
        <w:t>N</w:t>
      </w:r>
      <w:r w:rsidRPr="00CA0E5B">
        <w:t>esrovnalost</w:t>
      </w:r>
      <w:r>
        <w:t>í je z</w:t>
      </w:r>
      <w:r w:rsidRPr="00CA0E5B">
        <w:t>jednodušeně</w:t>
      </w:r>
      <w:r>
        <w:rPr>
          <w:b/>
        </w:rPr>
        <w:t xml:space="preserve"> </w:t>
      </w:r>
      <w:r>
        <w:t>řečeno</w:t>
      </w:r>
      <w:r w:rsidRPr="00217A17">
        <w:t xml:space="preserve"> porušení právních předpisů, podmínek, povinností </w:t>
      </w:r>
      <w:r>
        <w:t>nebo</w:t>
      </w:r>
      <w:r w:rsidRPr="00217A17">
        <w:t xml:space="preserve"> jednání, které by mohlo vést ke ztrátě nebo zneužití prostředků z</w:t>
      </w:r>
      <w:r>
        <w:t> </w:t>
      </w:r>
      <w:r w:rsidRPr="00217A17">
        <w:t>EU</w:t>
      </w:r>
      <w:r>
        <w:t xml:space="preserve">. </w:t>
      </w:r>
      <w:r w:rsidR="00FD5458" w:rsidRPr="00FD5458">
        <w:t>Metodický pokyn finančních toků</w:t>
      </w:r>
      <w:r w:rsidR="00FD5458">
        <w:t xml:space="preserve"> </w:t>
      </w:r>
      <w:r w:rsidR="00EC3BC0">
        <w:t>pro pr</w:t>
      </w:r>
      <w:r w:rsidR="0051496E">
        <w:t>o</w:t>
      </w:r>
      <w:r w:rsidR="00EC3BC0">
        <w:t>gramové období 2014–2020 dělí</w:t>
      </w:r>
      <w:r w:rsidR="00FD5458">
        <w:t xml:space="preserve"> nesrovnalosti do čtyř kategorií</w:t>
      </w:r>
      <w:r w:rsidR="00C6444C">
        <w:t>:</w:t>
      </w:r>
      <w:r w:rsidR="00706556">
        <w:rPr>
          <w:rStyle w:val="Znakapoznpodarou"/>
        </w:rPr>
        <w:footnoteReference w:id="51"/>
      </w:r>
    </w:p>
    <w:p w:rsidR="000E1137" w:rsidRDefault="000E1137" w:rsidP="003E4E35">
      <w:pPr>
        <w:pStyle w:val="Odstavecseseznamem"/>
        <w:numPr>
          <w:ilvl w:val="0"/>
          <w:numId w:val="3"/>
        </w:numPr>
        <w:ind w:left="426"/>
      </w:pPr>
      <w:r w:rsidRPr="00FD5458">
        <w:t>Systémové nesrovnalosti</w:t>
      </w:r>
      <w:r>
        <w:t xml:space="preserve"> – chybně nastaven</w:t>
      </w:r>
      <w:r w:rsidR="00D77AF3">
        <w:t>é</w:t>
      </w:r>
      <w:r>
        <w:t xml:space="preserve"> systémov</w:t>
      </w:r>
      <w:r w:rsidR="00D77AF3">
        <w:t>é</w:t>
      </w:r>
      <w:r>
        <w:t xml:space="preserve"> postup</w:t>
      </w:r>
      <w:r w:rsidR="00D77AF3">
        <w:t>y</w:t>
      </w:r>
      <w:r>
        <w:t xml:space="preserve"> (kontrolní a řídící proces</w:t>
      </w:r>
      <w:r w:rsidR="00D77AF3">
        <w:t>y</w:t>
      </w:r>
      <w:r>
        <w:t>).</w:t>
      </w:r>
    </w:p>
    <w:p w:rsidR="00CA0E5B" w:rsidRDefault="00A144C3" w:rsidP="003E4E35">
      <w:pPr>
        <w:pStyle w:val="Odstavecseseznamem"/>
        <w:numPr>
          <w:ilvl w:val="0"/>
          <w:numId w:val="3"/>
        </w:numPr>
        <w:ind w:left="426"/>
      </w:pPr>
      <w:r w:rsidRPr="00FD5458">
        <w:t xml:space="preserve">Nesrovnalost jako </w:t>
      </w:r>
      <w:r w:rsidR="00622045">
        <w:t>PRK</w:t>
      </w:r>
      <w:r w:rsidR="00CA0E5B">
        <w:t xml:space="preserve"> – jakékoliv porušení, kdy s</w:t>
      </w:r>
      <w:r w:rsidR="00CA0E5B" w:rsidRPr="00217A17">
        <w:t xml:space="preserve">kutková podstata je vymezena </w:t>
      </w:r>
      <w:r w:rsidR="00CA0E5B">
        <w:t xml:space="preserve">v ustanovení </w:t>
      </w:r>
      <w:r w:rsidR="00CA0E5B" w:rsidRPr="00217A17">
        <w:t xml:space="preserve">§ 44 odst. 1 </w:t>
      </w:r>
      <w:r w:rsidR="005649D1">
        <w:t xml:space="preserve">písm. a) až j) </w:t>
      </w:r>
      <w:r w:rsidR="00CA0E5B" w:rsidRPr="00217A17">
        <w:t>zákona o</w:t>
      </w:r>
      <w:r w:rsidR="00D3089D">
        <w:t> </w:t>
      </w:r>
      <w:r w:rsidR="00CA0E5B" w:rsidRPr="00217A17">
        <w:t>rozpočtových pravidlech a v</w:t>
      </w:r>
      <w:r w:rsidR="00CA0E5B">
        <w:t xml:space="preserve"> ustanovení </w:t>
      </w:r>
      <w:r w:rsidR="00CA0E5B" w:rsidRPr="00217A17">
        <w:t>§</w:t>
      </w:r>
      <w:r w:rsidR="00487F0F">
        <w:t> </w:t>
      </w:r>
      <w:r w:rsidR="00CA0E5B" w:rsidRPr="00217A17">
        <w:t>3 písm</w:t>
      </w:r>
      <w:r w:rsidR="00CA0E5B" w:rsidRPr="00CA6441">
        <w:t>. e) a f)</w:t>
      </w:r>
      <w:r w:rsidR="00CA0E5B" w:rsidRPr="00217A17">
        <w:t xml:space="preserve"> téhož zákona</w:t>
      </w:r>
      <w:r w:rsidR="00CA0E5B">
        <w:t xml:space="preserve">. </w:t>
      </w:r>
      <w:r w:rsidR="00622045">
        <w:t>PRK</w:t>
      </w:r>
      <w:r w:rsidR="00CA0E5B" w:rsidRPr="008A7AEF">
        <w:t xml:space="preserve"> se může dotýkat jen a pouze prostředků, které byly příjemci poskytnuty</w:t>
      </w:r>
      <w:r w:rsidR="00CA0E5B">
        <w:t>. Ustanovení § 3 písm. e) vymezuje pojem „neoprávněné použití“ a</w:t>
      </w:r>
      <w:r w:rsidR="00487F0F">
        <w:t> </w:t>
      </w:r>
      <w:r w:rsidR="00CA0E5B">
        <w:t>písm. f) definuje pojem „zadržení“ prostředků (nevrácení nevyčerpaných prostředků ve</w:t>
      </w:r>
      <w:r w:rsidR="00060A5A">
        <w:t> </w:t>
      </w:r>
      <w:r w:rsidR="00CA0E5B">
        <w:t xml:space="preserve">stanovený termín). </w:t>
      </w:r>
      <w:r w:rsidR="00622045">
        <w:t>PRK</w:t>
      </w:r>
      <w:r w:rsidR="00CA0E5B">
        <w:t xml:space="preserve"> je též nesplnění nebo porušení povinností stanovených poskytovatelem v podmínkách, které jsou součástí smluvního aktu mezi poskytovatelem a</w:t>
      </w:r>
      <w:r w:rsidR="00D3089D">
        <w:t> </w:t>
      </w:r>
      <w:r w:rsidR="00CA0E5B">
        <w:t>příjemcem. Jedná se např.</w:t>
      </w:r>
      <w:r w:rsidR="00D77AF3">
        <w:t xml:space="preserve"> o</w:t>
      </w:r>
      <w:r w:rsidR="00CA0E5B">
        <w:t>:</w:t>
      </w:r>
    </w:p>
    <w:p w:rsidR="00CA0E5B" w:rsidRDefault="00CA0E5B" w:rsidP="003E4E35">
      <w:pPr>
        <w:pStyle w:val="Odstavecseseznamem"/>
        <w:numPr>
          <w:ilvl w:val="0"/>
          <w:numId w:val="2"/>
        </w:numPr>
        <w:ind w:left="782" w:hanging="357"/>
      </w:pPr>
      <w:r>
        <w:t>nesplnění účelu nebo udržitelnost projektu (vlastnictví dlouhodobého majetku),</w:t>
      </w:r>
    </w:p>
    <w:p w:rsidR="00CA0E5B" w:rsidRDefault="00CA0E5B" w:rsidP="003E4E35">
      <w:pPr>
        <w:pStyle w:val="Odstavecseseznamem"/>
        <w:numPr>
          <w:ilvl w:val="0"/>
          <w:numId w:val="2"/>
        </w:numPr>
        <w:ind w:left="782" w:hanging="357"/>
      </w:pPr>
      <w:r>
        <w:t>porušení pravidel pro výběr dodavatel</w:t>
      </w:r>
      <w:r w:rsidR="00B60734">
        <w:t>e</w:t>
      </w:r>
      <w:r>
        <w:t xml:space="preserve"> </w:t>
      </w:r>
      <w:r w:rsidR="00277ED7">
        <w:t xml:space="preserve">(metodické pokyny poskytovatelů) </w:t>
      </w:r>
      <w:r>
        <w:t>nebo zákona č. 134/2016 Sb., o zadávání veřejných zakázek,</w:t>
      </w:r>
    </w:p>
    <w:p w:rsidR="00CA0E5B" w:rsidRDefault="00CA0E5B" w:rsidP="003E4E35">
      <w:pPr>
        <w:pStyle w:val="Odstavecseseznamem"/>
        <w:numPr>
          <w:ilvl w:val="0"/>
          <w:numId w:val="2"/>
        </w:numPr>
        <w:ind w:left="782" w:hanging="357"/>
      </w:pPr>
      <w:r>
        <w:t>nesplnění informačních povinností,</w:t>
      </w:r>
    </w:p>
    <w:p w:rsidR="003F3998" w:rsidRDefault="003F3998" w:rsidP="003E4E35">
      <w:pPr>
        <w:pStyle w:val="Odstavecseseznamem"/>
        <w:numPr>
          <w:ilvl w:val="0"/>
          <w:numId w:val="2"/>
        </w:numPr>
        <w:ind w:left="782" w:hanging="357"/>
      </w:pPr>
      <w:r w:rsidRPr="003F3998">
        <w:t>nelze-li prokázat, jak byly tyto peněžní prostředky použity</w:t>
      </w:r>
      <w:r>
        <w:t>,</w:t>
      </w:r>
    </w:p>
    <w:p w:rsidR="00CA0E5B" w:rsidRDefault="00CA0E5B" w:rsidP="003E4E35">
      <w:pPr>
        <w:pStyle w:val="Odstavecseseznamem"/>
        <w:numPr>
          <w:ilvl w:val="0"/>
          <w:numId w:val="2"/>
        </w:numPr>
        <w:ind w:left="782" w:hanging="357"/>
      </w:pPr>
      <w:r>
        <w:t>nedodržení termínů, nedodržení pravidel publicity,</w:t>
      </w:r>
    </w:p>
    <w:p w:rsidR="00CA0E5B" w:rsidRDefault="00CA0E5B" w:rsidP="003E4E35">
      <w:pPr>
        <w:pStyle w:val="Odstavecseseznamem"/>
        <w:numPr>
          <w:ilvl w:val="0"/>
          <w:numId w:val="2"/>
        </w:numPr>
        <w:ind w:left="782" w:hanging="357"/>
      </w:pPr>
      <w:r>
        <w:t>neplnění monitorovacích indikátorů a další.</w:t>
      </w:r>
    </w:p>
    <w:p w:rsidR="000E1137" w:rsidRDefault="000E1137" w:rsidP="000E1137">
      <w:pPr>
        <w:pStyle w:val="Odstavecseseznamem"/>
        <w:numPr>
          <w:ilvl w:val="0"/>
          <w:numId w:val="3"/>
        </w:numPr>
        <w:ind w:left="426"/>
      </w:pPr>
      <w:r w:rsidRPr="00FD5458">
        <w:t xml:space="preserve">Ostatní nesrovnalosti </w:t>
      </w:r>
      <w:r>
        <w:t>– porušení podmínek rozhodnutí o dotaci nebo pravidel stanovených v metodických pokynech operačního programu (nepřesnosti v účetnictví nebo nedodržení lhůt, uplatnění nezpůsobilých výdajů).</w:t>
      </w:r>
    </w:p>
    <w:p w:rsidR="000E1137" w:rsidRDefault="000E1137" w:rsidP="00D77AF3">
      <w:pPr>
        <w:pStyle w:val="Odstavecseseznamem"/>
        <w:numPr>
          <w:ilvl w:val="0"/>
          <w:numId w:val="3"/>
        </w:numPr>
        <w:ind w:left="426"/>
      </w:pPr>
      <w:r w:rsidRPr="00CA0E5B">
        <w:lastRenderedPageBreak/>
        <w:t>Podezření na spáchání trestného činu</w:t>
      </w:r>
      <w:r>
        <w:t xml:space="preserve"> – v případech, kdy jsou úmyslně předloženy nepravdivé informace</w:t>
      </w:r>
      <w:r w:rsidR="005230E1">
        <w:t>,</w:t>
      </w:r>
      <w:r>
        <w:t xml:space="preserve"> nebo dojde k zamlčení podstatných údajů v žádosti o poskytnutí dotace</w:t>
      </w:r>
      <w:r w:rsidR="00D77AF3">
        <w:t>.</w:t>
      </w:r>
    </w:p>
    <w:p w:rsidR="00C07E7C" w:rsidRDefault="00CA0E5B" w:rsidP="00C07E7C">
      <w:r w:rsidRPr="003F1BBA">
        <w:t xml:space="preserve">Při zjištění </w:t>
      </w:r>
      <w:r w:rsidR="00C07E7C">
        <w:t xml:space="preserve">systémové </w:t>
      </w:r>
      <w:r w:rsidRPr="003F1BBA">
        <w:t xml:space="preserve">nesrovnalosti </w:t>
      </w:r>
      <w:r w:rsidR="00EC3BC0">
        <w:t xml:space="preserve">nebo podezření ze spáchání trestného činu </w:t>
      </w:r>
      <w:r w:rsidR="00A70F45">
        <w:t xml:space="preserve">je oprávněn </w:t>
      </w:r>
      <w:r w:rsidRPr="003F1BBA">
        <w:t xml:space="preserve">platební certifikační orgán </w:t>
      </w:r>
      <w:r>
        <w:t>provést</w:t>
      </w:r>
      <w:r w:rsidRPr="003F1BBA">
        <w:t xml:space="preserve"> korekci nebo </w:t>
      </w:r>
      <w:r w:rsidR="00A70F45">
        <w:t>i</w:t>
      </w:r>
      <w:r w:rsidR="00A70F45" w:rsidRPr="003F1BBA">
        <w:t xml:space="preserve"> </w:t>
      </w:r>
      <w:r w:rsidRPr="003F1BBA">
        <w:t>pozastav</w:t>
      </w:r>
      <w:r w:rsidR="00A70F45">
        <w:t>ení</w:t>
      </w:r>
      <w:r w:rsidRPr="003F1BBA">
        <w:t xml:space="preserve"> plateb řídícím orgánům</w:t>
      </w:r>
      <w:r w:rsidR="00EC3BC0">
        <w:t xml:space="preserve">. To stejné může učinit </w:t>
      </w:r>
      <w:r w:rsidR="00C07E7C">
        <w:t>Evropská komise na základě prováděných auditů</w:t>
      </w:r>
      <w:r w:rsidR="00EC3BC0">
        <w:t xml:space="preserve"> ve vztahu k ČR</w:t>
      </w:r>
      <w:r w:rsidR="00A70F45">
        <w:t>.</w:t>
      </w:r>
    </w:p>
    <w:p w:rsidR="00846032" w:rsidRDefault="00C07E7C" w:rsidP="00892188">
      <w:r>
        <w:t xml:space="preserve">V případě </w:t>
      </w:r>
      <w:r w:rsidR="0008364D">
        <w:t xml:space="preserve">porušení </w:t>
      </w:r>
      <w:r w:rsidR="00B60734">
        <w:t>uvedeného</w:t>
      </w:r>
      <w:r w:rsidR="0008364D">
        <w:t xml:space="preserve"> v </w:t>
      </w:r>
      <w:r>
        <w:t>kategori</w:t>
      </w:r>
      <w:r w:rsidR="00B60734">
        <w:t>i</w:t>
      </w:r>
      <w:r w:rsidR="0008364D">
        <w:t xml:space="preserve"> ostatní nesrovnalosti</w:t>
      </w:r>
      <w:r>
        <w:t xml:space="preserve"> má krácení nebo</w:t>
      </w:r>
      <w:r w:rsidR="00060A5A">
        <w:t> </w:t>
      </w:r>
      <w:r>
        <w:t>neproplacení části dotace v kompetenci řídící orgán.</w:t>
      </w:r>
      <w:r w:rsidR="00846032">
        <w:t xml:space="preserve"> </w:t>
      </w:r>
    </w:p>
    <w:p w:rsidR="0008364D" w:rsidRPr="00E62813" w:rsidRDefault="004E7A9B" w:rsidP="00356CEF">
      <w:pPr>
        <w:rPr>
          <w:color w:val="FF0000"/>
        </w:rPr>
      </w:pPr>
      <w:r>
        <w:t>Poslední případ nastává, když</w:t>
      </w:r>
      <w:r w:rsidR="00C07E7C">
        <w:t xml:space="preserve"> </w:t>
      </w:r>
      <w:r w:rsidR="008C14EA">
        <w:t xml:space="preserve">nesrovnalost </w:t>
      </w:r>
      <w:r w:rsidR="00E753BB">
        <w:t>se rovná</w:t>
      </w:r>
      <w:r w:rsidR="008C14EA">
        <w:t xml:space="preserve"> </w:t>
      </w:r>
      <w:r w:rsidR="00622045">
        <w:t>PRK</w:t>
      </w:r>
      <w:r>
        <w:t>. P</w:t>
      </w:r>
      <w:r w:rsidR="00C07E7C">
        <w:t>říjemce</w:t>
      </w:r>
      <w:r>
        <w:t xml:space="preserve"> dotace </w:t>
      </w:r>
      <w:r w:rsidR="00C07E7C">
        <w:t>m</w:t>
      </w:r>
      <w:r>
        <w:t xml:space="preserve">á povinnost uhradit </w:t>
      </w:r>
      <w:r w:rsidR="00CA0E5B" w:rsidRPr="002E32B2">
        <w:t xml:space="preserve">odvod za </w:t>
      </w:r>
      <w:r w:rsidR="00622045">
        <w:t>PRK</w:t>
      </w:r>
      <w:r w:rsidR="00CA0E5B" w:rsidRPr="002E32B2">
        <w:t xml:space="preserve"> prostřednictvím místně příslušného finančního úřadu</w:t>
      </w:r>
      <w:r>
        <w:t xml:space="preserve">. </w:t>
      </w:r>
      <w:r w:rsidR="00622045">
        <w:t>PRK</w:t>
      </w:r>
      <w:r>
        <w:t xml:space="preserve"> tedy mohou doměřit pouze orgány Finanční správy, které jsou oprávněny správou odvodu za </w:t>
      </w:r>
      <w:r w:rsidR="00622045">
        <w:t>PRK</w:t>
      </w:r>
      <w:r>
        <w:t xml:space="preserve"> a penále (§ 44a odst. 11 RP).</w:t>
      </w:r>
      <w:r w:rsidR="00CA0E5B" w:rsidRPr="002E32B2">
        <w:t xml:space="preserve"> Výše odvodu je stanovena v ustanovení § 44a odst. 4 RP. V</w:t>
      </w:r>
      <w:r w:rsidR="00846032">
        <w:t> </w:t>
      </w:r>
      <w:r w:rsidR="00CA0E5B" w:rsidRPr="002E32B2">
        <w:t>návaznosti na</w:t>
      </w:r>
      <w:r w:rsidR="00487F0F">
        <w:t> </w:t>
      </w:r>
      <w:r w:rsidR="00CA0E5B" w:rsidRPr="002E32B2">
        <w:t>odvod má příjemce dotace i povinnost zaplatit penále za prodlení s odvodem penále za každý den prodlení (§ 44a odst. 10 RP)</w:t>
      </w:r>
      <w:r w:rsidR="0008364D">
        <w:t>, pokud jsou splněn</w:t>
      </w:r>
      <w:r w:rsidR="00EE3F63">
        <w:t>y</w:t>
      </w:r>
      <w:r w:rsidR="0008364D">
        <w:t xml:space="preserve"> podmínky pro vznik penále</w:t>
      </w:r>
      <w:r w:rsidR="00CA0E5B" w:rsidRPr="002E32B2">
        <w:t>.</w:t>
      </w:r>
      <w:r w:rsidR="00373225">
        <w:t xml:space="preserve"> </w:t>
      </w:r>
      <w:r w:rsidR="00E753BB">
        <w:t xml:space="preserve">Je nutné podotknout, že právní systém ČR </w:t>
      </w:r>
      <w:r w:rsidR="00E62813">
        <w:t xml:space="preserve">nedefinuje pojem nesrovnalost na rozdíl od </w:t>
      </w:r>
      <w:r w:rsidR="00622045">
        <w:t>PRK</w:t>
      </w:r>
      <w:r w:rsidR="00E62813">
        <w:t>. Ve</w:t>
      </w:r>
      <w:r w:rsidR="00060A5A">
        <w:t> </w:t>
      </w:r>
      <w:r w:rsidR="00E62813">
        <w:t>své</w:t>
      </w:r>
      <w:r w:rsidR="00060A5A">
        <w:t> </w:t>
      </w:r>
      <w:r w:rsidR="00E62813">
        <w:t xml:space="preserve">publikaci </w:t>
      </w:r>
      <w:r w:rsidR="007B195F">
        <w:t xml:space="preserve">pojednávající o problematice evropských dotací z pohledu příjemce </w:t>
      </w:r>
      <w:r w:rsidR="00E62813">
        <w:t>Strnadová konstatovala: „</w:t>
      </w:r>
      <w:r w:rsidR="00E62813" w:rsidRPr="00E62813">
        <w:rPr>
          <w:i/>
        </w:rPr>
        <w:t>Pojem nesrovnalost je pojmem širším než pojem porušení rozpočtové kázně</w:t>
      </w:r>
      <w:r w:rsidR="00E62813" w:rsidRPr="00E62813">
        <w:t>.</w:t>
      </w:r>
      <w:r w:rsidR="00E62813">
        <w:t>“</w:t>
      </w:r>
      <w:r w:rsidR="00E62813" w:rsidRPr="00E62813">
        <w:rPr>
          <w:rStyle w:val="Znakapoznpodarou"/>
        </w:rPr>
        <w:footnoteReference w:id="52"/>
      </w:r>
      <w:r w:rsidR="00277ED7">
        <w:t xml:space="preserve"> Z toho lze vyvodit, že ne každá nesrovnalost je zároveň </w:t>
      </w:r>
      <w:r w:rsidR="00622045">
        <w:t>PRK</w:t>
      </w:r>
      <w:r w:rsidR="00277ED7">
        <w:t>.</w:t>
      </w:r>
    </w:p>
    <w:p w:rsidR="00623063" w:rsidRDefault="00623063" w:rsidP="00DA2156">
      <w:pPr>
        <w:ind w:firstLine="0"/>
        <w:rPr>
          <w:rFonts w:ascii="Arial" w:hAnsi="Arial" w:cs="Arial"/>
          <w:sz w:val="22"/>
          <w:szCs w:val="22"/>
        </w:rPr>
      </w:pPr>
    </w:p>
    <w:p w:rsidR="00623063" w:rsidRPr="00623063" w:rsidRDefault="00452E50" w:rsidP="00A706D1">
      <w:pPr>
        <w:pStyle w:val="Tomk"/>
        <w:ind w:left="567" w:hanging="567"/>
        <w:rPr>
          <w:rFonts w:ascii="Arial" w:hAnsi="Arial"/>
          <w:sz w:val="28"/>
        </w:rPr>
      </w:pPr>
      <w:bookmarkStart w:id="35" w:name="_Toc38385252"/>
      <w:r>
        <w:lastRenderedPageBreak/>
        <w:t>Z</w:t>
      </w:r>
      <w:r w:rsidR="00DA2156">
        <w:t>ákon č. 218/2000 Sb.</w:t>
      </w:r>
      <w:r w:rsidR="009E3C55">
        <w:t>, o rozpočtových pravidlech</w:t>
      </w:r>
      <w:bookmarkEnd w:id="35"/>
    </w:p>
    <w:p w:rsidR="008130BE" w:rsidRDefault="009C73DD" w:rsidP="00A205C9">
      <w:bookmarkStart w:id="36" w:name="_Toc31638246"/>
      <w:r>
        <w:t xml:space="preserve">Zákon </w:t>
      </w:r>
      <w:r w:rsidR="0008364D">
        <w:t xml:space="preserve">č. 218/2000 Sb. o rozpočtových pravidlech a o změně některých souvisejících zákonů (rozpočtová pravidla), jak </w:t>
      </w:r>
      <w:r w:rsidR="003F3998">
        <w:t>zní</w:t>
      </w:r>
      <w:r w:rsidR="0008364D">
        <w:t xml:space="preserve"> </w:t>
      </w:r>
      <w:r w:rsidR="003F3998">
        <w:t>celý</w:t>
      </w:r>
      <w:r w:rsidR="0008364D">
        <w:t xml:space="preserve"> název tohoto zákona,</w:t>
      </w:r>
      <w:r w:rsidR="0007693B">
        <w:t xml:space="preserve"> </w:t>
      </w:r>
      <w:r w:rsidR="00D84108">
        <w:t>nabyl platnosti</w:t>
      </w:r>
      <w:r w:rsidR="0007693B">
        <w:t xml:space="preserve"> dne 27. 6. 2000</w:t>
      </w:r>
      <w:r w:rsidR="00117EE2">
        <w:t xml:space="preserve">. </w:t>
      </w:r>
      <w:r w:rsidR="00BF423C">
        <w:t>Z</w:t>
      </w:r>
      <w:r w:rsidR="00117EE2">
        <w:t xml:space="preserve">ákon je </w:t>
      </w:r>
      <w:r w:rsidR="00926FBD">
        <w:t>rozdělen na deset část</w:t>
      </w:r>
      <w:r w:rsidR="00D84108">
        <w:t>í</w:t>
      </w:r>
      <w:r w:rsidR="000344AF">
        <w:t>. D</w:t>
      </w:r>
      <w:r w:rsidR="00926FBD">
        <w:t>ruhá až devátá</w:t>
      </w:r>
      <w:r w:rsidR="000344AF">
        <w:t xml:space="preserve"> část</w:t>
      </w:r>
      <w:r w:rsidR="00926FBD">
        <w:t xml:space="preserve"> se týká </w:t>
      </w:r>
      <w:r w:rsidR="000344AF">
        <w:t>pouze dílčích změn vybraných zákonů souvisejících se zákonem o rozpočtových pravidlech</w:t>
      </w:r>
      <w:r w:rsidR="00926FBD">
        <w:t xml:space="preserve">. </w:t>
      </w:r>
      <w:r w:rsidR="00B34F5C">
        <w:t>V poslední desáté</w:t>
      </w:r>
      <w:r w:rsidR="00926FBD">
        <w:t xml:space="preserve"> část</w:t>
      </w:r>
      <w:r w:rsidR="00B34F5C">
        <w:t>i</w:t>
      </w:r>
      <w:r w:rsidR="00926FBD">
        <w:t xml:space="preserve"> je </w:t>
      </w:r>
      <w:r w:rsidR="009E3C55">
        <w:t xml:space="preserve">uvedena </w:t>
      </w:r>
      <w:r w:rsidR="00926FBD">
        <w:t>účinnost zákona</w:t>
      </w:r>
      <w:r w:rsidR="008130BE">
        <w:t>, která nastala dne 1. 1. 2001</w:t>
      </w:r>
      <w:r w:rsidR="00926FBD">
        <w:t xml:space="preserve">. </w:t>
      </w:r>
      <w:r w:rsidR="008130BE">
        <w:t>Hlavní obsah zákona je v první části nazvané Rozpočtová pravidla.</w:t>
      </w:r>
    </w:p>
    <w:p w:rsidR="00C629F5" w:rsidRDefault="003A1BA1" w:rsidP="00B41E01">
      <w:r>
        <w:t xml:space="preserve">Úvodní ustanovení </w:t>
      </w:r>
      <w:r w:rsidR="008130BE">
        <w:t xml:space="preserve">této první části </w:t>
      </w:r>
      <w:r>
        <w:t>obsahuj</w:t>
      </w:r>
      <w:r w:rsidR="00323359">
        <w:t>í</w:t>
      </w:r>
      <w:r>
        <w:t xml:space="preserve"> předmět úpravy zákona o rozpočtových pravidlech</w:t>
      </w:r>
      <w:r w:rsidR="00C629F5">
        <w:t xml:space="preserve"> a</w:t>
      </w:r>
      <w:r>
        <w:t xml:space="preserve"> vysvětluj</w:t>
      </w:r>
      <w:r w:rsidR="00323359">
        <w:t>í</w:t>
      </w:r>
      <w:r>
        <w:t xml:space="preserve"> </w:t>
      </w:r>
      <w:r w:rsidR="00C629F5">
        <w:t xml:space="preserve">základní </w:t>
      </w:r>
      <w:r>
        <w:t>pojmy</w:t>
      </w:r>
      <w:r w:rsidR="00C629F5">
        <w:t>. Pro kontrolu dotací jsou podstatn</w:t>
      </w:r>
      <w:r w:rsidR="00A205C9">
        <w:t>é</w:t>
      </w:r>
      <w:r w:rsidR="00C629F5">
        <w:t xml:space="preserve"> pojmy:</w:t>
      </w:r>
    </w:p>
    <w:p w:rsidR="00C629F5" w:rsidRPr="00C629F5" w:rsidRDefault="00C629F5" w:rsidP="003E4E35">
      <w:pPr>
        <w:pStyle w:val="Odstavecseseznamem"/>
        <w:numPr>
          <w:ilvl w:val="0"/>
          <w:numId w:val="2"/>
        </w:numPr>
        <w:ind w:left="426" w:hanging="357"/>
      </w:pPr>
      <w:r>
        <w:t xml:space="preserve">dotace: </w:t>
      </w:r>
      <w:r w:rsidRPr="00C629F5">
        <w:rPr>
          <w:i/>
        </w:rPr>
        <w:t>„P</w:t>
      </w:r>
      <w:r w:rsidRPr="001C4E4D">
        <w:rPr>
          <w:i/>
        </w:rPr>
        <w:t>eněžní prostředky státního rozpočtu, státních finančních aktiv nebo Národního fondu poskytnuté právnickým nebo fyzickým osobám na stanovený účel</w:t>
      </w:r>
      <w:r>
        <w:t>“</w:t>
      </w:r>
      <w:r w:rsidR="00A8271F">
        <w:t>,</w:t>
      </w:r>
      <w:r>
        <w:rPr>
          <w:rStyle w:val="Znakapoznpodarou"/>
        </w:rPr>
        <w:footnoteReference w:id="53"/>
      </w:r>
    </w:p>
    <w:p w:rsidR="00C629F5" w:rsidRPr="008A62AD" w:rsidRDefault="00C629F5" w:rsidP="003E4E35">
      <w:pPr>
        <w:pStyle w:val="Odstavecseseznamem"/>
        <w:numPr>
          <w:ilvl w:val="0"/>
          <w:numId w:val="2"/>
        </w:numPr>
        <w:ind w:left="426" w:hanging="357"/>
      </w:pPr>
      <w:r>
        <w:t xml:space="preserve"> návratná finanční výpomoc:</w:t>
      </w:r>
      <w:r w:rsidR="00A8271F" w:rsidRPr="00A8271F">
        <w:rPr>
          <w:i/>
        </w:rPr>
        <w:t xml:space="preserve"> </w:t>
      </w:r>
      <w:r w:rsidR="00A8271F">
        <w:rPr>
          <w:i/>
        </w:rPr>
        <w:t>„P</w:t>
      </w:r>
      <w:r w:rsidR="00A8271F" w:rsidRPr="00A8271F">
        <w:rPr>
          <w:i/>
        </w:rPr>
        <w:t xml:space="preserve">rostředky státního rozpočtu, státních finančních aktiv nebo Národního fondu poskytnuté, nestanoví-li zvláštní zákon jinak, bezúročně právnickým nebo fyzickým osobám na stanovený účel, které je povinen jejich příjemce vrátit do státního rozpočtu, státních finančních aktiv nebo Národního </w:t>
      </w:r>
      <w:r w:rsidR="00A8271F" w:rsidRPr="008A62AD">
        <w:rPr>
          <w:i/>
        </w:rPr>
        <w:t>fondu“,</w:t>
      </w:r>
      <w:r w:rsidR="008A62AD" w:rsidRPr="008A62AD">
        <w:rPr>
          <w:rStyle w:val="Znakapoznpodarou"/>
        </w:rPr>
        <w:footnoteReference w:id="54"/>
      </w:r>
    </w:p>
    <w:p w:rsidR="00C629F5" w:rsidRDefault="00C629F5" w:rsidP="003E4E35">
      <w:pPr>
        <w:pStyle w:val="Odstavecseseznamem"/>
        <w:numPr>
          <w:ilvl w:val="0"/>
          <w:numId w:val="2"/>
        </w:numPr>
        <w:ind w:left="426" w:hanging="357"/>
      </w:pPr>
      <w:r>
        <w:t>neoprávněn</w:t>
      </w:r>
      <w:r w:rsidR="00C87C4E">
        <w:t>é</w:t>
      </w:r>
      <w:r>
        <w:t xml:space="preserve"> použití</w:t>
      </w:r>
      <w:r w:rsidR="00C87C4E">
        <w:t xml:space="preserve">, tj. </w:t>
      </w:r>
      <w:r>
        <w:t>výdej finančních prostředků,</w:t>
      </w:r>
      <w:r w:rsidR="00A8271F">
        <w:t xml:space="preserve"> při kterém došlo k porušení podmínek v</w:t>
      </w:r>
      <w:r w:rsidR="00D125E8">
        <w:t> </w:t>
      </w:r>
      <w:r w:rsidR="00A8271F">
        <w:t>rozhodnutí</w:t>
      </w:r>
      <w:r w:rsidR="00D125E8">
        <w:t>,</w:t>
      </w:r>
      <w:r w:rsidR="00A8271F">
        <w:t xml:space="preserve"> právní</w:t>
      </w:r>
      <w:r w:rsidR="00D125E8">
        <w:t>ch</w:t>
      </w:r>
      <w:r w:rsidR="00A8271F">
        <w:t xml:space="preserve"> předpis</w:t>
      </w:r>
      <w:r w:rsidR="00D125E8">
        <w:t xml:space="preserve">ů </w:t>
      </w:r>
      <w:r w:rsidR="00A8271F">
        <w:t>nebo nesplnění účelu</w:t>
      </w:r>
      <w:r w:rsidR="00D125E8">
        <w:t>, na který byly prostředky poskytnuty,</w:t>
      </w:r>
    </w:p>
    <w:p w:rsidR="00C629F5" w:rsidRDefault="00C629F5" w:rsidP="00A205C9">
      <w:pPr>
        <w:pStyle w:val="Odstavecseseznamem"/>
        <w:numPr>
          <w:ilvl w:val="0"/>
          <w:numId w:val="2"/>
        </w:numPr>
        <w:ind w:left="426" w:hanging="357"/>
      </w:pPr>
      <w:r>
        <w:t>zadržení poskytnutých peněžních prostředk</w:t>
      </w:r>
      <w:r w:rsidR="00C87C4E">
        <w:t xml:space="preserve">ů, tj. </w:t>
      </w:r>
      <w:r>
        <w:t xml:space="preserve">nevrácení </w:t>
      </w:r>
      <w:r w:rsidR="00D125E8">
        <w:t xml:space="preserve">finančních prostředků </w:t>
      </w:r>
      <w:r>
        <w:t>ve</w:t>
      </w:r>
      <w:r w:rsidR="00487F0F">
        <w:t> </w:t>
      </w:r>
      <w:r>
        <w:t>stanoveném termínu</w:t>
      </w:r>
      <w:r w:rsidR="003A1BA1">
        <w:t>.</w:t>
      </w:r>
    </w:p>
    <w:p w:rsidR="007D51C6" w:rsidRDefault="003A1BA1" w:rsidP="00C629F5">
      <w:r>
        <w:t>Další</w:t>
      </w:r>
      <w:r w:rsidR="00926FBD">
        <w:t xml:space="preserve"> část </w:t>
      </w:r>
      <w:r w:rsidR="0008364D">
        <w:t xml:space="preserve">upravuje </w:t>
      </w:r>
      <w:r w:rsidR="003F3998">
        <w:t xml:space="preserve">tvorbu a funkci </w:t>
      </w:r>
      <w:r w:rsidR="00D74571">
        <w:t>SR</w:t>
      </w:r>
      <w:r w:rsidR="003F3998">
        <w:t xml:space="preserve"> v členění na příjmy a výdaje a také střednědob</w:t>
      </w:r>
      <w:r w:rsidR="00D84108">
        <w:t>ý</w:t>
      </w:r>
      <w:r w:rsidR="003F3998">
        <w:t xml:space="preserve"> výhled </w:t>
      </w:r>
      <w:r w:rsidR="00D74571">
        <w:t>SR</w:t>
      </w:r>
      <w:r w:rsidR="003F3998">
        <w:t xml:space="preserve"> na další roky</w:t>
      </w:r>
      <w:r w:rsidR="00C02A58">
        <w:t xml:space="preserve"> (§ </w:t>
      </w:r>
      <w:r>
        <w:t>4</w:t>
      </w:r>
      <w:r w:rsidR="00C02A58">
        <w:t xml:space="preserve"> </w:t>
      </w:r>
      <w:r w:rsidR="007D51C6">
        <w:t>až</w:t>
      </w:r>
      <w:r w:rsidR="00C02A58">
        <w:t xml:space="preserve"> </w:t>
      </w:r>
      <w:r w:rsidR="007D51C6">
        <w:t xml:space="preserve">§ </w:t>
      </w:r>
      <w:r w:rsidR="00C02A58">
        <w:t>1</w:t>
      </w:r>
      <w:r w:rsidR="007D51C6">
        <w:t>3</w:t>
      </w:r>
      <w:r w:rsidR="00C02A58">
        <w:t>)</w:t>
      </w:r>
      <w:r w:rsidR="003F3998">
        <w:t>.</w:t>
      </w:r>
      <w:r w:rsidR="00B27F90">
        <w:t xml:space="preserve"> </w:t>
      </w:r>
      <w:r w:rsidR="00C02A58">
        <w:t>Následující</w:t>
      </w:r>
      <w:r w:rsidR="004C0D61">
        <w:t xml:space="preserve"> kapitoly (</w:t>
      </w:r>
      <w:r w:rsidR="007D51C6">
        <w:t>§</w:t>
      </w:r>
      <w:r w:rsidR="00C02A58">
        <w:t xml:space="preserve"> 14 </w:t>
      </w:r>
      <w:r w:rsidR="007D51C6">
        <w:t>až</w:t>
      </w:r>
      <w:r w:rsidR="00C02A58">
        <w:t xml:space="preserve"> </w:t>
      </w:r>
      <w:r w:rsidR="007D51C6">
        <w:t xml:space="preserve">§ </w:t>
      </w:r>
      <w:r w:rsidR="00C02A58">
        <w:t>19</w:t>
      </w:r>
      <w:r w:rsidR="004C0D61">
        <w:t>)</w:t>
      </w:r>
      <w:r w:rsidR="00C02A58">
        <w:t xml:space="preserve"> se týkají poskytování dotací</w:t>
      </w:r>
      <w:r w:rsidR="007D51C6">
        <w:t xml:space="preserve"> a </w:t>
      </w:r>
      <w:r w:rsidR="007D2817">
        <w:t>návratných finančních výpomocí</w:t>
      </w:r>
      <w:r w:rsidR="007D51C6">
        <w:t xml:space="preserve">. Tyto </w:t>
      </w:r>
      <w:r w:rsidR="007D51C6" w:rsidRPr="00D84108">
        <w:t>paragrafy vymezuj</w:t>
      </w:r>
      <w:r w:rsidR="00D84108" w:rsidRPr="00D84108">
        <w:t>í následujíc</w:t>
      </w:r>
      <w:r w:rsidR="007D51C6" w:rsidRPr="00D84108">
        <w:t>í:</w:t>
      </w:r>
    </w:p>
    <w:p w:rsidR="00D125E8" w:rsidRDefault="00D125E8" w:rsidP="003E4E35">
      <w:pPr>
        <w:pStyle w:val="Odstavecseseznamem"/>
        <w:numPr>
          <w:ilvl w:val="0"/>
          <w:numId w:val="2"/>
        </w:numPr>
        <w:ind w:left="426" w:hanging="357"/>
      </w:pPr>
      <w:r>
        <w:t>na dotaci nebo NFV není právní nárok (§ 14 odst. 1),</w:t>
      </w:r>
    </w:p>
    <w:p w:rsidR="00C033DD" w:rsidRPr="007D51C6" w:rsidRDefault="007D51C6" w:rsidP="003E4E35">
      <w:pPr>
        <w:pStyle w:val="Odstavecseseznamem"/>
        <w:numPr>
          <w:ilvl w:val="0"/>
          <w:numId w:val="2"/>
        </w:numPr>
        <w:ind w:left="426" w:hanging="357"/>
      </w:pPr>
      <w:r>
        <w:t>s</w:t>
      </w:r>
      <w:r w:rsidR="008A6CF4" w:rsidRPr="007D51C6">
        <w:t>ubjekty oprávněné poskytovat dotace a NFV</w:t>
      </w:r>
      <w:r w:rsidR="009E27F5">
        <w:t xml:space="preserve"> (§ 14</w:t>
      </w:r>
      <w:r w:rsidR="00F23A23">
        <w:t xml:space="preserve"> odst. 2)</w:t>
      </w:r>
      <w:r>
        <w:t>,</w:t>
      </w:r>
    </w:p>
    <w:p w:rsidR="00F23A23" w:rsidRDefault="00F23A23" w:rsidP="003E4E35">
      <w:pPr>
        <w:pStyle w:val="Odstavecseseznamem"/>
        <w:numPr>
          <w:ilvl w:val="0"/>
          <w:numId w:val="2"/>
        </w:numPr>
        <w:ind w:left="426" w:hanging="357"/>
      </w:pPr>
      <w:r>
        <w:t>obsah žádosti o dotaci nebo NFV (§ 14 odst. 3),</w:t>
      </w:r>
    </w:p>
    <w:p w:rsidR="00C033DD" w:rsidRPr="007D51C6" w:rsidRDefault="00F23A23" w:rsidP="003E4E35">
      <w:pPr>
        <w:pStyle w:val="Odstavecseseznamem"/>
        <w:numPr>
          <w:ilvl w:val="0"/>
          <w:numId w:val="2"/>
        </w:numPr>
        <w:ind w:left="426" w:hanging="357"/>
      </w:pPr>
      <w:r>
        <w:t xml:space="preserve">základní náležitosti </w:t>
      </w:r>
      <w:r w:rsidR="007D51C6">
        <w:t>r</w:t>
      </w:r>
      <w:r w:rsidR="008A6CF4" w:rsidRPr="007D51C6">
        <w:t>ozhodnutí o poskytnutí dotace a NFV</w:t>
      </w:r>
      <w:r>
        <w:t xml:space="preserve"> (§ 14 odst. 4),</w:t>
      </w:r>
    </w:p>
    <w:p w:rsidR="00C033DD" w:rsidRPr="007D51C6" w:rsidRDefault="007E3F6B" w:rsidP="003E4E35">
      <w:pPr>
        <w:pStyle w:val="Odstavecseseznamem"/>
        <w:numPr>
          <w:ilvl w:val="0"/>
          <w:numId w:val="2"/>
        </w:numPr>
        <w:ind w:left="426" w:hanging="357"/>
      </w:pPr>
      <w:r>
        <w:t>poskytovatel může</w:t>
      </w:r>
      <w:r w:rsidR="009E27F5">
        <w:t xml:space="preserve"> </w:t>
      </w:r>
      <w:r>
        <w:t>s</w:t>
      </w:r>
      <w:r w:rsidRPr="007D51C6">
        <w:t>tanov</w:t>
      </w:r>
      <w:r w:rsidR="00D84108">
        <w:t>it</w:t>
      </w:r>
      <w:r w:rsidRPr="007D51C6">
        <w:t xml:space="preserve"> podmínk</w:t>
      </w:r>
      <w:r>
        <w:t>y</w:t>
      </w:r>
      <w:r w:rsidR="009E27F5">
        <w:t xml:space="preserve">, které zakládají </w:t>
      </w:r>
      <w:r w:rsidR="00622045">
        <w:t>PRK</w:t>
      </w:r>
      <w:r>
        <w:t xml:space="preserve"> (§14 odst. 6</w:t>
      </w:r>
      <w:r w:rsidR="00F23A23">
        <w:t>)</w:t>
      </w:r>
      <w:r w:rsidR="007D51C6">
        <w:t>,</w:t>
      </w:r>
    </w:p>
    <w:p w:rsidR="00C033DD" w:rsidRDefault="007D51C6" w:rsidP="003E4E35">
      <w:pPr>
        <w:pStyle w:val="Odstavecseseznamem"/>
        <w:numPr>
          <w:ilvl w:val="0"/>
          <w:numId w:val="2"/>
        </w:numPr>
        <w:ind w:left="426" w:hanging="357"/>
      </w:pPr>
      <w:r>
        <w:t>p</w:t>
      </w:r>
      <w:r w:rsidR="008A6CF4" w:rsidRPr="007D51C6">
        <w:t>aušální výdaje</w:t>
      </w:r>
      <w:r w:rsidR="00F23A23">
        <w:t xml:space="preserve"> (§ 14 odst. 7)</w:t>
      </w:r>
      <w:r>
        <w:t>,</w:t>
      </w:r>
    </w:p>
    <w:p w:rsidR="00F23A23" w:rsidRDefault="00F23A23" w:rsidP="003E4E35">
      <w:pPr>
        <w:pStyle w:val="Odstavecseseznamem"/>
        <w:numPr>
          <w:ilvl w:val="0"/>
          <w:numId w:val="2"/>
        </w:numPr>
        <w:ind w:left="426" w:hanging="357"/>
      </w:pPr>
      <w:r>
        <w:lastRenderedPageBreak/>
        <w:t>povinnosti příjemce dotace (§ 14 odst. 10 a 12),</w:t>
      </w:r>
    </w:p>
    <w:p w:rsidR="009E27F5" w:rsidRPr="007D51C6" w:rsidRDefault="009E27F5" w:rsidP="003E4E35">
      <w:pPr>
        <w:pStyle w:val="Odstavecseseznamem"/>
        <w:numPr>
          <w:ilvl w:val="0"/>
          <w:numId w:val="2"/>
        </w:numPr>
        <w:ind w:left="426" w:hanging="357"/>
      </w:pPr>
      <w:r>
        <w:t xml:space="preserve">jaké </w:t>
      </w:r>
      <w:r w:rsidR="00C87C4E">
        <w:t xml:space="preserve">změny </w:t>
      </w:r>
      <w:r>
        <w:t>lze provést v rozhodnutí na základě žádosti příjemce (§ 14 odst. 13),</w:t>
      </w:r>
    </w:p>
    <w:p w:rsidR="00C033DD" w:rsidRPr="007D51C6" w:rsidRDefault="007D51C6" w:rsidP="003E4E35">
      <w:pPr>
        <w:pStyle w:val="Odstavecseseznamem"/>
        <w:numPr>
          <w:ilvl w:val="0"/>
          <w:numId w:val="2"/>
        </w:numPr>
        <w:ind w:left="426" w:hanging="357"/>
      </w:pPr>
      <w:r>
        <w:t>t</w:t>
      </w:r>
      <w:r w:rsidR="008A6CF4" w:rsidRPr="007D51C6">
        <w:t>ransformace či přeměna příjemců</w:t>
      </w:r>
      <w:r w:rsidR="00F23A23">
        <w:t xml:space="preserve"> (§ 14a až § 14d)</w:t>
      </w:r>
      <w:r>
        <w:t>,</w:t>
      </w:r>
    </w:p>
    <w:p w:rsidR="00C033DD" w:rsidRPr="007D51C6" w:rsidRDefault="007D51C6" w:rsidP="003E4E35">
      <w:pPr>
        <w:pStyle w:val="Odstavecseseznamem"/>
        <w:numPr>
          <w:ilvl w:val="0"/>
          <w:numId w:val="2"/>
        </w:numPr>
        <w:ind w:left="426" w:hanging="357"/>
      </w:pPr>
      <w:r>
        <w:t>n</w:t>
      </w:r>
      <w:r w:rsidR="008A6CF4" w:rsidRPr="007D51C6">
        <w:t>evyplacení dotace, vrácení dotace, opatření k nápravě (§ 14e, § 14f)</w:t>
      </w:r>
      <w:r>
        <w:t>,</w:t>
      </w:r>
    </w:p>
    <w:p w:rsidR="00F23A23" w:rsidRPr="007D51C6" w:rsidRDefault="00F23A23" w:rsidP="003E4E35">
      <w:pPr>
        <w:pStyle w:val="Odstavecseseznamem"/>
        <w:numPr>
          <w:ilvl w:val="0"/>
          <w:numId w:val="2"/>
        </w:numPr>
        <w:ind w:left="426" w:hanging="357"/>
      </w:pPr>
      <w:r>
        <w:t>p</w:t>
      </w:r>
      <w:r w:rsidRPr="007D51C6">
        <w:t>roces rozhodování a změny rozhodnutí (§ 14g až §</w:t>
      </w:r>
      <w:r>
        <w:t xml:space="preserve"> </w:t>
      </w:r>
      <w:r w:rsidRPr="007D51C6">
        <w:t>14q)</w:t>
      </w:r>
      <w:r>
        <w:t>,</w:t>
      </w:r>
    </w:p>
    <w:p w:rsidR="00C033DD" w:rsidRPr="007D51C6" w:rsidRDefault="001A2956" w:rsidP="003E4E35">
      <w:pPr>
        <w:pStyle w:val="Odstavecseseznamem"/>
        <w:numPr>
          <w:ilvl w:val="0"/>
          <w:numId w:val="2"/>
        </w:numPr>
        <w:ind w:left="426" w:hanging="357"/>
      </w:pPr>
      <w:r>
        <w:t>řízení o odnětí dotace nebo NFV, využití obecných ustanovení správního řadu v řízení o</w:t>
      </w:r>
      <w:r w:rsidR="00B575A5">
        <w:t> </w:t>
      </w:r>
      <w:r>
        <w:t>odnětí</w:t>
      </w:r>
      <w:r w:rsidR="008A6CF4" w:rsidRPr="007D51C6">
        <w:t xml:space="preserve"> (§ 15)</w:t>
      </w:r>
      <w:r w:rsidR="007D51C6">
        <w:t>,</w:t>
      </w:r>
    </w:p>
    <w:p w:rsidR="00C033DD" w:rsidRDefault="007D51C6" w:rsidP="003E4E35">
      <w:pPr>
        <w:pStyle w:val="Odstavecseseznamem"/>
        <w:numPr>
          <w:ilvl w:val="0"/>
          <w:numId w:val="2"/>
        </w:numPr>
        <w:ind w:left="426" w:hanging="357"/>
      </w:pPr>
      <w:r>
        <w:t>z</w:t>
      </w:r>
      <w:r w:rsidR="008A6CF4" w:rsidRPr="007D51C6">
        <w:t>působ poskytování dotací a NFV</w:t>
      </w:r>
      <w:r w:rsidR="008D4B5C">
        <w:t xml:space="preserve"> a zveřejňování informací</w:t>
      </w:r>
      <w:r w:rsidR="00F23A23">
        <w:t xml:space="preserve"> (§ 16 a § 19)</w:t>
      </w:r>
      <w:r w:rsidR="00A205C9">
        <w:t>,</w:t>
      </w:r>
    </w:p>
    <w:p w:rsidR="005649D1" w:rsidRPr="00123198" w:rsidRDefault="005649D1" w:rsidP="003E4E35">
      <w:pPr>
        <w:pStyle w:val="Odstavecseseznamem"/>
        <w:numPr>
          <w:ilvl w:val="0"/>
          <w:numId w:val="2"/>
        </w:numPr>
        <w:ind w:left="426" w:hanging="357"/>
      </w:pPr>
      <w:r>
        <w:t>p</w:t>
      </w:r>
      <w:r w:rsidRPr="005649D1">
        <w:t xml:space="preserve">odmínky rozpočtového opatření a zařazení výdajů do rozpočtu </w:t>
      </w:r>
      <w:r w:rsidR="00123198">
        <w:t xml:space="preserve">organizačních složek státu </w:t>
      </w:r>
      <w:r w:rsidR="00123198" w:rsidRPr="00123198">
        <w:t>(dále také „</w:t>
      </w:r>
      <w:r w:rsidRPr="00123198">
        <w:t>OSS</w:t>
      </w:r>
      <w:r w:rsidR="00123198" w:rsidRPr="00123198">
        <w:t>“), resp. obcí a krajů</w:t>
      </w:r>
      <w:r w:rsidRPr="00123198">
        <w:t xml:space="preserve"> (§ 21 až § 27)</w:t>
      </w:r>
      <w:r w:rsidR="00A205C9" w:rsidRPr="00123198">
        <w:t>.</w:t>
      </w:r>
    </w:p>
    <w:p w:rsidR="00F04517" w:rsidRDefault="008D4B5C" w:rsidP="004C0D61">
      <w:r>
        <w:t>P</w:t>
      </w:r>
      <w:r w:rsidR="004C0D61">
        <w:t xml:space="preserve">oskytování dotací </w:t>
      </w:r>
      <w:r w:rsidR="00327593">
        <w:t xml:space="preserve">z Evropské unie </w:t>
      </w:r>
      <w:r>
        <w:t>probíhá prostřednictvím N</w:t>
      </w:r>
      <w:r w:rsidR="00D74571">
        <w:t>F</w:t>
      </w:r>
      <w:r>
        <w:t>. V zákoně o</w:t>
      </w:r>
      <w:r w:rsidR="00487F0F">
        <w:t> </w:t>
      </w:r>
      <w:r>
        <w:t>rozpočtových pravidlech j</w:t>
      </w:r>
      <w:r w:rsidR="00323359">
        <w:t>sou</w:t>
      </w:r>
      <w:r>
        <w:t xml:space="preserve"> vyhrazen</w:t>
      </w:r>
      <w:r w:rsidR="00323359">
        <w:t>a</w:t>
      </w:r>
      <w:r w:rsidR="004C0D61">
        <w:t xml:space="preserve"> </w:t>
      </w:r>
      <w:r w:rsidR="00327593">
        <w:t xml:space="preserve">ustanovení </w:t>
      </w:r>
      <w:r w:rsidR="004C0D61">
        <w:t>§ 37</w:t>
      </w:r>
      <w:r>
        <w:t xml:space="preserve"> a § 38</w:t>
      </w:r>
      <w:r w:rsidR="004C0D61">
        <w:t>, kter</w:t>
      </w:r>
      <w:r w:rsidR="00323359">
        <w:t>á</w:t>
      </w:r>
      <w:r w:rsidR="004C0D61">
        <w:t xml:space="preserve"> vymezuj</w:t>
      </w:r>
      <w:r w:rsidR="00323359">
        <w:t>í</w:t>
      </w:r>
      <w:r>
        <w:t xml:space="preserve"> p</w:t>
      </w:r>
      <w:r w:rsidR="004C0D61">
        <w:t xml:space="preserve">ojem Národní fond, </w:t>
      </w:r>
      <w:r w:rsidR="00327593">
        <w:t xml:space="preserve">jeho </w:t>
      </w:r>
      <w:r w:rsidR="004C0D61">
        <w:t>f</w:t>
      </w:r>
      <w:r w:rsidR="008A6CF4" w:rsidRPr="004C0D61">
        <w:t>unkce</w:t>
      </w:r>
      <w:r>
        <w:t>,</w:t>
      </w:r>
      <w:r w:rsidR="004C0D61">
        <w:t xml:space="preserve"> p</w:t>
      </w:r>
      <w:r w:rsidR="008A6CF4" w:rsidRPr="004C0D61">
        <w:t xml:space="preserve">ravidla nakládání s prostředky </w:t>
      </w:r>
      <w:r w:rsidR="004C0D61">
        <w:t>N</w:t>
      </w:r>
      <w:r w:rsidR="00BA6B14">
        <w:t>F</w:t>
      </w:r>
      <w:r>
        <w:t xml:space="preserve"> a následky při </w:t>
      </w:r>
      <w:r w:rsidR="00622045">
        <w:t>PRK</w:t>
      </w:r>
      <w:r w:rsidR="008A6CF4" w:rsidRPr="004C0D61">
        <w:t xml:space="preserve"> u prostředků </w:t>
      </w:r>
      <w:r w:rsidR="004C0D61">
        <w:t>poskytnutých z tohoto fondu</w:t>
      </w:r>
      <w:r>
        <w:t xml:space="preserve">. </w:t>
      </w:r>
      <w:r w:rsidR="00F04517">
        <w:t xml:space="preserve">Následující </w:t>
      </w:r>
      <w:r w:rsidR="00327593">
        <w:t xml:space="preserve">ustanovení </w:t>
      </w:r>
      <w:r w:rsidR="00F04517">
        <w:t>§</w:t>
      </w:r>
      <w:r w:rsidR="008A5FA6">
        <w:t> </w:t>
      </w:r>
      <w:r w:rsidR="00F04517">
        <w:t xml:space="preserve">39 </w:t>
      </w:r>
      <w:r w:rsidR="00323359">
        <w:t>určuje</w:t>
      </w:r>
      <w:r w:rsidR="00327593">
        <w:t xml:space="preserve">, kdo </w:t>
      </w:r>
      <w:r w:rsidR="00F04517">
        <w:t xml:space="preserve">je oprávněn provádět </w:t>
      </w:r>
      <w:r w:rsidR="00327593">
        <w:t xml:space="preserve">finanční </w:t>
      </w:r>
      <w:r w:rsidR="00F04517">
        <w:t xml:space="preserve">kontrolu prostředků </w:t>
      </w:r>
      <w:r w:rsidR="00327593">
        <w:t xml:space="preserve">poskytnutých </w:t>
      </w:r>
      <w:r w:rsidR="00F04517">
        <w:t>podle zákona o</w:t>
      </w:r>
      <w:r w:rsidR="008A5FA6">
        <w:t> </w:t>
      </w:r>
      <w:r w:rsidR="00F04517">
        <w:t xml:space="preserve">rozpočtových pravidlech. </w:t>
      </w:r>
      <w:r w:rsidR="008A5FA6">
        <w:t>Jedná se</w:t>
      </w:r>
      <w:r w:rsidR="009E3C55">
        <w:t xml:space="preserve"> o</w:t>
      </w:r>
      <w:r w:rsidR="008A5FA6">
        <w:t xml:space="preserve"> správce jednotlivých kapitol, ministerstva a finanční úřady.  </w:t>
      </w:r>
    </w:p>
    <w:p w:rsidR="00A410F9" w:rsidRDefault="00A410F9" w:rsidP="004C0D61">
      <w:r>
        <w:t>U</w:t>
      </w:r>
      <w:r w:rsidR="008D4B5C">
        <w:t xml:space="preserve">stanovení </w:t>
      </w:r>
      <w:r>
        <w:t xml:space="preserve">zákona o rozpočtových pravidlech </w:t>
      </w:r>
      <w:r w:rsidR="008D4B5C">
        <w:t xml:space="preserve">§ 44 a </w:t>
      </w:r>
      <w:r w:rsidR="007E3F6B">
        <w:t xml:space="preserve">§ </w:t>
      </w:r>
      <w:r w:rsidR="008D4B5C">
        <w:t>44a</w:t>
      </w:r>
      <w:r>
        <w:t xml:space="preserve"> se týk</w:t>
      </w:r>
      <w:r w:rsidR="00323359">
        <w:t>ají</w:t>
      </w:r>
      <w:r>
        <w:t xml:space="preserve"> </w:t>
      </w:r>
      <w:r w:rsidR="00622045">
        <w:t>PRK</w:t>
      </w:r>
      <w:r>
        <w:t xml:space="preserve">, </w:t>
      </w:r>
      <w:r w:rsidR="00323359">
        <w:t xml:space="preserve">a to </w:t>
      </w:r>
      <w:r>
        <w:t>zejména:</w:t>
      </w:r>
    </w:p>
    <w:p w:rsidR="00C033DD" w:rsidRPr="00A410F9" w:rsidRDefault="00A410F9" w:rsidP="003E4E35">
      <w:pPr>
        <w:pStyle w:val="Odstavecseseznamem"/>
        <w:numPr>
          <w:ilvl w:val="0"/>
          <w:numId w:val="2"/>
        </w:numPr>
        <w:ind w:left="426" w:hanging="357"/>
      </w:pPr>
      <w:r>
        <w:t>skutkové</w:t>
      </w:r>
      <w:r w:rsidR="008A6CF4" w:rsidRPr="00A410F9">
        <w:t xml:space="preserve"> podstat</w:t>
      </w:r>
      <w:r>
        <w:t>y</w:t>
      </w:r>
      <w:r w:rsidR="008A6CF4" w:rsidRPr="00A410F9">
        <w:t xml:space="preserve"> </w:t>
      </w:r>
      <w:r w:rsidR="00622045">
        <w:t>PRK</w:t>
      </w:r>
      <w:r w:rsidR="008A6CF4" w:rsidRPr="00A410F9">
        <w:t xml:space="preserve"> (§ 44 odst. 1)</w:t>
      </w:r>
      <w:r>
        <w:t>,</w:t>
      </w:r>
    </w:p>
    <w:p w:rsidR="00C033DD" w:rsidRDefault="00A410F9" w:rsidP="003E4E35">
      <w:pPr>
        <w:pStyle w:val="Odstavecseseznamem"/>
        <w:numPr>
          <w:ilvl w:val="0"/>
          <w:numId w:val="2"/>
        </w:numPr>
        <w:ind w:left="426" w:hanging="357"/>
      </w:pPr>
      <w:r>
        <w:t>r</w:t>
      </w:r>
      <w:r w:rsidR="008A6CF4" w:rsidRPr="00A410F9">
        <w:t xml:space="preserve">ozčlenění prostředků </w:t>
      </w:r>
      <w:r w:rsidR="00D74571">
        <w:t>SR</w:t>
      </w:r>
      <w:r w:rsidR="008A6CF4" w:rsidRPr="00A410F9">
        <w:t xml:space="preserve"> (§ 44 odst. 2 a 3)</w:t>
      </w:r>
      <w:r w:rsidR="00323359">
        <w:t>,</w:t>
      </w:r>
    </w:p>
    <w:p w:rsidR="00C033DD" w:rsidRPr="00A410F9" w:rsidRDefault="00A410F9" w:rsidP="003E4E35">
      <w:pPr>
        <w:pStyle w:val="Odstavecseseznamem"/>
        <w:numPr>
          <w:ilvl w:val="0"/>
          <w:numId w:val="2"/>
        </w:numPr>
        <w:ind w:left="426" w:hanging="357"/>
      </w:pPr>
      <w:r>
        <w:t>o</w:t>
      </w:r>
      <w:r w:rsidR="008A6CF4" w:rsidRPr="00A410F9">
        <w:t>znač</w:t>
      </w:r>
      <w:r w:rsidR="00323359">
        <w:t>ení</w:t>
      </w:r>
      <w:r w:rsidR="008A6CF4" w:rsidRPr="00A410F9">
        <w:t xml:space="preserve"> prostředků </w:t>
      </w:r>
      <w:r>
        <w:t>po</w:t>
      </w:r>
      <w:r w:rsidR="008A6CF4" w:rsidRPr="00A410F9">
        <w:t>dle jejich původu (</w:t>
      </w:r>
      <w:r>
        <w:t xml:space="preserve">§ 44 </w:t>
      </w:r>
      <w:r w:rsidR="008A6CF4" w:rsidRPr="00A410F9">
        <w:t>odst. 4 až 6)</w:t>
      </w:r>
      <w:r>
        <w:t>,</w:t>
      </w:r>
    </w:p>
    <w:p w:rsidR="00C033DD" w:rsidRPr="00A410F9" w:rsidRDefault="00A410F9" w:rsidP="003E4E35">
      <w:pPr>
        <w:pStyle w:val="Odstavecseseznamem"/>
        <w:numPr>
          <w:ilvl w:val="0"/>
          <w:numId w:val="2"/>
        </w:numPr>
        <w:ind w:left="426" w:hanging="357"/>
      </w:pPr>
      <w:r>
        <w:t>s</w:t>
      </w:r>
      <w:r w:rsidR="008A6CF4" w:rsidRPr="00A410F9">
        <w:t xml:space="preserve">tanovení povinnosti odvodu </w:t>
      </w:r>
      <w:r>
        <w:t>po</w:t>
      </w:r>
      <w:r w:rsidR="008A6CF4" w:rsidRPr="00A410F9">
        <w:t>dle právní formy subjektů (§</w:t>
      </w:r>
      <w:r>
        <w:t xml:space="preserve"> </w:t>
      </w:r>
      <w:r w:rsidR="008A6CF4" w:rsidRPr="00A410F9">
        <w:t>44a odst. 1 až 3)</w:t>
      </w:r>
      <w:r>
        <w:t>,</w:t>
      </w:r>
    </w:p>
    <w:p w:rsidR="00C033DD" w:rsidRPr="00A410F9" w:rsidRDefault="00A410F9" w:rsidP="003E4E35">
      <w:pPr>
        <w:pStyle w:val="Odstavecseseznamem"/>
        <w:numPr>
          <w:ilvl w:val="0"/>
          <w:numId w:val="2"/>
        </w:numPr>
        <w:ind w:left="426" w:hanging="357"/>
      </w:pPr>
      <w:r>
        <w:t>v</w:t>
      </w:r>
      <w:r w:rsidR="008A6CF4" w:rsidRPr="00A410F9">
        <w:t>ýše odvodu a penále</w:t>
      </w:r>
      <w:r>
        <w:t>,</w:t>
      </w:r>
      <w:r w:rsidR="008A6CF4" w:rsidRPr="00A410F9">
        <w:t xml:space="preserve"> pravidla vyměření </w:t>
      </w:r>
      <w:r>
        <w:t>(</w:t>
      </w:r>
      <w:r w:rsidR="008A6CF4" w:rsidRPr="00A410F9">
        <w:t>§</w:t>
      </w:r>
      <w:r>
        <w:t xml:space="preserve"> </w:t>
      </w:r>
      <w:r w:rsidR="008A6CF4" w:rsidRPr="00A410F9">
        <w:t>44a odst. 5 až 10)</w:t>
      </w:r>
      <w:r>
        <w:t>,</w:t>
      </w:r>
    </w:p>
    <w:p w:rsidR="00C033DD" w:rsidRPr="00A410F9" w:rsidRDefault="00A410F9" w:rsidP="003E4E35">
      <w:pPr>
        <w:pStyle w:val="Odstavecseseznamem"/>
        <w:numPr>
          <w:ilvl w:val="0"/>
          <w:numId w:val="2"/>
        </w:numPr>
        <w:ind w:left="426" w:hanging="357"/>
      </w:pPr>
      <w:r>
        <w:t>s</w:t>
      </w:r>
      <w:r w:rsidR="008A6CF4" w:rsidRPr="00A410F9">
        <w:t>práv</w:t>
      </w:r>
      <w:r>
        <w:t>y</w:t>
      </w:r>
      <w:r w:rsidR="008A6CF4" w:rsidRPr="00A410F9">
        <w:t xml:space="preserve"> odvodů </w:t>
      </w:r>
      <w:r>
        <w:t>(</w:t>
      </w:r>
      <w:r w:rsidR="008A6CF4" w:rsidRPr="00A410F9">
        <w:t>§</w:t>
      </w:r>
      <w:r>
        <w:t xml:space="preserve"> </w:t>
      </w:r>
      <w:r w:rsidR="008A6CF4" w:rsidRPr="00A410F9">
        <w:t>44a odst. 11</w:t>
      </w:r>
      <w:r>
        <w:t>),</w:t>
      </w:r>
    </w:p>
    <w:p w:rsidR="00C033DD" w:rsidRPr="00A410F9" w:rsidRDefault="00A410F9" w:rsidP="003E4E35">
      <w:pPr>
        <w:pStyle w:val="Odstavecseseznamem"/>
        <w:numPr>
          <w:ilvl w:val="0"/>
          <w:numId w:val="2"/>
        </w:numPr>
        <w:ind w:left="426" w:hanging="357"/>
      </w:pPr>
      <w:r>
        <w:t>p</w:t>
      </w:r>
      <w:r w:rsidR="008A6CF4" w:rsidRPr="00A410F9">
        <w:t xml:space="preserve">rominutí odvodů a penále </w:t>
      </w:r>
      <w:r>
        <w:t>(</w:t>
      </w:r>
      <w:r w:rsidR="008A6CF4" w:rsidRPr="00A410F9">
        <w:t>§</w:t>
      </w:r>
      <w:r>
        <w:t xml:space="preserve"> </w:t>
      </w:r>
      <w:r w:rsidR="008A6CF4" w:rsidRPr="00A410F9">
        <w:t>44a odst. 12 a 13)</w:t>
      </w:r>
      <w:r>
        <w:t>.</w:t>
      </w:r>
    </w:p>
    <w:p w:rsidR="003E5385" w:rsidRDefault="00B069EC" w:rsidP="004A0F50">
      <w:r w:rsidRPr="008A62AD">
        <w:t xml:space="preserve">Další ustanovení </w:t>
      </w:r>
      <w:r w:rsidR="007E3F6B" w:rsidRPr="008A62AD">
        <w:t xml:space="preserve">zákona o rozpočtových pravidlech </w:t>
      </w:r>
      <w:r w:rsidR="00323359" w:rsidRPr="008A62AD">
        <w:t>pojednávají o</w:t>
      </w:r>
      <w:r w:rsidRPr="008A62AD">
        <w:t xml:space="preserve"> hospodaření </w:t>
      </w:r>
      <w:r w:rsidR="00D64C53" w:rsidRPr="008A62AD">
        <w:t>OSS</w:t>
      </w:r>
      <w:r w:rsidRPr="008A62AD">
        <w:t xml:space="preserve"> (§ 45 a</w:t>
      </w:r>
      <w:r w:rsidR="00926FBD" w:rsidRPr="008A62AD">
        <w:t>ž</w:t>
      </w:r>
      <w:r w:rsidRPr="008A62AD">
        <w:t xml:space="preserve"> § 52)</w:t>
      </w:r>
      <w:r w:rsidR="008A62AD">
        <w:t xml:space="preserve">, hospodaření </w:t>
      </w:r>
      <w:r w:rsidRPr="008A62AD">
        <w:t>příspěvkových organizací (§ 53 až § 63)</w:t>
      </w:r>
      <w:r w:rsidR="00323359" w:rsidRPr="008A62AD">
        <w:t xml:space="preserve"> a </w:t>
      </w:r>
      <w:r w:rsidRPr="008A62AD">
        <w:t>společn</w:t>
      </w:r>
      <w:r w:rsidR="00323359" w:rsidRPr="008A62AD">
        <w:t>ých</w:t>
      </w:r>
      <w:r w:rsidRPr="008A62AD">
        <w:t xml:space="preserve"> ustanovení</w:t>
      </w:r>
      <w:r w:rsidR="00323359" w:rsidRPr="008A62AD">
        <w:t>ch</w:t>
      </w:r>
      <w:r w:rsidRPr="008A62AD">
        <w:t xml:space="preserve"> </w:t>
      </w:r>
      <w:r w:rsidR="008A62AD" w:rsidRPr="008A62AD">
        <w:t>pro</w:t>
      </w:r>
      <w:r w:rsidR="00487F0F">
        <w:t> </w:t>
      </w:r>
      <w:r w:rsidRPr="008A62AD">
        <w:t>hospodaření</w:t>
      </w:r>
      <w:r w:rsidR="008A62AD" w:rsidRPr="008A62AD">
        <w:t xml:space="preserve"> obou typů organizací</w:t>
      </w:r>
      <w:r w:rsidRPr="008A62AD">
        <w:t xml:space="preserve"> (§ 64 až § 72)</w:t>
      </w:r>
      <w:r w:rsidR="007D1394" w:rsidRPr="008A62AD">
        <w:t>. N</w:t>
      </w:r>
      <w:r w:rsidR="00926FBD" w:rsidRPr="008A62AD">
        <w:t xml:space="preserve">a závěr </w:t>
      </w:r>
      <w:r w:rsidR="007E3F6B" w:rsidRPr="008A62AD">
        <w:t xml:space="preserve">zákona </w:t>
      </w:r>
      <w:r w:rsidR="00926FBD" w:rsidRPr="008A62AD">
        <w:t xml:space="preserve">jsou </w:t>
      </w:r>
      <w:r w:rsidR="007D1394" w:rsidRPr="008A62AD">
        <w:t xml:space="preserve">uvedena </w:t>
      </w:r>
      <w:r w:rsidRPr="008A62AD">
        <w:t>společná</w:t>
      </w:r>
      <w:r w:rsidR="00926FBD" w:rsidRPr="008A62AD">
        <w:t>,</w:t>
      </w:r>
      <w:r w:rsidRPr="008A62AD">
        <w:t xml:space="preserve"> přechodná </w:t>
      </w:r>
      <w:r w:rsidR="00926FBD" w:rsidRPr="008A62AD">
        <w:t xml:space="preserve">a závěrečná ustanovení </w:t>
      </w:r>
      <w:r w:rsidRPr="008A62AD">
        <w:t>(§</w:t>
      </w:r>
      <w:r w:rsidR="00926FBD" w:rsidRPr="008A62AD">
        <w:t xml:space="preserve"> </w:t>
      </w:r>
      <w:r w:rsidRPr="008A62AD">
        <w:t>73</w:t>
      </w:r>
      <w:r w:rsidR="00926FBD" w:rsidRPr="008A62AD">
        <w:t xml:space="preserve"> až</w:t>
      </w:r>
      <w:r w:rsidRPr="008A62AD">
        <w:t xml:space="preserve"> </w:t>
      </w:r>
      <w:r w:rsidR="00926FBD" w:rsidRPr="008A62AD">
        <w:t>§</w:t>
      </w:r>
      <w:r w:rsidR="000344AF" w:rsidRPr="008A62AD">
        <w:t xml:space="preserve"> 81)</w:t>
      </w:r>
      <w:r w:rsidR="00B67B70" w:rsidRPr="008A62AD">
        <w:t>.</w:t>
      </w:r>
    </w:p>
    <w:p w:rsidR="003E5385" w:rsidRPr="00AF29C1" w:rsidRDefault="003E5385" w:rsidP="003E5385">
      <w:r w:rsidRPr="00AF29C1">
        <w:rPr>
          <w:bCs/>
        </w:rPr>
        <w:t xml:space="preserve">Základní rozlišení prostředků v </w:t>
      </w:r>
      <w:r w:rsidR="007E3F6B">
        <w:rPr>
          <w:bCs/>
        </w:rPr>
        <w:t>r</w:t>
      </w:r>
      <w:r w:rsidRPr="00AF29C1">
        <w:rPr>
          <w:bCs/>
        </w:rPr>
        <w:t>ozpočtových pravidlech (§ 44 odst. 2)</w:t>
      </w:r>
      <w:r w:rsidR="00D64C53">
        <w:rPr>
          <w:bCs/>
        </w:rPr>
        <w:t xml:space="preserve"> je následující</w:t>
      </w:r>
      <w:r w:rsidRPr="00AF29C1">
        <w:rPr>
          <w:bCs/>
        </w:rPr>
        <w:t>:</w:t>
      </w:r>
    </w:p>
    <w:p w:rsidR="003E5385" w:rsidRPr="00ED1610" w:rsidRDefault="003E5385" w:rsidP="003E4E35">
      <w:pPr>
        <w:pStyle w:val="Odstavecseseznamem"/>
        <w:numPr>
          <w:ilvl w:val="0"/>
          <w:numId w:val="2"/>
        </w:numPr>
        <w:ind w:left="426" w:hanging="357"/>
      </w:pPr>
      <w:r>
        <w:t xml:space="preserve">prostředky </w:t>
      </w:r>
      <w:r w:rsidR="00D74571">
        <w:t>SR</w:t>
      </w:r>
      <w:r w:rsidR="00A22AB1">
        <w:t xml:space="preserve"> (</w:t>
      </w:r>
      <w:r w:rsidR="00A22AB1" w:rsidRPr="00ED1610">
        <w:t xml:space="preserve">příjemcem je </w:t>
      </w:r>
      <w:r w:rsidR="00D3043B">
        <w:t>OSS</w:t>
      </w:r>
      <w:r w:rsidR="00A22AB1" w:rsidRPr="00ED1610">
        <w:t>)</w:t>
      </w:r>
      <w:r w:rsidR="00E60BA7" w:rsidRPr="00ED1610">
        <w:t>,</w:t>
      </w:r>
    </w:p>
    <w:p w:rsidR="003E5385" w:rsidRPr="00ED1610" w:rsidRDefault="003E5385" w:rsidP="003E4E35">
      <w:pPr>
        <w:pStyle w:val="Odstavecseseznamem"/>
        <w:numPr>
          <w:ilvl w:val="0"/>
          <w:numId w:val="2"/>
        </w:numPr>
        <w:ind w:left="426" w:hanging="357"/>
      </w:pPr>
      <w:r w:rsidRPr="00ED1610">
        <w:t xml:space="preserve">prostředky poskytnuté ze </w:t>
      </w:r>
      <w:r w:rsidR="00D74571">
        <w:t>SR</w:t>
      </w:r>
      <w:r w:rsidR="005649D1" w:rsidRPr="00ED1610">
        <w:t xml:space="preserve"> (</w:t>
      </w:r>
      <w:r w:rsidR="00A22AB1" w:rsidRPr="00ED1610">
        <w:t>příjemcem jsou FO a PO)</w:t>
      </w:r>
      <w:r w:rsidR="00E60BA7" w:rsidRPr="00ED1610">
        <w:t>.</w:t>
      </w:r>
    </w:p>
    <w:p w:rsidR="004A0F50" w:rsidRDefault="004A0F50" w:rsidP="00E60BA7"/>
    <w:p w:rsidR="004A0F50" w:rsidRDefault="004A0F50" w:rsidP="00E60BA7"/>
    <w:p w:rsidR="003E5385" w:rsidRDefault="00E60BA7" w:rsidP="00E60BA7">
      <w:r>
        <w:lastRenderedPageBreak/>
        <w:t>Sekundárn</w:t>
      </w:r>
      <w:r w:rsidR="00D64C53">
        <w:t>ě jsou prostředky</w:t>
      </w:r>
      <w:r>
        <w:t xml:space="preserve"> členě</w:t>
      </w:r>
      <w:r w:rsidR="00D64C53">
        <w:t>ny takto</w:t>
      </w:r>
      <w:r w:rsidR="003E5385">
        <w:t xml:space="preserve">: </w:t>
      </w:r>
    </w:p>
    <w:p w:rsidR="003E5385" w:rsidRPr="003E5385" w:rsidRDefault="00E60BA7" w:rsidP="003E4E35">
      <w:pPr>
        <w:pStyle w:val="Odstavecseseznamem"/>
        <w:numPr>
          <w:ilvl w:val="0"/>
          <w:numId w:val="2"/>
        </w:numPr>
        <w:ind w:left="426" w:hanging="357"/>
      </w:pPr>
      <w:r>
        <w:t>p</w:t>
      </w:r>
      <w:r w:rsidR="003E5385" w:rsidRPr="003E5385">
        <w:t>rostředky kryté prostředky z</w:t>
      </w:r>
      <w:r>
        <w:t> N</w:t>
      </w:r>
      <w:r w:rsidR="00BA6B14">
        <w:t>F</w:t>
      </w:r>
      <w:r>
        <w:t xml:space="preserve"> </w:t>
      </w:r>
      <w:r w:rsidR="003E5385" w:rsidRPr="003E5385">
        <w:t>nebo EU (</w:t>
      </w:r>
      <w:r w:rsidR="00392344">
        <w:t>p</w:t>
      </w:r>
      <w:r w:rsidR="00EB0DD8">
        <w:t>rostředky</w:t>
      </w:r>
      <w:r w:rsidR="00392344">
        <w:t xml:space="preserve"> </w:t>
      </w:r>
      <w:r w:rsidR="003E5385" w:rsidRPr="003E5385">
        <w:t xml:space="preserve">přijdou </w:t>
      </w:r>
      <w:r w:rsidR="00392344">
        <w:t>nejdřív</w:t>
      </w:r>
      <w:r w:rsidR="00EB0DD8">
        <w:t>e</w:t>
      </w:r>
      <w:r w:rsidR="00392344">
        <w:t xml:space="preserve"> </w:t>
      </w:r>
      <w:r w:rsidR="003E5385" w:rsidRPr="003E5385">
        <w:t>z EU a</w:t>
      </w:r>
      <w:r w:rsidR="00392344">
        <w:t> </w:t>
      </w:r>
      <w:r w:rsidR="003E5385" w:rsidRPr="003E5385">
        <w:t>p</w:t>
      </w:r>
      <w:r w:rsidR="00EB0DD8">
        <w:t>oté</w:t>
      </w:r>
      <w:r w:rsidR="003E5385" w:rsidRPr="003E5385">
        <w:t xml:space="preserve"> se rozdají v ČR)</w:t>
      </w:r>
      <w:r>
        <w:t>,</w:t>
      </w:r>
    </w:p>
    <w:p w:rsidR="007E3F6B" w:rsidRPr="00904FC7" w:rsidRDefault="00AF29C1" w:rsidP="00904FC7">
      <w:pPr>
        <w:pStyle w:val="Odstavecseseznamem"/>
        <w:numPr>
          <w:ilvl w:val="0"/>
          <w:numId w:val="2"/>
        </w:numPr>
        <w:ind w:left="426" w:hanging="357"/>
      </w:pPr>
      <w:r>
        <w:t>p</w:t>
      </w:r>
      <w:r w:rsidR="003E5385" w:rsidRPr="003E5385">
        <w:t>rostředky na předfinancování výdajů, které mají být kryty z</w:t>
      </w:r>
      <w:r>
        <w:t> </w:t>
      </w:r>
      <w:r w:rsidR="003E5385" w:rsidRPr="003E5385">
        <w:t>N</w:t>
      </w:r>
      <w:r w:rsidR="00BA6B14">
        <w:t>F</w:t>
      </w:r>
      <w:r w:rsidR="003E5385" w:rsidRPr="003E5385">
        <w:t xml:space="preserve"> nebo EU (projekty </w:t>
      </w:r>
      <w:r w:rsidR="00EB0DD8">
        <w:t>se</w:t>
      </w:r>
      <w:r w:rsidR="00F825A9">
        <w:t> </w:t>
      </w:r>
      <w:r w:rsidR="00EB0DD8" w:rsidRPr="003E5385">
        <w:t xml:space="preserve">nejprve financují </w:t>
      </w:r>
      <w:r w:rsidR="003E5385" w:rsidRPr="003E5385">
        <w:t>z p</w:t>
      </w:r>
      <w:r w:rsidR="00EB0DD8">
        <w:t>rostředků</w:t>
      </w:r>
      <w:r w:rsidR="003E5385" w:rsidRPr="003E5385">
        <w:t xml:space="preserve"> ČR a p</w:t>
      </w:r>
      <w:r w:rsidR="00EB0DD8">
        <w:t>oté</w:t>
      </w:r>
      <w:r w:rsidR="003E5385" w:rsidRPr="003E5385">
        <w:t xml:space="preserve"> se nechají proplatit z EU)</w:t>
      </w:r>
      <w:r>
        <w:t>.</w:t>
      </w:r>
    </w:p>
    <w:p w:rsidR="00E60BA7" w:rsidRDefault="00E60BA7" w:rsidP="00AF29C1">
      <w:pPr>
        <w:rPr>
          <w:bCs/>
        </w:rPr>
      </w:pPr>
      <w:r w:rsidRPr="00E60BA7">
        <w:rPr>
          <w:bCs/>
        </w:rPr>
        <w:t xml:space="preserve">Důvodem pro rozdělení prostředků </w:t>
      </w:r>
      <w:r>
        <w:rPr>
          <w:bCs/>
        </w:rPr>
        <w:t>je m</w:t>
      </w:r>
      <w:r w:rsidRPr="00E60BA7">
        <w:t>ožnost nastavení různých mechanismů (pravidel) pro jednotlivé druhy prostředků</w:t>
      </w:r>
      <w:r w:rsidR="00AF29C1">
        <w:t xml:space="preserve">. </w:t>
      </w:r>
      <w:r w:rsidR="00433628">
        <w:rPr>
          <w:bCs/>
        </w:rPr>
        <w:t xml:space="preserve">Poskytovatel musí </w:t>
      </w:r>
      <w:r w:rsidR="00AF29C1">
        <w:rPr>
          <w:bCs/>
        </w:rPr>
        <w:t>v rozhodnutí vždy označit prostředky</w:t>
      </w:r>
      <w:r w:rsidR="00433628">
        <w:rPr>
          <w:bCs/>
        </w:rPr>
        <w:t>,</w:t>
      </w:r>
      <w:r w:rsidR="00AF29C1">
        <w:rPr>
          <w:bCs/>
        </w:rPr>
        <w:t xml:space="preserve"> </w:t>
      </w:r>
      <w:r w:rsidR="00433628">
        <w:rPr>
          <w:bCs/>
        </w:rPr>
        <w:t>z</w:t>
      </w:r>
      <w:r w:rsidR="00F83522">
        <w:rPr>
          <w:bCs/>
        </w:rPr>
        <w:t> </w:t>
      </w:r>
      <w:r w:rsidR="00433628">
        <w:rPr>
          <w:bCs/>
        </w:rPr>
        <w:t>kterých bude dotace nebo NFV poskytnuta. V</w:t>
      </w:r>
      <w:r w:rsidR="00433628">
        <w:t xml:space="preserve"> případě </w:t>
      </w:r>
      <w:r w:rsidR="00622045">
        <w:t>PRK</w:t>
      </w:r>
      <w:r w:rsidR="00433628">
        <w:t xml:space="preserve"> se vrací</w:t>
      </w:r>
      <w:r w:rsidR="00433628">
        <w:rPr>
          <w:bCs/>
        </w:rPr>
        <w:t xml:space="preserve"> </w:t>
      </w:r>
      <w:r w:rsidR="00433628" w:rsidRPr="00E60BA7">
        <w:t>vybran</w:t>
      </w:r>
      <w:r w:rsidR="00433628">
        <w:t>é odvody</w:t>
      </w:r>
      <w:r w:rsidR="00433628" w:rsidRPr="00E60BA7">
        <w:t xml:space="preserve"> a penále </w:t>
      </w:r>
      <w:r w:rsidR="00EB0DD8">
        <w:rPr>
          <w:bCs/>
        </w:rPr>
        <w:t>do příslušných rozpočtů</w:t>
      </w:r>
      <w:r w:rsidR="00433628">
        <w:rPr>
          <w:bCs/>
        </w:rPr>
        <w:t xml:space="preserve"> (</w:t>
      </w:r>
      <w:r w:rsidR="00D74571">
        <w:rPr>
          <w:bCs/>
        </w:rPr>
        <w:t>SR</w:t>
      </w:r>
      <w:r w:rsidR="00433628">
        <w:rPr>
          <w:bCs/>
        </w:rPr>
        <w:t>, N</w:t>
      </w:r>
      <w:r w:rsidR="00D74571">
        <w:rPr>
          <w:bCs/>
        </w:rPr>
        <w:t>F</w:t>
      </w:r>
      <w:r w:rsidR="00433628">
        <w:rPr>
          <w:bCs/>
        </w:rPr>
        <w:t>, státní fondy, rezervní fond).</w:t>
      </w:r>
    </w:p>
    <w:p w:rsidR="003E624C" w:rsidRDefault="003E624C" w:rsidP="00AF29C1">
      <w:pPr>
        <w:rPr>
          <w:bCs/>
        </w:rPr>
      </w:pPr>
      <w:r>
        <w:rPr>
          <w:bCs/>
        </w:rPr>
        <w:t>Rozpočtová pravidla určují, kdo může být p</w:t>
      </w:r>
      <w:r w:rsidRPr="003E624C">
        <w:rPr>
          <w:bCs/>
        </w:rPr>
        <w:t>oskytovatel</w:t>
      </w:r>
      <w:r>
        <w:rPr>
          <w:bCs/>
        </w:rPr>
        <w:t>em</w:t>
      </w:r>
      <w:r w:rsidRPr="003E624C">
        <w:rPr>
          <w:bCs/>
        </w:rPr>
        <w:t xml:space="preserve"> dotace nebo NFV</w:t>
      </w:r>
      <w:r>
        <w:rPr>
          <w:bCs/>
        </w:rPr>
        <w:t xml:space="preserve"> (§ 14 odst.</w:t>
      </w:r>
      <w:r w:rsidR="00F825A9">
        <w:rPr>
          <w:bCs/>
        </w:rPr>
        <w:t> </w:t>
      </w:r>
      <w:r>
        <w:rPr>
          <w:bCs/>
        </w:rPr>
        <w:t>2):</w:t>
      </w:r>
    </w:p>
    <w:p w:rsidR="00146C61" w:rsidRPr="003E624C" w:rsidRDefault="003E624C" w:rsidP="003E4E35">
      <w:pPr>
        <w:pStyle w:val="Odstavecseseznamem"/>
        <w:numPr>
          <w:ilvl w:val="0"/>
          <w:numId w:val="2"/>
        </w:numPr>
        <w:ind w:left="426" w:hanging="357"/>
      </w:pPr>
      <w:r>
        <w:t>ú</w:t>
      </w:r>
      <w:r w:rsidR="00CE66B0" w:rsidRPr="003E624C">
        <w:t>střední orgán státní správy</w:t>
      </w:r>
      <w:r>
        <w:t xml:space="preserve"> (ministerstva)</w:t>
      </w:r>
      <w:r w:rsidR="00CE66B0" w:rsidRPr="003E624C">
        <w:t xml:space="preserve">, </w:t>
      </w:r>
    </w:p>
    <w:p w:rsidR="00146C61" w:rsidRPr="003E624C" w:rsidRDefault="003E624C" w:rsidP="003E4E35">
      <w:pPr>
        <w:pStyle w:val="Odstavecseseznamem"/>
        <w:numPr>
          <w:ilvl w:val="0"/>
          <w:numId w:val="2"/>
        </w:numPr>
        <w:ind w:left="426" w:hanging="357"/>
      </w:pPr>
      <w:r>
        <w:t>Úřad práce Č</w:t>
      </w:r>
      <w:r w:rsidR="008A62AD">
        <w:t>R</w:t>
      </w:r>
      <w:r>
        <w:t>,</w:t>
      </w:r>
    </w:p>
    <w:p w:rsidR="00146C61" w:rsidRPr="003E624C" w:rsidRDefault="00CE66B0" w:rsidP="003E4E35">
      <w:pPr>
        <w:pStyle w:val="Odstavecseseznamem"/>
        <w:numPr>
          <w:ilvl w:val="0"/>
          <w:numId w:val="2"/>
        </w:numPr>
        <w:ind w:left="426" w:hanging="357"/>
      </w:pPr>
      <w:r w:rsidRPr="003E624C">
        <w:t>Akademie věd Č</w:t>
      </w:r>
      <w:r w:rsidR="008A62AD">
        <w:t>R</w:t>
      </w:r>
      <w:r w:rsidRPr="003E624C">
        <w:t xml:space="preserve">, </w:t>
      </w:r>
    </w:p>
    <w:p w:rsidR="00146C61" w:rsidRPr="003E624C" w:rsidRDefault="00CE66B0" w:rsidP="003E4E35">
      <w:pPr>
        <w:pStyle w:val="Odstavecseseznamem"/>
        <w:numPr>
          <w:ilvl w:val="0"/>
          <w:numId w:val="2"/>
        </w:numPr>
        <w:ind w:left="426" w:hanging="357"/>
      </w:pPr>
      <w:r w:rsidRPr="003E624C">
        <w:t>Grantová agentura Č</w:t>
      </w:r>
      <w:r w:rsidR="008A62AD">
        <w:t>R</w:t>
      </w:r>
      <w:r w:rsidRPr="003E624C">
        <w:t xml:space="preserve">, </w:t>
      </w:r>
    </w:p>
    <w:p w:rsidR="00146C61" w:rsidRPr="003E624C" w:rsidRDefault="00CE66B0" w:rsidP="003E4E35">
      <w:pPr>
        <w:pStyle w:val="Odstavecseseznamem"/>
        <w:numPr>
          <w:ilvl w:val="0"/>
          <w:numId w:val="2"/>
        </w:numPr>
        <w:ind w:left="426" w:hanging="357"/>
      </w:pPr>
      <w:r w:rsidRPr="003E624C">
        <w:t>Technologická agentura Č</w:t>
      </w:r>
      <w:r w:rsidR="008A62AD">
        <w:t>R</w:t>
      </w:r>
      <w:r w:rsidRPr="003E624C">
        <w:t xml:space="preserve"> nebo </w:t>
      </w:r>
    </w:p>
    <w:p w:rsidR="003E624C" w:rsidRPr="003E624C" w:rsidRDefault="003E624C" w:rsidP="003E4E35">
      <w:pPr>
        <w:pStyle w:val="Odstavecseseznamem"/>
        <w:numPr>
          <w:ilvl w:val="0"/>
          <w:numId w:val="2"/>
        </w:numPr>
        <w:ind w:left="426" w:hanging="357"/>
      </w:pPr>
      <w:r>
        <w:t>o</w:t>
      </w:r>
      <w:r w:rsidR="00CE66B0" w:rsidRPr="003E624C">
        <w:t>rganizační složka státu, kterou určí zvláštní zákon</w:t>
      </w:r>
      <w:r>
        <w:t>.</w:t>
      </w:r>
      <w:r>
        <w:rPr>
          <w:rStyle w:val="Znakapoznpodarou"/>
        </w:rPr>
        <w:footnoteReference w:id="55"/>
      </w:r>
    </w:p>
    <w:p w:rsidR="00926FBD" w:rsidRPr="00B67B70" w:rsidRDefault="001E12AB" w:rsidP="00F477AC">
      <w:pPr>
        <w:pStyle w:val="Tomk"/>
        <w:ind w:left="567" w:hanging="567"/>
        <w:rPr>
          <w:rFonts w:cs="Times New Roman"/>
          <w:szCs w:val="24"/>
        </w:rPr>
      </w:pPr>
      <w:bookmarkStart w:id="37" w:name="_Toc38385253"/>
      <w:r>
        <w:rPr>
          <w:rFonts w:cs="Times New Roman"/>
          <w:szCs w:val="24"/>
        </w:rPr>
        <w:lastRenderedPageBreak/>
        <w:t xml:space="preserve">Praktické využití </w:t>
      </w:r>
      <w:r w:rsidR="00221081">
        <w:rPr>
          <w:rFonts w:cs="Times New Roman"/>
          <w:szCs w:val="24"/>
        </w:rPr>
        <w:t>novel</w:t>
      </w:r>
      <w:r w:rsidR="00B67B70">
        <w:rPr>
          <w:rFonts w:cs="Times New Roman"/>
          <w:szCs w:val="24"/>
        </w:rPr>
        <w:t xml:space="preserve"> zákona č. 218/2000 Sb.</w:t>
      </w:r>
      <w:r w:rsidR="00B67B70" w:rsidRPr="00452E50">
        <w:rPr>
          <w:rFonts w:cs="Times New Roman"/>
          <w:szCs w:val="24"/>
        </w:rPr>
        <w:t>, o rozpočtových pravidlech</w:t>
      </w:r>
      <w:r w:rsidR="00B67B70">
        <w:rPr>
          <w:rFonts w:cs="Times New Roman"/>
          <w:szCs w:val="24"/>
        </w:rPr>
        <w:t xml:space="preserve"> a </w:t>
      </w:r>
      <w:r w:rsidR="00B41A8D">
        <w:rPr>
          <w:rFonts w:cs="Times New Roman"/>
          <w:szCs w:val="24"/>
        </w:rPr>
        <w:t xml:space="preserve">vyhodnocení </w:t>
      </w:r>
      <w:r w:rsidR="00B67B70">
        <w:rPr>
          <w:rFonts w:cs="Times New Roman"/>
          <w:szCs w:val="24"/>
        </w:rPr>
        <w:t>jejich vliv</w:t>
      </w:r>
      <w:r w:rsidR="00B41A8D">
        <w:rPr>
          <w:rFonts w:cs="Times New Roman"/>
          <w:szCs w:val="24"/>
        </w:rPr>
        <w:t>u</w:t>
      </w:r>
      <w:r w:rsidR="00B67B70">
        <w:rPr>
          <w:rFonts w:cs="Times New Roman"/>
          <w:szCs w:val="24"/>
        </w:rPr>
        <w:t xml:space="preserve"> na kontrolu</w:t>
      </w:r>
      <w:bookmarkEnd w:id="37"/>
    </w:p>
    <w:p w:rsidR="000B1805" w:rsidRPr="00B428E9" w:rsidRDefault="006A20B2" w:rsidP="00B428E9">
      <w:r>
        <w:rPr>
          <w:rFonts w:eastAsia="Calibri"/>
          <w:lang w:eastAsia="en-US"/>
        </w:rPr>
        <w:t>Praktická</w:t>
      </w:r>
      <w:r w:rsidRPr="00900A66">
        <w:rPr>
          <w:rFonts w:eastAsia="Calibri"/>
          <w:lang w:eastAsia="en-US"/>
        </w:rPr>
        <w:t xml:space="preserve"> část </w:t>
      </w:r>
      <w:r>
        <w:rPr>
          <w:rFonts w:eastAsia="Calibri"/>
          <w:lang w:eastAsia="en-US"/>
        </w:rPr>
        <w:t>se věnuje zákonu</w:t>
      </w:r>
      <w:r w:rsidRPr="00900A66">
        <w:rPr>
          <w:rFonts w:eastAsia="Calibri"/>
          <w:lang w:eastAsia="en-US"/>
        </w:rPr>
        <w:t xml:space="preserve"> č. 218/2000 Sb.</w:t>
      </w:r>
      <w:r>
        <w:rPr>
          <w:rFonts w:eastAsia="Calibri"/>
          <w:lang w:eastAsia="en-US"/>
        </w:rPr>
        <w:t>,</w:t>
      </w:r>
      <w:r w:rsidRPr="00900A66">
        <w:rPr>
          <w:rFonts w:eastAsia="Calibri"/>
          <w:lang w:eastAsia="en-US"/>
        </w:rPr>
        <w:t xml:space="preserve"> o rozpočtových pravidlech</w:t>
      </w:r>
      <w:r>
        <w:rPr>
          <w:rFonts w:eastAsia="Calibri"/>
          <w:lang w:eastAsia="en-US"/>
        </w:rPr>
        <w:t xml:space="preserve"> a důležitým novelám tohoto zákona od doby účinnosti zákona do roku 201</w:t>
      </w:r>
      <w:r w:rsidR="00126496">
        <w:rPr>
          <w:rFonts w:eastAsia="Calibri"/>
          <w:lang w:eastAsia="en-US"/>
        </w:rPr>
        <w:t>8</w:t>
      </w:r>
      <w:r>
        <w:rPr>
          <w:rFonts w:eastAsia="Calibri"/>
          <w:lang w:eastAsia="en-US"/>
        </w:rPr>
        <w:t xml:space="preserve">. Každá z vybraných novel </w:t>
      </w:r>
      <w:r w:rsidR="00E01431">
        <w:rPr>
          <w:rFonts w:eastAsia="Calibri"/>
          <w:lang w:eastAsia="en-US"/>
        </w:rPr>
        <w:t>určitým</w:t>
      </w:r>
      <w:r>
        <w:rPr>
          <w:rFonts w:eastAsia="Calibri"/>
          <w:lang w:eastAsia="en-US"/>
        </w:rPr>
        <w:t xml:space="preserve"> způsobem ovlivnila buď administrativní proces při poskytování dotací </w:t>
      </w:r>
      <w:r w:rsidR="00E01431">
        <w:rPr>
          <w:rFonts w:eastAsia="Calibri"/>
          <w:lang w:eastAsia="en-US"/>
        </w:rPr>
        <w:t>či</w:t>
      </w:r>
      <w:r w:rsidR="00136444">
        <w:rPr>
          <w:rFonts w:eastAsia="Calibri"/>
          <w:lang w:eastAsia="en-US"/>
        </w:rPr>
        <w:t xml:space="preserve"> NFV </w:t>
      </w:r>
      <w:r>
        <w:rPr>
          <w:rFonts w:eastAsia="Calibri"/>
          <w:lang w:eastAsia="en-US"/>
        </w:rPr>
        <w:t>poskytovatelem nebo postupy kontrolních orgánů, zejména poskytovatelů a finančních orgánů.</w:t>
      </w:r>
      <w:r w:rsidR="00645EB3">
        <w:rPr>
          <w:rFonts w:eastAsia="Calibri"/>
          <w:lang w:eastAsia="en-US"/>
        </w:rPr>
        <w:t xml:space="preserve"> </w:t>
      </w:r>
      <w:r w:rsidR="00645EB3">
        <w:t xml:space="preserve">Pro </w:t>
      </w:r>
      <w:r w:rsidR="00645EB3" w:rsidRPr="006D716C">
        <w:rPr>
          <w:rFonts w:eastAsia="Calibri"/>
          <w:lang w:eastAsia="en-US"/>
        </w:rPr>
        <w:t>sběr</w:t>
      </w:r>
      <w:r w:rsidR="00645EB3">
        <w:t xml:space="preserve"> dat, resp</w:t>
      </w:r>
      <w:r w:rsidR="00E01431">
        <w:t>.</w:t>
      </w:r>
      <w:r w:rsidR="00645EB3">
        <w:t xml:space="preserve"> novel zákona a souvisejících statistik bude využit</w:t>
      </w:r>
      <w:r w:rsidR="00645EB3" w:rsidRPr="0019713D">
        <w:t xml:space="preserve"> </w:t>
      </w:r>
      <w:r w:rsidR="00645EB3" w:rsidRPr="00AB2090">
        <w:t>Automatizovaný systém právních informací</w:t>
      </w:r>
      <w:r w:rsidR="00645EB3">
        <w:t xml:space="preserve"> (ASPI) a</w:t>
      </w:r>
      <w:r w:rsidR="006A5AD1">
        <w:t xml:space="preserve"> </w:t>
      </w:r>
      <w:r w:rsidR="00645EB3" w:rsidRPr="0019713D">
        <w:t>Informační systém Centrální evidence dotací z</w:t>
      </w:r>
      <w:r w:rsidR="00645EB3">
        <w:t> </w:t>
      </w:r>
      <w:r w:rsidR="00645EB3" w:rsidRPr="0019713D">
        <w:t>rozpočtu</w:t>
      </w:r>
      <w:r w:rsidR="00645EB3">
        <w:t xml:space="preserve"> (IS</w:t>
      </w:r>
      <w:r w:rsidR="00F825A9">
        <w:t> </w:t>
      </w:r>
      <w:r w:rsidR="00645EB3">
        <w:t>CEDR)</w:t>
      </w:r>
      <w:r w:rsidR="004C440A">
        <w:rPr>
          <w:rFonts w:eastAsia="Calibri"/>
          <w:lang w:eastAsia="en-US"/>
        </w:rPr>
        <w:t>.</w:t>
      </w:r>
      <w:r w:rsidR="00C821AD">
        <w:rPr>
          <w:rFonts w:eastAsia="Calibri"/>
          <w:lang w:eastAsia="en-US"/>
        </w:rPr>
        <w:t xml:space="preserve"> </w:t>
      </w:r>
      <w:r w:rsidR="00C821AD">
        <w:t>Následně bude provedeno vyhodnocení sesbíraných dat p</w:t>
      </w:r>
      <w:r w:rsidR="00C821AD">
        <w:rPr>
          <w:rFonts w:eastAsia="Calibri"/>
          <w:lang w:eastAsia="en-US"/>
        </w:rPr>
        <w:t>omocí kvantitativní obsahové analýzy</w:t>
      </w:r>
      <w:r w:rsidR="006A5AD1">
        <w:rPr>
          <w:rStyle w:val="Znakapoznpodarou"/>
          <w:rFonts w:eastAsia="Calibri"/>
          <w:lang w:eastAsia="en-US"/>
        </w:rPr>
        <w:footnoteReference w:id="56"/>
      </w:r>
      <w:r w:rsidR="00136444">
        <w:rPr>
          <w:rFonts w:eastAsia="Calibri"/>
          <w:lang w:eastAsia="en-US"/>
        </w:rPr>
        <w:t>,</w:t>
      </w:r>
      <w:r w:rsidR="00C821AD">
        <w:rPr>
          <w:rFonts w:eastAsia="Calibri"/>
          <w:lang w:eastAsia="en-US"/>
        </w:rPr>
        <w:t xml:space="preserve"> přičemž novely zákony budou podrobeny analýze komparativní, statistiky analýze trendové.</w:t>
      </w:r>
      <w:r w:rsidR="00A739C6">
        <w:rPr>
          <w:rStyle w:val="Znakapoznpodarou"/>
          <w:rFonts w:eastAsia="Calibri"/>
          <w:lang w:eastAsia="en-US"/>
        </w:rPr>
        <w:footnoteReference w:id="57"/>
      </w:r>
    </w:p>
    <w:p w:rsidR="00C52BF5" w:rsidRDefault="00C52BF5" w:rsidP="00C52BF5">
      <w:r>
        <w:t xml:space="preserve">Při kontrole finančních prostředků poskytnutých příjemcům dotace ze </w:t>
      </w:r>
      <w:r w:rsidR="00D74571">
        <w:t>SR</w:t>
      </w:r>
      <w:r>
        <w:t>, resp. NF je pro finanční úřady podstatné sledovat zejména:</w:t>
      </w:r>
    </w:p>
    <w:p w:rsidR="00C52BF5" w:rsidRPr="00057D9D" w:rsidRDefault="00C52BF5" w:rsidP="003E4E35">
      <w:pPr>
        <w:pStyle w:val="Odstavecseseznamem"/>
        <w:numPr>
          <w:ilvl w:val="0"/>
          <w:numId w:val="2"/>
        </w:numPr>
        <w:ind w:left="426" w:hanging="357"/>
      </w:pPr>
      <w:r w:rsidRPr="00057D9D">
        <w:t>jaké znění zákona bylo účinné v okamžiku poskytnutí prostředků</w:t>
      </w:r>
      <w:r>
        <w:t>,</w:t>
      </w:r>
    </w:p>
    <w:p w:rsidR="00C52BF5" w:rsidRPr="00057D9D" w:rsidRDefault="00C52BF5" w:rsidP="003E4E35">
      <w:pPr>
        <w:pStyle w:val="Odstavecseseznamem"/>
        <w:numPr>
          <w:ilvl w:val="0"/>
          <w:numId w:val="2"/>
        </w:numPr>
        <w:ind w:left="426" w:hanging="357"/>
      </w:pPr>
      <w:r w:rsidRPr="00057D9D">
        <w:t xml:space="preserve">jaké znění zákona bylo účinné v okamžiku </w:t>
      </w:r>
      <w:r w:rsidR="00622045">
        <w:t>PRK</w:t>
      </w:r>
      <w:r>
        <w:t>,</w:t>
      </w:r>
    </w:p>
    <w:p w:rsidR="00C52BF5" w:rsidRDefault="00C52BF5" w:rsidP="003E4E35">
      <w:pPr>
        <w:pStyle w:val="Odstavecseseznamem"/>
        <w:numPr>
          <w:ilvl w:val="0"/>
          <w:numId w:val="2"/>
        </w:numPr>
        <w:ind w:left="426" w:hanging="357"/>
      </w:pPr>
      <w:r w:rsidRPr="00057D9D">
        <w:t>přechodná ustanovení případných novel, zejména poslední novely</w:t>
      </w:r>
      <w:r>
        <w:t>.</w:t>
      </w:r>
    </w:p>
    <w:p w:rsidR="00C52BF5" w:rsidRDefault="00C52BF5" w:rsidP="00C52BF5">
      <w:pPr>
        <w:ind w:left="425" w:firstLine="0"/>
      </w:pPr>
      <w:r>
        <w:t xml:space="preserve">V případě </w:t>
      </w:r>
      <w:r w:rsidR="00622045">
        <w:t>PRK</w:t>
      </w:r>
      <w:r>
        <w:t xml:space="preserve"> je pro kontrolní orgán rozhodující:</w:t>
      </w:r>
    </w:p>
    <w:p w:rsidR="00C52BF5" w:rsidRPr="00B67B70" w:rsidRDefault="00C52BF5" w:rsidP="003E4E35">
      <w:pPr>
        <w:pStyle w:val="Odstavecseseznamem"/>
        <w:numPr>
          <w:ilvl w:val="0"/>
          <w:numId w:val="2"/>
        </w:numPr>
        <w:ind w:left="426" w:hanging="357"/>
      </w:pPr>
      <w:r>
        <w:t>k</w:t>
      </w:r>
      <w:r w:rsidRPr="00B67B70">
        <w:t>dy byly prostředky poskytnuty</w:t>
      </w:r>
      <w:r>
        <w:t>,</w:t>
      </w:r>
    </w:p>
    <w:p w:rsidR="00C52BF5" w:rsidRPr="00B67B70" w:rsidRDefault="00C52BF5" w:rsidP="003E4E35">
      <w:pPr>
        <w:pStyle w:val="Odstavecseseznamem"/>
        <w:numPr>
          <w:ilvl w:val="0"/>
          <w:numId w:val="2"/>
        </w:numPr>
        <w:ind w:left="426" w:hanging="357"/>
      </w:pPr>
      <w:r>
        <w:t>k</w:t>
      </w:r>
      <w:r w:rsidRPr="00B67B70">
        <w:t xml:space="preserve">dy došlo k naplnění skutkové podstaty </w:t>
      </w:r>
      <w:r w:rsidR="00622045">
        <w:t>PRK</w:t>
      </w:r>
      <w:r>
        <w:t>,</w:t>
      </w:r>
    </w:p>
    <w:p w:rsidR="00AE3BA7" w:rsidRDefault="00C52BF5" w:rsidP="00E01431">
      <w:pPr>
        <w:pStyle w:val="Odstavecseseznamem"/>
        <w:numPr>
          <w:ilvl w:val="0"/>
          <w:numId w:val="2"/>
        </w:numPr>
        <w:ind w:left="426" w:hanging="357"/>
      </w:pPr>
      <w:r>
        <w:t>k</w:t>
      </w:r>
      <w:r w:rsidRPr="00B67B70">
        <w:t>dy je nebo byl u</w:t>
      </w:r>
      <w:r w:rsidR="00BA6B14">
        <w:t>ložen</w:t>
      </w:r>
      <w:r w:rsidRPr="00B67B70">
        <w:t xml:space="preserve"> odvod</w:t>
      </w:r>
      <w:r>
        <w:t>.</w:t>
      </w:r>
    </w:p>
    <w:p w:rsidR="00C52BF5" w:rsidRDefault="00C52BF5" w:rsidP="00C52BF5">
      <w:r>
        <w:t>Zákon se postupně vyvíjel a novelizoval stejně, jako se měnily zákony, které mají návaznost na rozpočtové pravidla</w:t>
      </w:r>
      <w:r w:rsidR="00BA6B14">
        <w:t>. P</w:t>
      </w:r>
      <w:r>
        <w:t>říkladem jsou</w:t>
      </w:r>
      <w:r w:rsidR="00BA6B14">
        <w:t xml:space="preserve"> </w:t>
      </w:r>
      <w:r>
        <w:t>procesní zákony:</w:t>
      </w:r>
    </w:p>
    <w:p w:rsidR="00C52BF5" w:rsidRDefault="00C52BF5" w:rsidP="003E4E35">
      <w:pPr>
        <w:pStyle w:val="Odstavecseseznamem"/>
        <w:numPr>
          <w:ilvl w:val="0"/>
          <w:numId w:val="2"/>
        </w:numPr>
        <w:ind w:left="426" w:hanging="357"/>
      </w:pPr>
      <w:r w:rsidRPr="00976879">
        <w:t>zákon č. 500/2004 Sb., správní řád, ve znění pozdějších předpisů</w:t>
      </w:r>
      <w:r>
        <w:t>,</w:t>
      </w:r>
    </w:p>
    <w:p w:rsidR="00C52BF5" w:rsidRDefault="00C52BF5" w:rsidP="003E4E35">
      <w:pPr>
        <w:pStyle w:val="Odstavecseseznamem"/>
        <w:numPr>
          <w:ilvl w:val="0"/>
          <w:numId w:val="2"/>
        </w:numPr>
        <w:ind w:left="426" w:hanging="357"/>
      </w:pPr>
      <w:r>
        <w:t>z</w:t>
      </w:r>
      <w:r w:rsidRPr="004A7D38">
        <w:t>ákon č. 280/2009 Sb., daňový řád, ve znění pozdějších předpisů</w:t>
      </w:r>
      <w:r>
        <w:t>,</w:t>
      </w:r>
    </w:p>
    <w:p w:rsidR="00C52BF5" w:rsidRDefault="00C52BF5" w:rsidP="00BA6B14">
      <w:pPr>
        <w:pStyle w:val="Odstavecseseznamem"/>
        <w:numPr>
          <w:ilvl w:val="0"/>
          <w:numId w:val="2"/>
        </w:numPr>
        <w:ind w:left="426" w:hanging="357"/>
      </w:pPr>
      <w:r w:rsidRPr="008A5AE6">
        <w:t>zákon č. 255/2012 Sb., o kontrole (kontrolní řád)</w:t>
      </w:r>
      <w:r w:rsidR="00AE3BA7">
        <w:t>, ve znění pozdějších předpisů</w:t>
      </w:r>
      <w:r>
        <w:t>.</w:t>
      </w:r>
    </w:p>
    <w:p w:rsidR="00C52BF5" w:rsidRDefault="00351D22" w:rsidP="00AE3BA7">
      <w:r>
        <w:t>V</w:t>
      </w:r>
      <w:r w:rsidR="008C42D4">
        <w:t>stup</w:t>
      </w:r>
      <w:r>
        <w:t>em</w:t>
      </w:r>
      <w:r w:rsidR="008C42D4">
        <w:t xml:space="preserve"> ČR do EU </w:t>
      </w:r>
      <w:r w:rsidR="00BA6B14">
        <w:t xml:space="preserve">v roce 2004 </w:t>
      </w:r>
      <w:r>
        <w:t xml:space="preserve">bylo umožněno </w:t>
      </w:r>
      <w:r w:rsidR="008C42D4">
        <w:t xml:space="preserve">čerpání dotací ze strukturálních fondů, což vedlo ke zvýšenému zájmu žadatelů o dotace a počtu žádostí o dotace nebo NFV. </w:t>
      </w:r>
      <w:r w:rsidR="00EB72EB">
        <w:t xml:space="preserve">Postupně bylo nutné novelizovat zákon o rozpočtových pravidlech a sjednotit proces poskytování dotace </w:t>
      </w:r>
      <w:r w:rsidR="00EB72EB">
        <w:lastRenderedPageBreak/>
        <w:t>nebo NFV v návaznosti na unijní právo a samozřejmě také na základě nálezů soudů</w:t>
      </w:r>
      <w:r>
        <w:t xml:space="preserve"> </w:t>
      </w:r>
      <w:r w:rsidR="00EB72EB">
        <w:t>týkající</w:t>
      </w:r>
      <w:r>
        <w:t>ch</w:t>
      </w:r>
      <w:r w:rsidR="00EB72EB">
        <w:t xml:space="preserve"> se dotací. </w:t>
      </w:r>
      <w:r w:rsidR="00C52BF5">
        <w:t>Nejdůležitější novely, kter</w:t>
      </w:r>
      <w:r>
        <w:t>é</w:t>
      </w:r>
      <w:r w:rsidR="00C52BF5">
        <w:t xml:space="preserve"> měl</w:t>
      </w:r>
      <w:r w:rsidR="00EB72EB">
        <w:t>y</w:t>
      </w:r>
      <w:r w:rsidR="00C52BF5">
        <w:t xml:space="preserve"> přímo vliv na poskytování dotací ve vztahu poskytovatel </w:t>
      </w:r>
      <w:r w:rsidR="00C52BF5">
        <w:sym w:font="Symbol" w:char="F03C"/>
      </w:r>
      <w:r w:rsidR="00C52BF5">
        <w:t>–</w:t>
      </w:r>
      <w:r w:rsidR="00C52BF5">
        <w:sym w:font="Symbol" w:char="F03E"/>
      </w:r>
      <w:r w:rsidR="00C52BF5">
        <w:t xml:space="preserve"> příjemce dotace a na kons</w:t>
      </w:r>
      <w:r w:rsidR="00C52BF5" w:rsidRPr="001F41AA">
        <w:t xml:space="preserve">tatování </w:t>
      </w:r>
      <w:r w:rsidR="00622045">
        <w:t>PRK</w:t>
      </w:r>
      <w:r w:rsidR="00C52BF5" w:rsidRPr="001F41AA">
        <w:t xml:space="preserve"> ze strany kontrolního orgánu, jsou</w:t>
      </w:r>
      <w:r w:rsidR="00F825A9">
        <w:t> </w:t>
      </w:r>
      <w:r w:rsidR="00C52BF5" w:rsidRPr="001F41AA">
        <w:t>uvedeny v</w:t>
      </w:r>
      <w:r w:rsidR="00EB72EB">
        <w:t> </w:t>
      </w:r>
      <w:r w:rsidR="00C52BF5" w:rsidRPr="001F41AA">
        <w:t>tabulce</w:t>
      </w:r>
      <w:r w:rsidR="00EB72EB">
        <w:t> </w:t>
      </w:r>
      <w:r w:rsidR="00C52BF5" w:rsidRPr="001F41AA">
        <w:t xml:space="preserve">č. </w:t>
      </w:r>
      <w:r w:rsidR="001F41AA" w:rsidRPr="001F41AA">
        <w:t>5</w:t>
      </w:r>
      <w:r w:rsidR="00C52BF5" w:rsidRPr="001F41AA">
        <w:t>.</w:t>
      </w:r>
      <w:r w:rsidR="00AE3BA7">
        <w:t xml:space="preserve"> </w:t>
      </w:r>
    </w:p>
    <w:p w:rsidR="00AE3BA7" w:rsidRDefault="00AE3BA7" w:rsidP="00AE3BA7"/>
    <w:p w:rsidR="00C52BF5" w:rsidRDefault="00C52BF5" w:rsidP="00C52BF5">
      <w:pPr>
        <w:ind w:firstLine="0"/>
      </w:pPr>
      <w:bookmarkStart w:id="38" w:name="_Toc38385470"/>
      <w:r>
        <w:t xml:space="preserve">Tabulka č. </w:t>
      </w:r>
      <w:r w:rsidR="00191A9B">
        <w:rPr>
          <w:noProof/>
        </w:rPr>
        <w:fldChar w:fldCharType="begin"/>
      </w:r>
      <w:r w:rsidR="00191A9B">
        <w:rPr>
          <w:noProof/>
        </w:rPr>
        <w:instrText xml:space="preserve"> SEQ Tabulka_č. \* ARABIC </w:instrText>
      </w:r>
      <w:r w:rsidR="00191A9B">
        <w:rPr>
          <w:noProof/>
        </w:rPr>
        <w:fldChar w:fldCharType="separate"/>
      </w:r>
      <w:r w:rsidR="006B6614">
        <w:rPr>
          <w:noProof/>
        </w:rPr>
        <w:t>5</w:t>
      </w:r>
      <w:r w:rsidR="00191A9B">
        <w:rPr>
          <w:noProof/>
        </w:rPr>
        <w:fldChar w:fldCharType="end"/>
      </w:r>
      <w:r>
        <w:t xml:space="preserve">: </w:t>
      </w:r>
      <w:r w:rsidRPr="009B4B97">
        <w:t>Nejdůležitější novely zákona č. 218/2000 Sb., o rozpočtových pravidlech</w:t>
      </w:r>
      <w:bookmarkEnd w:id="38"/>
    </w:p>
    <w:tbl>
      <w:tblPr>
        <w:tblStyle w:val="Mkatabulky"/>
        <w:tblW w:w="0" w:type="auto"/>
        <w:tblLook w:val="04A0" w:firstRow="1" w:lastRow="0" w:firstColumn="1" w:lastColumn="0" w:noHBand="0" w:noVBand="1"/>
      </w:tblPr>
      <w:tblGrid>
        <w:gridCol w:w="3922"/>
        <w:gridCol w:w="2310"/>
      </w:tblGrid>
      <w:tr w:rsidR="00C52BF5" w:rsidTr="00B428E9">
        <w:trPr>
          <w:trHeight w:val="227"/>
        </w:trPr>
        <w:tc>
          <w:tcPr>
            <w:tcW w:w="3922" w:type="dxa"/>
            <w:vAlign w:val="center"/>
          </w:tcPr>
          <w:p w:rsidR="00C52BF5" w:rsidRPr="00F825A9" w:rsidRDefault="00C52BF5" w:rsidP="00FE7933">
            <w:pPr>
              <w:jc w:val="center"/>
              <w:rPr>
                <w:b/>
              </w:rPr>
            </w:pPr>
            <w:r w:rsidRPr="00F825A9">
              <w:rPr>
                <w:b/>
              </w:rPr>
              <w:t>Novela</w:t>
            </w:r>
          </w:p>
        </w:tc>
        <w:tc>
          <w:tcPr>
            <w:tcW w:w="2310" w:type="dxa"/>
            <w:vAlign w:val="center"/>
          </w:tcPr>
          <w:p w:rsidR="00C52BF5" w:rsidRPr="00F825A9" w:rsidRDefault="00C52BF5" w:rsidP="00FE7933">
            <w:pPr>
              <w:ind w:firstLine="0"/>
              <w:jc w:val="center"/>
              <w:rPr>
                <w:b/>
              </w:rPr>
            </w:pPr>
            <w:r w:rsidRPr="00F825A9">
              <w:rPr>
                <w:b/>
              </w:rPr>
              <w:t>Účinnost od</w:t>
            </w:r>
          </w:p>
        </w:tc>
      </w:tr>
      <w:tr w:rsidR="00C52BF5" w:rsidTr="00B428E9">
        <w:trPr>
          <w:trHeight w:val="227"/>
        </w:trPr>
        <w:tc>
          <w:tcPr>
            <w:tcW w:w="3922" w:type="dxa"/>
            <w:vAlign w:val="center"/>
          </w:tcPr>
          <w:p w:rsidR="00C52BF5" w:rsidRPr="00F84879" w:rsidRDefault="00C52BF5" w:rsidP="00351D22">
            <w:pPr>
              <w:ind w:firstLine="0"/>
              <w:jc w:val="left"/>
            </w:pPr>
            <w:r>
              <w:t>Zákon č. 479/2003 Sb.</w:t>
            </w:r>
          </w:p>
        </w:tc>
        <w:tc>
          <w:tcPr>
            <w:tcW w:w="2310" w:type="dxa"/>
            <w:vAlign w:val="center"/>
          </w:tcPr>
          <w:p w:rsidR="00C52BF5" w:rsidRDefault="00C52BF5" w:rsidP="00FE7933">
            <w:pPr>
              <w:ind w:firstLine="0"/>
              <w:jc w:val="center"/>
            </w:pPr>
            <w:r w:rsidRPr="00F84879">
              <w:t>1.</w:t>
            </w:r>
            <w:r>
              <w:t xml:space="preserve"> </w:t>
            </w:r>
            <w:r w:rsidRPr="00F84879">
              <w:t>1.</w:t>
            </w:r>
            <w:r>
              <w:t xml:space="preserve"> </w:t>
            </w:r>
            <w:r w:rsidRPr="00F84879">
              <w:t>2004</w:t>
            </w:r>
          </w:p>
        </w:tc>
      </w:tr>
      <w:tr w:rsidR="00C52BF5" w:rsidTr="00B428E9">
        <w:trPr>
          <w:trHeight w:val="227"/>
        </w:trPr>
        <w:tc>
          <w:tcPr>
            <w:tcW w:w="3922" w:type="dxa"/>
            <w:vAlign w:val="center"/>
          </w:tcPr>
          <w:p w:rsidR="00C52BF5" w:rsidRPr="00F84879" w:rsidRDefault="00C52BF5" w:rsidP="00351D22">
            <w:pPr>
              <w:ind w:firstLine="0"/>
              <w:jc w:val="left"/>
            </w:pPr>
            <w:r w:rsidRPr="00F84879">
              <w:t>Zákon č. 482/2004 Sb.</w:t>
            </w:r>
          </w:p>
        </w:tc>
        <w:tc>
          <w:tcPr>
            <w:tcW w:w="2310" w:type="dxa"/>
            <w:vAlign w:val="center"/>
          </w:tcPr>
          <w:p w:rsidR="00C52BF5" w:rsidRDefault="00C52BF5" w:rsidP="00FE7933">
            <w:pPr>
              <w:ind w:firstLine="0"/>
              <w:jc w:val="center"/>
            </w:pPr>
            <w:r w:rsidRPr="00F84879">
              <w:t>7. 9. 2004</w:t>
            </w:r>
          </w:p>
        </w:tc>
      </w:tr>
      <w:tr w:rsidR="00C52BF5" w:rsidTr="00B428E9">
        <w:trPr>
          <w:trHeight w:val="227"/>
        </w:trPr>
        <w:tc>
          <w:tcPr>
            <w:tcW w:w="3922" w:type="dxa"/>
            <w:vAlign w:val="center"/>
          </w:tcPr>
          <w:p w:rsidR="00C52BF5" w:rsidRPr="00F84879" w:rsidRDefault="00C52BF5" w:rsidP="00351D22">
            <w:pPr>
              <w:ind w:firstLine="0"/>
              <w:jc w:val="left"/>
            </w:pPr>
            <w:r>
              <w:t>Zákon č. 26/2008 Sb.</w:t>
            </w:r>
          </w:p>
        </w:tc>
        <w:tc>
          <w:tcPr>
            <w:tcW w:w="2310" w:type="dxa"/>
            <w:vAlign w:val="center"/>
          </w:tcPr>
          <w:p w:rsidR="00C52BF5" w:rsidRDefault="00C52BF5" w:rsidP="00FE7933">
            <w:pPr>
              <w:ind w:firstLine="0"/>
              <w:jc w:val="center"/>
            </w:pPr>
            <w:r w:rsidRPr="00F84879">
              <w:t>1. 3. 2008</w:t>
            </w:r>
          </w:p>
        </w:tc>
      </w:tr>
      <w:tr w:rsidR="00C52BF5" w:rsidTr="00B428E9">
        <w:trPr>
          <w:trHeight w:val="227"/>
        </w:trPr>
        <w:tc>
          <w:tcPr>
            <w:tcW w:w="3922" w:type="dxa"/>
            <w:vAlign w:val="center"/>
          </w:tcPr>
          <w:p w:rsidR="00C52BF5" w:rsidRPr="00F84879" w:rsidRDefault="00C52BF5" w:rsidP="00351D22">
            <w:pPr>
              <w:ind w:firstLine="0"/>
              <w:jc w:val="left"/>
            </w:pPr>
            <w:r w:rsidRPr="00F84879">
              <w:t>Zákon č. 465/2011 Sb.</w:t>
            </w:r>
          </w:p>
        </w:tc>
        <w:tc>
          <w:tcPr>
            <w:tcW w:w="2310" w:type="dxa"/>
            <w:vAlign w:val="center"/>
          </w:tcPr>
          <w:p w:rsidR="00C52BF5" w:rsidRDefault="00C52BF5" w:rsidP="00FE7933">
            <w:pPr>
              <w:ind w:firstLine="0"/>
              <w:jc w:val="center"/>
            </w:pPr>
            <w:r w:rsidRPr="00F84879">
              <w:t>30.</w:t>
            </w:r>
            <w:r>
              <w:t xml:space="preserve"> </w:t>
            </w:r>
            <w:r w:rsidRPr="00F84879">
              <w:t>12. 2011</w:t>
            </w:r>
          </w:p>
        </w:tc>
      </w:tr>
      <w:tr w:rsidR="00C52BF5" w:rsidTr="00B428E9">
        <w:trPr>
          <w:trHeight w:val="227"/>
        </w:trPr>
        <w:tc>
          <w:tcPr>
            <w:tcW w:w="3922" w:type="dxa"/>
            <w:vAlign w:val="center"/>
          </w:tcPr>
          <w:p w:rsidR="00C52BF5" w:rsidRPr="00F84879" w:rsidRDefault="00C52BF5" w:rsidP="00351D22">
            <w:pPr>
              <w:ind w:firstLine="0"/>
              <w:jc w:val="left"/>
            </w:pPr>
            <w:r w:rsidRPr="00F84879">
              <w:t>Zákon č. 25/2015 Sb.</w:t>
            </w:r>
          </w:p>
        </w:tc>
        <w:tc>
          <w:tcPr>
            <w:tcW w:w="2310" w:type="dxa"/>
            <w:vAlign w:val="center"/>
          </w:tcPr>
          <w:p w:rsidR="00C52BF5" w:rsidRDefault="00C52BF5" w:rsidP="00FE7933">
            <w:pPr>
              <w:ind w:firstLine="0"/>
              <w:jc w:val="center"/>
            </w:pPr>
            <w:r w:rsidRPr="00F84879">
              <w:t>20. 2. 2015</w:t>
            </w:r>
          </w:p>
        </w:tc>
      </w:tr>
      <w:tr w:rsidR="00C52BF5" w:rsidTr="00B428E9">
        <w:trPr>
          <w:trHeight w:val="227"/>
        </w:trPr>
        <w:tc>
          <w:tcPr>
            <w:tcW w:w="3922" w:type="dxa"/>
            <w:vAlign w:val="center"/>
          </w:tcPr>
          <w:p w:rsidR="00C52BF5" w:rsidRPr="00F84879" w:rsidRDefault="00C52BF5" w:rsidP="00351D22">
            <w:pPr>
              <w:ind w:firstLine="0"/>
              <w:jc w:val="left"/>
            </w:pPr>
            <w:r w:rsidRPr="00F84879">
              <w:t>Zákon č. 128/2016 Sb.</w:t>
            </w:r>
          </w:p>
        </w:tc>
        <w:tc>
          <w:tcPr>
            <w:tcW w:w="2310" w:type="dxa"/>
            <w:vAlign w:val="center"/>
          </w:tcPr>
          <w:p w:rsidR="00C52BF5" w:rsidRDefault="00C52BF5" w:rsidP="00FE7933">
            <w:pPr>
              <w:ind w:firstLine="0"/>
              <w:jc w:val="center"/>
            </w:pPr>
            <w:r w:rsidRPr="00F84879">
              <w:t>10.</w:t>
            </w:r>
            <w:r>
              <w:t xml:space="preserve"> </w:t>
            </w:r>
            <w:r w:rsidRPr="00F84879">
              <w:t>5.</w:t>
            </w:r>
            <w:r>
              <w:t xml:space="preserve"> </w:t>
            </w:r>
            <w:r w:rsidRPr="00F84879">
              <w:t>2016</w:t>
            </w:r>
          </w:p>
        </w:tc>
      </w:tr>
      <w:tr w:rsidR="00C52BF5" w:rsidTr="00B428E9">
        <w:trPr>
          <w:trHeight w:val="227"/>
        </w:trPr>
        <w:tc>
          <w:tcPr>
            <w:tcW w:w="3922" w:type="dxa"/>
            <w:vAlign w:val="center"/>
          </w:tcPr>
          <w:p w:rsidR="00C52BF5" w:rsidRDefault="00C52BF5" w:rsidP="00351D22">
            <w:pPr>
              <w:ind w:firstLine="0"/>
              <w:jc w:val="left"/>
            </w:pPr>
            <w:r w:rsidRPr="00F84879">
              <w:t>Zákon č. 367/2017 Sb.</w:t>
            </w:r>
          </w:p>
        </w:tc>
        <w:tc>
          <w:tcPr>
            <w:tcW w:w="2310" w:type="dxa"/>
            <w:vAlign w:val="center"/>
          </w:tcPr>
          <w:p w:rsidR="00C52BF5" w:rsidRDefault="00C52BF5" w:rsidP="00FE7933">
            <w:pPr>
              <w:ind w:firstLine="0"/>
              <w:jc w:val="center"/>
            </w:pPr>
            <w:r w:rsidRPr="00F84879">
              <w:t>1.</w:t>
            </w:r>
            <w:r>
              <w:t xml:space="preserve"> </w:t>
            </w:r>
            <w:r w:rsidRPr="00F84879">
              <w:t>1.</w:t>
            </w:r>
            <w:r>
              <w:t xml:space="preserve"> </w:t>
            </w:r>
            <w:r w:rsidRPr="00F84879">
              <w:t>2018</w:t>
            </w:r>
          </w:p>
        </w:tc>
      </w:tr>
    </w:tbl>
    <w:p w:rsidR="00C52BF5" w:rsidRPr="00C52BF5" w:rsidRDefault="00C52BF5" w:rsidP="00C52BF5">
      <w:pPr>
        <w:ind w:firstLine="0"/>
      </w:pPr>
      <w:r>
        <w:t>Zdroj: vlastní zpracování</w:t>
      </w:r>
    </w:p>
    <w:p w:rsidR="000B1805" w:rsidRPr="000B1805" w:rsidRDefault="000B1805" w:rsidP="000B1805">
      <w:pPr>
        <w:pStyle w:val="Tomk2"/>
        <w:ind w:left="567" w:hanging="567"/>
        <w:rPr>
          <w:rFonts w:cs="Times New Roman"/>
          <w:szCs w:val="24"/>
        </w:rPr>
      </w:pPr>
      <w:bookmarkStart w:id="39" w:name="_Toc38385254"/>
      <w:r>
        <w:rPr>
          <w:rFonts w:cs="Times New Roman"/>
          <w:szCs w:val="24"/>
        </w:rPr>
        <w:t>Komparace novel zákona č. 218/2000 Sb.</w:t>
      </w:r>
      <w:r w:rsidRPr="00452E50">
        <w:rPr>
          <w:rFonts w:cs="Times New Roman"/>
          <w:szCs w:val="24"/>
        </w:rPr>
        <w:t>, o rozpočtových pravidlech</w:t>
      </w:r>
      <w:bookmarkEnd w:id="39"/>
    </w:p>
    <w:p w:rsidR="00FD3641" w:rsidRDefault="00FE7933" w:rsidP="00FD3641">
      <w:r>
        <w:t>Tato</w:t>
      </w:r>
      <w:r w:rsidR="00221081">
        <w:t xml:space="preserve"> kapitol</w:t>
      </w:r>
      <w:r>
        <w:t>a</w:t>
      </w:r>
      <w:r w:rsidR="00221081">
        <w:t xml:space="preserve"> se bud</w:t>
      </w:r>
      <w:r>
        <w:t>e</w:t>
      </w:r>
      <w:r w:rsidR="00221081">
        <w:t xml:space="preserve"> zabývat nejdůležitějšími novel</w:t>
      </w:r>
      <w:r>
        <w:t xml:space="preserve">ami </w:t>
      </w:r>
      <w:r w:rsidR="00FD3641">
        <w:t xml:space="preserve">zákona </w:t>
      </w:r>
      <w:r w:rsidR="00221081">
        <w:t xml:space="preserve">č. 218/2000 Sb., </w:t>
      </w:r>
      <w:r w:rsidR="00FD3641">
        <w:t>o</w:t>
      </w:r>
      <w:r w:rsidR="00F825A9">
        <w:t> </w:t>
      </w:r>
      <w:r w:rsidR="00FD3641">
        <w:t>rozpočtových pravidlech</w:t>
      </w:r>
      <w:r w:rsidR="00221081">
        <w:t xml:space="preserve">. </w:t>
      </w:r>
      <w:r>
        <w:t>K</w:t>
      </w:r>
      <w:r w:rsidR="00221081">
        <w:t>ompar</w:t>
      </w:r>
      <w:r>
        <w:t>ována budou</w:t>
      </w:r>
      <w:r w:rsidR="00FD3641">
        <w:t xml:space="preserve"> pouze</w:t>
      </w:r>
      <w:r>
        <w:t xml:space="preserve"> </w:t>
      </w:r>
      <w:r w:rsidR="00FD3641">
        <w:t>ustanovení, kter</w:t>
      </w:r>
      <w:r>
        <w:t>á</w:t>
      </w:r>
      <w:r w:rsidR="00FD3641">
        <w:t xml:space="preserve"> mají vliv na</w:t>
      </w:r>
      <w:r w:rsidR="00C24930">
        <w:t> </w:t>
      </w:r>
      <w:r w:rsidR="00FD3641">
        <w:t>poskytování dotací nebo NFV</w:t>
      </w:r>
      <w:r w:rsidR="00482CFC">
        <w:t xml:space="preserve"> a </w:t>
      </w:r>
      <w:r>
        <w:t xml:space="preserve">na </w:t>
      </w:r>
      <w:r w:rsidR="00482CFC">
        <w:t>kontrolu</w:t>
      </w:r>
      <w:r w:rsidR="00F63F2B">
        <w:t xml:space="preserve"> prostředků poskytnutých touto formou</w:t>
      </w:r>
      <w:r>
        <w:t xml:space="preserve"> </w:t>
      </w:r>
      <w:r w:rsidR="00FD3641">
        <w:t xml:space="preserve">a s tím spojené případné konstatování </w:t>
      </w:r>
      <w:r w:rsidR="00880641">
        <w:t>PRK</w:t>
      </w:r>
      <w:r w:rsidR="00FD3641">
        <w:t>. Bude se tedy jednat o</w:t>
      </w:r>
      <w:r w:rsidR="00482CFC" w:rsidRPr="00482CFC">
        <w:t xml:space="preserve"> </w:t>
      </w:r>
      <w:r w:rsidR="00482CFC">
        <w:t>konkrétní dopady</w:t>
      </w:r>
      <w:r w:rsidR="00482CFC" w:rsidRPr="003373F0">
        <w:t xml:space="preserve"> změn</w:t>
      </w:r>
      <w:r w:rsidR="007207CA">
        <w:t xml:space="preserve"> týkajících</w:t>
      </w:r>
      <w:r w:rsidR="009D0733">
        <w:t xml:space="preserve"> se zejména </w:t>
      </w:r>
      <w:r w:rsidR="00FD3641" w:rsidRPr="00F42962">
        <w:rPr>
          <w:b/>
        </w:rPr>
        <w:t>ustanovení</w:t>
      </w:r>
      <w:r w:rsidR="00221081">
        <w:t xml:space="preserve"> </w:t>
      </w:r>
      <w:r w:rsidR="00FD3641" w:rsidRPr="00F42962">
        <w:rPr>
          <w:b/>
        </w:rPr>
        <w:t>§ 14</w:t>
      </w:r>
      <w:r w:rsidR="0009700D">
        <w:rPr>
          <w:b/>
        </w:rPr>
        <w:t>,</w:t>
      </w:r>
      <w:r w:rsidR="00FD3641" w:rsidRPr="00F42962">
        <w:rPr>
          <w:b/>
        </w:rPr>
        <w:t xml:space="preserve"> </w:t>
      </w:r>
      <w:r w:rsidR="00221D47" w:rsidRPr="00F42962">
        <w:rPr>
          <w:b/>
        </w:rPr>
        <w:t>§ 15</w:t>
      </w:r>
      <w:r w:rsidR="00F42962">
        <w:rPr>
          <w:b/>
        </w:rPr>
        <w:t>,</w:t>
      </w:r>
      <w:r w:rsidR="00221D47" w:rsidRPr="00F42962">
        <w:rPr>
          <w:b/>
        </w:rPr>
        <w:t xml:space="preserve"> </w:t>
      </w:r>
      <w:r w:rsidR="00FD3641" w:rsidRPr="00F42962">
        <w:rPr>
          <w:b/>
        </w:rPr>
        <w:t xml:space="preserve">§ 44 a </w:t>
      </w:r>
      <w:r w:rsidR="00221D47" w:rsidRPr="00F42962">
        <w:rPr>
          <w:b/>
        </w:rPr>
        <w:t xml:space="preserve">§ </w:t>
      </w:r>
      <w:r w:rsidR="00FD3641" w:rsidRPr="00F42962">
        <w:rPr>
          <w:b/>
        </w:rPr>
        <w:t>44a</w:t>
      </w:r>
      <w:r w:rsidR="00FD3641">
        <w:t>.</w:t>
      </w:r>
    </w:p>
    <w:p w:rsidR="006B7113" w:rsidRPr="001A1529" w:rsidRDefault="007212D6" w:rsidP="001A1529">
      <w:r>
        <w:t xml:space="preserve">Informace pro </w:t>
      </w:r>
      <w:r w:rsidR="00730727">
        <w:t>komparaci</w:t>
      </w:r>
      <w:r>
        <w:t xml:space="preserve"> </w:t>
      </w:r>
      <w:r w:rsidR="00AE3BA7">
        <w:t>jednotlivých novel zákona</w:t>
      </w:r>
      <w:r>
        <w:t xml:space="preserve"> budou čerpány z</w:t>
      </w:r>
      <w:r w:rsidR="00730727">
        <w:t xml:space="preserve"> </w:t>
      </w:r>
      <w:r>
        <w:t>programu ASPI. Jedná se o</w:t>
      </w:r>
      <w:r w:rsidR="00D3089D">
        <w:t> </w:t>
      </w:r>
      <w:r>
        <w:t xml:space="preserve">Automatizovaný systém právních informací, který </w:t>
      </w:r>
      <w:r w:rsidR="007207CA">
        <w:t>obsahuje</w:t>
      </w:r>
      <w:r>
        <w:t xml:space="preserve"> </w:t>
      </w:r>
      <w:r w:rsidR="001A1529" w:rsidRPr="001A1529">
        <w:t>všechny právní předpisy vydané na území ČR</w:t>
      </w:r>
      <w:r w:rsidR="001A1529">
        <w:t xml:space="preserve">, </w:t>
      </w:r>
      <w:r w:rsidR="001A1529" w:rsidRPr="001A1529">
        <w:t>E</w:t>
      </w:r>
      <w:r w:rsidR="001A1529">
        <w:t>U</w:t>
      </w:r>
      <w:r w:rsidR="001A1529" w:rsidRPr="001A1529">
        <w:t xml:space="preserve"> a Evropského společenství</w:t>
      </w:r>
      <w:r w:rsidR="001A1529">
        <w:t xml:space="preserve"> </w:t>
      </w:r>
      <w:r>
        <w:t xml:space="preserve">v aktualizovaných i dřívějších zněních. </w:t>
      </w:r>
    </w:p>
    <w:p w:rsidR="00F825A9" w:rsidRDefault="00F825A9">
      <w:pPr>
        <w:spacing w:after="200" w:line="276" w:lineRule="auto"/>
        <w:ind w:firstLine="0"/>
        <w:jc w:val="left"/>
        <w:rPr>
          <w:b/>
        </w:rPr>
      </w:pPr>
      <w:r>
        <w:br w:type="page"/>
      </w:r>
    </w:p>
    <w:p w:rsidR="00F477AC" w:rsidRPr="00F477AC" w:rsidRDefault="00221081" w:rsidP="00C52BF5">
      <w:pPr>
        <w:pStyle w:val="Tomik3"/>
        <w:numPr>
          <w:ilvl w:val="2"/>
          <w:numId w:val="1"/>
        </w:numPr>
        <w:ind w:left="851" w:hanging="851"/>
        <w:rPr>
          <w:szCs w:val="24"/>
        </w:rPr>
      </w:pPr>
      <w:bookmarkStart w:id="40" w:name="_Toc38385255"/>
      <w:r w:rsidRPr="00F477AC">
        <w:rPr>
          <w:szCs w:val="24"/>
        </w:rPr>
        <w:lastRenderedPageBreak/>
        <w:t>Novela ve znění zákona č. 479/2003 Sb., kterým se mění zákon o</w:t>
      </w:r>
      <w:r>
        <w:rPr>
          <w:szCs w:val="24"/>
        </w:rPr>
        <w:t> </w:t>
      </w:r>
      <w:r w:rsidRPr="00F477AC">
        <w:rPr>
          <w:szCs w:val="24"/>
        </w:rPr>
        <w:t xml:space="preserve">rozpočtových pravidlech (účinná od </w:t>
      </w:r>
      <w:r w:rsidR="00F477AC" w:rsidRPr="00F477AC">
        <w:rPr>
          <w:szCs w:val="24"/>
        </w:rPr>
        <w:t>1.</w:t>
      </w:r>
      <w:r w:rsidR="00F246B1">
        <w:rPr>
          <w:szCs w:val="24"/>
        </w:rPr>
        <w:t xml:space="preserve"> </w:t>
      </w:r>
      <w:r w:rsidR="00F477AC" w:rsidRPr="00F477AC">
        <w:rPr>
          <w:szCs w:val="24"/>
        </w:rPr>
        <w:t>1.</w:t>
      </w:r>
      <w:r w:rsidR="00F246B1">
        <w:rPr>
          <w:szCs w:val="24"/>
        </w:rPr>
        <w:t xml:space="preserve"> </w:t>
      </w:r>
      <w:r w:rsidR="00F477AC" w:rsidRPr="00F477AC">
        <w:rPr>
          <w:szCs w:val="24"/>
        </w:rPr>
        <w:t>2004</w:t>
      </w:r>
      <w:r>
        <w:rPr>
          <w:szCs w:val="24"/>
        </w:rPr>
        <w:t>)</w:t>
      </w:r>
      <w:r w:rsidR="00310F5B">
        <w:rPr>
          <w:rStyle w:val="Znakapoznpodarou"/>
          <w:szCs w:val="24"/>
        </w:rPr>
        <w:footnoteReference w:id="58"/>
      </w:r>
      <w:bookmarkEnd w:id="40"/>
    </w:p>
    <w:p w:rsidR="00D74C25" w:rsidRDefault="00A7221C" w:rsidP="00D74C25">
      <w:r w:rsidRPr="00833208">
        <w:t>Důvodem p</w:t>
      </w:r>
      <w:r w:rsidR="00806CB3" w:rsidRPr="00833208">
        <w:t xml:space="preserve">rvní </w:t>
      </w:r>
      <w:r w:rsidR="009C3C4A" w:rsidRPr="00833208">
        <w:t>větší</w:t>
      </w:r>
      <w:r w:rsidR="009C3C4A">
        <w:t xml:space="preserve"> </w:t>
      </w:r>
      <w:r>
        <w:t>novely</w:t>
      </w:r>
      <w:r w:rsidR="00A112F8">
        <w:t xml:space="preserve"> </w:t>
      </w:r>
      <w:r>
        <w:t xml:space="preserve">zákona o rozpočtových pravidlech byl vstup ČR do Evropské unie. </w:t>
      </w:r>
      <w:r w:rsidR="001F39F8">
        <w:t>N</w:t>
      </w:r>
      <w:r w:rsidR="00A112F8">
        <w:t>ovela</w:t>
      </w:r>
      <w:r w:rsidR="00806CB3">
        <w:t xml:space="preserve"> </w:t>
      </w:r>
      <w:r w:rsidR="001F39F8">
        <w:t xml:space="preserve">zákona č. 479/2003 Sb. </w:t>
      </w:r>
      <w:r w:rsidR="00806CB3">
        <w:t xml:space="preserve">rozšířila </w:t>
      </w:r>
      <w:r w:rsidR="001F39F8">
        <w:t>povinnosti</w:t>
      </w:r>
      <w:r w:rsidR="00806CB3">
        <w:t xml:space="preserve"> týkající </w:t>
      </w:r>
      <w:r w:rsidR="004D0273">
        <w:t xml:space="preserve">se </w:t>
      </w:r>
      <w:r w:rsidR="009D0733">
        <w:t>poskytování dotací a NFV</w:t>
      </w:r>
      <w:r w:rsidR="009C3C4A">
        <w:t xml:space="preserve">. </w:t>
      </w:r>
      <w:r w:rsidR="00117EE2">
        <w:t xml:space="preserve">V této novelizaci rozpočtových pravidel </w:t>
      </w:r>
      <w:r w:rsidR="00833208">
        <w:t xml:space="preserve">byly provedeny </w:t>
      </w:r>
      <w:r w:rsidR="00D74C25">
        <w:t>následující změn</w:t>
      </w:r>
      <w:r w:rsidR="00484144">
        <w:t>y</w:t>
      </w:r>
      <w:r w:rsidR="00D74C25">
        <w:t>:</w:t>
      </w:r>
    </w:p>
    <w:p w:rsidR="00E963D0" w:rsidRDefault="00E963D0" w:rsidP="003E4E35">
      <w:pPr>
        <w:pStyle w:val="Odstavecseseznamem"/>
        <w:numPr>
          <w:ilvl w:val="0"/>
          <w:numId w:val="2"/>
        </w:numPr>
        <w:ind w:left="426" w:hanging="357"/>
      </w:pPr>
      <w:r>
        <w:t xml:space="preserve">doplnění střednědobého výhledu </w:t>
      </w:r>
      <w:r w:rsidR="00833208">
        <w:t xml:space="preserve">o </w:t>
      </w:r>
      <w:r w:rsidRPr="00E963D0">
        <w:t>výdaje na programy nebo projekty spolufinancované z</w:t>
      </w:r>
      <w:r w:rsidR="00D3089D">
        <w:t> </w:t>
      </w:r>
      <w:r w:rsidRPr="00E963D0">
        <w:t>rozpočtu Evropské unie</w:t>
      </w:r>
      <w:r w:rsidR="00833208">
        <w:t xml:space="preserve"> (§ 4 odst. 1),</w:t>
      </w:r>
    </w:p>
    <w:p w:rsidR="005038A9" w:rsidRPr="000053EC" w:rsidRDefault="005038A9" w:rsidP="003E4E35">
      <w:pPr>
        <w:pStyle w:val="Odstavecseseznamem"/>
        <w:numPr>
          <w:ilvl w:val="0"/>
          <w:numId w:val="2"/>
        </w:numPr>
        <w:ind w:left="426" w:hanging="357"/>
      </w:pPr>
      <w:r w:rsidRPr="000053EC">
        <w:t xml:space="preserve">rozšíření </w:t>
      </w:r>
      <w:r w:rsidR="009179BB" w:rsidRPr="000053EC">
        <w:t xml:space="preserve">o </w:t>
      </w:r>
      <w:r w:rsidR="000053EC" w:rsidRPr="000053EC">
        <w:t xml:space="preserve">úřady práce coby </w:t>
      </w:r>
      <w:r w:rsidR="009179BB" w:rsidRPr="000053EC">
        <w:t>dalšího poskytovatele dotace</w:t>
      </w:r>
      <w:r w:rsidRPr="000053EC">
        <w:t xml:space="preserve"> nebo NFV</w:t>
      </w:r>
      <w:r w:rsidR="000053EC" w:rsidRPr="000053EC">
        <w:t xml:space="preserve"> </w:t>
      </w:r>
      <w:r w:rsidRPr="000053EC">
        <w:t>(§ 14 odst. 2)</w:t>
      </w:r>
      <w:r w:rsidR="009179BB" w:rsidRPr="000053EC">
        <w:t>,</w:t>
      </w:r>
    </w:p>
    <w:p w:rsidR="00091650" w:rsidRPr="000053EC" w:rsidRDefault="009179BB" w:rsidP="003E4E35">
      <w:pPr>
        <w:pStyle w:val="Odstavecseseznamem"/>
        <w:numPr>
          <w:ilvl w:val="0"/>
          <w:numId w:val="2"/>
        </w:numPr>
        <w:ind w:left="426" w:hanging="357"/>
      </w:pPr>
      <w:r w:rsidRPr="000053EC">
        <w:rPr>
          <w:b/>
        </w:rPr>
        <w:t>povinnost poskytovatele rozdělit podmínk</w:t>
      </w:r>
      <w:r w:rsidR="00163819" w:rsidRPr="000053EC">
        <w:rPr>
          <w:b/>
        </w:rPr>
        <w:t>y</w:t>
      </w:r>
      <w:r w:rsidR="00091650" w:rsidRPr="000053EC">
        <w:t xml:space="preserve"> (§ 14 odst. 3)</w:t>
      </w:r>
      <w:r w:rsidR="004D0273" w:rsidRPr="000053EC">
        <w:t xml:space="preserve"> na</w:t>
      </w:r>
      <w:r w:rsidR="00091650" w:rsidRPr="000053EC">
        <w:t>:</w:t>
      </w:r>
    </w:p>
    <w:p w:rsidR="00091650" w:rsidRDefault="009179BB" w:rsidP="003E4E35">
      <w:pPr>
        <w:pStyle w:val="Odstavecseseznamem"/>
        <w:numPr>
          <w:ilvl w:val="0"/>
          <w:numId w:val="2"/>
        </w:numPr>
        <w:ind w:left="782" w:hanging="357"/>
      </w:pPr>
      <w:r w:rsidRPr="00FD3641">
        <w:t>zásadní</w:t>
      </w:r>
      <w:r w:rsidR="00091650">
        <w:t xml:space="preserve"> (</w:t>
      </w:r>
      <w:r w:rsidR="00091650" w:rsidRPr="00091650">
        <w:t xml:space="preserve">odvod za </w:t>
      </w:r>
      <w:r w:rsidR="00091650">
        <w:t xml:space="preserve">PRK </w:t>
      </w:r>
      <w:r w:rsidR="00091650" w:rsidRPr="00091650">
        <w:t>ve stejné výši, v jaké byl</w:t>
      </w:r>
      <w:r w:rsidR="004D0273">
        <w:t>o</w:t>
      </w:r>
      <w:r w:rsidR="00091650">
        <w:t xml:space="preserve"> PRK)</w:t>
      </w:r>
      <w:r w:rsidR="00091650" w:rsidRPr="00091650">
        <w:t>,</w:t>
      </w:r>
    </w:p>
    <w:p w:rsidR="00091650" w:rsidRDefault="009179BB" w:rsidP="003E4E35">
      <w:pPr>
        <w:pStyle w:val="Odstavecseseznamem"/>
        <w:numPr>
          <w:ilvl w:val="0"/>
          <w:numId w:val="2"/>
        </w:numPr>
        <w:ind w:left="782" w:hanging="357"/>
      </w:pPr>
      <w:r w:rsidRPr="00FD3641">
        <w:t>méně závažné</w:t>
      </w:r>
      <w:r w:rsidR="00091650">
        <w:t xml:space="preserve"> (o</w:t>
      </w:r>
      <w:r w:rsidR="00091650" w:rsidRPr="00091650">
        <w:t xml:space="preserve">dvod za </w:t>
      </w:r>
      <w:r w:rsidR="00091650">
        <w:t xml:space="preserve">PRK </w:t>
      </w:r>
      <w:r w:rsidR="00091650" w:rsidRPr="00091650">
        <w:t>až do výše 5 % z celkové částky poskytnutých prostředků</w:t>
      </w:r>
      <w:r w:rsidR="00091650">
        <w:t>)</w:t>
      </w:r>
      <w:r w:rsidR="000053EC">
        <w:t>,</w:t>
      </w:r>
    </w:p>
    <w:p w:rsidR="009179BB" w:rsidRPr="00FD3641" w:rsidRDefault="00091650" w:rsidP="003E4E35">
      <w:pPr>
        <w:pStyle w:val="Odstavecseseznamem"/>
        <w:numPr>
          <w:ilvl w:val="0"/>
          <w:numId w:val="2"/>
        </w:numPr>
        <w:ind w:left="782" w:hanging="357"/>
      </w:pPr>
      <w:r>
        <w:t>v</w:t>
      </w:r>
      <w:r w:rsidR="009179BB">
        <w:t> případě ne</w:t>
      </w:r>
      <w:r w:rsidR="00416B19">
        <w:t xml:space="preserve">rozdělení podmínek </w:t>
      </w:r>
      <w:r w:rsidR="009179BB">
        <w:t xml:space="preserve">podléhají </w:t>
      </w:r>
      <w:r>
        <w:t xml:space="preserve">sankci </w:t>
      </w:r>
      <w:r w:rsidR="009179BB">
        <w:t>všechny podmínky v</w:t>
      </w:r>
      <w:r>
        <w:t> </w:t>
      </w:r>
      <w:r w:rsidR="009179BB">
        <w:t>rozhodnutí</w:t>
      </w:r>
      <w:r>
        <w:t xml:space="preserve"> (</w:t>
      </w:r>
      <w:r w:rsidRPr="00091650">
        <w:t xml:space="preserve">odvod za </w:t>
      </w:r>
      <w:r>
        <w:t xml:space="preserve">PRK </w:t>
      </w:r>
      <w:r w:rsidRPr="00091650">
        <w:t>ve stejné výši, v jaké byl</w:t>
      </w:r>
      <w:r w:rsidR="004D0273">
        <w:t>o</w:t>
      </w:r>
      <w:r>
        <w:t xml:space="preserve"> PRK)</w:t>
      </w:r>
      <w:r w:rsidR="009179BB">
        <w:t>,</w:t>
      </w:r>
    </w:p>
    <w:p w:rsidR="00F477AC" w:rsidRPr="00FD3641" w:rsidRDefault="00F477AC" w:rsidP="003E4E35">
      <w:pPr>
        <w:pStyle w:val="Odstavecseseznamem"/>
        <w:numPr>
          <w:ilvl w:val="0"/>
          <w:numId w:val="2"/>
        </w:numPr>
        <w:ind w:left="426" w:hanging="357"/>
      </w:pPr>
      <w:r w:rsidRPr="00FD3641">
        <w:t>změna rozpočtového určení penále</w:t>
      </w:r>
      <w:r w:rsidR="00416B19">
        <w:t xml:space="preserve"> – u</w:t>
      </w:r>
      <w:r w:rsidR="00FF68E6">
        <w:t xml:space="preserve"> PRK</w:t>
      </w:r>
      <w:r w:rsidRPr="00FD3641">
        <w:t xml:space="preserve"> u prostředků</w:t>
      </w:r>
      <w:r w:rsidR="006E5308">
        <w:t xml:space="preserve"> poskytnutých</w:t>
      </w:r>
      <w:r w:rsidRPr="00FD3641">
        <w:t xml:space="preserve"> z</w:t>
      </w:r>
      <w:r w:rsidR="006E5308">
        <w:t> </w:t>
      </w:r>
      <w:r w:rsidRPr="00275A2C">
        <w:t>NF</w:t>
      </w:r>
      <w:r w:rsidR="00FF68E6">
        <w:t xml:space="preserve"> se</w:t>
      </w:r>
      <w:r w:rsidRPr="00FD3641">
        <w:t xml:space="preserve"> </w:t>
      </w:r>
      <w:r w:rsidR="00FF68E6">
        <w:t>p</w:t>
      </w:r>
      <w:r w:rsidRPr="00FD3641">
        <w:t xml:space="preserve">enále </w:t>
      </w:r>
      <w:r w:rsidR="00FF68E6">
        <w:t xml:space="preserve">místo do </w:t>
      </w:r>
      <w:r w:rsidR="00C532CA">
        <w:t>SR</w:t>
      </w:r>
      <w:r w:rsidR="00021E78">
        <w:t xml:space="preserve"> </w:t>
      </w:r>
      <w:r w:rsidR="00FF68E6">
        <w:t>uklád</w:t>
      </w:r>
      <w:r w:rsidR="00416B19">
        <w:t>á</w:t>
      </w:r>
      <w:r w:rsidR="00FF68E6">
        <w:t xml:space="preserve"> do NF </w:t>
      </w:r>
      <w:r w:rsidR="00021E78">
        <w:t xml:space="preserve">(§ </w:t>
      </w:r>
      <w:r w:rsidR="00C532CA">
        <w:t xml:space="preserve">38 </w:t>
      </w:r>
      <w:r w:rsidR="00021E78">
        <w:t xml:space="preserve">odst. </w:t>
      </w:r>
      <w:r w:rsidR="00781040">
        <w:t>2</w:t>
      </w:r>
      <w:r w:rsidR="00021E78">
        <w:t>)</w:t>
      </w:r>
      <w:r w:rsidR="00966B30">
        <w:t>,</w:t>
      </w:r>
    </w:p>
    <w:p w:rsidR="00F477AC" w:rsidRPr="00781040" w:rsidRDefault="00880641" w:rsidP="003E4E35">
      <w:pPr>
        <w:pStyle w:val="Odstavecseseznamem"/>
        <w:numPr>
          <w:ilvl w:val="0"/>
          <w:numId w:val="2"/>
        </w:numPr>
        <w:ind w:left="426" w:hanging="357"/>
      </w:pPr>
      <w:r w:rsidRPr="00781040">
        <w:t>u</w:t>
      </w:r>
      <w:r w:rsidR="00F477AC" w:rsidRPr="00781040">
        <w:t xml:space="preserve">kládání odvodů u NFV pouze </w:t>
      </w:r>
      <w:r w:rsidR="00781040">
        <w:t xml:space="preserve">do výše </w:t>
      </w:r>
      <w:r w:rsidR="00F477AC" w:rsidRPr="00781040">
        <w:t>ne</w:t>
      </w:r>
      <w:r w:rsidR="00781040">
        <w:t>splacené</w:t>
      </w:r>
      <w:r w:rsidR="00F477AC" w:rsidRPr="00781040">
        <w:t xml:space="preserve"> část</w:t>
      </w:r>
      <w:r w:rsidR="00781040">
        <w:t>i (před novelou z částky PRK), ale</w:t>
      </w:r>
      <w:r w:rsidR="00D3089D">
        <w:t> </w:t>
      </w:r>
      <w:r w:rsidR="00F477AC" w:rsidRPr="00781040">
        <w:t xml:space="preserve">penále </w:t>
      </w:r>
      <w:r w:rsidR="00781040">
        <w:t>se počítá</w:t>
      </w:r>
      <w:r w:rsidR="00F477AC" w:rsidRPr="00781040">
        <w:t xml:space="preserve"> z celé částky PRK</w:t>
      </w:r>
      <w:r w:rsidR="00781040" w:rsidRPr="00781040">
        <w:t xml:space="preserve"> (§ 44 odst. 2)</w:t>
      </w:r>
      <w:r w:rsidR="00966B30" w:rsidRPr="00781040">
        <w:t>,</w:t>
      </w:r>
    </w:p>
    <w:p w:rsidR="00540F94" w:rsidRDefault="00540F94" w:rsidP="003E4E35">
      <w:pPr>
        <w:pStyle w:val="Odstavecseseznamem"/>
        <w:numPr>
          <w:ilvl w:val="0"/>
          <w:numId w:val="2"/>
        </w:numPr>
        <w:ind w:left="426" w:hanging="357"/>
      </w:pPr>
      <w:r w:rsidRPr="00540F94">
        <w:t>úprava pojmu neoprávněné použití (§ 44 odst. 3)</w:t>
      </w:r>
      <w:r w:rsidR="00416B19">
        <w:t xml:space="preserve"> – n</w:t>
      </w:r>
      <w:r w:rsidRPr="00540F94">
        <w:t>ově je PRK i porušení podmínek podle</w:t>
      </w:r>
      <w:r w:rsidR="00060A5A">
        <w:t> </w:t>
      </w:r>
      <w:r w:rsidRPr="00540F94">
        <w:t xml:space="preserve">§ 14 odst. 3 </w:t>
      </w:r>
      <w:r w:rsidR="006A5FF0">
        <w:t xml:space="preserve">písm. </w:t>
      </w:r>
      <w:r w:rsidRPr="00540F94">
        <w:t>b), nikoliv jen výdej prostředků</w:t>
      </w:r>
      <w:r>
        <w:t>,</w:t>
      </w:r>
    </w:p>
    <w:p w:rsidR="00F477AC" w:rsidRPr="00781040" w:rsidRDefault="00880641" w:rsidP="003E4E35">
      <w:pPr>
        <w:pStyle w:val="Odstavecseseznamem"/>
        <w:numPr>
          <w:ilvl w:val="0"/>
          <w:numId w:val="2"/>
        </w:numPr>
        <w:ind w:left="426" w:hanging="357"/>
      </w:pPr>
      <w:r w:rsidRPr="00781040">
        <w:t>n</w:t>
      </w:r>
      <w:r w:rsidR="00F477AC" w:rsidRPr="00781040">
        <w:t>ová sankce</w:t>
      </w:r>
      <w:r w:rsidRPr="00781040">
        <w:t xml:space="preserve"> u</w:t>
      </w:r>
      <w:r w:rsidR="00F477AC" w:rsidRPr="00781040">
        <w:t xml:space="preserve"> prostředků </w:t>
      </w:r>
      <w:r w:rsidR="00540F94">
        <w:t xml:space="preserve">poskytnutých </w:t>
      </w:r>
      <w:r w:rsidR="00F477AC" w:rsidRPr="00781040">
        <w:t>čistě ze SR až do výše 5</w:t>
      </w:r>
      <w:r w:rsidR="00416B19">
        <w:t xml:space="preserve"> </w:t>
      </w:r>
      <w:r w:rsidR="00F477AC" w:rsidRPr="00781040">
        <w:t>% z poskytnuté částky</w:t>
      </w:r>
      <w:r w:rsidR="00416B19">
        <w:t>;</w:t>
      </w:r>
      <w:r w:rsidR="00540F94">
        <w:t xml:space="preserve"> </w:t>
      </w:r>
      <w:r w:rsidR="00416B19">
        <w:t>p</w:t>
      </w:r>
      <w:r w:rsidR="00781040" w:rsidRPr="00781040">
        <w:t xml:space="preserve">enále </w:t>
      </w:r>
      <w:r w:rsidR="00540F94">
        <w:t xml:space="preserve">se </w:t>
      </w:r>
      <w:r w:rsidR="00F477AC" w:rsidRPr="00781040">
        <w:t>u</w:t>
      </w:r>
      <w:r w:rsidR="00781040">
        <w:t xml:space="preserve"> </w:t>
      </w:r>
      <w:r w:rsidR="00F477AC" w:rsidRPr="00781040">
        <w:t>méně zásadních podmínek</w:t>
      </w:r>
      <w:r w:rsidR="00A22FBC" w:rsidRPr="00781040">
        <w:t xml:space="preserve"> neukládá (§ 44 odst. 3)</w:t>
      </w:r>
      <w:r w:rsidR="00966B30" w:rsidRPr="00781040">
        <w:t>,</w:t>
      </w:r>
    </w:p>
    <w:p w:rsidR="00FB0BA7" w:rsidRDefault="00F645F1" w:rsidP="003E4E35">
      <w:pPr>
        <w:pStyle w:val="Odstavecseseznamem"/>
        <w:numPr>
          <w:ilvl w:val="0"/>
          <w:numId w:val="2"/>
        </w:numPr>
        <w:ind w:left="426" w:hanging="357"/>
      </w:pPr>
      <w:r>
        <w:t>F</w:t>
      </w:r>
      <w:r w:rsidR="006A5FF0">
        <w:t>inanční</w:t>
      </w:r>
      <w:r w:rsidR="00880641">
        <w:t xml:space="preserve"> ředitelství </w:t>
      </w:r>
      <w:r w:rsidR="000B76C6">
        <w:t xml:space="preserve">má </w:t>
      </w:r>
      <w:r w:rsidR="00456DC7">
        <w:t xml:space="preserve">v kompetenci promíjení </w:t>
      </w:r>
      <w:r w:rsidR="006A5FF0">
        <w:t>pouze u odvodu za PRK</w:t>
      </w:r>
      <w:r w:rsidR="006E5308">
        <w:t xml:space="preserve"> </w:t>
      </w:r>
      <w:r w:rsidR="00636E3F">
        <w:t>až do</w:t>
      </w:r>
      <w:r w:rsidR="006E5308">
        <w:t xml:space="preserve"> výše 5</w:t>
      </w:r>
      <w:r w:rsidR="00E66424">
        <w:t> </w:t>
      </w:r>
      <w:r w:rsidR="006E5308">
        <w:t xml:space="preserve">% </w:t>
      </w:r>
      <w:r w:rsidR="00636E3F">
        <w:t>z</w:t>
      </w:r>
      <w:r w:rsidR="00456DC7">
        <w:t> celkového odvodu, nad 5 % ministerstvo</w:t>
      </w:r>
      <w:r w:rsidR="00636E3F">
        <w:t xml:space="preserve"> </w:t>
      </w:r>
      <w:r w:rsidR="006E5308">
        <w:t>(§ 44 odst. 6)</w:t>
      </w:r>
      <w:r w:rsidR="00B46776">
        <w:t>. P</w:t>
      </w:r>
      <w:r w:rsidR="00456DC7">
        <w:t>řed novelou mohlo rozhodovat Finanční ředitelství jen v </w:t>
      </w:r>
      <w:r w:rsidR="00456DC7" w:rsidRPr="00FA66EB">
        <w:rPr>
          <w:b/>
        </w:rPr>
        <w:t>odůvodněných</w:t>
      </w:r>
      <w:r w:rsidR="00456DC7">
        <w:t xml:space="preserve"> případech u</w:t>
      </w:r>
      <w:r w:rsidR="00781040">
        <w:t xml:space="preserve"> žádostí o</w:t>
      </w:r>
      <w:r w:rsidR="00456DC7">
        <w:t xml:space="preserve"> prominutí </w:t>
      </w:r>
      <w:r w:rsidR="00BA5F69">
        <w:t xml:space="preserve">odvodu </w:t>
      </w:r>
      <w:r w:rsidR="006A5FF0">
        <w:t xml:space="preserve">nebo penále </w:t>
      </w:r>
      <w:r w:rsidR="00456DC7">
        <w:t xml:space="preserve">do </w:t>
      </w:r>
      <w:r w:rsidR="00FA66EB">
        <w:t xml:space="preserve">výše </w:t>
      </w:r>
      <w:r w:rsidR="00456DC7">
        <w:t xml:space="preserve">5 mil. Kč, </w:t>
      </w:r>
      <w:r w:rsidR="00FB0BA7">
        <w:t xml:space="preserve">v ostatních případech </w:t>
      </w:r>
      <w:r w:rsidR="00456DC7">
        <w:t>rozhodovalo ministerstvo</w:t>
      </w:r>
      <w:r>
        <w:t>,</w:t>
      </w:r>
    </w:p>
    <w:p w:rsidR="00880641" w:rsidRPr="00FD3641" w:rsidRDefault="00FB0BA7" w:rsidP="003E4E35">
      <w:pPr>
        <w:pStyle w:val="Odstavecseseznamem"/>
        <w:numPr>
          <w:ilvl w:val="0"/>
          <w:numId w:val="2"/>
        </w:numPr>
        <w:ind w:left="426" w:hanging="357"/>
      </w:pPr>
      <w:r>
        <w:t>nelze prominout</w:t>
      </w:r>
      <w:r w:rsidR="00965078">
        <w:t xml:space="preserve"> odvod a penále</w:t>
      </w:r>
      <w:r>
        <w:t xml:space="preserve"> u prostředků poskytnutých z rozpočtu EU (§ 44 odst.</w:t>
      </w:r>
      <w:r w:rsidR="00965078">
        <w:t> </w:t>
      </w:r>
      <w:r>
        <w:t>6)</w:t>
      </w:r>
      <w:r w:rsidR="00456DC7">
        <w:t>.</w:t>
      </w:r>
    </w:p>
    <w:p w:rsidR="00F477AC" w:rsidRPr="00F477AC" w:rsidRDefault="00221081" w:rsidP="00C52BF5">
      <w:pPr>
        <w:pStyle w:val="Tomik3"/>
        <w:numPr>
          <w:ilvl w:val="2"/>
          <w:numId w:val="1"/>
        </w:numPr>
        <w:ind w:left="851" w:hanging="851"/>
        <w:rPr>
          <w:szCs w:val="24"/>
        </w:rPr>
      </w:pPr>
      <w:bookmarkStart w:id="41" w:name="_Toc38385256"/>
      <w:r w:rsidRPr="00F477AC">
        <w:rPr>
          <w:szCs w:val="24"/>
        </w:rPr>
        <w:lastRenderedPageBreak/>
        <w:t xml:space="preserve">Novela ve znění zákona </w:t>
      </w:r>
      <w:r w:rsidR="00F477AC" w:rsidRPr="00F477AC">
        <w:rPr>
          <w:szCs w:val="24"/>
        </w:rPr>
        <w:t>č. 482/2004 Sb.</w:t>
      </w:r>
      <w:r w:rsidR="00880641" w:rsidRPr="00F477AC">
        <w:rPr>
          <w:szCs w:val="24"/>
        </w:rPr>
        <w:t xml:space="preserve">, </w:t>
      </w:r>
      <w:r w:rsidRPr="00F477AC">
        <w:rPr>
          <w:szCs w:val="24"/>
        </w:rPr>
        <w:t>kterým se mění zákon o</w:t>
      </w:r>
      <w:r>
        <w:rPr>
          <w:szCs w:val="24"/>
        </w:rPr>
        <w:t> </w:t>
      </w:r>
      <w:r w:rsidRPr="00F477AC">
        <w:rPr>
          <w:szCs w:val="24"/>
        </w:rPr>
        <w:t>rozpočtových pravidlech (</w:t>
      </w:r>
      <w:r w:rsidR="00880641" w:rsidRPr="00F477AC">
        <w:rPr>
          <w:szCs w:val="24"/>
        </w:rPr>
        <w:t>ú</w:t>
      </w:r>
      <w:r w:rsidR="00F477AC" w:rsidRPr="00F477AC">
        <w:rPr>
          <w:szCs w:val="24"/>
        </w:rPr>
        <w:t>činn</w:t>
      </w:r>
      <w:r>
        <w:rPr>
          <w:szCs w:val="24"/>
        </w:rPr>
        <w:t>á</w:t>
      </w:r>
      <w:r w:rsidR="00F477AC" w:rsidRPr="00F477AC">
        <w:rPr>
          <w:szCs w:val="24"/>
        </w:rPr>
        <w:t xml:space="preserve"> od 7. 9. 2004</w:t>
      </w:r>
      <w:r>
        <w:rPr>
          <w:szCs w:val="24"/>
        </w:rPr>
        <w:t>)</w:t>
      </w:r>
      <w:r w:rsidR="00310F5B">
        <w:rPr>
          <w:rStyle w:val="Znakapoznpodarou"/>
          <w:szCs w:val="24"/>
        </w:rPr>
        <w:footnoteReference w:id="59"/>
      </w:r>
      <w:bookmarkEnd w:id="41"/>
    </w:p>
    <w:p w:rsidR="00806CB3" w:rsidRPr="00806CB3" w:rsidRDefault="00806CB3" w:rsidP="00806CB3">
      <w:r w:rsidRPr="00806CB3">
        <w:t>Ve stejném roce byla</w:t>
      </w:r>
      <w:r>
        <w:t xml:space="preserve"> schválena další novela zákona o rozpočtových pravidlech, která zasáhla do povinností poskytovatele a </w:t>
      </w:r>
      <w:r w:rsidR="00F645F1">
        <w:t xml:space="preserve">do </w:t>
      </w:r>
      <w:r>
        <w:t xml:space="preserve">postupu finančních úřadů. </w:t>
      </w:r>
      <w:r w:rsidR="00147B5D">
        <w:t xml:space="preserve">Důležité bylo rozšíření </w:t>
      </w:r>
      <w:r w:rsidR="00F645F1">
        <w:t>u</w:t>
      </w:r>
      <w:r w:rsidR="00F825A9">
        <w:t> </w:t>
      </w:r>
      <w:r w:rsidR="00147B5D">
        <w:t>kapitoly porušení rozpočtové kázně o ustanovení § 44a. Nově rozpočtov</w:t>
      </w:r>
      <w:r w:rsidR="0009700D">
        <w:t>á</w:t>
      </w:r>
      <w:r w:rsidR="00147B5D">
        <w:t xml:space="preserve"> pravidla obsahovala</w:t>
      </w:r>
      <w:r>
        <w:t>:</w:t>
      </w:r>
    </w:p>
    <w:p w:rsidR="00F477AC" w:rsidRDefault="00221081" w:rsidP="003E4E35">
      <w:pPr>
        <w:pStyle w:val="Odstavecseseznamem"/>
        <w:numPr>
          <w:ilvl w:val="0"/>
          <w:numId w:val="2"/>
        </w:numPr>
        <w:ind w:left="426" w:hanging="357"/>
      </w:pPr>
      <w:r w:rsidRPr="00124692">
        <w:rPr>
          <w:b/>
        </w:rPr>
        <w:t>n</w:t>
      </w:r>
      <w:r w:rsidR="00F477AC" w:rsidRPr="00124692">
        <w:rPr>
          <w:b/>
        </w:rPr>
        <w:t>ové základní náležitosti rozhodnutí</w:t>
      </w:r>
      <w:r w:rsidR="00F477AC" w:rsidRPr="00E0747B">
        <w:t xml:space="preserve"> o poskytnutí dotace a NFV</w:t>
      </w:r>
      <w:r w:rsidR="0042742E">
        <w:t xml:space="preserve"> </w:t>
      </w:r>
      <w:r w:rsidR="00B37A27">
        <w:t>(§ 14 odst. 3)</w:t>
      </w:r>
      <w:r w:rsidR="0042742E">
        <w:t>:</w:t>
      </w:r>
    </w:p>
    <w:p w:rsidR="0042742E" w:rsidRDefault="0042742E" w:rsidP="006503EC">
      <w:pPr>
        <w:pStyle w:val="Odstavecseseznamem"/>
        <w:numPr>
          <w:ilvl w:val="0"/>
          <w:numId w:val="2"/>
        </w:numPr>
        <w:ind w:left="782" w:hanging="357"/>
      </w:pPr>
      <w:r>
        <w:t>poskytovaná částka,</w:t>
      </w:r>
    </w:p>
    <w:p w:rsidR="0042742E" w:rsidRDefault="0042742E" w:rsidP="006503EC">
      <w:pPr>
        <w:pStyle w:val="Odstavecseseznamem"/>
        <w:numPr>
          <w:ilvl w:val="0"/>
          <w:numId w:val="2"/>
        </w:numPr>
        <w:ind w:left="782" w:hanging="357"/>
      </w:pPr>
      <w:r>
        <w:t>lhůtu, kdy má být účelu dosaženo,</w:t>
      </w:r>
    </w:p>
    <w:p w:rsidR="007A38DF" w:rsidRDefault="007A38DF" w:rsidP="006503EC">
      <w:pPr>
        <w:pStyle w:val="Odstavecseseznamem"/>
        <w:numPr>
          <w:ilvl w:val="0"/>
          <w:numId w:val="2"/>
        </w:numPr>
        <w:ind w:left="782" w:hanging="357"/>
      </w:pPr>
      <w:r>
        <w:t>další podmínky, které musí příjemce dodržovat,</w:t>
      </w:r>
    </w:p>
    <w:p w:rsidR="0042742E" w:rsidRPr="00E970CC" w:rsidRDefault="0042742E" w:rsidP="006503EC">
      <w:pPr>
        <w:pStyle w:val="Odstavecseseznamem"/>
        <w:numPr>
          <w:ilvl w:val="0"/>
          <w:numId w:val="2"/>
        </w:numPr>
        <w:ind w:left="782" w:hanging="357"/>
      </w:pPr>
      <w:r w:rsidRPr="00E970CC">
        <w:t>den vydání rozhodnutí,</w:t>
      </w:r>
    </w:p>
    <w:p w:rsidR="00502800" w:rsidRPr="00E970CC" w:rsidRDefault="00221081" w:rsidP="003E4E35">
      <w:pPr>
        <w:pStyle w:val="Odstavecseseznamem"/>
        <w:numPr>
          <w:ilvl w:val="0"/>
          <w:numId w:val="2"/>
        </w:numPr>
        <w:ind w:left="426" w:hanging="357"/>
      </w:pPr>
      <w:r w:rsidRPr="00E970CC">
        <w:rPr>
          <w:b/>
        </w:rPr>
        <w:t>n</w:t>
      </w:r>
      <w:r w:rsidR="00F477AC" w:rsidRPr="00E970CC">
        <w:rPr>
          <w:b/>
        </w:rPr>
        <w:t xml:space="preserve">ové postupy stanovení </w:t>
      </w:r>
      <w:r w:rsidR="00067556" w:rsidRPr="00E970CC">
        <w:rPr>
          <w:b/>
        </w:rPr>
        <w:t>podmínek</w:t>
      </w:r>
      <w:r w:rsidR="007A38DF" w:rsidRPr="00E970CC">
        <w:t xml:space="preserve"> poskytovatelem</w:t>
      </w:r>
      <w:r w:rsidR="00067556" w:rsidRPr="00E970CC">
        <w:t xml:space="preserve"> </w:t>
      </w:r>
      <w:r w:rsidR="007A38DF" w:rsidRPr="00E970CC">
        <w:t xml:space="preserve">v rozhodnutí </w:t>
      </w:r>
      <w:r w:rsidR="006503EC" w:rsidRPr="00E970CC">
        <w:t>o poskytnutí dotace</w:t>
      </w:r>
      <w:r w:rsidR="004A0F50">
        <w:t> </w:t>
      </w:r>
      <w:r w:rsidR="00124692" w:rsidRPr="00E970CC">
        <w:t>(§</w:t>
      </w:r>
      <w:r w:rsidR="004160E1">
        <w:t> </w:t>
      </w:r>
      <w:r w:rsidR="00124692" w:rsidRPr="00E970CC">
        <w:t>14)</w:t>
      </w:r>
      <w:r w:rsidR="00067556" w:rsidRPr="00E970CC">
        <w:t>:</w:t>
      </w:r>
    </w:p>
    <w:p w:rsidR="00502800" w:rsidRPr="00E970CC" w:rsidRDefault="005B771E" w:rsidP="006503EC">
      <w:pPr>
        <w:pStyle w:val="Odstavecseseznamem"/>
        <w:numPr>
          <w:ilvl w:val="0"/>
          <w:numId w:val="2"/>
        </w:numPr>
        <w:ind w:left="782" w:hanging="357"/>
      </w:pPr>
      <w:r w:rsidRPr="00E970CC">
        <w:t xml:space="preserve">pokud </w:t>
      </w:r>
      <w:r w:rsidR="006503EC" w:rsidRPr="00E970CC">
        <w:t xml:space="preserve">rozhodnutí </w:t>
      </w:r>
      <w:r w:rsidR="007A38DF" w:rsidRPr="00E970CC">
        <w:t>neobsahuj</w:t>
      </w:r>
      <w:r w:rsidR="006503EC" w:rsidRPr="00E970CC">
        <w:t>e</w:t>
      </w:r>
      <w:r w:rsidR="007A38DF" w:rsidRPr="00E970CC">
        <w:t xml:space="preserve"> prostředky z</w:t>
      </w:r>
      <w:r w:rsidRPr="00E970CC">
        <w:t> </w:t>
      </w:r>
      <w:r w:rsidR="007A38DF" w:rsidRPr="00E970CC">
        <w:t>EU</w:t>
      </w:r>
      <w:r w:rsidRPr="00E970CC">
        <w:t xml:space="preserve">, může </w:t>
      </w:r>
      <w:r w:rsidR="006503EC" w:rsidRPr="00E970CC">
        <w:t xml:space="preserve">poskytovatel </w:t>
      </w:r>
      <w:r w:rsidR="00E970CC">
        <w:t xml:space="preserve">v rozhodnutí </w:t>
      </w:r>
      <w:r w:rsidRPr="00E970CC">
        <w:t>uvést méně závažné podmínky</w:t>
      </w:r>
      <w:r w:rsidR="007A38DF" w:rsidRPr="00E970CC">
        <w:t xml:space="preserve"> (§</w:t>
      </w:r>
      <w:r w:rsidRPr="00E970CC">
        <w:t> </w:t>
      </w:r>
      <w:r w:rsidR="007A38DF" w:rsidRPr="00E970CC">
        <w:t>14</w:t>
      </w:r>
      <w:r w:rsidRPr="00E970CC">
        <w:t> </w:t>
      </w:r>
      <w:r w:rsidR="007A38DF" w:rsidRPr="00E970CC">
        <w:t>odst.</w:t>
      </w:r>
      <w:r w:rsidRPr="00E970CC">
        <w:t> </w:t>
      </w:r>
      <w:r w:rsidR="007A38DF" w:rsidRPr="00E970CC">
        <w:t>5)</w:t>
      </w:r>
      <w:r w:rsidR="00A901DF" w:rsidRPr="00E970CC">
        <w:t>,</w:t>
      </w:r>
    </w:p>
    <w:p w:rsidR="00F477AC" w:rsidRDefault="005B771E" w:rsidP="006503EC">
      <w:pPr>
        <w:pStyle w:val="Odstavecseseznamem"/>
        <w:numPr>
          <w:ilvl w:val="0"/>
          <w:numId w:val="2"/>
        </w:numPr>
        <w:ind w:left="782" w:hanging="357"/>
      </w:pPr>
      <w:r>
        <w:t xml:space="preserve">jestliže se jedná o </w:t>
      </w:r>
      <w:r w:rsidR="00F477AC" w:rsidRPr="00E0747B">
        <w:t xml:space="preserve">prostředky </w:t>
      </w:r>
      <w:r w:rsidR="00502800">
        <w:t>z</w:t>
      </w:r>
      <w:r>
        <w:t> </w:t>
      </w:r>
      <w:r w:rsidR="00F477AC" w:rsidRPr="00E0747B">
        <w:t>EU</w:t>
      </w:r>
      <w:r>
        <w:t xml:space="preserve">, může </w:t>
      </w:r>
      <w:r w:rsidR="00E970CC">
        <w:t xml:space="preserve">poskytovatel </w:t>
      </w:r>
      <w:r w:rsidR="00025C47">
        <w:t>uvést</w:t>
      </w:r>
      <w:r>
        <w:t xml:space="preserve"> </w:t>
      </w:r>
      <w:r w:rsidR="00025C47">
        <w:t>i další podmínky</w:t>
      </w:r>
      <w:r w:rsidR="00B31044">
        <w:t xml:space="preserve"> </w:t>
      </w:r>
      <w:r w:rsidR="00534F7B">
        <w:t xml:space="preserve">podle ustanovení </w:t>
      </w:r>
      <w:r w:rsidR="00B31044">
        <w:t xml:space="preserve">§ 14 odst. </w:t>
      </w:r>
      <w:r w:rsidR="00534F7B">
        <w:t>3</w:t>
      </w:r>
      <w:r w:rsidR="00B31044">
        <w:t xml:space="preserve"> písm</w:t>
      </w:r>
      <w:r w:rsidR="00534F7B">
        <w:t>.</w:t>
      </w:r>
      <w:r w:rsidR="00B31044">
        <w:t xml:space="preserve"> </w:t>
      </w:r>
      <w:r w:rsidR="00534F7B">
        <w:t>g)</w:t>
      </w:r>
      <w:r w:rsidR="007A38DF">
        <w:t xml:space="preserve">, které </w:t>
      </w:r>
      <w:r w:rsidR="00E970CC">
        <w:t xml:space="preserve">budou </w:t>
      </w:r>
      <w:r w:rsidR="007A38DF">
        <w:t xml:space="preserve">při nesplnění </w:t>
      </w:r>
      <w:r>
        <w:t>postiženy odvodem nižším</w:t>
      </w:r>
      <w:r w:rsidR="00E970CC">
        <w:t>,</w:t>
      </w:r>
      <w:r>
        <w:t xml:space="preserve"> než je</w:t>
      </w:r>
      <w:r w:rsidR="00806CB3">
        <w:t xml:space="preserve"> </w:t>
      </w:r>
      <w:r>
        <w:t>celková částka</w:t>
      </w:r>
      <w:r w:rsidR="00806CB3">
        <w:t xml:space="preserve"> dotace</w:t>
      </w:r>
      <w:r w:rsidR="00B46776">
        <w:t>. P</w:t>
      </w:r>
      <w:r w:rsidR="00806CB3">
        <w:t xml:space="preserve">okud </w:t>
      </w:r>
      <w:r w:rsidR="00E970CC">
        <w:t xml:space="preserve">poskytovatel </w:t>
      </w:r>
      <w:r w:rsidR="00806CB3">
        <w:t>stanoví i méně závažné</w:t>
      </w:r>
      <w:r w:rsidR="0042742E">
        <w:t xml:space="preserve"> podmínk</w:t>
      </w:r>
      <w:r w:rsidR="00806CB3">
        <w:t>y,</w:t>
      </w:r>
      <w:r w:rsidR="004D212B">
        <w:t xml:space="preserve"> musí </w:t>
      </w:r>
      <w:r w:rsidR="00025C47">
        <w:t>určit</w:t>
      </w:r>
      <w:r w:rsidR="004D212B">
        <w:t xml:space="preserve">, kolik </w:t>
      </w:r>
      <w:r w:rsidR="002C6DC0">
        <w:t xml:space="preserve">procent </w:t>
      </w:r>
      <w:r w:rsidR="00E970CC">
        <w:t xml:space="preserve">z celkové částky dotace </w:t>
      </w:r>
      <w:r w:rsidR="00067556">
        <w:t xml:space="preserve">bude </w:t>
      </w:r>
      <w:r w:rsidR="00E970CC">
        <w:t xml:space="preserve">činit odvod </w:t>
      </w:r>
      <w:r w:rsidR="00806CB3">
        <w:t xml:space="preserve">při </w:t>
      </w:r>
      <w:r w:rsidR="00E970CC">
        <w:t>jejich nesplnění</w:t>
      </w:r>
      <w:r w:rsidR="00806CB3">
        <w:t xml:space="preserve"> </w:t>
      </w:r>
      <w:r w:rsidR="004D212B">
        <w:t>(§</w:t>
      </w:r>
      <w:r w:rsidR="00B31044">
        <w:t> </w:t>
      </w:r>
      <w:r w:rsidR="004D212B">
        <w:t>14 odst. 6),</w:t>
      </w:r>
    </w:p>
    <w:p w:rsidR="004D212B" w:rsidRPr="00E0747B" w:rsidRDefault="004D212B" w:rsidP="003E4E35">
      <w:pPr>
        <w:pStyle w:val="Odstavecseseznamem"/>
        <w:numPr>
          <w:ilvl w:val="0"/>
          <w:numId w:val="2"/>
        </w:numPr>
        <w:ind w:left="426" w:hanging="357"/>
      </w:pPr>
      <w:r w:rsidRPr="0036010B">
        <w:rPr>
          <w:b/>
        </w:rPr>
        <w:t>povinnost</w:t>
      </w:r>
      <w:r>
        <w:t xml:space="preserve"> poskytovatele zadávat informace o poskytnutých dotacích a NFV do centrálního registru (§ 14 odst. 10), </w:t>
      </w:r>
    </w:p>
    <w:p w:rsidR="00F477AC" w:rsidRPr="00E0747B" w:rsidRDefault="00766D2B" w:rsidP="003E4E35">
      <w:pPr>
        <w:pStyle w:val="Odstavecseseznamem"/>
        <w:numPr>
          <w:ilvl w:val="0"/>
          <w:numId w:val="2"/>
        </w:numPr>
        <w:ind w:left="426" w:hanging="357"/>
      </w:pPr>
      <w:r>
        <w:rPr>
          <w:b/>
        </w:rPr>
        <w:t>změnu</w:t>
      </w:r>
      <w:r w:rsidR="00F477AC" w:rsidRPr="00E0747B">
        <w:t xml:space="preserve"> </w:t>
      </w:r>
      <w:r w:rsidR="0036010B" w:rsidRPr="0036010B">
        <w:rPr>
          <w:b/>
        </w:rPr>
        <w:t xml:space="preserve">určení </w:t>
      </w:r>
      <w:r w:rsidR="00F477AC" w:rsidRPr="0036010B">
        <w:rPr>
          <w:b/>
        </w:rPr>
        <w:t>rozpočtové</w:t>
      </w:r>
      <w:r w:rsidR="0036010B" w:rsidRPr="0036010B">
        <w:rPr>
          <w:b/>
        </w:rPr>
        <w:t>ho</w:t>
      </w:r>
      <w:r w:rsidR="00F477AC" w:rsidRPr="0036010B">
        <w:rPr>
          <w:b/>
        </w:rPr>
        <w:t xml:space="preserve"> penále</w:t>
      </w:r>
      <w:r w:rsidR="00F477AC" w:rsidRPr="00E0747B">
        <w:t xml:space="preserve"> za PRK</w:t>
      </w:r>
      <w:r w:rsidR="00C532CA">
        <w:t xml:space="preserve"> opět do </w:t>
      </w:r>
      <w:r w:rsidR="00E927E9">
        <w:t>SR</w:t>
      </w:r>
      <w:r w:rsidR="00F477AC" w:rsidRPr="00E0747B">
        <w:t xml:space="preserve"> </w:t>
      </w:r>
      <w:r w:rsidR="00A22AB1">
        <w:t>(§ 38</w:t>
      </w:r>
      <w:r w:rsidR="00C532CA">
        <w:t xml:space="preserve"> odst. 2</w:t>
      </w:r>
      <w:r w:rsidR="00A22AB1">
        <w:t>)</w:t>
      </w:r>
      <w:r w:rsidR="00B46776">
        <w:t>. P</w:t>
      </w:r>
      <w:r w:rsidR="00C532CA">
        <w:t xml:space="preserve">řed novelou </w:t>
      </w:r>
      <w:r w:rsidR="0036010B">
        <w:t>se</w:t>
      </w:r>
      <w:r w:rsidR="00F825A9">
        <w:t> </w:t>
      </w:r>
      <w:r w:rsidR="0036010B">
        <w:t xml:space="preserve">jednalo o </w:t>
      </w:r>
      <w:r w:rsidR="00C532CA">
        <w:t>příjem NF,</w:t>
      </w:r>
    </w:p>
    <w:p w:rsidR="00F477AC" w:rsidRPr="00E0747B" w:rsidRDefault="00221081" w:rsidP="003E4E35">
      <w:pPr>
        <w:pStyle w:val="Odstavecseseznamem"/>
        <w:numPr>
          <w:ilvl w:val="0"/>
          <w:numId w:val="2"/>
        </w:numPr>
        <w:ind w:left="426" w:hanging="357"/>
      </w:pPr>
      <w:r>
        <w:t>n</w:t>
      </w:r>
      <w:r w:rsidR="00766D2B">
        <w:t>ové</w:t>
      </w:r>
      <w:r w:rsidR="00F477AC" w:rsidRPr="00E0747B">
        <w:t xml:space="preserve"> rozčlenění prostředků </w:t>
      </w:r>
      <w:r w:rsidR="00E927E9">
        <w:t>SR</w:t>
      </w:r>
      <w:r w:rsidR="00C532CA">
        <w:t xml:space="preserve"> po</w:t>
      </w:r>
      <w:r w:rsidR="00F477AC" w:rsidRPr="00E0747B">
        <w:t>dle jejich původu – NF, EU, předfinancování atd.</w:t>
      </w:r>
      <w:r w:rsidR="00C532CA">
        <w:t xml:space="preserve"> (§</w:t>
      </w:r>
      <w:r w:rsidR="00E927E9">
        <w:t> </w:t>
      </w:r>
      <w:r w:rsidR="00C532CA">
        <w:t>44</w:t>
      </w:r>
      <w:r w:rsidR="004A0F50">
        <w:t> </w:t>
      </w:r>
      <w:r w:rsidR="00C532CA">
        <w:t>odst. 2)</w:t>
      </w:r>
      <w:r w:rsidR="00966B30">
        <w:t>,</w:t>
      </w:r>
    </w:p>
    <w:p w:rsidR="00E927E9" w:rsidRDefault="00E927E9" w:rsidP="003E4E35">
      <w:pPr>
        <w:pStyle w:val="Odstavecseseznamem"/>
        <w:numPr>
          <w:ilvl w:val="0"/>
          <w:numId w:val="2"/>
        </w:numPr>
        <w:ind w:left="426" w:hanging="357"/>
      </w:pPr>
      <w:r>
        <w:t xml:space="preserve">povinnost </w:t>
      </w:r>
      <w:r w:rsidR="00E970CC">
        <w:t>OSS</w:t>
      </w:r>
      <w:r>
        <w:t xml:space="preserve"> označit v rozhodnutí, odkud poskytované finanční prostředky obdržela (§</w:t>
      </w:r>
      <w:r w:rsidR="00F825A9">
        <w:t> </w:t>
      </w:r>
      <w:r>
        <w:t>44 odst. 4 a odst. 6),</w:t>
      </w:r>
    </w:p>
    <w:p w:rsidR="00E927E9" w:rsidRDefault="00FB0BA7" w:rsidP="003E4E35">
      <w:pPr>
        <w:pStyle w:val="Odstavecseseznamem"/>
        <w:numPr>
          <w:ilvl w:val="0"/>
          <w:numId w:val="2"/>
        </w:numPr>
        <w:ind w:left="426" w:hanging="357"/>
      </w:pPr>
      <w:r w:rsidRPr="00124692">
        <w:rPr>
          <w:b/>
        </w:rPr>
        <w:t>nov</w:t>
      </w:r>
      <w:r w:rsidR="00E970CC">
        <w:rPr>
          <w:b/>
        </w:rPr>
        <w:t>á</w:t>
      </w:r>
      <w:r w:rsidRPr="00124692">
        <w:rPr>
          <w:b/>
        </w:rPr>
        <w:t xml:space="preserve"> ustanovení</w:t>
      </w:r>
      <w:r w:rsidR="00E927E9" w:rsidRPr="00124692">
        <w:rPr>
          <w:b/>
        </w:rPr>
        <w:t xml:space="preserve"> § 44a</w:t>
      </w:r>
      <w:r w:rsidR="00DF11E0">
        <w:t xml:space="preserve"> v návaznosti na § 14 odst. 6</w:t>
      </w:r>
      <w:r w:rsidR="00E927E9">
        <w:t xml:space="preserve">, </w:t>
      </w:r>
      <w:r w:rsidR="00DF11E0">
        <w:t>kter</w:t>
      </w:r>
      <w:r w:rsidR="00E970CC">
        <w:t>á</w:t>
      </w:r>
      <w:r w:rsidR="00067556">
        <w:t xml:space="preserve"> zahrnuj</w:t>
      </w:r>
      <w:r w:rsidR="00E970CC">
        <w:t>í:</w:t>
      </w:r>
    </w:p>
    <w:p w:rsidR="00E927E9" w:rsidRDefault="00067556" w:rsidP="003E4E35">
      <w:pPr>
        <w:pStyle w:val="Odstavecseseznamem"/>
        <w:numPr>
          <w:ilvl w:val="0"/>
          <w:numId w:val="2"/>
        </w:numPr>
        <w:ind w:left="782" w:hanging="357"/>
      </w:pPr>
      <w:r w:rsidRPr="00E0747B">
        <w:t xml:space="preserve">stanovení povinnosti </w:t>
      </w:r>
      <w:r>
        <w:t xml:space="preserve">výše </w:t>
      </w:r>
      <w:r w:rsidRPr="00E0747B">
        <w:t xml:space="preserve">odvodu </w:t>
      </w:r>
      <w:r>
        <w:t xml:space="preserve">za PRK </w:t>
      </w:r>
      <w:r w:rsidRPr="00E0747B">
        <w:t>v závislosti na rozčlenění prostředků</w:t>
      </w:r>
      <w:r>
        <w:t xml:space="preserve"> </w:t>
      </w:r>
      <w:r w:rsidR="00FB0BA7">
        <w:t>podle</w:t>
      </w:r>
      <w:r w:rsidR="004A0F50">
        <w:t> </w:t>
      </w:r>
      <w:r>
        <w:t>odst. 4</w:t>
      </w:r>
      <w:r w:rsidR="00FB0BA7">
        <w:t xml:space="preserve">, které se týká </w:t>
      </w:r>
      <w:r w:rsidR="00002E1F">
        <w:t xml:space="preserve">následujících </w:t>
      </w:r>
      <w:r w:rsidR="00FB0BA7">
        <w:t>případů</w:t>
      </w:r>
      <w:r w:rsidR="00B124B1">
        <w:t>:</w:t>
      </w:r>
    </w:p>
    <w:p w:rsidR="00B124B1" w:rsidRDefault="003861AA" w:rsidP="00555873">
      <w:pPr>
        <w:pStyle w:val="Odstavecseseznamem"/>
        <w:numPr>
          <w:ilvl w:val="0"/>
          <w:numId w:val="5"/>
        </w:numPr>
        <w:ind w:left="1134" w:hanging="357"/>
      </w:pPr>
      <w:r>
        <w:lastRenderedPageBreak/>
        <w:t>porušení méně závažných podmínek u dotace, která</w:t>
      </w:r>
      <w:r w:rsidR="00FB0BA7" w:rsidRPr="00FB0BA7">
        <w:t xml:space="preserve"> neobsahuj</w:t>
      </w:r>
      <w:r>
        <w:t>e</w:t>
      </w:r>
      <w:r w:rsidR="00FB0BA7" w:rsidRPr="00FB0BA7">
        <w:t xml:space="preserve"> prostředky </w:t>
      </w:r>
      <w:r w:rsidR="00002E1F">
        <w:t>z </w:t>
      </w:r>
      <w:r w:rsidR="00FB0BA7">
        <w:t>EU</w:t>
      </w:r>
      <w:r w:rsidR="00002E1F">
        <w:t xml:space="preserve"> –</w:t>
      </w:r>
      <w:r w:rsidR="00F825A9">
        <w:t> </w:t>
      </w:r>
      <w:r>
        <w:t>odvod ve výši 5 % z celkové částky</w:t>
      </w:r>
      <w:r w:rsidR="00FB0BA7">
        <w:t>,</w:t>
      </w:r>
    </w:p>
    <w:p w:rsidR="00FB0BA7" w:rsidRDefault="003861AA" w:rsidP="00555873">
      <w:pPr>
        <w:pStyle w:val="Odstavecseseznamem"/>
        <w:numPr>
          <w:ilvl w:val="0"/>
          <w:numId w:val="5"/>
        </w:numPr>
        <w:ind w:left="1134" w:hanging="357"/>
      </w:pPr>
      <w:r>
        <w:t xml:space="preserve">porušení podmínek u </w:t>
      </w:r>
      <w:r w:rsidRPr="00FB0BA7">
        <w:t>prostředk</w:t>
      </w:r>
      <w:r w:rsidR="00002E1F">
        <w:t>ů poskytnutých</w:t>
      </w:r>
      <w:r w:rsidRPr="00FB0BA7">
        <w:t xml:space="preserve"> </w:t>
      </w:r>
      <w:r w:rsidR="00002E1F">
        <w:t>z </w:t>
      </w:r>
      <w:r>
        <w:t>EU</w:t>
      </w:r>
      <w:r w:rsidR="00002E1F">
        <w:t xml:space="preserve"> – v</w:t>
      </w:r>
      <w:r>
        <w:t> rozhodnutí musí</w:t>
      </w:r>
      <w:r w:rsidR="00212578">
        <w:t xml:space="preserve"> být</w:t>
      </w:r>
      <w:r>
        <w:t xml:space="preserve"> </w:t>
      </w:r>
      <w:r w:rsidR="00212578">
        <w:t>za</w:t>
      </w:r>
      <w:r w:rsidR="00F825A9">
        <w:t> </w:t>
      </w:r>
      <w:r w:rsidR="00212578">
        <w:t>nesplnění</w:t>
      </w:r>
      <w:r w:rsidR="00212578">
        <w:rPr>
          <w:b/>
        </w:rPr>
        <w:t xml:space="preserve"> </w:t>
      </w:r>
      <w:r w:rsidR="00212578" w:rsidRPr="003861AA">
        <w:t>podmínky</w:t>
      </w:r>
      <w:r w:rsidR="00212578">
        <w:t xml:space="preserve"> </w:t>
      </w:r>
      <w:r>
        <w:t>sta</w:t>
      </w:r>
      <w:r w:rsidR="00212578">
        <w:t>novena výše procenta</w:t>
      </w:r>
      <w:r>
        <w:t xml:space="preserve"> z celkové částky dotace,</w:t>
      </w:r>
    </w:p>
    <w:p w:rsidR="003861AA" w:rsidRDefault="003861AA" w:rsidP="00555873">
      <w:pPr>
        <w:pStyle w:val="Odstavecseseznamem"/>
        <w:numPr>
          <w:ilvl w:val="0"/>
          <w:numId w:val="5"/>
        </w:numPr>
        <w:ind w:left="1134" w:hanging="357"/>
      </w:pPr>
      <w:r>
        <w:t>v</w:t>
      </w:r>
      <w:r w:rsidR="00212578">
        <w:t> </w:t>
      </w:r>
      <w:r w:rsidRPr="003861AA">
        <w:t>ostatních</w:t>
      </w:r>
      <w:r w:rsidR="00212578">
        <w:t xml:space="preserve"> případech, kdy není určena procentní sazba za porušení, je odvod ve</w:t>
      </w:r>
      <w:r w:rsidR="00F825A9">
        <w:t> </w:t>
      </w:r>
      <w:r w:rsidR="00212578">
        <w:t>výši</w:t>
      </w:r>
      <w:r w:rsidRPr="003861AA">
        <w:t>, v jaké byla porušena rozpočtová kázeň</w:t>
      </w:r>
      <w:r w:rsidR="00002E1F">
        <w:t>, tzn.</w:t>
      </w:r>
      <w:r w:rsidR="00212578">
        <w:t xml:space="preserve"> až </w:t>
      </w:r>
      <w:r w:rsidR="00713A2F">
        <w:t>celá</w:t>
      </w:r>
      <w:r w:rsidR="00212578">
        <w:t xml:space="preserve"> částka dotace</w:t>
      </w:r>
      <w:r w:rsidR="00002E1F">
        <w:t>,</w:t>
      </w:r>
    </w:p>
    <w:p w:rsidR="00067556" w:rsidRDefault="00067556" w:rsidP="003E4E35">
      <w:pPr>
        <w:pStyle w:val="Odstavecseseznamem"/>
        <w:numPr>
          <w:ilvl w:val="0"/>
          <w:numId w:val="2"/>
        </w:numPr>
        <w:ind w:left="782" w:hanging="357"/>
      </w:pPr>
      <w:r>
        <w:t>z</w:t>
      </w:r>
      <w:r w:rsidRPr="00E0747B">
        <w:t>měn</w:t>
      </w:r>
      <w:r w:rsidR="00B124B1">
        <w:t>u</w:t>
      </w:r>
      <w:r w:rsidRPr="00E0747B">
        <w:t xml:space="preserve"> ukládání odvodů u NFV a započtení splacených částek do plnění povinnosti odvodu</w:t>
      </w:r>
      <w:r>
        <w:t xml:space="preserve"> (§ 44 odst. 5),</w:t>
      </w:r>
    </w:p>
    <w:p w:rsidR="004750A9" w:rsidRDefault="00502800" w:rsidP="003E4E35">
      <w:pPr>
        <w:pStyle w:val="Odstavecseseznamem"/>
        <w:numPr>
          <w:ilvl w:val="0"/>
          <w:numId w:val="2"/>
        </w:numPr>
        <w:ind w:left="782" w:hanging="357"/>
      </w:pPr>
      <w:r>
        <w:t>změn</w:t>
      </w:r>
      <w:r w:rsidR="00B124B1">
        <w:t>u</w:t>
      </w:r>
      <w:r>
        <w:t xml:space="preserve"> min. výše, kdy se předepisuje penále (§ 44a odst. 7)</w:t>
      </w:r>
      <w:r w:rsidR="00002E1F">
        <w:t xml:space="preserve"> – n</w:t>
      </w:r>
      <w:r>
        <w:t>ově od 500 Kč, v předchozím znění zákona až po překročení částky 3 000 Kč,</w:t>
      </w:r>
    </w:p>
    <w:p w:rsidR="004750A9" w:rsidRDefault="00221081" w:rsidP="003E4E35">
      <w:pPr>
        <w:pStyle w:val="Odstavecseseznamem"/>
        <w:numPr>
          <w:ilvl w:val="0"/>
          <w:numId w:val="2"/>
        </w:numPr>
        <w:ind w:left="782" w:hanging="357"/>
      </w:pPr>
      <w:r w:rsidRPr="00124692">
        <w:rPr>
          <w:b/>
        </w:rPr>
        <w:t>z</w:t>
      </w:r>
      <w:r w:rsidR="00F477AC" w:rsidRPr="00124692">
        <w:rPr>
          <w:b/>
        </w:rPr>
        <w:t>měn</w:t>
      </w:r>
      <w:r w:rsidR="00965078" w:rsidRPr="00124692">
        <w:rPr>
          <w:b/>
        </w:rPr>
        <w:t>y</w:t>
      </w:r>
      <w:r w:rsidR="00F477AC" w:rsidRPr="00124692">
        <w:rPr>
          <w:b/>
        </w:rPr>
        <w:t xml:space="preserve"> </w:t>
      </w:r>
      <w:r w:rsidR="00965078" w:rsidRPr="00124692">
        <w:rPr>
          <w:b/>
        </w:rPr>
        <w:t xml:space="preserve">v rozhodování </w:t>
      </w:r>
      <w:r w:rsidR="00F477AC" w:rsidRPr="00124692">
        <w:rPr>
          <w:b/>
        </w:rPr>
        <w:t>prominutí odvodů</w:t>
      </w:r>
      <w:r w:rsidR="00F93A50" w:rsidRPr="00124692">
        <w:rPr>
          <w:b/>
        </w:rPr>
        <w:t xml:space="preserve"> </w:t>
      </w:r>
      <w:r w:rsidR="00965078" w:rsidRPr="00124692">
        <w:rPr>
          <w:b/>
        </w:rPr>
        <w:t xml:space="preserve">a penále </w:t>
      </w:r>
      <w:r w:rsidR="00F93A50" w:rsidRPr="00124692">
        <w:t>(§44a odst. 9)</w:t>
      </w:r>
      <w:r w:rsidR="004750A9" w:rsidRPr="00124692">
        <w:t>.</w:t>
      </w:r>
      <w:r w:rsidR="004750A9">
        <w:t xml:space="preserve"> </w:t>
      </w:r>
      <w:r w:rsidR="00F93A50">
        <w:t>Nerozhoduje výše částky k prominutí, ale kdo peněžní prostředky poskytnul</w:t>
      </w:r>
      <w:r w:rsidR="004750A9">
        <w:t>:</w:t>
      </w:r>
    </w:p>
    <w:p w:rsidR="00D54A81" w:rsidRDefault="004750A9" w:rsidP="003E4E35">
      <w:pPr>
        <w:pStyle w:val="Odstavecseseznamem"/>
        <w:numPr>
          <w:ilvl w:val="0"/>
          <w:numId w:val="2"/>
        </w:numPr>
        <w:ind w:left="1134" w:hanging="357"/>
      </w:pPr>
      <w:r>
        <w:t xml:space="preserve">místně příslušné Finanční ředitelství rozhoduje o prominutí odvodu za porušení méně závažných podmínek, které neobsahují prostředky </w:t>
      </w:r>
      <w:r w:rsidR="00002E1F">
        <w:t>z</w:t>
      </w:r>
      <w:r w:rsidR="00BA5F69">
        <w:t xml:space="preserve"> </w:t>
      </w:r>
      <w:r>
        <w:t>EU,</w:t>
      </w:r>
    </w:p>
    <w:p w:rsidR="00F802A3" w:rsidRDefault="00BA5F69" w:rsidP="003E4E35">
      <w:pPr>
        <w:pStyle w:val="Odstavecseseznamem"/>
        <w:numPr>
          <w:ilvl w:val="0"/>
          <w:numId w:val="2"/>
        </w:numPr>
        <w:ind w:left="1134" w:hanging="357"/>
      </w:pPr>
      <w:r>
        <w:t xml:space="preserve">ministerstvo </w:t>
      </w:r>
      <w:r w:rsidR="00F802A3">
        <w:t xml:space="preserve">má v kompetenci </w:t>
      </w:r>
      <w:r>
        <w:t>žádosti</w:t>
      </w:r>
      <w:r w:rsidR="00F93A50">
        <w:t xml:space="preserve"> </w:t>
      </w:r>
      <w:r w:rsidR="00F802A3">
        <w:t>o prominutí odvodů a penále u prostředků,</w:t>
      </w:r>
      <w:r w:rsidR="00F802A3" w:rsidRPr="00F802A3">
        <w:t xml:space="preserve"> </w:t>
      </w:r>
      <w:r w:rsidR="00F802A3">
        <w:t>které neobsahují prostředky z EU:</w:t>
      </w:r>
    </w:p>
    <w:p w:rsidR="00F802A3" w:rsidRDefault="00F802A3" w:rsidP="00555873">
      <w:pPr>
        <w:pStyle w:val="Odstavecseseznamem"/>
        <w:numPr>
          <w:ilvl w:val="0"/>
          <w:numId w:val="6"/>
        </w:numPr>
        <w:ind w:left="1559" w:hanging="357"/>
      </w:pPr>
      <w:r>
        <w:t>není určena procentní sazba za porušení,</w:t>
      </w:r>
    </w:p>
    <w:p w:rsidR="004750A9" w:rsidRDefault="00F802A3" w:rsidP="00555873">
      <w:pPr>
        <w:pStyle w:val="Odstavecseseznamem"/>
        <w:numPr>
          <w:ilvl w:val="0"/>
          <w:numId w:val="6"/>
        </w:numPr>
        <w:ind w:left="1559" w:hanging="357"/>
      </w:pPr>
      <w:r>
        <w:t>dojde k</w:t>
      </w:r>
      <w:r w:rsidR="00F93A50">
        <w:t xml:space="preserve"> porušení </w:t>
      </w:r>
      <w:r>
        <w:t xml:space="preserve">ostatních </w:t>
      </w:r>
      <w:r w:rsidR="00F93A50">
        <w:t>podmínek</w:t>
      </w:r>
      <w:r>
        <w:t xml:space="preserve"> v rozhodnutí</w:t>
      </w:r>
      <w:r w:rsidR="00BA5F69">
        <w:t>,</w:t>
      </w:r>
    </w:p>
    <w:p w:rsidR="00BA5F69" w:rsidRDefault="00F802A3" w:rsidP="003E4E35">
      <w:pPr>
        <w:pStyle w:val="Odstavecseseznamem"/>
        <w:numPr>
          <w:ilvl w:val="0"/>
          <w:numId w:val="2"/>
        </w:numPr>
        <w:ind w:left="1134" w:hanging="357"/>
      </w:pPr>
      <w:r>
        <w:t xml:space="preserve">odvody a penále, které </w:t>
      </w:r>
      <w:r w:rsidR="001502B5">
        <w:t xml:space="preserve">jsou </w:t>
      </w:r>
      <w:r>
        <w:t>poskytnuty z NF nebo EU</w:t>
      </w:r>
      <w:r w:rsidR="001502B5">
        <w:t>,</w:t>
      </w:r>
      <w:r>
        <w:t xml:space="preserve"> se nepromíjí,</w:t>
      </w:r>
    </w:p>
    <w:p w:rsidR="0059470A" w:rsidRPr="00E0747B" w:rsidRDefault="0059470A" w:rsidP="003E4E35">
      <w:pPr>
        <w:pStyle w:val="Odstavecseseznamem"/>
        <w:numPr>
          <w:ilvl w:val="0"/>
          <w:numId w:val="2"/>
        </w:numPr>
        <w:ind w:left="426" w:hanging="357"/>
      </w:pPr>
      <w:r>
        <w:t>p</w:t>
      </w:r>
      <w:r w:rsidRPr="00E0747B">
        <w:t>řechodná ustanovení –</w:t>
      </w:r>
      <w:r>
        <w:t xml:space="preserve"> prostředky poskytnuté</w:t>
      </w:r>
      <w:r w:rsidRPr="00E0747B">
        <w:t xml:space="preserve"> před nabytím úči</w:t>
      </w:r>
      <w:r>
        <w:t>nnosti tohoto zákona se</w:t>
      </w:r>
      <w:r w:rsidR="00060A5A">
        <w:t> </w:t>
      </w:r>
      <w:r>
        <w:t>posuzují</w:t>
      </w:r>
      <w:r w:rsidRPr="00E0747B">
        <w:t xml:space="preserve"> podle dosavadních právních předpisů (zákon 218/2000 Sb., ve znění zákona č.</w:t>
      </w:r>
      <w:r w:rsidR="00D3089D">
        <w:t> </w:t>
      </w:r>
      <w:r w:rsidRPr="00E0747B">
        <w:t>479/2003 Sb.</w:t>
      </w:r>
      <w:r>
        <w:t>), tedy i případn</w:t>
      </w:r>
      <w:r w:rsidR="001502B5">
        <w:t>é</w:t>
      </w:r>
      <w:r>
        <w:t xml:space="preserve"> porušení podmínek rozhodnutí.</w:t>
      </w:r>
    </w:p>
    <w:p w:rsidR="00F477AC" w:rsidRPr="00E0747B" w:rsidRDefault="00221081" w:rsidP="00C52BF5">
      <w:pPr>
        <w:pStyle w:val="Tomik3"/>
        <w:numPr>
          <w:ilvl w:val="2"/>
          <w:numId w:val="1"/>
        </w:numPr>
        <w:ind w:left="851" w:hanging="851"/>
      </w:pPr>
      <w:bookmarkStart w:id="42" w:name="_Toc38385257"/>
      <w:r w:rsidRPr="00F477AC">
        <w:rPr>
          <w:szCs w:val="24"/>
        </w:rPr>
        <w:t xml:space="preserve">Novela ve znění zákona </w:t>
      </w:r>
      <w:r w:rsidR="00F477AC" w:rsidRPr="00F477AC">
        <w:rPr>
          <w:szCs w:val="24"/>
        </w:rPr>
        <w:t>č. 26/2008 Sb.</w:t>
      </w:r>
      <w:r>
        <w:rPr>
          <w:szCs w:val="24"/>
        </w:rPr>
        <w:t xml:space="preserve">, </w:t>
      </w:r>
      <w:r w:rsidRPr="00F477AC">
        <w:rPr>
          <w:szCs w:val="24"/>
        </w:rPr>
        <w:t>kterým se mění zákon o</w:t>
      </w:r>
      <w:r>
        <w:rPr>
          <w:szCs w:val="24"/>
        </w:rPr>
        <w:t> </w:t>
      </w:r>
      <w:r w:rsidRPr="00F477AC">
        <w:rPr>
          <w:szCs w:val="24"/>
        </w:rPr>
        <w:t>rozpočtových pravidlech (účinn</w:t>
      </w:r>
      <w:r>
        <w:rPr>
          <w:szCs w:val="24"/>
        </w:rPr>
        <w:t>á</w:t>
      </w:r>
      <w:r w:rsidRPr="00F477AC">
        <w:rPr>
          <w:szCs w:val="24"/>
        </w:rPr>
        <w:t xml:space="preserve"> od</w:t>
      </w:r>
      <w:r>
        <w:t xml:space="preserve"> </w:t>
      </w:r>
      <w:r w:rsidR="00F477AC" w:rsidRPr="00E0747B">
        <w:t>1. 3. 2008</w:t>
      </w:r>
      <w:r>
        <w:t>)</w:t>
      </w:r>
      <w:r w:rsidR="00336FF1">
        <w:rPr>
          <w:rStyle w:val="Znakapoznpodarou"/>
        </w:rPr>
        <w:footnoteReference w:id="60"/>
      </w:r>
      <w:bookmarkEnd w:id="42"/>
    </w:p>
    <w:p w:rsidR="00833208" w:rsidRDefault="00833208" w:rsidP="00833208">
      <w:r>
        <w:t>Další změna rozpočtových pravidel</w:t>
      </w:r>
      <w:r w:rsidR="00766D2B">
        <w:t>,</w:t>
      </w:r>
      <w:r>
        <w:t xml:space="preserve"> </w:t>
      </w:r>
      <w:r w:rsidR="00B93B57">
        <w:t>svým rozsahem mnohem menší</w:t>
      </w:r>
      <w:r w:rsidR="00766D2B">
        <w:t>,</w:t>
      </w:r>
      <w:r w:rsidR="00B93B57">
        <w:t xml:space="preserve"> </w:t>
      </w:r>
      <w:r w:rsidR="009C6DDE">
        <w:t>byla schválena</w:t>
      </w:r>
      <w:r w:rsidR="00766D2B">
        <w:t xml:space="preserve"> parlamentem dne 16. 1. </w:t>
      </w:r>
      <w:r w:rsidRPr="00766D2B">
        <w:t>2008</w:t>
      </w:r>
      <w:r w:rsidR="00766D2B">
        <w:t xml:space="preserve">. </w:t>
      </w:r>
      <w:r w:rsidR="00147B5D">
        <w:t xml:space="preserve">V této novele byly </w:t>
      </w:r>
      <w:r w:rsidR="001502B5">
        <w:t>následující</w:t>
      </w:r>
      <w:r w:rsidR="00147B5D">
        <w:t xml:space="preserve"> změny:</w:t>
      </w:r>
    </w:p>
    <w:p w:rsidR="00080ACD" w:rsidRDefault="00080ACD" w:rsidP="003E4E35">
      <w:pPr>
        <w:pStyle w:val="Odstavecseseznamem"/>
        <w:numPr>
          <w:ilvl w:val="0"/>
          <w:numId w:val="2"/>
        </w:numPr>
        <w:ind w:left="426" w:hanging="357"/>
      </w:pPr>
      <w:r>
        <w:t>doplnění povinných údajů v</w:t>
      </w:r>
      <w:r w:rsidR="00B46776">
        <w:t> </w:t>
      </w:r>
      <w:r>
        <w:t>rozhodnutí</w:t>
      </w:r>
      <w:r w:rsidR="00B46776">
        <w:t>. L</w:t>
      </w:r>
      <w:r w:rsidR="001C6822">
        <w:t>ze vyčlenit podmínky, které nejsou neoprávněným použitím</w:t>
      </w:r>
      <w:r>
        <w:t xml:space="preserve"> (§ 14 odst. 3)</w:t>
      </w:r>
      <w:r w:rsidR="001C6822">
        <w:t>,</w:t>
      </w:r>
    </w:p>
    <w:p w:rsidR="00F477AC" w:rsidRDefault="00221081" w:rsidP="003E4E35">
      <w:pPr>
        <w:pStyle w:val="Odstavecseseznamem"/>
        <w:numPr>
          <w:ilvl w:val="0"/>
          <w:numId w:val="2"/>
        </w:numPr>
        <w:ind w:left="426" w:hanging="357"/>
      </w:pPr>
      <w:r>
        <w:lastRenderedPageBreak/>
        <w:t>m</w:t>
      </w:r>
      <w:r w:rsidR="00F477AC" w:rsidRPr="00E0747B">
        <w:t xml:space="preserve">ožnost uložit kraji nebo </w:t>
      </w:r>
      <w:r w:rsidR="00080ACD">
        <w:t xml:space="preserve">Regionální radě regionu soudržnosti </w:t>
      </w:r>
      <w:r w:rsidR="00F477AC" w:rsidRPr="00E0747B">
        <w:t>povinnost vrátit prostředky, které vybrala jako odvod za PRK podle z</w:t>
      </w:r>
      <w:r w:rsidR="00F246B1">
        <w:t>ákona</w:t>
      </w:r>
      <w:r w:rsidR="00DA7789">
        <w:t xml:space="preserve"> </w:t>
      </w:r>
      <w:r w:rsidR="00F477AC" w:rsidRPr="00E0747B">
        <w:t>č. 250/2000 Sb., nebo jako nepoužité</w:t>
      </w:r>
      <w:r w:rsidR="008B6143">
        <w:t xml:space="preserve"> (§ 14 odst. 7)</w:t>
      </w:r>
      <w:r w:rsidR="00473259">
        <w:t>,</w:t>
      </w:r>
    </w:p>
    <w:p w:rsidR="00C96D36" w:rsidRDefault="00080ACD" w:rsidP="00ED69B6">
      <w:pPr>
        <w:pStyle w:val="Odstavecseseznamem"/>
        <w:numPr>
          <w:ilvl w:val="0"/>
          <w:numId w:val="2"/>
        </w:numPr>
        <w:ind w:left="426" w:hanging="357"/>
      </w:pPr>
      <w:r>
        <w:t xml:space="preserve">v případě uplatnění odpočtu DPH nesmí být tato částka zahrnuta do finančního vypořádání dotace </w:t>
      </w:r>
      <w:r w:rsidR="008B6143">
        <w:t>(§ 14 odst. 11)</w:t>
      </w:r>
      <w:r w:rsidR="00B46776">
        <w:t>. Z</w:t>
      </w:r>
      <w:r w:rsidR="001502B5">
        <w:t>de lze vidět n</w:t>
      </w:r>
      <w:r w:rsidR="00C96D36">
        <w:t>ávaznost na pravidla způsobilých výdajů, kde až na</w:t>
      </w:r>
      <w:r w:rsidR="004160E1">
        <w:t> </w:t>
      </w:r>
      <w:r w:rsidR="00C96D36">
        <w:t>některé výjimky je odpočet DPH brán jako nezpůsobilý výd</w:t>
      </w:r>
      <w:r w:rsidR="001502B5">
        <w:t>a</w:t>
      </w:r>
      <w:r w:rsidR="00C96D36">
        <w:t>j</w:t>
      </w:r>
      <w:r w:rsidR="00B46776">
        <w:t>. T</w:t>
      </w:r>
      <w:r w:rsidR="001502B5">
        <w:t>oto</w:t>
      </w:r>
      <w:r w:rsidR="00C96D36">
        <w:t xml:space="preserve"> </w:t>
      </w:r>
      <w:r w:rsidR="001502B5">
        <w:t>n</w:t>
      </w:r>
      <w:r w:rsidR="00C96D36">
        <w:t>eplatí např.</w:t>
      </w:r>
      <w:r w:rsidR="00F825A9">
        <w:t> </w:t>
      </w:r>
      <w:r w:rsidR="00C96D36">
        <w:t>pro neplátce, kte</w:t>
      </w:r>
      <w:r w:rsidR="001502B5">
        <w:t>ří</w:t>
      </w:r>
      <w:r w:rsidR="00C96D36">
        <w:t xml:space="preserve"> si nemohou odpočet nárokovat,</w:t>
      </w:r>
      <w:r w:rsidR="00C96D36">
        <w:rPr>
          <w:rStyle w:val="Znakapoznpodarou"/>
        </w:rPr>
        <w:footnoteReference w:id="61"/>
      </w:r>
    </w:p>
    <w:p w:rsidR="00217D2F" w:rsidRDefault="00217D2F" w:rsidP="00ED69B6">
      <w:pPr>
        <w:pStyle w:val="Odstavecseseznamem"/>
        <w:numPr>
          <w:ilvl w:val="0"/>
          <w:numId w:val="2"/>
        </w:numPr>
        <w:ind w:left="425" w:hanging="357"/>
      </w:pPr>
      <w:r>
        <w:t xml:space="preserve">doplněna další možnost, kdy </w:t>
      </w:r>
      <w:r w:rsidR="001502B5">
        <w:t xml:space="preserve">lze </w:t>
      </w:r>
      <w:r>
        <w:t>zaháj</w:t>
      </w:r>
      <w:r w:rsidR="001502B5">
        <w:t>it</w:t>
      </w:r>
      <w:r>
        <w:t xml:space="preserve"> řízení o odnětí dotace (§ 15 odst. 1)</w:t>
      </w:r>
      <w:r w:rsidR="001502B5">
        <w:t>, a</w:t>
      </w:r>
      <w:r>
        <w:t xml:space="preserve"> to při zjištění, že nedojde ke splnění účelu dotace,</w:t>
      </w:r>
    </w:p>
    <w:p w:rsidR="00F477AC" w:rsidRPr="00E0747B" w:rsidRDefault="006623DF" w:rsidP="003E4E35">
      <w:pPr>
        <w:pStyle w:val="Odstavecseseznamem"/>
        <w:numPr>
          <w:ilvl w:val="0"/>
          <w:numId w:val="2"/>
        </w:numPr>
        <w:ind w:left="426" w:hanging="357"/>
      </w:pPr>
      <w:r w:rsidRPr="00124692">
        <w:rPr>
          <w:b/>
        </w:rPr>
        <w:t>nov</w:t>
      </w:r>
      <w:r w:rsidR="00147B5D">
        <w:rPr>
          <w:b/>
        </w:rPr>
        <w:t>é</w:t>
      </w:r>
      <w:r w:rsidRPr="00124692">
        <w:rPr>
          <w:b/>
        </w:rPr>
        <w:t xml:space="preserve"> znění ustanovení § 21</w:t>
      </w:r>
      <w:r>
        <w:t>, kter</w:t>
      </w:r>
      <w:r w:rsidR="001502B5">
        <w:t>é</w:t>
      </w:r>
      <w:r>
        <w:t xml:space="preserve"> u</w:t>
      </w:r>
      <w:r w:rsidR="00F477AC" w:rsidRPr="00E0747B">
        <w:t>prav</w:t>
      </w:r>
      <w:r>
        <w:t>uje účelovost</w:t>
      </w:r>
      <w:r w:rsidR="00F477AC" w:rsidRPr="00E0747B">
        <w:t xml:space="preserve"> prostředků SR při přesunech prostředků</w:t>
      </w:r>
      <w:r w:rsidR="00473259">
        <w:t>,</w:t>
      </w:r>
    </w:p>
    <w:p w:rsidR="00DC4677" w:rsidRPr="00E0747B" w:rsidRDefault="00DC4677" w:rsidP="003E4E35">
      <w:pPr>
        <w:pStyle w:val="Odstavecseseznamem"/>
        <w:numPr>
          <w:ilvl w:val="0"/>
          <w:numId w:val="2"/>
        </w:numPr>
        <w:ind w:left="426" w:hanging="357"/>
      </w:pPr>
      <w:r>
        <w:t>z</w:t>
      </w:r>
      <w:r w:rsidRPr="00E0747B">
        <w:t>apočítávání nevyplacených částek do plnění povinnosti odvodu</w:t>
      </w:r>
      <w:r>
        <w:t xml:space="preserve"> (§ 44a odst. 5),</w:t>
      </w:r>
    </w:p>
    <w:p w:rsidR="00F477AC" w:rsidRPr="00E0747B" w:rsidRDefault="00221081" w:rsidP="003E4E35">
      <w:pPr>
        <w:pStyle w:val="Odstavecseseznamem"/>
        <w:numPr>
          <w:ilvl w:val="0"/>
          <w:numId w:val="2"/>
        </w:numPr>
        <w:ind w:left="426" w:hanging="357"/>
      </w:pPr>
      <w:r w:rsidRPr="00124692">
        <w:rPr>
          <w:b/>
        </w:rPr>
        <w:t>z</w:t>
      </w:r>
      <w:r w:rsidR="00F477AC" w:rsidRPr="00124692">
        <w:rPr>
          <w:b/>
        </w:rPr>
        <w:t xml:space="preserve">rušení kompetence </w:t>
      </w:r>
      <w:r w:rsidR="00DC4677" w:rsidRPr="00124692">
        <w:rPr>
          <w:b/>
        </w:rPr>
        <w:t>Finanční</w:t>
      </w:r>
      <w:r w:rsidR="001502B5">
        <w:rPr>
          <w:b/>
        </w:rPr>
        <w:t>ho</w:t>
      </w:r>
      <w:r w:rsidR="00DC4677" w:rsidRPr="00124692">
        <w:rPr>
          <w:b/>
        </w:rPr>
        <w:t xml:space="preserve"> ředitelství </w:t>
      </w:r>
      <w:r w:rsidR="00F477AC" w:rsidRPr="00124692">
        <w:rPr>
          <w:b/>
        </w:rPr>
        <w:t>k promíjení</w:t>
      </w:r>
      <w:r w:rsidR="00F477AC" w:rsidRPr="00E0747B">
        <w:t xml:space="preserve"> odvodů</w:t>
      </w:r>
      <w:r w:rsidR="004577A9">
        <w:t xml:space="preserve"> a penále</w:t>
      </w:r>
      <w:r w:rsidR="00F477AC" w:rsidRPr="00E0747B">
        <w:t xml:space="preserve"> za PRK</w:t>
      </w:r>
      <w:r w:rsidR="00DC4677">
        <w:t>, od</w:t>
      </w:r>
      <w:r w:rsidR="00F825A9">
        <w:t> </w:t>
      </w:r>
      <w:r w:rsidR="00DC4677">
        <w:t>novely promíjí pouze ministerstvo (§ 44a odst. 9)</w:t>
      </w:r>
      <w:r w:rsidR="00473259">
        <w:t>,</w:t>
      </w:r>
    </w:p>
    <w:p w:rsidR="00F477AC" w:rsidRPr="00E0747B" w:rsidRDefault="00221081" w:rsidP="003E4E35">
      <w:pPr>
        <w:pStyle w:val="Odstavecseseznamem"/>
        <w:numPr>
          <w:ilvl w:val="0"/>
          <w:numId w:val="2"/>
        </w:numPr>
        <w:ind w:left="426" w:hanging="357"/>
      </w:pPr>
      <w:r>
        <w:t>ú</w:t>
      </w:r>
      <w:r w:rsidR="00F477AC" w:rsidRPr="00E0747B">
        <w:t xml:space="preserve">pravy některých pravidel hospodaření OSS a jejich PO </w:t>
      </w:r>
      <w:r w:rsidR="00DC4677">
        <w:t>(§ 46 a § 47)</w:t>
      </w:r>
      <w:r w:rsidR="00473259">
        <w:t>.</w:t>
      </w:r>
    </w:p>
    <w:p w:rsidR="00F477AC" w:rsidRPr="00F477AC" w:rsidRDefault="00F477AC" w:rsidP="00C52BF5">
      <w:pPr>
        <w:pStyle w:val="Tomik3"/>
        <w:numPr>
          <w:ilvl w:val="2"/>
          <w:numId w:val="1"/>
        </w:numPr>
        <w:ind w:left="851" w:hanging="851"/>
        <w:rPr>
          <w:szCs w:val="24"/>
        </w:rPr>
      </w:pPr>
      <w:bookmarkStart w:id="43" w:name="_Toc38385258"/>
      <w:r w:rsidRPr="00F477AC">
        <w:rPr>
          <w:szCs w:val="24"/>
        </w:rPr>
        <w:t>Novela ve znění zákona č. 465/2011 Sb., kterým se mění zákon o</w:t>
      </w:r>
      <w:r w:rsidR="00221081">
        <w:rPr>
          <w:szCs w:val="24"/>
        </w:rPr>
        <w:t> </w:t>
      </w:r>
      <w:r w:rsidRPr="00F477AC">
        <w:rPr>
          <w:szCs w:val="24"/>
        </w:rPr>
        <w:t>rozpočtových pravidlech (účinná od 30.</w:t>
      </w:r>
      <w:r w:rsidR="00F246B1">
        <w:rPr>
          <w:szCs w:val="24"/>
        </w:rPr>
        <w:t xml:space="preserve"> </w:t>
      </w:r>
      <w:r w:rsidRPr="00F477AC">
        <w:rPr>
          <w:szCs w:val="24"/>
        </w:rPr>
        <w:t>12.</w:t>
      </w:r>
      <w:r w:rsidR="00F246B1">
        <w:rPr>
          <w:szCs w:val="24"/>
        </w:rPr>
        <w:t xml:space="preserve"> </w:t>
      </w:r>
      <w:r w:rsidRPr="00F477AC">
        <w:rPr>
          <w:szCs w:val="24"/>
        </w:rPr>
        <w:t>2011)</w:t>
      </w:r>
      <w:r w:rsidR="00336FF1">
        <w:rPr>
          <w:rStyle w:val="Znakapoznpodarou"/>
          <w:szCs w:val="24"/>
        </w:rPr>
        <w:footnoteReference w:id="62"/>
      </w:r>
      <w:bookmarkEnd w:id="43"/>
    </w:p>
    <w:p w:rsidR="00F477AC" w:rsidRPr="00E0747B" w:rsidRDefault="00833208" w:rsidP="005E15D7">
      <w:r>
        <w:t xml:space="preserve">Nejrozsáhlejší změnou rozpočtových pravidel bylo schválení </w:t>
      </w:r>
      <w:r w:rsidRPr="00F477AC">
        <w:t>zákona č. 465/2011 Sb</w:t>
      </w:r>
      <w:r>
        <w:t>., kter</w:t>
      </w:r>
      <w:r w:rsidR="00AD15EA">
        <w:t>ý nabyl</w:t>
      </w:r>
      <w:r>
        <w:t xml:space="preserve"> účinnosti </w:t>
      </w:r>
      <w:r w:rsidR="007753A5">
        <w:t>dne</w:t>
      </w:r>
      <w:r w:rsidR="00AD15EA">
        <w:t xml:space="preserve"> </w:t>
      </w:r>
      <w:r>
        <w:t>30.</w:t>
      </w:r>
      <w:r w:rsidR="009D376E">
        <w:t xml:space="preserve"> </w:t>
      </w:r>
      <w:r>
        <w:t>12.</w:t>
      </w:r>
      <w:r w:rsidR="009D376E">
        <w:t xml:space="preserve"> </w:t>
      </w:r>
      <w:r>
        <w:t>2011.</w:t>
      </w:r>
      <w:r w:rsidR="009D376E">
        <w:t xml:space="preserve"> </w:t>
      </w:r>
      <w:r w:rsidR="00147B5D">
        <w:t>Do zákona byly doplněn</w:t>
      </w:r>
      <w:r w:rsidR="005E15D7">
        <w:t>y</w:t>
      </w:r>
      <w:r w:rsidR="00147B5D">
        <w:t xml:space="preserve"> </w:t>
      </w:r>
      <w:r w:rsidR="009C003B">
        <w:t>další postupy</w:t>
      </w:r>
      <w:r w:rsidR="005E15D7">
        <w:t xml:space="preserve"> při</w:t>
      </w:r>
      <w:r w:rsidR="00F825A9">
        <w:t> </w:t>
      </w:r>
      <w:r w:rsidR="005E15D7">
        <w:t xml:space="preserve">poskytování dotací </w:t>
      </w:r>
      <w:r w:rsidR="009C003B">
        <w:t xml:space="preserve">a také </w:t>
      </w:r>
      <w:r w:rsidR="005E15D7">
        <w:t xml:space="preserve">změny </w:t>
      </w:r>
      <w:r w:rsidR="00147B5D">
        <w:t>při stanovení odvodu</w:t>
      </w:r>
      <w:r w:rsidR="005E15D7">
        <w:t xml:space="preserve"> finančními úřady. Tato novelizace obsahovala následující změny:</w:t>
      </w:r>
    </w:p>
    <w:p w:rsidR="00F87FBF" w:rsidRDefault="006E4F01" w:rsidP="003E4E35">
      <w:pPr>
        <w:pStyle w:val="Odstavecseseznamem"/>
        <w:numPr>
          <w:ilvl w:val="0"/>
          <w:numId w:val="2"/>
        </w:numPr>
        <w:ind w:left="426" w:hanging="357"/>
      </w:pPr>
      <w:r>
        <w:t xml:space="preserve">mezi poskytovatele, kteří mohou poskytovat dotace </w:t>
      </w:r>
      <w:r w:rsidR="00F87FBF">
        <w:t>a NVF</w:t>
      </w:r>
      <w:r w:rsidR="00B428E9">
        <w:t>,</w:t>
      </w:r>
      <w:r w:rsidR="00F87FBF">
        <w:t xml:space="preserve"> </w:t>
      </w:r>
      <w:r w:rsidR="007B0043">
        <w:t>byla</w:t>
      </w:r>
      <w:r>
        <w:t xml:space="preserve"> </w:t>
      </w:r>
      <w:r w:rsidR="00F87FBF">
        <w:t>doplněna</w:t>
      </w:r>
      <w:r w:rsidR="00647339">
        <w:t xml:space="preserve"> Technologická</w:t>
      </w:r>
      <w:r>
        <w:t xml:space="preserve"> </w:t>
      </w:r>
      <w:r w:rsidR="00647339">
        <w:t xml:space="preserve">agentura ČR </w:t>
      </w:r>
      <w:r>
        <w:t>(§ 14 odst. 2),</w:t>
      </w:r>
    </w:p>
    <w:p w:rsidR="002F7FAE" w:rsidRDefault="00EA67D4" w:rsidP="003E4E35">
      <w:pPr>
        <w:pStyle w:val="Odstavecseseznamem"/>
        <w:numPr>
          <w:ilvl w:val="0"/>
          <w:numId w:val="2"/>
        </w:numPr>
        <w:ind w:left="426" w:hanging="357"/>
      </w:pPr>
      <w:r>
        <w:t>n</w:t>
      </w:r>
      <w:r w:rsidR="00F87FBF" w:rsidRPr="00F87FBF">
        <w:t xml:space="preserve">ově </w:t>
      </w:r>
      <w:r w:rsidR="00B46776">
        <w:t xml:space="preserve">byla </w:t>
      </w:r>
      <w:r>
        <w:t>doplněna</w:t>
      </w:r>
      <w:r w:rsidR="00F87FBF" w:rsidRPr="00F87FBF">
        <w:t xml:space="preserve"> možnost uvést </w:t>
      </w:r>
      <w:r>
        <w:t xml:space="preserve">v rozhodnutí </w:t>
      </w:r>
      <w:r w:rsidR="00124692" w:rsidRPr="00124692">
        <w:rPr>
          <w:i/>
        </w:rPr>
        <w:t>„</w:t>
      </w:r>
      <w:r w:rsidRPr="00124692">
        <w:rPr>
          <w:i/>
        </w:rPr>
        <w:t>částk</w:t>
      </w:r>
      <w:r w:rsidR="00124692" w:rsidRPr="00124692">
        <w:rPr>
          <w:i/>
        </w:rPr>
        <w:t>u</w:t>
      </w:r>
      <w:r w:rsidR="00F87FBF" w:rsidRPr="00124692">
        <w:rPr>
          <w:i/>
        </w:rPr>
        <w:t>, do jejíž výše může být dotace nebo NFV poskytnuta</w:t>
      </w:r>
      <w:r w:rsidR="00124692" w:rsidRPr="00124692">
        <w:rPr>
          <w:i/>
        </w:rPr>
        <w:t>“</w:t>
      </w:r>
      <w:r>
        <w:t xml:space="preserve"> (§ 14 odst. 3)</w:t>
      </w:r>
      <w:r w:rsidR="00F87FBF">
        <w:t xml:space="preserve">. Poskytovatel tak může deklarovat, že dotace bude vyplacena až do stanovené výše pouze při splnění </w:t>
      </w:r>
      <w:r>
        <w:t>určených</w:t>
      </w:r>
      <w:r w:rsidR="00F87FBF">
        <w:t xml:space="preserve"> okolností uvedených v</w:t>
      </w:r>
      <w:r w:rsidR="00D3089D">
        <w:t> </w:t>
      </w:r>
      <w:r w:rsidR="00F87FBF">
        <w:t>rozhodnutí o poskytnutí dotace.</w:t>
      </w:r>
      <w:r>
        <w:t xml:space="preserve"> </w:t>
      </w:r>
      <w:r w:rsidR="00F87FBF">
        <w:t xml:space="preserve">Pokud </w:t>
      </w:r>
      <w:r>
        <w:t xml:space="preserve">nedojde </w:t>
      </w:r>
      <w:r w:rsidR="00F87FBF">
        <w:t xml:space="preserve">k naplnění těchto okolností, </w:t>
      </w:r>
      <w:r>
        <w:t xml:space="preserve">nemá </w:t>
      </w:r>
      <w:r>
        <w:lastRenderedPageBreak/>
        <w:t>poskytovatel povinnost vyplatit max. výši</w:t>
      </w:r>
      <w:r w:rsidR="00534F7B">
        <w:t xml:space="preserve"> dotace nebo NFV</w:t>
      </w:r>
      <w:r>
        <w:t>. Před novelizací byla</w:t>
      </w:r>
      <w:r w:rsidRPr="00F87FBF">
        <w:t xml:space="preserve"> </w:t>
      </w:r>
      <w:r w:rsidR="00534F7B">
        <w:t>povinnost</w:t>
      </w:r>
      <w:r w:rsidRPr="00F87FBF">
        <w:t xml:space="preserve"> </w:t>
      </w:r>
      <w:r w:rsidR="00BE0B8F">
        <w:t>uv</w:t>
      </w:r>
      <w:r w:rsidR="00534F7B">
        <w:t xml:space="preserve">ádět </w:t>
      </w:r>
      <w:r w:rsidRPr="00F87FBF">
        <w:t xml:space="preserve">v rozhodnutí pouze </w:t>
      </w:r>
      <w:r>
        <w:t>poskytovanou částku,</w:t>
      </w:r>
    </w:p>
    <w:p w:rsidR="00A14E8A" w:rsidRDefault="00DF11E0" w:rsidP="003E4E35">
      <w:pPr>
        <w:pStyle w:val="Odstavecseseznamem"/>
        <w:numPr>
          <w:ilvl w:val="0"/>
          <w:numId w:val="2"/>
        </w:numPr>
        <w:ind w:left="426" w:hanging="357"/>
      </w:pPr>
      <w:r>
        <w:t xml:space="preserve">u prostředků krytých z rozpočtu EU </w:t>
      </w:r>
      <w:r w:rsidR="00C7499D">
        <w:t xml:space="preserve">může </w:t>
      </w:r>
      <w:r>
        <w:t>poskytovatel</w:t>
      </w:r>
      <w:r w:rsidR="00C7499D">
        <w:t xml:space="preserve"> </w:t>
      </w:r>
      <w:r w:rsidR="00F93C97">
        <w:t>v</w:t>
      </w:r>
      <w:r>
        <w:t> </w:t>
      </w:r>
      <w:r w:rsidR="00F93C97">
        <w:t>rozhodnutí</w:t>
      </w:r>
      <w:r>
        <w:t xml:space="preserve"> u </w:t>
      </w:r>
      <w:r w:rsidR="004F7D95">
        <w:t xml:space="preserve">dalších </w:t>
      </w:r>
      <w:r>
        <w:t xml:space="preserve">podmínek </w:t>
      </w:r>
      <w:r w:rsidR="00534F7B">
        <w:t xml:space="preserve">podle odst. 3 písm. g) </w:t>
      </w:r>
      <w:r w:rsidR="00C7499D">
        <w:t xml:space="preserve">určit výši </w:t>
      </w:r>
      <w:r>
        <w:t>odvod</w:t>
      </w:r>
      <w:r w:rsidR="00C7499D">
        <w:t>u</w:t>
      </w:r>
      <w:r>
        <w:t xml:space="preserve"> nižší než je celková dotace, a to procentním rozmezím z celkové částky nebo z částky PRK</w:t>
      </w:r>
      <w:r w:rsidR="0095529E">
        <w:t xml:space="preserve"> (§ 14 odst. 6)</w:t>
      </w:r>
      <w:r>
        <w:t xml:space="preserve">. Zároveň </w:t>
      </w:r>
      <w:r w:rsidR="0095529E">
        <w:t xml:space="preserve">musí vzít </w:t>
      </w:r>
      <w:r w:rsidR="00C7499D">
        <w:t xml:space="preserve">v úvahu </w:t>
      </w:r>
      <w:r w:rsidR="0095529E">
        <w:t>závažnost porušení a jeho případný vliv</w:t>
      </w:r>
      <w:r w:rsidR="00C7499D">
        <w:t xml:space="preserve"> na</w:t>
      </w:r>
      <w:r w:rsidR="00555873">
        <w:t xml:space="preserve"> dodržení účelu dotace</w:t>
      </w:r>
      <w:r w:rsidR="00B93928">
        <w:t xml:space="preserve">. </w:t>
      </w:r>
      <w:r w:rsidR="00555873">
        <w:t>Stále</w:t>
      </w:r>
      <w:r w:rsidR="00B93928">
        <w:t xml:space="preserve"> se ale</w:t>
      </w:r>
      <w:r w:rsidR="00F825A9">
        <w:t> </w:t>
      </w:r>
      <w:r w:rsidR="00B93928">
        <w:t>jedná o</w:t>
      </w:r>
      <w:r w:rsidR="004160E1">
        <w:t> </w:t>
      </w:r>
      <w:r w:rsidR="00B93928">
        <w:t>závazné podmínky rozhodnutí, u kterých může vzniknout ze strany poskytovatele postih,</w:t>
      </w:r>
    </w:p>
    <w:p w:rsidR="00A14E8A" w:rsidRDefault="00A14E8A" w:rsidP="003E4E35">
      <w:pPr>
        <w:pStyle w:val="Odstavecseseznamem"/>
        <w:numPr>
          <w:ilvl w:val="0"/>
          <w:numId w:val="2"/>
        </w:numPr>
        <w:ind w:left="426" w:hanging="357"/>
      </w:pPr>
      <w:r w:rsidRPr="00124692">
        <w:rPr>
          <w:b/>
        </w:rPr>
        <w:t>nové ustanovení § 14 odst. 13</w:t>
      </w:r>
      <w:r w:rsidR="00C5427A">
        <w:rPr>
          <w:b/>
        </w:rPr>
        <w:t xml:space="preserve"> písm. a), b)</w:t>
      </w:r>
      <w:r>
        <w:t xml:space="preserve"> doplňuje, kdy lze měnit rozhodnutí o </w:t>
      </w:r>
      <w:r w:rsidR="00555873">
        <w:t xml:space="preserve">poskytnutí </w:t>
      </w:r>
      <w:r>
        <w:t>dotac</w:t>
      </w:r>
      <w:r w:rsidR="00555873">
        <w:t>e</w:t>
      </w:r>
      <w:r>
        <w:t xml:space="preserve"> nebo NFV:</w:t>
      </w:r>
    </w:p>
    <w:p w:rsidR="00A14E8A" w:rsidRDefault="00A14E8A" w:rsidP="00ED69B6">
      <w:pPr>
        <w:pStyle w:val="Odstavecseseznamem"/>
        <w:numPr>
          <w:ilvl w:val="0"/>
          <w:numId w:val="8"/>
        </w:numPr>
        <w:ind w:left="782" w:hanging="357"/>
      </w:pPr>
      <w:r>
        <w:t>na žádost příjemce dotace může poskytovatel provést změnu:</w:t>
      </w:r>
    </w:p>
    <w:p w:rsidR="00A14E8A" w:rsidRDefault="00A14E8A" w:rsidP="00ED69B6">
      <w:pPr>
        <w:pStyle w:val="Odstavecseseznamem"/>
        <w:numPr>
          <w:ilvl w:val="0"/>
          <w:numId w:val="2"/>
        </w:numPr>
        <w:ind w:left="1202" w:hanging="425"/>
      </w:pPr>
      <w:r>
        <w:t>poskytované částky,</w:t>
      </w:r>
    </w:p>
    <w:p w:rsidR="00A14E8A" w:rsidRDefault="00A14E8A" w:rsidP="00ED69B6">
      <w:pPr>
        <w:pStyle w:val="Odstavecseseznamem"/>
        <w:numPr>
          <w:ilvl w:val="0"/>
          <w:numId w:val="2"/>
        </w:numPr>
        <w:ind w:left="1202" w:hanging="425"/>
      </w:pPr>
      <w:r>
        <w:t>lhůty pro dosažení účelu,</w:t>
      </w:r>
    </w:p>
    <w:p w:rsidR="00A14E8A" w:rsidRDefault="00A14E8A" w:rsidP="00A53869">
      <w:pPr>
        <w:pStyle w:val="Odstavecseseznamem"/>
        <w:numPr>
          <w:ilvl w:val="0"/>
          <w:numId w:val="2"/>
        </w:numPr>
        <w:ind w:left="1202" w:hanging="425"/>
      </w:pPr>
      <w:r>
        <w:t>ostatních podmínek a povinnost</w:t>
      </w:r>
      <w:r w:rsidR="00A53869">
        <w:t>í</w:t>
      </w:r>
      <w:r>
        <w:t xml:space="preserve"> uvedených v rozhodnutí o </w:t>
      </w:r>
      <w:r w:rsidR="00A53869">
        <w:t xml:space="preserve">poskytnutí </w:t>
      </w:r>
      <w:r>
        <w:t>dotac</w:t>
      </w:r>
      <w:r w:rsidR="00A53869">
        <w:t>e</w:t>
      </w:r>
      <w:r>
        <w:t xml:space="preserve"> nebo NFV</w:t>
      </w:r>
      <w:r w:rsidR="00E66424">
        <w:t>.</w:t>
      </w:r>
      <w:r w:rsidR="00A53869">
        <w:t xml:space="preserve"> </w:t>
      </w:r>
      <w:r>
        <w:t>Nadále ale nelze změnit účel dotace a osobu příjemce</w:t>
      </w:r>
      <w:r w:rsidR="00A53869">
        <w:t>,</w:t>
      </w:r>
    </w:p>
    <w:p w:rsidR="008C701D" w:rsidRDefault="00A14E8A" w:rsidP="00ED69B6">
      <w:pPr>
        <w:pStyle w:val="Odstavecseseznamem"/>
        <w:numPr>
          <w:ilvl w:val="0"/>
          <w:numId w:val="8"/>
        </w:numPr>
        <w:ind w:left="782" w:hanging="357"/>
      </w:pPr>
      <w:r>
        <w:t xml:space="preserve">v případě zřejmých nesprávností </w:t>
      </w:r>
      <w:r w:rsidR="008C701D">
        <w:t xml:space="preserve">(chyby v počtech nebo psaní) vystaví </w:t>
      </w:r>
      <w:r>
        <w:t xml:space="preserve">poskytovatel </w:t>
      </w:r>
      <w:r w:rsidR="008C701D">
        <w:t>opravné rozhodnutí,</w:t>
      </w:r>
    </w:p>
    <w:p w:rsidR="00F477AC" w:rsidRPr="00E0747B" w:rsidRDefault="002C0228" w:rsidP="003E4E35">
      <w:pPr>
        <w:pStyle w:val="Odstavecseseznamem"/>
        <w:numPr>
          <w:ilvl w:val="0"/>
          <w:numId w:val="2"/>
        </w:numPr>
        <w:ind w:left="426" w:hanging="357"/>
      </w:pPr>
      <w:r w:rsidRPr="00AA31BE">
        <w:rPr>
          <w:b/>
        </w:rPr>
        <w:t xml:space="preserve">nová ustanovení </w:t>
      </w:r>
      <w:r w:rsidR="00F477AC" w:rsidRPr="00AA31BE">
        <w:rPr>
          <w:b/>
        </w:rPr>
        <w:t xml:space="preserve">§ 14a </w:t>
      </w:r>
      <w:r w:rsidRPr="00AA31BE">
        <w:rPr>
          <w:b/>
        </w:rPr>
        <w:t>až</w:t>
      </w:r>
      <w:r w:rsidR="00F477AC" w:rsidRPr="00AA31BE">
        <w:rPr>
          <w:b/>
        </w:rPr>
        <w:t xml:space="preserve"> 14d</w:t>
      </w:r>
      <w:r>
        <w:t xml:space="preserve"> </w:t>
      </w:r>
      <w:r w:rsidR="00A53869">
        <w:t>nastavují</w:t>
      </w:r>
      <w:r>
        <w:t xml:space="preserve"> p</w:t>
      </w:r>
      <w:r w:rsidRPr="00E0747B">
        <w:t>ostup</w:t>
      </w:r>
      <w:r>
        <w:t>y</w:t>
      </w:r>
      <w:r w:rsidR="00AA31BE">
        <w:t xml:space="preserve"> poskytovatele a příjemce dotace</w:t>
      </w:r>
      <w:r w:rsidR="00864667">
        <w:t xml:space="preserve"> </w:t>
      </w:r>
      <w:r w:rsidR="00AA31BE">
        <w:t>v případě</w:t>
      </w:r>
      <w:r w:rsidR="00AA31BE" w:rsidRPr="00AA31BE">
        <w:t xml:space="preserve"> </w:t>
      </w:r>
      <w:r w:rsidR="00AA31BE">
        <w:t>změny právní form</w:t>
      </w:r>
      <w:r w:rsidR="00A53869">
        <w:t>y</w:t>
      </w:r>
      <w:r w:rsidR="00AA31BE">
        <w:t xml:space="preserve">, kdy právnická osoba (obchodní společnost nebo družstvo) zaniká a její jmění </w:t>
      </w:r>
      <w:r w:rsidR="00A53869">
        <w:t xml:space="preserve">přechází </w:t>
      </w:r>
      <w:r w:rsidR="00AA31BE">
        <w:t>na právního nástupce,</w:t>
      </w:r>
    </w:p>
    <w:p w:rsidR="00A71B7B" w:rsidRDefault="00AA31BE" w:rsidP="003E4E35">
      <w:pPr>
        <w:pStyle w:val="Odstavecseseznamem"/>
        <w:numPr>
          <w:ilvl w:val="0"/>
          <w:numId w:val="2"/>
        </w:numPr>
        <w:ind w:left="426" w:hanging="357"/>
      </w:pPr>
      <w:r w:rsidRPr="00AA31BE">
        <w:rPr>
          <w:b/>
        </w:rPr>
        <w:t>nové ust</w:t>
      </w:r>
      <w:r>
        <w:rPr>
          <w:b/>
        </w:rPr>
        <w:t>a</w:t>
      </w:r>
      <w:r w:rsidRPr="00AA31BE">
        <w:rPr>
          <w:b/>
        </w:rPr>
        <w:t>novení § 14e</w:t>
      </w:r>
      <w:r w:rsidR="00A71B7B">
        <w:rPr>
          <w:b/>
        </w:rPr>
        <w:t>:</w:t>
      </w:r>
      <w:r>
        <w:t xml:space="preserve"> </w:t>
      </w:r>
    </w:p>
    <w:p w:rsidR="00F477AC" w:rsidRDefault="00A71B7B" w:rsidP="004305C7">
      <w:pPr>
        <w:pStyle w:val="Odstavecseseznamem"/>
        <w:numPr>
          <w:ilvl w:val="0"/>
          <w:numId w:val="2"/>
        </w:numPr>
        <w:ind w:left="782" w:hanging="357"/>
      </w:pPr>
      <w:r>
        <w:t>m</w:t>
      </w:r>
      <w:r w:rsidR="00F477AC" w:rsidRPr="00B57FA2">
        <w:t>ožnost</w:t>
      </w:r>
      <w:r w:rsidR="00B57FA2">
        <w:t xml:space="preserve"> poskytovatele nevyplatit </w:t>
      </w:r>
      <w:r w:rsidR="00F477AC" w:rsidRPr="00E0747B">
        <w:t>dotac</w:t>
      </w:r>
      <w:r w:rsidR="00A53869">
        <w:t>i</w:t>
      </w:r>
      <w:r w:rsidR="00F477AC" w:rsidRPr="00E0747B">
        <w:t xml:space="preserve"> </w:t>
      </w:r>
      <w:r w:rsidR="008D18D8">
        <w:t xml:space="preserve">nebo její část </w:t>
      </w:r>
      <w:r w:rsidR="00F477AC" w:rsidRPr="00E0747B">
        <w:t xml:space="preserve">v případě podezření na porušení pravidel pro </w:t>
      </w:r>
      <w:r w:rsidR="00CB5700">
        <w:t>zadávání veřejných zakázek</w:t>
      </w:r>
      <w:r w:rsidR="00B57FA2">
        <w:t>. Týká se pouze prostředků spolufinancovaných z rozpočtu EU</w:t>
      </w:r>
      <w:r w:rsidR="00473259">
        <w:t>,</w:t>
      </w:r>
    </w:p>
    <w:p w:rsidR="00A71B7B" w:rsidRDefault="00A71B7B" w:rsidP="004305C7">
      <w:pPr>
        <w:pStyle w:val="Odstavecseseznamem"/>
        <w:numPr>
          <w:ilvl w:val="0"/>
          <w:numId w:val="2"/>
        </w:numPr>
        <w:ind w:left="782" w:hanging="357"/>
      </w:pPr>
      <w:r>
        <w:t>povinnost informovat o krácení příjemce a finanční úřad,</w:t>
      </w:r>
    </w:p>
    <w:p w:rsidR="00A71B7B" w:rsidRPr="00E0747B" w:rsidRDefault="00495679" w:rsidP="004305C7">
      <w:pPr>
        <w:pStyle w:val="Odstavecseseznamem"/>
        <w:numPr>
          <w:ilvl w:val="0"/>
          <w:numId w:val="2"/>
        </w:numPr>
        <w:ind w:left="782" w:hanging="357"/>
      </w:pPr>
      <w:r>
        <w:t xml:space="preserve">příjemce nemůže využít </w:t>
      </w:r>
      <w:r w:rsidR="00B31044">
        <w:t xml:space="preserve">proti krácení </w:t>
      </w:r>
      <w:r>
        <w:t>obecné předpisy o správním řízením</w:t>
      </w:r>
      <w:r w:rsidR="00486FFE">
        <w:t>,</w:t>
      </w:r>
      <w:r w:rsidR="00B752BB">
        <w:t xml:space="preserve"> </w:t>
      </w:r>
      <w:r w:rsidR="004305C7">
        <w:t>je</w:t>
      </w:r>
      <w:r w:rsidR="004160E1">
        <w:t> </w:t>
      </w:r>
      <w:r w:rsidR="00486FFE">
        <w:t>vyloučena možnost soudního přezkumu</w:t>
      </w:r>
      <w:r>
        <w:t>,</w:t>
      </w:r>
    </w:p>
    <w:p w:rsidR="00F477AC" w:rsidRPr="00E0747B" w:rsidRDefault="004305C7" w:rsidP="003E4E35">
      <w:pPr>
        <w:pStyle w:val="Odstavecseseznamem"/>
        <w:numPr>
          <w:ilvl w:val="0"/>
          <w:numId w:val="2"/>
        </w:numPr>
        <w:ind w:left="426" w:hanging="357"/>
      </w:pPr>
      <w:r>
        <w:rPr>
          <w:b/>
        </w:rPr>
        <w:t xml:space="preserve">nová ustanovení </w:t>
      </w:r>
      <w:r w:rsidRPr="007B0043">
        <w:rPr>
          <w:b/>
        </w:rPr>
        <w:t>§ 44 odst. 1 písm. h), i), j)</w:t>
      </w:r>
      <w:r>
        <w:rPr>
          <w:b/>
        </w:rPr>
        <w:t xml:space="preserve"> </w:t>
      </w:r>
      <w:r w:rsidR="00E66424" w:rsidRPr="004305C7">
        <w:rPr>
          <w:bCs/>
        </w:rPr>
        <w:t>rozš</w:t>
      </w:r>
      <w:r>
        <w:rPr>
          <w:bCs/>
        </w:rPr>
        <w:t>i</w:t>
      </w:r>
      <w:r w:rsidR="00E66424" w:rsidRPr="004305C7">
        <w:rPr>
          <w:bCs/>
        </w:rPr>
        <w:t>ř</w:t>
      </w:r>
      <w:r>
        <w:rPr>
          <w:bCs/>
        </w:rPr>
        <w:t>ují</w:t>
      </w:r>
      <w:r w:rsidR="00E66424">
        <w:t xml:space="preserve"> vymezení </w:t>
      </w:r>
      <w:r w:rsidR="00F477AC" w:rsidRPr="00E0747B">
        <w:t>skutkové podstaty PRK</w:t>
      </w:r>
      <w:r w:rsidR="00E66424">
        <w:t>:</w:t>
      </w:r>
    </w:p>
    <w:p w:rsidR="00E66424" w:rsidRDefault="00C5427A" w:rsidP="004305C7">
      <w:pPr>
        <w:pStyle w:val="Odstavecseseznamem"/>
        <w:numPr>
          <w:ilvl w:val="0"/>
          <w:numId w:val="7"/>
        </w:numPr>
        <w:ind w:left="782" w:hanging="357"/>
      </w:pPr>
      <w:r>
        <w:t xml:space="preserve">upravuje situaci, kdy </w:t>
      </w:r>
      <w:r w:rsidR="004305C7">
        <w:t xml:space="preserve">poskytovatel </w:t>
      </w:r>
      <w:r w:rsidR="002820D5">
        <w:t xml:space="preserve">v rámci finančního vypořádání nepřevede </w:t>
      </w:r>
      <w:r>
        <w:t>ve</w:t>
      </w:r>
      <w:r w:rsidR="004160E1">
        <w:t> </w:t>
      </w:r>
      <w:r>
        <w:t xml:space="preserve">stanoveném termínu </w:t>
      </w:r>
      <w:r w:rsidR="002820D5">
        <w:t xml:space="preserve">prostředky </w:t>
      </w:r>
      <w:r>
        <w:t>do SR</w:t>
      </w:r>
      <w:r w:rsidR="002820D5">
        <w:t xml:space="preserve"> stanovené vyhláškou (PRK na straně poskytovatele)</w:t>
      </w:r>
      <w:r>
        <w:t xml:space="preserve">, </w:t>
      </w:r>
    </w:p>
    <w:p w:rsidR="00C5427A" w:rsidRDefault="002820D5" w:rsidP="004305C7">
      <w:pPr>
        <w:pStyle w:val="Odstavecseseznamem"/>
        <w:numPr>
          <w:ilvl w:val="0"/>
          <w:numId w:val="7"/>
        </w:numPr>
        <w:ind w:left="782" w:hanging="357"/>
      </w:pPr>
      <w:r>
        <w:t>jedná se o situaci</w:t>
      </w:r>
      <w:r w:rsidR="00C5427A">
        <w:t xml:space="preserve">, </w:t>
      </w:r>
      <w:r>
        <w:t xml:space="preserve">kdy poskytovatel (kraj nebo Regionální rada regionu soudržnosti) nepřevede příjemcem vrácené prostředky zpět do SR nebo NF v termínu stanoveném </w:t>
      </w:r>
      <w:r>
        <w:lastRenderedPageBreak/>
        <w:t>v</w:t>
      </w:r>
      <w:r w:rsidR="0063544B">
        <w:t> </w:t>
      </w:r>
      <w:r>
        <w:t>rozhodnutí</w:t>
      </w:r>
      <w:r w:rsidR="0063544B">
        <w:t>. Doposud se jednalo o zadržení prostředků podle</w:t>
      </w:r>
      <w:r w:rsidR="00C77C55">
        <w:t xml:space="preserve"> ustanovení</w:t>
      </w:r>
      <w:r w:rsidR="0063544B">
        <w:t xml:space="preserve"> § 3 písm. f) RP</w:t>
      </w:r>
      <w:r w:rsidR="004305C7">
        <w:t>,</w:t>
      </w:r>
    </w:p>
    <w:p w:rsidR="00C5427A" w:rsidRDefault="008E0C40" w:rsidP="004305C7">
      <w:pPr>
        <w:pStyle w:val="Odstavecseseznamem"/>
        <w:numPr>
          <w:ilvl w:val="0"/>
          <w:numId w:val="7"/>
        </w:numPr>
        <w:ind w:left="782" w:hanging="357"/>
      </w:pPr>
      <w:r>
        <w:t>týká se případu, kdy je</w:t>
      </w:r>
      <w:r w:rsidR="00350FD1">
        <w:t xml:space="preserve"> </w:t>
      </w:r>
      <w:r w:rsidR="00350FD1" w:rsidRPr="00350FD1">
        <w:t>porušen</w:t>
      </w:r>
      <w:r>
        <w:t>a</w:t>
      </w:r>
      <w:r w:rsidR="00350FD1" w:rsidRPr="00350FD1">
        <w:t xml:space="preserve"> povinnost stanoven</w:t>
      </w:r>
      <w:r>
        <w:t>á</w:t>
      </w:r>
      <w:r w:rsidR="00350FD1" w:rsidRPr="00350FD1">
        <w:t xml:space="preserve"> </w:t>
      </w:r>
      <w:r w:rsidR="00350FD1">
        <w:t>v</w:t>
      </w:r>
      <w:r>
        <w:t> </w:t>
      </w:r>
      <w:r w:rsidR="00350FD1">
        <w:t>rozhodnutí</w:t>
      </w:r>
      <w:r>
        <w:t xml:space="preserve"> či</w:t>
      </w:r>
      <w:r w:rsidR="00350FD1">
        <w:t xml:space="preserve"> dohodě</w:t>
      </w:r>
      <w:r w:rsidR="00350FD1" w:rsidRPr="00350FD1">
        <w:t xml:space="preserve"> o</w:t>
      </w:r>
      <w:r w:rsidR="004160E1">
        <w:t> </w:t>
      </w:r>
      <w:r w:rsidR="00350FD1" w:rsidRPr="00350FD1">
        <w:t xml:space="preserve">poskytnutí dotace nebo </w:t>
      </w:r>
      <w:r w:rsidR="00350FD1">
        <w:t>NFV. Musí být splněn</w:t>
      </w:r>
      <w:r>
        <w:t>y</w:t>
      </w:r>
      <w:r w:rsidR="00350FD1">
        <w:t xml:space="preserve"> dvě podmínky</w:t>
      </w:r>
      <w:r>
        <w:t>:</w:t>
      </w:r>
      <w:r w:rsidR="00350FD1">
        <w:t xml:space="preserve"> porušení povinnosti </w:t>
      </w:r>
      <w:r w:rsidR="00350FD1" w:rsidRPr="00350FD1">
        <w:t>přímo souvisí s</w:t>
      </w:r>
      <w:r w:rsidR="00350FD1">
        <w:t> </w:t>
      </w:r>
      <w:r w:rsidR="00350FD1" w:rsidRPr="00350FD1">
        <w:t>účelem</w:t>
      </w:r>
      <w:r w:rsidR="00350FD1">
        <w:t xml:space="preserve"> dotace a tento stav trvá v době přijetí peněžních prostředků. Tato nová úprava se tedy týká </w:t>
      </w:r>
      <w:r w:rsidR="00350FD1" w:rsidRPr="00A15337">
        <w:rPr>
          <w:b/>
        </w:rPr>
        <w:t>pouze dotací</w:t>
      </w:r>
      <w:r w:rsidR="00350FD1">
        <w:t xml:space="preserve"> poskytovaných </w:t>
      </w:r>
      <w:r w:rsidR="00350FD1" w:rsidRPr="00A15337">
        <w:rPr>
          <w:b/>
        </w:rPr>
        <w:t>ex-post</w:t>
      </w:r>
      <w:r w:rsidR="00350FD1">
        <w:t xml:space="preserve">. </w:t>
      </w:r>
      <w:r w:rsidR="00AB3218">
        <w:t xml:space="preserve">V případě PRK </w:t>
      </w:r>
      <w:r w:rsidR="009C5966">
        <w:t>po</w:t>
      </w:r>
      <w:r w:rsidR="00AB3218">
        <w:t>dle písm.</w:t>
      </w:r>
      <w:r w:rsidR="009C5966">
        <w:t> </w:t>
      </w:r>
      <w:r w:rsidR="00AB3218">
        <w:t>j)</w:t>
      </w:r>
      <w:r w:rsidR="00350FD1">
        <w:t xml:space="preserve"> </w:t>
      </w:r>
      <w:r w:rsidR="00AB3218">
        <w:t>došlo ke</w:t>
      </w:r>
      <w:r w:rsidR="00F825A9">
        <w:t> </w:t>
      </w:r>
      <w:r w:rsidR="0063544B">
        <w:t>změn</w:t>
      </w:r>
      <w:r w:rsidR="009C5966">
        <w:t>ě</w:t>
      </w:r>
      <w:r w:rsidR="0063544B">
        <w:t xml:space="preserve"> výpočt</w:t>
      </w:r>
      <w:r w:rsidR="00350FD1">
        <w:t>u</w:t>
      </w:r>
      <w:r w:rsidR="0063544B">
        <w:t xml:space="preserve"> penále</w:t>
      </w:r>
      <w:r w:rsidR="009C5966">
        <w:t>, a to</w:t>
      </w:r>
      <w:r w:rsidR="00AB3218">
        <w:t xml:space="preserve"> ode dne následujícího po dni splatnosti platebního výměru na odvod. V ostatních případech se penále počítá ode dne následující</w:t>
      </w:r>
      <w:r>
        <w:t>ho</w:t>
      </w:r>
      <w:r w:rsidR="00AB3218">
        <w:t xml:space="preserve"> po dni, kdy byla </w:t>
      </w:r>
      <w:r>
        <w:t>porušena rozpočtová kázeň</w:t>
      </w:r>
      <w:r w:rsidR="00EB205D">
        <w:t>,</w:t>
      </w:r>
    </w:p>
    <w:p w:rsidR="00E66424" w:rsidRPr="00E66424" w:rsidRDefault="00E66424" w:rsidP="003E4E35">
      <w:pPr>
        <w:pStyle w:val="Odstavecseseznamem"/>
        <w:numPr>
          <w:ilvl w:val="0"/>
          <w:numId w:val="2"/>
        </w:numPr>
        <w:ind w:left="426" w:hanging="357"/>
      </w:pPr>
      <w:r w:rsidRPr="00E66424">
        <w:t xml:space="preserve">vložení nových druhů prostředků </w:t>
      </w:r>
      <w:r w:rsidR="00C77C55">
        <w:t>pro účely postihu (</w:t>
      </w:r>
      <w:r w:rsidRPr="00E66424">
        <w:t>§ 44 odst. 2</w:t>
      </w:r>
      <w:r w:rsidR="00C77C55">
        <w:t>)</w:t>
      </w:r>
      <w:r w:rsidR="008E0C40">
        <w:t xml:space="preserve"> a </w:t>
      </w:r>
      <w:r w:rsidR="00B179A7">
        <w:t>s tím spojena povinnost označení těchto prostředků organizační složkou státu (§ 44 odst. 4),</w:t>
      </w:r>
    </w:p>
    <w:p w:rsidR="00F477AC" w:rsidRPr="00E0747B" w:rsidRDefault="00221081" w:rsidP="003E4E35">
      <w:pPr>
        <w:pStyle w:val="Odstavecseseznamem"/>
        <w:numPr>
          <w:ilvl w:val="0"/>
          <w:numId w:val="2"/>
        </w:numPr>
        <w:ind w:left="426" w:hanging="357"/>
      </w:pPr>
      <w:r>
        <w:t>n</w:t>
      </w:r>
      <w:r w:rsidR="00F477AC" w:rsidRPr="00E0747B">
        <w:t>ové postupy ukládání odvodů za PRK</w:t>
      </w:r>
      <w:r w:rsidR="00591B80">
        <w:t xml:space="preserve"> u </w:t>
      </w:r>
      <w:r w:rsidR="00591B80" w:rsidRPr="00E0747B">
        <w:t xml:space="preserve">prostředků </w:t>
      </w:r>
      <w:r w:rsidR="00591B80">
        <w:t xml:space="preserve">poskytnutých </w:t>
      </w:r>
      <w:r w:rsidR="00591B80" w:rsidRPr="00E0747B">
        <w:t>EU</w:t>
      </w:r>
      <w:r w:rsidR="00591B80">
        <w:t xml:space="preserve"> (§ 44a odst. 4 písm. b)), kdy je v podmínkách dotace </w:t>
      </w:r>
      <w:r w:rsidR="009B2CF3">
        <w:t>stanoven</w:t>
      </w:r>
      <w:r w:rsidR="00591B80">
        <w:t>o</w:t>
      </w:r>
      <w:r w:rsidR="009B2CF3">
        <w:t xml:space="preserve"> p</w:t>
      </w:r>
      <w:r w:rsidR="00F477AC" w:rsidRPr="00E0747B">
        <w:t>rocentní rozmezí</w:t>
      </w:r>
      <w:r w:rsidR="009B2CF3">
        <w:t>. Finanční úřad musí při</w:t>
      </w:r>
      <w:r w:rsidR="008F765B">
        <w:t> </w:t>
      </w:r>
      <w:r w:rsidR="009B2CF3">
        <w:t>stanovení odvodu posoudit závažnost porušení podmínek a vliv na dosažení účelu dotace, tzn. provést správní úvahu,</w:t>
      </w:r>
    </w:p>
    <w:p w:rsidR="00C61080" w:rsidRDefault="00C61080" w:rsidP="003E4E35">
      <w:pPr>
        <w:pStyle w:val="Odstavecseseznamem"/>
        <w:numPr>
          <w:ilvl w:val="0"/>
          <w:numId w:val="2"/>
        </w:numPr>
        <w:ind w:left="426" w:hanging="357"/>
      </w:pPr>
      <w:r>
        <w:t>změny</w:t>
      </w:r>
      <w:r>
        <w:rPr>
          <w:b/>
        </w:rPr>
        <w:t xml:space="preserve"> </w:t>
      </w:r>
      <w:r w:rsidRPr="00C61080">
        <w:t>v případě</w:t>
      </w:r>
      <w:r>
        <w:rPr>
          <w:b/>
        </w:rPr>
        <w:t xml:space="preserve"> žádosti o prominutí</w:t>
      </w:r>
      <w:r w:rsidR="00FE4773">
        <w:t xml:space="preserve"> odvodu nebo penále</w:t>
      </w:r>
      <w:r>
        <w:t xml:space="preserve"> (§ 44 odst. 11):</w:t>
      </w:r>
    </w:p>
    <w:p w:rsidR="00C61080" w:rsidRPr="00C61080" w:rsidRDefault="00FE4773" w:rsidP="003E4E35">
      <w:pPr>
        <w:pStyle w:val="Odstavecseseznamem"/>
        <w:numPr>
          <w:ilvl w:val="0"/>
          <w:numId w:val="2"/>
        </w:numPr>
        <w:ind w:left="782" w:hanging="357"/>
      </w:pPr>
      <w:r w:rsidRPr="00C61080">
        <w:rPr>
          <w:b/>
        </w:rPr>
        <w:t xml:space="preserve">rozhoduje </w:t>
      </w:r>
      <w:r w:rsidR="00DF133B">
        <w:rPr>
          <w:b/>
        </w:rPr>
        <w:t>GFŘ</w:t>
      </w:r>
      <w:r w:rsidR="00C61080">
        <w:t>, před novelou rozhodovalo pouze ministerstvo,</w:t>
      </w:r>
    </w:p>
    <w:p w:rsidR="00C61080" w:rsidRDefault="00C61080" w:rsidP="003E4E35">
      <w:pPr>
        <w:pStyle w:val="Odstavecseseznamem"/>
        <w:numPr>
          <w:ilvl w:val="0"/>
          <w:numId w:val="2"/>
        </w:numPr>
        <w:ind w:left="782" w:hanging="357"/>
      </w:pPr>
      <w:r>
        <w:t>p</w:t>
      </w:r>
      <w:r w:rsidR="00FE4773" w:rsidRPr="00E0747B">
        <w:t>odání žádosti o prominutí</w:t>
      </w:r>
      <w:r w:rsidR="00FE4773">
        <w:t xml:space="preserve"> je </w:t>
      </w:r>
      <w:r w:rsidR="00221081" w:rsidRPr="00FE4773">
        <w:rPr>
          <w:b/>
        </w:rPr>
        <w:t>č</w:t>
      </w:r>
      <w:r w:rsidR="00F477AC" w:rsidRPr="00FE4773">
        <w:rPr>
          <w:b/>
        </w:rPr>
        <w:t>asov</w:t>
      </w:r>
      <w:r w:rsidR="00FE4773" w:rsidRPr="00FE4773">
        <w:rPr>
          <w:b/>
        </w:rPr>
        <w:t>ě omezeno</w:t>
      </w:r>
      <w:r w:rsidR="00F477AC" w:rsidRPr="00FE4773">
        <w:rPr>
          <w:b/>
        </w:rPr>
        <w:t xml:space="preserve"> </w:t>
      </w:r>
      <w:r w:rsidR="00591B80">
        <w:rPr>
          <w:b/>
        </w:rPr>
        <w:t xml:space="preserve">– </w:t>
      </w:r>
      <w:r w:rsidR="003F6B1D" w:rsidRPr="00FE4773">
        <w:rPr>
          <w:b/>
        </w:rPr>
        <w:t>1 rok</w:t>
      </w:r>
      <w:r w:rsidR="003F6B1D">
        <w:t xml:space="preserve"> od nabytí právní moci odvodu nebo penále</w:t>
      </w:r>
      <w:r>
        <w:t>,</w:t>
      </w:r>
    </w:p>
    <w:p w:rsidR="009C5966" w:rsidRDefault="00C61080" w:rsidP="003E4E35">
      <w:pPr>
        <w:pStyle w:val="Odstavecseseznamem"/>
        <w:numPr>
          <w:ilvl w:val="0"/>
          <w:numId w:val="2"/>
        </w:numPr>
        <w:ind w:left="782" w:hanging="357"/>
      </w:pPr>
      <w:r>
        <w:t>prodloužení roční lhůt</w:t>
      </w:r>
      <w:r w:rsidR="00591B80">
        <w:t>y</w:t>
      </w:r>
      <w:r>
        <w:t xml:space="preserve"> v případě využití </w:t>
      </w:r>
      <w:r w:rsidR="00CF5B6E">
        <w:t xml:space="preserve">opravných nebo </w:t>
      </w:r>
      <w:r>
        <w:t>dozorčích prostředků podle</w:t>
      </w:r>
      <w:r w:rsidR="00191A9B">
        <w:t> </w:t>
      </w:r>
      <w:r>
        <w:t>daňového řádu (návrh</w:t>
      </w:r>
      <w:r w:rsidRPr="00C61080">
        <w:t xml:space="preserve"> na obnovu řízení</w:t>
      </w:r>
      <w:r>
        <w:t>, přezkumné</w:t>
      </w:r>
      <w:r w:rsidRPr="00C61080">
        <w:t xml:space="preserve"> řízení</w:t>
      </w:r>
      <w:r>
        <w:t>) nebo podání žaloby</w:t>
      </w:r>
      <w:r w:rsidR="00191A9B">
        <w:t xml:space="preserve"> podle správního řádu</w:t>
      </w:r>
      <w:r>
        <w:t xml:space="preserve">, </w:t>
      </w:r>
    </w:p>
    <w:p w:rsidR="00AD15EA" w:rsidRDefault="00AD15EA" w:rsidP="003E4E35">
      <w:pPr>
        <w:pStyle w:val="Odstavecseseznamem"/>
        <w:numPr>
          <w:ilvl w:val="0"/>
          <w:numId w:val="2"/>
        </w:numPr>
        <w:ind w:left="426" w:hanging="357"/>
      </w:pPr>
      <w:r>
        <w:t>p</w:t>
      </w:r>
      <w:r w:rsidRPr="00E0747B">
        <w:t>řechodná ustanovení</w:t>
      </w:r>
      <w:r w:rsidR="009E44D8">
        <w:t>:</w:t>
      </w:r>
    </w:p>
    <w:p w:rsidR="007B0043" w:rsidRDefault="009E44D8" w:rsidP="003E4E35">
      <w:pPr>
        <w:pStyle w:val="Odstavecseseznamem"/>
        <w:numPr>
          <w:ilvl w:val="0"/>
          <w:numId w:val="2"/>
        </w:numPr>
        <w:ind w:left="782" w:hanging="357"/>
      </w:pPr>
      <w:r>
        <w:t>ke</w:t>
      </w:r>
      <w:r w:rsidRPr="00E0747B">
        <w:t xml:space="preserve"> lhůtě pro podání žádosti o prominutí</w:t>
      </w:r>
      <w:r>
        <w:t>. Počítá se 1 rok od nabytí účinnosti novely, ne</w:t>
      </w:r>
      <w:r w:rsidR="00F825A9">
        <w:t xml:space="preserve"> od </w:t>
      </w:r>
      <w:r>
        <w:t>podání návrhu před novelou zákona</w:t>
      </w:r>
      <w:r w:rsidR="00437B83">
        <w:t>,</w:t>
      </w:r>
    </w:p>
    <w:p w:rsidR="009E44D8" w:rsidRPr="00E0747B" w:rsidRDefault="00437B83" w:rsidP="003E4E35">
      <w:pPr>
        <w:pStyle w:val="Odstavecseseznamem"/>
        <w:numPr>
          <w:ilvl w:val="0"/>
          <w:numId w:val="2"/>
        </w:numPr>
        <w:ind w:left="782" w:hanging="357"/>
      </w:pPr>
      <w:r>
        <w:t>při změně</w:t>
      </w:r>
      <w:r w:rsidR="009E44D8">
        <w:t xml:space="preserve"> </w:t>
      </w:r>
      <w:r w:rsidR="009E44D8" w:rsidRPr="00E0747B">
        <w:t>právní form</w:t>
      </w:r>
      <w:r w:rsidR="009E44D8">
        <w:t>y příjemce před účinnost</w:t>
      </w:r>
      <w:r w:rsidR="00952F1E">
        <w:t>í</w:t>
      </w:r>
      <w:r w:rsidR="009E44D8">
        <w:t xml:space="preserve"> </w:t>
      </w:r>
      <w:r w:rsidR="00952F1E">
        <w:t>novely</w:t>
      </w:r>
      <w:r>
        <w:t>.</w:t>
      </w:r>
    </w:p>
    <w:p w:rsidR="00E0747B" w:rsidRPr="00F477AC" w:rsidRDefault="00F477AC" w:rsidP="00C52BF5">
      <w:pPr>
        <w:pStyle w:val="Tomik3"/>
        <w:numPr>
          <w:ilvl w:val="2"/>
          <w:numId w:val="1"/>
        </w:numPr>
        <w:ind w:left="851" w:hanging="851"/>
        <w:rPr>
          <w:szCs w:val="24"/>
        </w:rPr>
      </w:pPr>
      <w:bookmarkStart w:id="44" w:name="_Toc38385259"/>
      <w:r w:rsidRPr="00F477AC">
        <w:rPr>
          <w:szCs w:val="24"/>
        </w:rPr>
        <w:t>Novela zákona č. 25/2015 Sb., kterým se mění zákon o rozpočtových pravidlech (účinná od 20.</w:t>
      </w:r>
      <w:r w:rsidR="0043029F">
        <w:rPr>
          <w:szCs w:val="24"/>
        </w:rPr>
        <w:t xml:space="preserve"> </w:t>
      </w:r>
      <w:r w:rsidRPr="00F477AC">
        <w:rPr>
          <w:szCs w:val="24"/>
        </w:rPr>
        <w:t>2.</w:t>
      </w:r>
      <w:r w:rsidR="0043029F">
        <w:rPr>
          <w:szCs w:val="24"/>
        </w:rPr>
        <w:t xml:space="preserve"> </w:t>
      </w:r>
      <w:r w:rsidRPr="00F477AC">
        <w:rPr>
          <w:szCs w:val="24"/>
        </w:rPr>
        <w:t>2015)</w:t>
      </w:r>
      <w:r w:rsidR="00336FF1">
        <w:rPr>
          <w:rStyle w:val="Znakapoznpodarou"/>
          <w:szCs w:val="24"/>
        </w:rPr>
        <w:footnoteReference w:id="63"/>
      </w:r>
      <w:bookmarkEnd w:id="44"/>
    </w:p>
    <w:p w:rsidR="00F477AC" w:rsidRPr="002F5438" w:rsidRDefault="00147B5D" w:rsidP="002F5438">
      <w:pPr>
        <w:rPr>
          <w:highlight w:val="yellow"/>
        </w:rPr>
      </w:pPr>
      <w:r>
        <w:t>P</w:t>
      </w:r>
      <w:r w:rsidRPr="00DD70AD">
        <w:t xml:space="preserve">řestože byla v zákoně uvedena účinnost </w:t>
      </w:r>
      <w:r w:rsidR="007753A5">
        <w:t>dne</w:t>
      </w:r>
      <w:r w:rsidRPr="00DD70AD">
        <w:t xml:space="preserve"> 1. 1. 2015</w:t>
      </w:r>
      <w:r>
        <w:t>, z důvodu vyhlášení ve Sbírce zákonů dne 5. 2. 2015</w:t>
      </w:r>
      <w:r w:rsidR="00952F1E">
        <w:t xml:space="preserve"> </w:t>
      </w:r>
      <w:r w:rsidRPr="009D7A75">
        <w:t xml:space="preserve">novela nabyla účinnosti </w:t>
      </w:r>
      <w:r w:rsidR="007753A5">
        <w:t>dne</w:t>
      </w:r>
      <w:r w:rsidRPr="009D7A75">
        <w:t xml:space="preserve"> 20. 2. 2015</w:t>
      </w:r>
      <w:r>
        <w:t xml:space="preserve">. </w:t>
      </w:r>
      <w:r w:rsidR="004160E1">
        <w:t>Rozsahem svých</w:t>
      </w:r>
      <w:r w:rsidR="00D979DC">
        <w:t xml:space="preserve"> změn </w:t>
      </w:r>
      <w:r w:rsidR="00D979DC">
        <w:lastRenderedPageBreak/>
        <w:t>se</w:t>
      </w:r>
      <w:r w:rsidR="004160E1">
        <w:t> </w:t>
      </w:r>
      <w:r w:rsidR="00D979DC">
        <w:t xml:space="preserve">vyrovnala novele zákona č. 465/2011 z roku 2011.  </w:t>
      </w:r>
      <w:r w:rsidR="002F5438">
        <w:t xml:space="preserve">V novele zákona č. 25/2015 Sb. došlo k výraznému posílení pravomocí poskytovatele vůči příjemci dotace. Novela obsahuje následující </w:t>
      </w:r>
      <w:r w:rsidR="005E15D7">
        <w:t xml:space="preserve">změny a </w:t>
      </w:r>
      <w:r w:rsidR="00BE0B8F">
        <w:t>úpravy</w:t>
      </w:r>
      <w:r w:rsidR="002F5438">
        <w:t>:</w:t>
      </w:r>
    </w:p>
    <w:p w:rsidR="002F5438" w:rsidRDefault="00BE0B8F" w:rsidP="003E4E35">
      <w:pPr>
        <w:pStyle w:val="Odstavecseseznamem"/>
        <w:numPr>
          <w:ilvl w:val="0"/>
          <w:numId w:val="2"/>
        </w:numPr>
        <w:ind w:left="426" w:hanging="357"/>
      </w:pPr>
      <w:r>
        <w:t xml:space="preserve">změny a </w:t>
      </w:r>
      <w:r w:rsidR="002F5438">
        <w:t xml:space="preserve">rozšíření </w:t>
      </w:r>
      <w:r>
        <w:t>fondů spolufinancovaných z rozpočtu EU</w:t>
      </w:r>
      <w:r w:rsidR="002F5438">
        <w:t xml:space="preserve"> (§ 3 písm. j)</w:t>
      </w:r>
      <w:r>
        <w:t>,</w:t>
      </w:r>
    </w:p>
    <w:p w:rsidR="0099285F" w:rsidRDefault="00123014" w:rsidP="0026279E">
      <w:pPr>
        <w:pStyle w:val="Odstavecseseznamem"/>
        <w:numPr>
          <w:ilvl w:val="0"/>
          <w:numId w:val="2"/>
        </w:numPr>
      </w:pPr>
      <w:r w:rsidRPr="0099285F">
        <w:rPr>
          <w:b/>
        </w:rPr>
        <w:t xml:space="preserve">nové znění </w:t>
      </w:r>
      <w:r w:rsidR="00705EB3" w:rsidRPr="0099285F">
        <w:rPr>
          <w:b/>
        </w:rPr>
        <w:t xml:space="preserve">ustanovení § 14 </w:t>
      </w:r>
      <w:r w:rsidR="009D7A75" w:rsidRPr="0099285F">
        <w:rPr>
          <w:b/>
        </w:rPr>
        <w:t>odst. 6</w:t>
      </w:r>
      <w:r w:rsidR="0099285F" w:rsidRPr="0099285F">
        <w:rPr>
          <w:b/>
        </w:rPr>
        <w:t>.</w:t>
      </w:r>
      <w:r>
        <w:t xml:space="preserve"> </w:t>
      </w:r>
      <w:r w:rsidR="0099285F">
        <w:t>Při stanove</w:t>
      </w:r>
      <w:r w:rsidR="00AC0873">
        <w:t>ní dalších</w:t>
      </w:r>
      <w:r w:rsidR="000472F0">
        <w:t xml:space="preserve"> podmínek se přestává</w:t>
      </w:r>
      <w:r w:rsidR="0099285F">
        <w:t xml:space="preserve"> </w:t>
      </w:r>
      <w:r>
        <w:t>rozlišovat</w:t>
      </w:r>
      <w:r w:rsidR="00A86E97">
        <w:t>, zda</w:t>
      </w:r>
      <w:r w:rsidR="0099285F">
        <w:t xml:space="preserve"> je projekt financován z</w:t>
      </w:r>
      <w:r w:rsidR="009D7A75">
        <w:t xml:space="preserve"> evropský</w:t>
      </w:r>
      <w:r w:rsidR="0099285F">
        <w:t>ch nebo</w:t>
      </w:r>
      <w:r w:rsidR="009D7A75">
        <w:t xml:space="preserve"> český</w:t>
      </w:r>
      <w:r w:rsidR="0099285F">
        <w:t>ch</w:t>
      </w:r>
      <w:r w:rsidR="009D7A75">
        <w:t xml:space="preserve"> prostředků</w:t>
      </w:r>
      <w:r w:rsidR="000472F0">
        <w:t>. Dochází tak</w:t>
      </w:r>
      <w:r w:rsidR="0099285F">
        <w:t xml:space="preserve"> ke</w:t>
      </w:r>
      <w:r w:rsidR="00F825A9">
        <w:t> </w:t>
      </w:r>
      <w:r w:rsidR="0099285F">
        <w:t xml:space="preserve">sloučení předchozích odst. 6 a 7. </w:t>
      </w:r>
      <w:r w:rsidR="004F7D95">
        <w:t>Po</w:t>
      </w:r>
      <w:r w:rsidR="004160E1">
        <w:t> </w:t>
      </w:r>
      <w:r w:rsidR="004F7D95">
        <w:t xml:space="preserve">novele </w:t>
      </w:r>
      <w:r w:rsidR="0026279E" w:rsidRPr="0026279E">
        <w:t xml:space="preserve">může </w:t>
      </w:r>
      <w:r w:rsidR="004F7D95">
        <w:t>p</w:t>
      </w:r>
      <w:r w:rsidR="0099285F">
        <w:t>oskytovatel v rozhodnutí o</w:t>
      </w:r>
      <w:r w:rsidR="00C24930">
        <w:t> </w:t>
      </w:r>
      <w:r w:rsidR="00A86E97">
        <w:t>poskytnutí dotace</w:t>
      </w:r>
      <w:r w:rsidR="0026279E">
        <w:t>:</w:t>
      </w:r>
    </w:p>
    <w:p w:rsidR="001B6B58" w:rsidRDefault="0099285F" w:rsidP="0026279E">
      <w:pPr>
        <w:pStyle w:val="Odstavecseseznamem"/>
        <w:numPr>
          <w:ilvl w:val="0"/>
          <w:numId w:val="2"/>
        </w:numPr>
      </w:pPr>
      <w:r>
        <w:t xml:space="preserve">stanovit </w:t>
      </w:r>
      <w:r w:rsidR="001B6B58">
        <w:t xml:space="preserve">odvod za PRK nižší než je celková dotace </w:t>
      </w:r>
      <w:r>
        <w:t xml:space="preserve">při nesplnění </w:t>
      </w:r>
      <w:r w:rsidR="004F7D95">
        <w:t xml:space="preserve">dalších </w:t>
      </w:r>
      <w:r>
        <w:t>povinností</w:t>
      </w:r>
      <w:r w:rsidR="001B6B58">
        <w:t>, které poskytovatel</w:t>
      </w:r>
      <w:r>
        <w:t xml:space="preserve"> </w:t>
      </w:r>
      <w:r w:rsidR="0026279E" w:rsidRPr="0026279E">
        <w:t xml:space="preserve">předem </w:t>
      </w:r>
      <w:r w:rsidR="004F7D95">
        <w:t xml:space="preserve">vymezil </w:t>
      </w:r>
      <w:r>
        <w:t>v</w:t>
      </w:r>
      <w:r w:rsidR="004F7D95">
        <w:t> </w:t>
      </w:r>
      <w:r>
        <w:t>rozhodnutí</w:t>
      </w:r>
      <w:r w:rsidR="004F7D95">
        <w:t xml:space="preserve"> podle ustanovení § 14 odst. 4 písm. g)</w:t>
      </w:r>
      <w:r w:rsidR="001B6B58">
        <w:t>,</w:t>
      </w:r>
      <w:r>
        <w:t xml:space="preserve"> </w:t>
      </w:r>
    </w:p>
    <w:p w:rsidR="001B6B58" w:rsidRDefault="00AC0873" w:rsidP="003E4E35">
      <w:pPr>
        <w:pStyle w:val="Odstavecseseznamem"/>
        <w:numPr>
          <w:ilvl w:val="0"/>
          <w:numId w:val="2"/>
        </w:numPr>
        <w:ind w:left="782" w:hanging="357"/>
      </w:pPr>
      <w:r>
        <w:t>tento odvod je stanoven</w:t>
      </w:r>
      <w:r w:rsidR="001B6B58">
        <w:t>:</w:t>
      </w:r>
    </w:p>
    <w:p w:rsidR="001B6B58" w:rsidRDefault="0026279E" w:rsidP="003E4E35">
      <w:pPr>
        <w:pStyle w:val="Odstavecseseznamem"/>
        <w:numPr>
          <w:ilvl w:val="0"/>
          <w:numId w:val="2"/>
        </w:numPr>
        <w:ind w:left="1134" w:hanging="357"/>
      </w:pPr>
      <w:r>
        <w:t>pevn</w:t>
      </w:r>
      <w:r w:rsidR="00AC0873">
        <w:t>ým</w:t>
      </w:r>
      <w:r w:rsidR="00E5075E">
        <w:t xml:space="preserve"> procent</w:t>
      </w:r>
      <w:r>
        <w:t>n</w:t>
      </w:r>
      <w:r w:rsidR="00AC0873">
        <w:t>ím</w:t>
      </w:r>
      <w:r>
        <w:t xml:space="preserve"> podíl</w:t>
      </w:r>
      <w:r w:rsidR="00AC0873">
        <w:t>em</w:t>
      </w:r>
      <w:r w:rsidR="00E5075E">
        <w:t xml:space="preserve"> či </w:t>
      </w:r>
      <w:r>
        <w:t>procentní</w:t>
      </w:r>
      <w:r w:rsidR="00AC0873">
        <w:t>m</w:t>
      </w:r>
      <w:r w:rsidR="001B6B58">
        <w:t xml:space="preserve"> rozmezí</w:t>
      </w:r>
      <w:r w:rsidR="00AC0873">
        <w:t>m</w:t>
      </w:r>
      <w:r w:rsidR="001B6B58">
        <w:t xml:space="preserve"> z celkové částky nebo z</w:t>
      </w:r>
      <w:r w:rsidR="004160E1">
        <w:t> </w:t>
      </w:r>
      <w:r w:rsidR="001B6B58">
        <w:t>částky</w:t>
      </w:r>
      <w:r w:rsidR="004160E1">
        <w:t>,</w:t>
      </w:r>
      <w:r w:rsidR="001B6B58">
        <w:t xml:space="preserve"> </w:t>
      </w:r>
      <w:r w:rsidR="004160E1">
        <w:rPr>
          <w:color w:val="000000"/>
        </w:rPr>
        <w:t>ve které byla porušena rozpočtová kázeň</w:t>
      </w:r>
      <w:r w:rsidR="00E5075E">
        <w:t>,</w:t>
      </w:r>
      <w:r>
        <w:t xml:space="preserve"> nebo</w:t>
      </w:r>
    </w:p>
    <w:p w:rsidR="001B6B58" w:rsidRDefault="0026279E" w:rsidP="003E4E35">
      <w:pPr>
        <w:pStyle w:val="Odstavecseseznamem"/>
        <w:numPr>
          <w:ilvl w:val="0"/>
          <w:numId w:val="2"/>
        </w:numPr>
        <w:ind w:left="1134" w:hanging="357"/>
      </w:pPr>
      <w:r>
        <w:rPr>
          <w:b/>
        </w:rPr>
        <w:t>pevn</w:t>
      </w:r>
      <w:r w:rsidR="00AC0873">
        <w:rPr>
          <w:b/>
        </w:rPr>
        <w:t>ou</w:t>
      </w:r>
      <w:r>
        <w:rPr>
          <w:b/>
        </w:rPr>
        <w:t xml:space="preserve"> částk</w:t>
      </w:r>
      <w:r w:rsidR="00AC0873">
        <w:rPr>
          <w:b/>
        </w:rPr>
        <w:t>ou</w:t>
      </w:r>
      <w:r w:rsidR="001B6B58" w:rsidRPr="00705EB3">
        <w:rPr>
          <w:b/>
        </w:rPr>
        <w:t xml:space="preserve"> odvodu</w:t>
      </w:r>
      <w:r w:rsidR="001B6B58">
        <w:rPr>
          <w:b/>
        </w:rPr>
        <w:t xml:space="preserve"> </w:t>
      </w:r>
      <w:r w:rsidR="001B6B58" w:rsidRPr="0099285F">
        <w:t>(nově)</w:t>
      </w:r>
      <w:r w:rsidR="001B6B58">
        <w:t>,</w:t>
      </w:r>
    </w:p>
    <w:p w:rsidR="00E5075E" w:rsidRDefault="00DD6E70" w:rsidP="003E4E35">
      <w:pPr>
        <w:pStyle w:val="Odstavecseseznamem"/>
        <w:numPr>
          <w:ilvl w:val="0"/>
          <w:numId w:val="2"/>
        </w:numPr>
        <w:ind w:left="782" w:hanging="357"/>
      </w:pPr>
      <w:r>
        <w:t>z</w:t>
      </w:r>
      <w:r w:rsidR="00E5075E">
        <w:t xml:space="preserve">ároveň musí poskytovatel vzít </w:t>
      </w:r>
      <w:r>
        <w:t xml:space="preserve">v úvahu </w:t>
      </w:r>
      <w:r w:rsidR="00E5075E">
        <w:t>záv</w:t>
      </w:r>
      <w:r>
        <w:t>ažnost</w:t>
      </w:r>
      <w:r w:rsidR="00E5075E">
        <w:t xml:space="preserve"> porušení a případný vliv</w:t>
      </w:r>
      <w:r>
        <w:t xml:space="preserve"> na účel</w:t>
      </w:r>
      <w:r w:rsidR="00E5075E">
        <w:t>, na</w:t>
      </w:r>
      <w:r w:rsidR="00C24930">
        <w:t> </w:t>
      </w:r>
      <w:r w:rsidR="00E5075E">
        <w:t>který byla dotace poskytnuta,</w:t>
      </w:r>
    </w:p>
    <w:p w:rsidR="00DD6E70" w:rsidRPr="00AC0873" w:rsidRDefault="00E5075E" w:rsidP="003E4E35">
      <w:pPr>
        <w:pStyle w:val="Odstavecseseznamem"/>
        <w:numPr>
          <w:ilvl w:val="0"/>
          <w:numId w:val="2"/>
        </w:numPr>
        <w:ind w:left="782" w:hanging="357"/>
      </w:pPr>
      <w:r w:rsidRPr="00AC0873">
        <w:t>p</w:t>
      </w:r>
      <w:r w:rsidR="0099285F" w:rsidRPr="00AC0873">
        <w:t>řed novelou mohl</w:t>
      </w:r>
      <w:r w:rsidR="004F7D95" w:rsidRPr="00AC0873">
        <w:t>o</w:t>
      </w:r>
      <w:r w:rsidR="0099285F" w:rsidRPr="00AC0873">
        <w:t xml:space="preserve"> </w:t>
      </w:r>
      <w:r w:rsidR="004F7D95" w:rsidRPr="00AC0873">
        <w:t xml:space="preserve">rozhodnutí o </w:t>
      </w:r>
      <w:r w:rsidR="0026279E" w:rsidRPr="00AC0873">
        <w:t>poskytnutí dotace</w:t>
      </w:r>
      <w:r w:rsidR="004F7D95" w:rsidRPr="00AC0873">
        <w:t xml:space="preserve"> nebo NFV obsahovat </w:t>
      </w:r>
      <w:r w:rsidR="0099285F" w:rsidRPr="00AC0873">
        <w:t>méně závažné podmínky</w:t>
      </w:r>
      <w:r w:rsidR="00DD6E70" w:rsidRPr="00AC0873">
        <w:t xml:space="preserve"> u českých prostředků a </w:t>
      </w:r>
      <w:r w:rsidR="004F7D95" w:rsidRPr="00AC0873">
        <w:t xml:space="preserve">případné další </w:t>
      </w:r>
      <w:r w:rsidR="00DD6E70" w:rsidRPr="00AC0873">
        <w:t>podmínky u evropských prostředků</w:t>
      </w:r>
      <w:r w:rsidR="004230D3" w:rsidRPr="00AC0873">
        <w:t>. V obou případech se jednalo o závazné podmínky,</w:t>
      </w:r>
    </w:p>
    <w:p w:rsidR="00E07C12" w:rsidRPr="00E07C12" w:rsidRDefault="005B6F24" w:rsidP="003E4E35">
      <w:pPr>
        <w:pStyle w:val="Odstavecseseznamem"/>
        <w:numPr>
          <w:ilvl w:val="0"/>
          <w:numId w:val="2"/>
        </w:numPr>
        <w:ind w:left="426" w:hanging="357"/>
        <w:rPr>
          <w:b/>
        </w:rPr>
      </w:pPr>
      <w:r>
        <w:t>doplněno</w:t>
      </w:r>
      <w:r w:rsidR="0092277B" w:rsidRPr="00E07C12">
        <w:t xml:space="preserve"> ust</w:t>
      </w:r>
      <w:r w:rsidR="00E07C12" w:rsidRPr="00E07C12">
        <w:t xml:space="preserve">anovení </w:t>
      </w:r>
      <w:r w:rsidR="00934C8D" w:rsidRPr="00E07C12">
        <w:t>§ 14e</w:t>
      </w:r>
      <w:r w:rsidR="008D18D8">
        <w:t xml:space="preserve">, </w:t>
      </w:r>
      <w:r w:rsidR="005C50DF">
        <w:t>které se týká</w:t>
      </w:r>
      <w:r w:rsidR="008D18D8">
        <w:t xml:space="preserve"> nevyplacení dotace nebo její části</w:t>
      </w:r>
      <w:r w:rsidR="00E07C12" w:rsidRPr="00E07C12">
        <w:t>:</w:t>
      </w:r>
    </w:p>
    <w:p w:rsidR="00934C8D" w:rsidRPr="00E0747B" w:rsidRDefault="008D18D8" w:rsidP="003E4E35">
      <w:pPr>
        <w:pStyle w:val="Odstavecseseznamem"/>
        <w:numPr>
          <w:ilvl w:val="0"/>
          <w:numId w:val="2"/>
        </w:numPr>
        <w:ind w:left="782" w:hanging="357"/>
      </w:pPr>
      <w:r>
        <w:t xml:space="preserve">poskytovatel </w:t>
      </w:r>
      <w:r w:rsidR="00034782">
        <w:t xml:space="preserve">může </w:t>
      </w:r>
      <w:r w:rsidR="005C50DF">
        <w:t xml:space="preserve">toto ustanovení </w:t>
      </w:r>
      <w:r>
        <w:t xml:space="preserve">využít v případě </w:t>
      </w:r>
      <w:r w:rsidRPr="0078672D">
        <w:rPr>
          <w:b/>
        </w:rPr>
        <w:t xml:space="preserve">jakéhokoliv </w:t>
      </w:r>
      <w:r w:rsidR="00934C8D" w:rsidRPr="0078672D">
        <w:rPr>
          <w:b/>
        </w:rPr>
        <w:t>porušení</w:t>
      </w:r>
      <w:r w:rsidR="00934C8D" w:rsidRPr="00E0747B">
        <w:t xml:space="preserve">, </w:t>
      </w:r>
      <w:r w:rsidR="005C50DF">
        <w:t>ne pouze</w:t>
      </w:r>
      <w:r w:rsidR="00934C8D" w:rsidRPr="00E0747B">
        <w:t xml:space="preserve"> </w:t>
      </w:r>
      <w:r w:rsidR="0078672D">
        <w:t xml:space="preserve">při porušení pravidel </w:t>
      </w:r>
      <w:r w:rsidR="00934C8D" w:rsidRPr="00E0747B">
        <w:t xml:space="preserve">pro </w:t>
      </w:r>
      <w:r w:rsidR="0078672D">
        <w:t xml:space="preserve">zadávání </w:t>
      </w:r>
      <w:r w:rsidR="00934C8D" w:rsidRPr="00E0747B">
        <w:t>veřejné zakázky</w:t>
      </w:r>
      <w:r w:rsidR="00257707">
        <w:t>,</w:t>
      </w:r>
    </w:p>
    <w:p w:rsidR="00934C8D" w:rsidRPr="005B6F24" w:rsidRDefault="0078672D" w:rsidP="003E4E35">
      <w:pPr>
        <w:pStyle w:val="Odstavecseseznamem"/>
        <w:numPr>
          <w:ilvl w:val="0"/>
          <w:numId w:val="2"/>
        </w:numPr>
        <w:ind w:left="782" w:hanging="357"/>
      </w:pPr>
      <w:r w:rsidRPr="005B6F24">
        <w:t xml:space="preserve">výše </w:t>
      </w:r>
      <w:r w:rsidR="005B6F24" w:rsidRPr="005B6F24">
        <w:t>nevyplacených</w:t>
      </w:r>
      <w:r w:rsidRPr="005B6F24">
        <w:t xml:space="preserve"> </w:t>
      </w:r>
      <w:r w:rsidR="00034782" w:rsidRPr="005B6F24">
        <w:t xml:space="preserve">prostředků </w:t>
      </w:r>
      <w:r w:rsidRPr="005B6F24">
        <w:t>musí korespondovat s</w:t>
      </w:r>
      <w:r w:rsidR="00034782" w:rsidRPr="005B6F24">
        <w:t> podmínkami uvedenými podle ustanovení</w:t>
      </w:r>
      <w:r w:rsidRPr="005B6F24">
        <w:t xml:space="preserve"> </w:t>
      </w:r>
      <w:r w:rsidR="00934C8D" w:rsidRPr="005B6F24">
        <w:t>§ 14 odst. 6</w:t>
      </w:r>
      <w:r w:rsidRPr="005B6F24">
        <w:t xml:space="preserve"> (</w:t>
      </w:r>
      <w:r w:rsidR="00034782" w:rsidRPr="005B6F24">
        <w:t xml:space="preserve">tzn. stanovení </w:t>
      </w:r>
      <w:r w:rsidRPr="005B6F24">
        <w:t>výše odvodu)</w:t>
      </w:r>
      <w:r w:rsidR="00934C8D" w:rsidRPr="005B6F24">
        <w:t>,</w:t>
      </w:r>
    </w:p>
    <w:p w:rsidR="00257707" w:rsidRPr="005C50DF" w:rsidRDefault="005C50DF" w:rsidP="003E4E35">
      <w:pPr>
        <w:pStyle w:val="Odstavecseseznamem"/>
        <w:numPr>
          <w:ilvl w:val="0"/>
          <w:numId w:val="2"/>
        </w:numPr>
        <w:ind w:left="782" w:hanging="357"/>
      </w:pPr>
      <w:r w:rsidRPr="005C50DF">
        <w:t>o</w:t>
      </w:r>
      <w:r w:rsidR="00257707" w:rsidRPr="005C50DF">
        <w:t xml:space="preserve"> svém postupu musí </w:t>
      </w:r>
      <w:r w:rsidRPr="005C50DF">
        <w:t xml:space="preserve">poskytovatel </w:t>
      </w:r>
      <w:r w:rsidR="00257707" w:rsidRPr="005C50DF">
        <w:t xml:space="preserve">informovat </w:t>
      </w:r>
      <w:r w:rsidR="00EB205D" w:rsidRPr="005C50DF">
        <w:t xml:space="preserve">bez zbytečného odkladu </w:t>
      </w:r>
      <w:r w:rsidR="00257707" w:rsidRPr="005C50DF">
        <w:t>příjemce,</w:t>
      </w:r>
    </w:p>
    <w:p w:rsidR="00257707" w:rsidRPr="005C50DF" w:rsidRDefault="0078672D" w:rsidP="003E4E35">
      <w:pPr>
        <w:pStyle w:val="Odstavecseseznamem"/>
        <w:numPr>
          <w:ilvl w:val="0"/>
          <w:numId w:val="2"/>
        </w:numPr>
        <w:ind w:left="782" w:hanging="357"/>
      </w:pPr>
      <w:r w:rsidRPr="005C50DF">
        <w:t>příjemce má možnost podat námitky do 15 dnů od obdržení informace o nevyplacení</w:t>
      </w:r>
      <w:r w:rsidR="00257707" w:rsidRPr="005C50DF">
        <w:t>,</w:t>
      </w:r>
    </w:p>
    <w:p w:rsidR="00934C8D" w:rsidRPr="005C50DF" w:rsidRDefault="00257707" w:rsidP="003E4E35">
      <w:pPr>
        <w:pStyle w:val="Odstavecseseznamem"/>
        <w:numPr>
          <w:ilvl w:val="0"/>
          <w:numId w:val="2"/>
        </w:numPr>
        <w:ind w:left="782" w:hanging="357"/>
      </w:pPr>
      <w:r w:rsidRPr="005C50DF">
        <w:t xml:space="preserve">poskytovatel se k námitkám musí </w:t>
      </w:r>
      <w:r w:rsidR="005C50DF" w:rsidRPr="005C50DF">
        <w:t>vyjádřit a</w:t>
      </w:r>
      <w:r w:rsidRPr="005C50DF">
        <w:t xml:space="preserve"> rozhodnout o námitkách (není stanovena lhůta),</w:t>
      </w:r>
    </w:p>
    <w:p w:rsidR="0078672D" w:rsidRDefault="0078672D" w:rsidP="003E4E35">
      <w:pPr>
        <w:pStyle w:val="Odstavecseseznamem"/>
        <w:numPr>
          <w:ilvl w:val="0"/>
          <w:numId w:val="2"/>
        </w:numPr>
        <w:ind w:left="782" w:hanging="357"/>
      </w:pPr>
      <w:r>
        <w:t xml:space="preserve">v případě uznání námitek </w:t>
      </w:r>
      <w:r w:rsidR="00257707">
        <w:t xml:space="preserve">má </w:t>
      </w:r>
      <w:r>
        <w:t>posky</w:t>
      </w:r>
      <w:r w:rsidR="00257707">
        <w:t>tovatel</w:t>
      </w:r>
      <w:r>
        <w:t xml:space="preserve"> </w:t>
      </w:r>
      <w:r w:rsidR="00257707">
        <w:t>povinnost poslat nevyplacenou část dotace do 5 dnů od</w:t>
      </w:r>
      <w:r w:rsidR="007753A5">
        <w:t>e dne</w:t>
      </w:r>
      <w:r w:rsidR="00257707">
        <w:t xml:space="preserve"> nabytí právní moci rozhodnutí,</w:t>
      </w:r>
    </w:p>
    <w:p w:rsidR="0078672D" w:rsidRDefault="00934C8D" w:rsidP="003E4E35">
      <w:pPr>
        <w:pStyle w:val="Odstavecseseznamem"/>
        <w:numPr>
          <w:ilvl w:val="0"/>
          <w:numId w:val="2"/>
        </w:numPr>
        <w:ind w:left="782" w:hanging="357"/>
      </w:pPr>
      <w:r>
        <w:t>p</w:t>
      </w:r>
      <w:r w:rsidRPr="00E0747B">
        <w:t xml:space="preserve">oskytovatel </w:t>
      </w:r>
      <w:r w:rsidR="00257707">
        <w:t xml:space="preserve">o opatření podle ustanovení § 14e </w:t>
      </w:r>
      <w:r w:rsidR="00257707" w:rsidRPr="00257707">
        <w:rPr>
          <w:b/>
        </w:rPr>
        <w:t>bezodkladně</w:t>
      </w:r>
      <w:r w:rsidR="00257707">
        <w:t xml:space="preserve"> </w:t>
      </w:r>
      <w:r w:rsidRPr="00BA2AD6">
        <w:rPr>
          <w:b/>
        </w:rPr>
        <w:t>informuje</w:t>
      </w:r>
      <w:r w:rsidRPr="00E0747B">
        <w:t xml:space="preserve"> </w:t>
      </w:r>
      <w:r w:rsidR="00257707">
        <w:t>finanční úřad,</w:t>
      </w:r>
    </w:p>
    <w:p w:rsidR="00B752BB" w:rsidRPr="00035B7E" w:rsidRDefault="00B752BB" w:rsidP="003E4E35">
      <w:pPr>
        <w:pStyle w:val="Odstavecseseznamem"/>
        <w:numPr>
          <w:ilvl w:val="0"/>
          <w:numId w:val="2"/>
        </w:numPr>
        <w:ind w:left="782" w:hanging="357"/>
      </w:pPr>
      <w:r>
        <w:t>zrušen odstavec, kde byl</w:t>
      </w:r>
      <w:r w:rsidR="004160E1">
        <w:t>a</w:t>
      </w:r>
      <w:r>
        <w:t xml:space="preserve"> </w:t>
      </w:r>
      <w:r w:rsidR="004160E1">
        <w:t xml:space="preserve">pro příjemce </w:t>
      </w:r>
      <w:r>
        <w:t>vyloučena možnost využít soudní přezkum,</w:t>
      </w:r>
    </w:p>
    <w:p w:rsidR="00F931B1" w:rsidRPr="003D7D2A" w:rsidRDefault="00A71B7B" w:rsidP="003D7D2A">
      <w:pPr>
        <w:pStyle w:val="Odstavecseseznamem"/>
        <w:numPr>
          <w:ilvl w:val="0"/>
          <w:numId w:val="2"/>
        </w:numPr>
        <w:ind w:left="426" w:hanging="357"/>
        <w:rPr>
          <w:b/>
        </w:rPr>
      </w:pPr>
      <w:r>
        <w:rPr>
          <w:b/>
        </w:rPr>
        <w:lastRenderedPageBreak/>
        <w:t xml:space="preserve">nové ustanovení </w:t>
      </w:r>
      <w:r w:rsidR="00934C8D" w:rsidRPr="00AF36A5">
        <w:rPr>
          <w:b/>
        </w:rPr>
        <w:t>§ 14f</w:t>
      </w:r>
      <w:r w:rsidR="008E69D2">
        <w:t xml:space="preserve"> </w:t>
      </w:r>
      <w:r w:rsidR="005C50DF">
        <w:t xml:space="preserve">umožnilo poskytovateli </w:t>
      </w:r>
      <w:r w:rsidR="00F931B1" w:rsidRPr="003D7D2A">
        <w:rPr>
          <w:b/>
        </w:rPr>
        <w:t>vyzvat příjemce</w:t>
      </w:r>
      <w:r w:rsidR="004230D3" w:rsidRPr="003D7D2A">
        <w:rPr>
          <w:b/>
        </w:rPr>
        <w:t xml:space="preserve"> </w:t>
      </w:r>
      <w:r w:rsidR="003D7D2A" w:rsidRPr="003D7D2A">
        <w:rPr>
          <w:b/>
        </w:rPr>
        <w:t>k provedení</w:t>
      </w:r>
      <w:r w:rsidR="004230D3" w:rsidRPr="003D7D2A">
        <w:rPr>
          <w:b/>
        </w:rPr>
        <w:t xml:space="preserve"> </w:t>
      </w:r>
      <w:r w:rsidR="003D7D2A">
        <w:rPr>
          <w:b/>
        </w:rPr>
        <w:t>nápravných opatření</w:t>
      </w:r>
      <w:r w:rsidR="004230D3">
        <w:t xml:space="preserve"> </w:t>
      </w:r>
      <w:r w:rsidR="005C07AB">
        <w:t>při zjištění porušení po</w:t>
      </w:r>
      <w:r w:rsidR="003D7D2A">
        <w:t>dmínek rozhodnutí, pokud je náprava možná</w:t>
      </w:r>
      <w:r w:rsidR="00BA2AD6">
        <w:t>,</w:t>
      </w:r>
      <w:r w:rsidR="00F931B1">
        <w:t xml:space="preserve"> </w:t>
      </w:r>
      <w:r w:rsidR="004230D3">
        <w:t xml:space="preserve">nebo </w:t>
      </w:r>
      <w:r w:rsidR="005C07AB" w:rsidRPr="003D7D2A">
        <w:rPr>
          <w:b/>
        </w:rPr>
        <w:t>vyzvat příjemce k vrácení dotace</w:t>
      </w:r>
      <w:r w:rsidR="005C07AB">
        <w:t xml:space="preserve"> nebo její části</w:t>
      </w:r>
      <w:r w:rsidR="00E65B83">
        <w:t xml:space="preserve"> ve stanovené lhůtě.</w:t>
      </w:r>
      <w:r w:rsidR="003D7D2A">
        <w:t xml:space="preserve"> </w:t>
      </w:r>
      <w:r w:rsidR="00F931B1">
        <w:t>Pro použití o</w:t>
      </w:r>
      <w:r w:rsidR="00934C8D" w:rsidRPr="00E0747B">
        <w:t>patření k</w:t>
      </w:r>
      <w:r w:rsidR="00F931B1">
        <w:t> </w:t>
      </w:r>
      <w:r w:rsidR="00934C8D" w:rsidRPr="00E0747B">
        <w:t>nápravě</w:t>
      </w:r>
      <w:r w:rsidR="00F931B1">
        <w:t xml:space="preserve"> </w:t>
      </w:r>
      <w:r w:rsidR="00934C8D">
        <w:t>m</w:t>
      </w:r>
      <w:r w:rsidR="00934C8D" w:rsidRPr="00E0747B">
        <w:t xml:space="preserve">usí být kumulativně splněny </w:t>
      </w:r>
      <w:r w:rsidR="003D7D2A">
        <w:t xml:space="preserve">tyto </w:t>
      </w:r>
      <w:r w:rsidR="00934C8D" w:rsidRPr="00E0747B">
        <w:t>podmínky</w:t>
      </w:r>
      <w:r w:rsidR="00B20491">
        <w:t xml:space="preserve"> (odst. 1)</w:t>
      </w:r>
      <w:r w:rsidR="00E65B83">
        <w:t>:</w:t>
      </w:r>
    </w:p>
    <w:p w:rsidR="00F931B1" w:rsidRDefault="00E65B83" w:rsidP="003E4E35">
      <w:pPr>
        <w:pStyle w:val="Odstavecseseznamem"/>
        <w:numPr>
          <w:ilvl w:val="0"/>
          <w:numId w:val="2"/>
        </w:numPr>
        <w:ind w:left="782" w:hanging="357"/>
      </w:pPr>
      <w:r>
        <w:t>byla porušena podmínka</w:t>
      </w:r>
      <w:r w:rsidR="00F931B1">
        <w:t>, za kterou je stanoven nižší odvod</w:t>
      </w:r>
      <w:r w:rsidR="00667C7D">
        <w:t>,</w:t>
      </w:r>
      <w:r w:rsidR="00F931B1">
        <w:t xml:space="preserve"> než je celková dotace,</w:t>
      </w:r>
    </w:p>
    <w:p w:rsidR="00934C8D" w:rsidRPr="00E0747B" w:rsidRDefault="00E65B83" w:rsidP="003E4E35">
      <w:pPr>
        <w:pStyle w:val="Odstavecseseznamem"/>
        <w:numPr>
          <w:ilvl w:val="0"/>
          <w:numId w:val="2"/>
        </w:numPr>
        <w:ind w:left="782" w:hanging="357"/>
      </w:pPr>
      <w:r>
        <w:t>lze provést nápravu,</w:t>
      </w:r>
    </w:p>
    <w:p w:rsidR="00934C8D" w:rsidRPr="00E0747B" w:rsidRDefault="00667C7D" w:rsidP="00934C8D">
      <w:r>
        <w:t>Při zaslání v</w:t>
      </w:r>
      <w:r w:rsidR="003D7D2A">
        <w:t>ýzvy</w:t>
      </w:r>
      <w:r w:rsidR="00934C8D" w:rsidRPr="00E0747B">
        <w:t xml:space="preserve"> k</w:t>
      </w:r>
      <w:r>
        <w:t> </w:t>
      </w:r>
      <w:r w:rsidR="00934C8D" w:rsidRPr="00E0747B">
        <w:t>vrácení</w:t>
      </w:r>
      <w:r>
        <w:t xml:space="preserve"> </w:t>
      </w:r>
      <w:r w:rsidR="003D7D2A">
        <w:t>dotace po</w:t>
      </w:r>
      <w:r>
        <w:t>s</w:t>
      </w:r>
      <w:r w:rsidR="003D7D2A">
        <w:t>tačí nesplnění jedné z těchto</w:t>
      </w:r>
      <w:r>
        <w:t xml:space="preserve"> podmínek</w:t>
      </w:r>
      <w:r w:rsidR="00B20491">
        <w:t xml:space="preserve"> (odst. 3)</w:t>
      </w:r>
      <w:r w:rsidR="00E65B83">
        <w:t>:</w:t>
      </w:r>
    </w:p>
    <w:p w:rsidR="00934C8D" w:rsidRPr="00E0747B" w:rsidRDefault="00934C8D" w:rsidP="003E4E35">
      <w:pPr>
        <w:pStyle w:val="Odstavecseseznamem"/>
        <w:numPr>
          <w:ilvl w:val="0"/>
          <w:numId w:val="2"/>
        </w:numPr>
        <w:ind w:left="782" w:hanging="357"/>
      </w:pPr>
      <w:r>
        <w:t>p</w:t>
      </w:r>
      <w:r w:rsidRPr="00E0747B">
        <w:t>orušení povinnosti stanovené pr</w:t>
      </w:r>
      <w:r>
        <w:t>ávním</w:t>
      </w:r>
      <w:r w:rsidRPr="00E0747B">
        <w:t xml:space="preserve"> předpisem</w:t>
      </w:r>
      <w:r>
        <w:t>,</w:t>
      </w:r>
    </w:p>
    <w:p w:rsidR="00934C8D" w:rsidRPr="00E0747B" w:rsidRDefault="00934C8D" w:rsidP="003E4E35">
      <w:pPr>
        <w:pStyle w:val="Odstavecseseznamem"/>
        <w:numPr>
          <w:ilvl w:val="0"/>
          <w:numId w:val="2"/>
        </w:numPr>
        <w:ind w:left="782" w:hanging="357"/>
      </w:pPr>
      <w:r>
        <w:t>ú</w:t>
      </w:r>
      <w:r w:rsidRPr="00E0747B">
        <w:t>čel dotace</w:t>
      </w:r>
      <w:r>
        <w:t>,</w:t>
      </w:r>
    </w:p>
    <w:p w:rsidR="00667C7D" w:rsidRDefault="00934C8D" w:rsidP="003E4E35">
      <w:pPr>
        <w:pStyle w:val="Odstavecseseznamem"/>
        <w:numPr>
          <w:ilvl w:val="0"/>
          <w:numId w:val="2"/>
        </w:numPr>
        <w:ind w:left="782" w:hanging="357"/>
      </w:pPr>
      <w:r>
        <w:t>j</w:t>
      </w:r>
      <w:r w:rsidR="00667C7D">
        <w:t>iná podmínky</w:t>
      </w:r>
      <w:r>
        <w:t>,</w:t>
      </w:r>
      <w:r w:rsidR="00667C7D">
        <w:t xml:space="preserve"> u které nelze </w:t>
      </w:r>
      <w:r w:rsidRPr="00E0747B">
        <w:t>uložit opatření k</w:t>
      </w:r>
      <w:r>
        <w:t> </w:t>
      </w:r>
      <w:r w:rsidRPr="00E0747B">
        <w:t>nápravě</w:t>
      </w:r>
      <w:r>
        <w:t>,</w:t>
      </w:r>
    </w:p>
    <w:p w:rsidR="00934C8D" w:rsidRDefault="00667C7D" w:rsidP="003E4E35">
      <w:pPr>
        <w:pStyle w:val="Odstavecseseznamem"/>
        <w:numPr>
          <w:ilvl w:val="0"/>
          <w:numId w:val="2"/>
        </w:numPr>
        <w:ind w:left="426" w:hanging="357"/>
      </w:pPr>
      <w:r>
        <w:t xml:space="preserve">v případě nápravy nebo </w:t>
      </w:r>
      <w:r w:rsidR="003D7D2A">
        <w:t>vrácení dotace ve stanové lhůtě</w:t>
      </w:r>
      <w:r>
        <w:t xml:space="preserve"> nedochází </w:t>
      </w:r>
      <w:r w:rsidR="00934C8D" w:rsidRPr="00E0747B">
        <w:t xml:space="preserve">k </w:t>
      </w:r>
      <w:r>
        <w:t>P</w:t>
      </w:r>
      <w:r w:rsidR="00934C8D" w:rsidRPr="00E0747B">
        <w:t>RK v rozsahu vrácené dotace</w:t>
      </w:r>
      <w:r>
        <w:t xml:space="preserve"> (14f odst. 2)</w:t>
      </w:r>
      <w:r w:rsidR="00934C8D">
        <w:t>,</w:t>
      </w:r>
    </w:p>
    <w:p w:rsidR="00BA2AD6" w:rsidRPr="00C51C0D" w:rsidRDefault="001470ED" w:rsidP="003E4E35">
      <w:pPr>
        <w:pStyle w:val="Odstavecseseznamem"/>
        <w:numPr>
          <w:ilvl w:val="0"/>
          <w:numId w:val="2"/>
        </w:numPr>
        <w:ind w:left="426" w:hanging="357"/>
      </w:pPr>
      <w:r w:rsidRPr="00C51C0D">
        <w:t>výše částky k vrácení</w:t>
      </w:r>
      <w:r w:rsidR="00F931B1" w:rsidRPr="00C51C0D">
        <w:t xml:space="preserve"> musí korespondovat s podmínkami uvedenými podle ustanovení §</w:t>
      </w:r>
      <w:r w:rsidR="00C24930">
        <w:t> </w:t>
      </w:r>
      <w:r w:rsidR="00F931B1" w:rsidRPr="00C51C0D">
        <w:t>14 odst. 6</w:t>
      </w:r>
      <w:r w:rsidR="00667C7D" w:rsidRPr="00C51C0D">
        <w:t xml:space="preserve"> </w:t>
      </w:r>
      <w:r w:rsidR="00C51C0D" w:rsidRPr="00C51C0D">
        <w:t>(</w:t>
      </w:r>
      <w:r w:rsidR="00667C7D" w:rsidRPr="00C51C0D">
        <w:t>t</w:t>
      </w:r>
      <w:r w:rsidR="00F931B1" w:rsidRPr="00C51C0D">
        <w:t xml:space="preserve">zn. stanovení </w:t>
      </w:r>
      <w:r w:rsidR="00C51C0D" w:rsidRPr="00C51C0D">
        <w:t>výše odvodu)</w:t>
      </w:r>
      <w:r w:rsidR="00F931B1" w:rsidRPr="00C51C0D">
        <w:t>,</w:t>
      </w:r>
    </w:p>
    <w:p w:rsidR="00F931B1" w:rsidRDefault="00C51C0D" w:rsidP="003E4E35">
      <w:pPr>
        <w:pStyle w:val="Odstavecseseznamem"/>
        <w:numPr>
          <w:ilvl w:val="0"/>
          <w:numId w:val="2"/>
        </w:numPr>
        <w:ind w:left="426" w:hanging="357"/>
      </w:pPr>
      <w:r>
        <w:t>p</w:t>
      </w:r>
      <w:r w:rsidRPr="00E0747B">
        <w:t xml:space="preserve">oskytovatel </w:t>
      </w:r>
      <w:r>
        <w:t xml:space="preserve">o opatření podle ustanovení § 14f a o reakci na výzvu podle ustanovení </w:t>
      </w:r>
      <w:r w:rsidRPr="00C51C0D">
        <w:t>§ 14f odst. 7</w:t>
      </w:r>
      <w:r>
        <w:t xml:space="preserve"> </w:t>
      </w:r>
      <w:r w:rsidRPr="00BA2AD6">
        <w:rPr>
          <w:b/>
        </w:rPr>
        <w:t>bezodkladně</w:t>
      </w:r>
      <w:r>
        <w:t xml:space="preserve"> </w:t>
      </w:r>
      <w:r w:rsidRPr="00BA2AD6">
        <w:rPr>
          <w:b/>
        </w:rPr>
        <w:t xml:space="preserve">informuje </w:t>
      </w:r>
      <w:r w:rsidRPr="00BA2AD6">
        <w:t xml:space="preserve">finanční </w:t>
      </w:r>
      <w:r w:rsidRPr="00C51C0D">
        <w:t>úřad</w:t>
      </w:r>
      <w:r w:rsidR="00BA2AD6" w:rsidRPr="00C51C0D">
        <w:t>,</w:t>
      </w:r>
    </w:p>
    <w:p w:rsidR="0056494C" w:rsidRDefault="00BA2AD6" w:rsidP="003E4E35">
      <w:pPr>
        <w:pStyle w:val="Odstavecseseznamem"/>
        <w:numPr>
          <w:ilvl w:val="0"/>
          <w:numId w:val="2"/>
        </w:numPr>
        <w:ind w:left="426" w:hanging="357"/>
      </w:pPr>
      <w:r>
        <w:t>doplněn</w:t>
      </w:r>
      <w:r w:rsidR="004B5051">
        <w:t>o ustanovení § 26</w:t>
      </w:r>
      <w:r w:rsidR="00547F2E">
        <w:t xml:space="preserve"> o</w:t>
      </w:r>
      <w:r w:rsidR="004B5051">
        <w:t xml:space="preserve"> možnost</w:t>
      </w:r>
      <w:r w:rsidR="005B6F24">
        <w:t>i</w:t>
      </w:r>
      <w:r w:rsidR="004B5051">
        <w:t xml:space="preserve"> využít postup podle ustanovení § 14f ,</w:t>
      </w:r>
    </w:p>
    <w:p w:rsidR="0056494C" w:rsidRDefault="00236316" w:rsidP="003E4E35">
      <w:pPr>
        <w:pStyle w:val="Odstavecseseznamem"/>
        <w:numPr>
          <w:ilvl w:val="0"/>
          <w:numId w:val="2"/>
        </w:numPr>
        <w:ind w:left="426" w:hanging="357"/>
      </w:pPr>
      <w:r>
        <w:t xml:space="preserve">změny </w:t>
      </w:r>
      <w:r w:rsidR="00547F2E">
        <w:t>v ustanovení § 44a</w:t>
      </w:r>
      <w:r>
        <w:t xml:space="preserve"> odst. 4</w:t>
      </w:r>
      <w:r w:rsidR="0056494C">
        <w:t>:</w:t>
      </w:r>
    </w:p>
    <w:p w:rsidR="00236316" w:rsidRDefault="0056494C" w:rsidP="003E4E35">
      <w:pPr>
        <w:pStyle w:val="Odstavecseseznamem"/>
        <w:numPr>
          <w:ilvl w:val="0"/>
          <w:numId w:val="2"/>
        </w:numPr>
      </w:pPr>
      <w:r>
        <w:t>z</w:t>
      </w:r>
      <w:r w:rsidR="00547F2E" w:rsidRPr="00E0747B">
        <w:t>rušen</w:t>
      </w:r>
      <w:r w:rsidR="00236316">
        <w:t>o</w:t>
      </w:r>
      <w:r w:rsidR="00547F2E" w:rsidRPr="00E0747B">
        <w:t xml:space="preserve"> písm. a)</w:t>
      </w:r>
      <w:r>
        <w:t>. D</w:t>
      </w:r>
      <w:r w:rsidRPr="0056494C">
        <w:t>osavadní písmena b) a c) s</w:t>
      </w:r>
      <w:r w:rsidR="005B6F24">
        <w:t>e označují jako písmena a) a b),</w:t>
      </w:r>
    </w:p>
    <w:p w:rsidR="0056494C" w:rsidRDefault="0056494C" w:rsidP="003E4E35">
      <w:pPr>
        <w:pStyle w:val="Odstavecseseznamem"/>
        <w:numPr>
          <w:ilvl w:val="0"/>
          <w:numId w:val="2"/>
        </w:numPr>
        <w:ind w:left="782" w:hanging="357"/>
      </w:pPr>
      <w:r>
        <w:t xml:space="preserve">stanovení výše odvodu v návaznosti na novou úpravu ustanovení </w:t>
      </w:r>
      <w:r w:rsidRPr="00E0747B">
        <w:t>§</w:t>
      </w:r>
      <w:r>
        <w:t xml:space="preserve"> </w:t>
      </w:r>
      <w:r w:rsidRPr="00E0747B">
        <w:t xml:space="preserve">14 </w:t>
      </w:r>
      <w:r>
        <w:t xml:space="preserve">odst. </w:t>
      </w:r>
      <w:r w:rsidRPr="00E0747B">
        <w:t>6</w:t>
      </w:r>
      <w:r>
        <w:t>,</w:t>
      </w:r>
    </w:p>
    <w:p w:rsidR="004B5051" w:rsidRPr="00FE358E" w:rsidRDefault="00FE358E" w:rsidP="003E4E35">
      <w:pPr>
        <w:pStyle w:val="Odstavecseseznamem"/>
        <w:numPr>
          <w:ilvl w:val="0"/>
          <w:numId w:val="2"/>
        </w:numPr>
        <w:ind w:left="426" w:hanging="357"/>
        <w:rPr>
          <w:b/>
        </w:rPr>
      </w:pPr>
      <w:r w:rsidRPr="00FE358E">
        <w:rPr>
          <w:b/>
        </w:rPr>
        <w:t xml:space="preserve">nové </w:t>
      </w:r>
      <w:r>
        <w:rPr>
          <w:b/>
        </w:rPr>
        <w:t>odstavce ustanovení § 44a</w:t>
      </w:r>
      <w:r>
        <w:t>:</w:t>
      </w:r>
    </w:p>
    <w:p w:rsidR="00FE358E" w:rsidRPr="00FE358E" w:rsidRDefault="00FE358E" w:rsidP="003E4E35">
      <w:pPr>
        <w:pStyle w:val="Odstavecseseznamem"/>
        <w:numPr>
          <w:ilvl w:val="0"/>
          <w:numId w:val="2"/>
        </w:numPr>
        <w:ind w:left="782" w:hanging="357"/>
      </w:pPr>
      <w:r>
        <w:t xml:space="preserve">při porušení více podmínek u veřejných zakázek se za PRK použije nejvyšší odvod </w:t>
      </w:r>
      <w:r w:rsidR="002E59C9">
        <w:t>po</w:t>
      </w:r>
      <w:r>
        <w:t>dle podmínek rozhodnutí (odst. 5),</w:t>
      </w:r>
    </w:p>
    <w:p w:rsidR="002E59C9" w:rsidRPr="002E59C9" w:rsidRDefault="002E59C9" w:rsidP="003E4E35">
      <w:pPr>
        <w:pStyle w:val="Odstavecseseznamem"/>
        <w:numPr>
          <w:ilvl w:val="0"/>
          <w:numId w:val="2"/>
        </w:numPr>
        <w:rPr>
          <w:b/>
        </w:rPr>
      </w:pPr>
      <w:r>
        <w:t>s</w:t>
      </w:r>
      <w:r w:rsidRPr="00E0747B">
        <w:t>tanovení minimální výše odvodu</w:t>
      </w:r>
      <w:r>
        <w:t xml:space="preserve"> (odst. 6). O</w:t>
      </w:r>
      <w:r w:rsidRPr="00E0747B">
        <w:t>dvod se nevyměří, jestliže nepřesáhne 1</w:t>
      </w:r>
      <w:r>
        <w:t> </w:t>
      </w:r>
      <w:r w:rsidRPr="00E0747B">
        <w:t>000 Kč</w:t>
      </w:r>
      <w:r>
        <w:t xml:space="preserve"> </w:t>
      </w:r>
      <w:r w:rsidRPr="00305EEE">
        <w:t>v souhrnu za všechna porušení</w:t>
      </w:r>
      <w:r>
        <w:t xml:space="preserve"> nebo </w:t>
      </w:r>
      <w:r w:rsidRPr="00305EEE">
        <w:t>v</w:t>
      </w:r>
      <w:r w:rsidRPr="00AF36A5">
        <w:t>e vztahu k jedné</w:t>
      </w:r>
      <w:r w:rsidRPr="00E0747B">
        <w:t xml:space="preserve"> dotaci (projektu)</w:t>
      </w:r>
      <w:r>
        <w:t>,</w:t>
      </w:r>
    </w:p>
    <w:p w:rsidR="00EB0CF3" w:rsidRDefault="00236316" w:rsidP="003E4E35">
      <w:pPr>
        <w:pStyle w:val="Odstavecseseznamem"/>
        <w:numPr>
          <w:ilvl w:val="0"/>
          <w:numId w:val="2"/>
        </w:numPr>
        <w:ind w:left="426" w:hanging="357"/>
      </w:pPr>
      <w:r>
        <w:t>p</w:t>
      </w:r>
      <w:r w:rsidRPr="00E0747B">
        <w:t>řechodná ustanovení – nová úprava se vztahuje na rozhodnutí o poskytnutí dotace vydaná za účinnosti</w:t>
      </w:r>
      <w:r w:rsidR="00E476E1">
        <w:t xml:space="preserve"> této novely</w:t>
      </w:r>
      <w:r w:rsidR="002E59C9">
        <w:t>.</w:t>
      </w:r>
    </w:p>
    <w:p w:rsidR="00C24930" w:rsidRPr="00E476E1" w:rsidRDefault="00C24930" w:rsidP="00C24930">
      <w:pPr>
        <w:pStyle w:val="Odstavecseseznamem"/>
        <w:ind w:left="426" w:firstLine="0"/>
      </w:pPr>
    </w:p>
    <w:p w:rsidR="004A0F50" w:rsidRDefault="004A0F50">
      <w:pPr>
        <w:spacing w:after="200" w:line="276" w:lineRule="auto"/>
        <w:ind w:firstLine="0"/>
        <w:jc w:val="left"/>
        <w:rPr>
          <w:b/>
        </w:rPr>
      </w:pPr>
      <w:bookmarkStart w:id="45" w:name="_Toc38385260"/>
      <w:r>
        <w:br w:type="page"/>
      </w:r>
    </w:p>
    <w:p w:rsidR="00F477AC" w:rsidRPr="0043029F" w:rsidRDefault="004276D7" w:rsidP="00C52BF5">
      <w:pPr>
        <w:pStyle w:val="Tomik3"/>
        <w:numPr>
          <w:ilvl w:val="2"/>
          <w:numId w:val="1"/>
        </w:numPr>
        <w:ind w:left="851" w:hanging="851"/>
        <w:rPr>
          <w:szCs w:val="24"/>
        </w:rPr>
      </w:pPr>
      <w:r w:rsidRPr="00F477AC">
        <w:rPr>
          <w:szCs w:val="24"/>
        </w:rPr>
        <w:lastRenderedPageBreak/>
        <w:t xml:space="preserve">Novela zákona č. </w:t>
      </w:r>
      <w:r>
        <w:rPr>
          <w:szCs w:val="24"/>
        </w:rPr>
        <w:t>128</w:t>
      </w:r>
      <w:r w:rsidRPr="00F477AC">
        <w:rPr>
          <w:szCs w:val="24"/>
        </w:rPr>
        <w:t>/201</w:t>
      </w:r>
      <w:r>
        <w:rPr>
          <w:szCs w:val="24"/>
        </w:rPr>
        <w:t>6</w:t>
      </w:r>
      <w:r w:rsidRPr="00F477AC">
        <w:rPr>
          <w:szCs w:val="24"/>
        </w:rPr>
        <w:t xml:space="preserve"> Sb., kterým se mění zákon o rozpočtových pravidlech (účinná od</w:t>
      </w:r>
      <w:r>
        <w:rPr>
          <w:szCs w:val="24"/>
        </w:rPr>
        <w:t xml:space="preserve"> </w:t>
      </w:r>
      <w:r w:rsidR="00F477AC" w:rsidRPr="00880641">
        <w:t>10.</w:t>
      </w:r>
      <w:r w:rsidR="0043029F">
        <w:t xml:space="preserve"> </w:t>
      </w:r>
      <w:r w:rsidR="00F477AC" w:rsidRPr="00880641">
        <w:t>5.</w:t>
      </w:r>
      <w:r w:rsidR="0043029F">
        <w:t xml:space="preserve"> </w:t>
      </w:r>
      <w:r w:rsidR="00F477AC" w:rsidRPr="00880641">
        <w:t>2016</w:t>
      </w:r>
      <w:r>
        <w:t>)</w:t>
      </w:r>
      <w:r w:rsidR="00336FF1">
        <w:rPr>
          <w:rStyle w:val="Znakapoznpodarou"/>
        </w:rPr>
        <w:footnoteReference w:id="64"/>
      </w:r>
      <w:bookmarkEnd w:id="45"/>
    </w:p>
    <w:p w:rsidR="00880641" w:rsidRPr="00880641" w:rsidRDefault="0043029F" w:rsidP="00D3373C">
      <w:r w:rsidRPr="00A901DF">
        <w:t>V této novele došlo k doplnění textu</w:t>
      </w:r>
      <w:r w:rsidR="00D26A64">
        <w:t xml:space="preserve"> v</w:t>
      </w:r>
      <w:r w:rsidRPr="00A901DF">
        <w:t xml:space="preserve"> ustanovení § 14e odst. 1</w:t>
      </w:r>
      <w:r w:rsidR="00D3373C">
        <w:t xml:space="preserve"> </w:t>
      </w:r>
      <w:r w:rsidRPr="00A901DF">
        <w:t>a</w:t>
      </w:r>
      <w:r w:rsidR="00D3373C">
        <w:t xml:space="preserve"> </w:t>
      </w:r>
      <w:r w:rsidR="00B67057">
        <w:t xml:space="preserve">v </w:t>
      </w:r>
      <w:r w:rsidR="00D3373C">
        <w:t>ustanovení</w:t>
      </w:r>
      <w:r w:rsidRPr="00A901DF">
        <w:t xml:space="preserve"> §</w:t>
      </w:r>
      <w:r w:rsidR="00A901DF">
        <w:t> </w:t>
      </w:r>
      <w:r w:rsidRPr="00A901DF">
        <w:t>14f o</w:t>
      </w:r>
      <w:r w:rsidR="00A901DF">
        <w:t>d</w:t>
      </w:r>
      <w:r w:rsidRPr="00A901DF">
        <w:t>st</w:t>
      </w:r>
      <w:r w:rsidR="00A901DF">
        <w:t>.</w:t>
      </w:r>
      <w:r w:rsidR="00D3373C">
        <w:t> </w:t>
      </w:r>
      <w:r w:rsidR="00B67057">
        <w:t>1 a 3</w:t>
      </w:r>
      <w:r w:rsidRPr="00A901DF">
        <w:t xml:space="preserve"> o slovo „důvodně“. Zákonodárce touto úpravou zamýšlel, </w:t>
      </w:r>
      <w:r w:rsidR="00B967CB" w:rsidRPr="00A901DF">
        <w:t>aby poskytovatel musel odůvodnit, proč došlo k nevyplacení dotace</w:t>
      </w:r>
      <w:r w:rsidR="00A901DF">
        <w:t xml:space="preserve"> (§ 14e)</w:t>
      </w:r>
      <w:r w:rsidR="00B967CB" w:rsidRPr="00A901DF">
        <w:t xml:space="preserve"> nebo proč </w:t>
      </w:r>
      <w:r w:rsidR="00D3373C">
        <w:t>byla</w:t>
      </w:r>
      <w:r w:rsidR="00B67057">
        <w:t xml:space="preserve"> příjemci zaslána</w:t>
      </w:r>
      <w:r w:rsidR="00B967CB" w:rsidRPr="00A901DF">
        <w:t xml:space="preserve"> výzva k vrácení </w:t>
      </w:r>
      <w:r w:rsidR="00B967CB" w:rsidRPr="00E624BC">
        <w:t>prostředků</w:t>
      </w:r>
      <w:r w:rsidR="00A901DF" w:rsidRPr="00E624BC">
        <w:t xml:space="preserve"> (</w:t>
      </w:r>
      <w:r w:rsidR="00D3373C" w:rsidRPr="00E624BC">
        <w:t xml:space="preserve">§ </w:t>
      </w:r>
      <w:r w:rsidR="00A901DF" w:rsidRPr="00E624BC">
        <w:t>14f)</w:t>
      </w:r>
      <w:r w:rsidR="00D3373C" w:rsidRPr="00E624BC">
        <w:t>. Před účinností tohoto zákona tuto povinnost poskytovatel neměl a </w:t>
      </w:r>
      <w:r w:rsidR="00B5238C" w:rsidRPr="00E624BC">
        <w:t xml:space="preserve">v podstatě </w:t>
      </w:r>
      <w:r w:rsidR="00D3373C" w:rsidRPr="00E624BC">
        <w:t>stačilo, aby se poskytovatel domníval</w:t>
      </w:r>
      <w:r w:rsidR="00E624BC" w:rsidRPr="00E624BC">
        <w:t>, že došlo k porušení povinnosti.</w:t>
      </w:r>
    </w:p>
    <w:p w:rsidR="00880641" w:rsidRPr="004276D7" w:rsidRDefault="004276D7" w:rsidP="00C52BF5">
      <w:pPr>
        <w:pStyle w:val="Tomik3"/>
        <w:numPr>
          <w:ilvl w:val="2"/>
          <w:numId w:val="1"/>
        </w:numPr>
        <w:ind w:left="851" w:hanging="851"/>
        <w:rPr>
          <w:szCs w:val="24"/>
        </w:rPr>
      </w:pPr>
      <w:bookmarkStart w:id="46" w:name="_Toc38385261"/>
      <w:r w:rsidRPr="00F477AC">
        <w:rPr>
          <w:szCs w:val="24"/>
        </w:rPr>
        <w:t xml:space="preserve">Novela zákona č. </w:t>
      </w:r>
      <w:r>
        <w:rPr>
          <w:szCs w:val="24"/>
        </w:rPr>
        <w:t>367/2017</w:t>
      </w:r>
      <w:r w:rsidRPr="00F477AC">
        <w:rPr>
          <w:szCs w:val="24"/>
        </w:rPr>
        <w:t xml:space="preserve"> Sb., kterým se mění zákon o rozpočtových pravidlech (účinná od</w:t>
      </w:r>
      <w:r>
        <w:rPr>
          <w:szCs w:val="24"/>
        </w:rPr>
        <w:t xml:space="preserve"> </w:t>
      </w:r>
      <w:r w:rsidR="00880641" w:rsidRPr="00880641">
        <w:t>1. 1. 2018</w:t>
      </w:r>
      <w:r>
        <w:t>)</w:t>
      </w:r>
      <w:r w:rsidR="00336FF1">
        <w:rPr>
          <w:rStyle w:val="Znakapoznpodarou"/>
        </w:rPr>
        <w:footnoteReference w:id="65"/>
      </w:r>
      <w:bookmarkEnd w:id="46"/>
    </w:p>
    <w:p w:rsidR="00B967CB" w:rsidRDefault="00B967CB" w:rsidP="00B967CB">
      <w:r>
        <w:t>Poslední změna, která se přímo dotýkala poskytování dotací a NFV</w:t>
      </w:r>
      <w:r w:rsidR="00B67057">
        <w:t xml:space="preserve">, proběhla v roce 2017 novelizací zákona č. 367/20177 Sb., </w:t>
      </w:r>
      <w:r>
        <w:t>účinn</w:t>
      </w:r>
      <w:r w:rsidR="00B67057">
        <w:t>ou</w:t>
      </w:r>
      <w:r w:rsidR="001307A2">
        <w:t xml:space="preserve"> od 1. 1. 2018.</w:t>
      </w:r>
      <w:r w:rsidR="00D3373C">
        <w:t xml:space="preserve"> Mezi hlavní změny patřilo:</w:t>
      </w:r>
    </w:p>
    <w:p w:rsidR="00F477AC" w:rsidRPr="00880641" w:rsidRDefault="00CB28D5" w:rsidP="003E4E35">
      <w:pPr>
        <w:pStyle w:val="Odstavecseseznamem"/>
        <w:numPr>
          <w:ilvl w:val="0"/>
          <w:numId w:val="2"/>
        </w:numPr>
        <w:ind w:left="426" w:hanging="357"/>
      </w:pPr>
      <w:r>
        <w:t xml:space="preserve">doplnění </w:t>
      </w:r>
      <w:r w:rsidR="008E6B2E">
        <w:t>ustanovení</w:t>
      </w:r>
      <w:r w:rsidR="00B67057">
        <w:t xml:space="preserve"> </w:t>
      </w:r>
      <w:r w:rsidR="00FE2A7D">
        <w:t>týkající</w:t>
      </w:r>
      <w:r w:rsidR="00B67057">
        <w:t>ho</w:t>
      </w:r>
      <w:r w:rsidR="00FE2A7D">
        <w:t xml:space="preserve"> se žádosti o poskytnutí dotace nebo NFV</w:t>
      </w:r>
      <w:r w:rsidR="008E6B2E">
        <w:t xml:space="preserve"> </w:t>
      </w:r>
      <w:r>
        <w:t>(§ 14</w:t>
      </w:r>
      <w:r w:rsidR="008E6B2E">
        <w:t xml:space="preserve"> odst. 3</w:t>
      </w:r>
      <w:r>
        <w:t>)</w:t>
      </w:r>
      <w:r w:rsidR="008E6B2E">
        <w:t>:</w:t>
      </w:r>
    </w:p>
    <w:p w:rsidR="001307A2" w:rsidRPr="00E624BC" w:rsidRDefault="00CB28D5" w:rsidP="003E4E35">
      <w:pPr>
        <w:pStyle w:val="Odstavecseseznamem"/>
        <w:numPr>
          <w:ilvl w:val="0"/>
          <w:numId w:val="2"/>
        </w:numPr>
        <w:ind w:left="782" w:hanging="357"/>
      </w:pPr>
      <w:r w:rsidRPr="00E624BC">
        <w:t xml:space="preserve">žádost o </w:t>
      </w:r>
      <w:r w:rsidR="00B67057" w:rsidRPr="00E624BC">
        <w:t>poskytnutí dotace</w:t>
      </w:r>
      <w:r w:rsidR="00A314CD" w:rsidRPr="00E624BC">
        <w:t xml:space="preserve"> nebo NFV</w:t>
      </w:r>
      <w:r w:rsidRPr="00E624BC">
        <w:t xml:space="preserve"> již nelze podat ústně do protokolu,</w:t>
      </w:r>
    </w:p>
    <w:p w:rsidR="00CB28D5" w:rsidRDefault="00B67057" w:rsidP="003E4E35">
      <w:pPr>
        <w:pStyle w:val="Odstavecseseznamem"/>
        <w:numPr>
          <w:ilvl w:val="0"/>
          <w:numId w:val="2"/>
        </w:numPr>
        <w:ind w:left="782" w:hanging="357"/>
      </w:pPr>
      <w:r>
        <w:t xml:space="preserve">byly rozšířeny </w:t>
      </w:r>
      <w:r w:rsidR="00CB28D5">
        <w:t>náležitostí</w:t>
      </w:r>
      <w:r w:rsidR="00FE2A7D">
        <w:t xml:space="preserve"> při podání</w:t>
      </w:r>
      <w:r w:rsidR="00CB28D5">
        <w:t xml:space="preserve"> žádosti (např. identifikace dotační výzvy),</w:t>
      </w:r>
    </w:p>
    <w:p w:rsidR="00CB28D5" w:rsidRDefault="00CB28D5" w:rsidP="003E4E35">
      <w:pPr>
        <w:pStyle w:val="Odstavecseseznamem"/>
        <w:numPr>
          <w:ilvl w:val="0"/>
          <w:numId w:val="2"/>
        </w:numPr>
        <w:ind w:left="426" w:hanging="357"/>
      </w:pPr>
      <w:r>
        <w:t xml:space="preserve">v rozhodnutí o </w:t>
      </w:r>
      <w:r w:rsidR="00B67057">
        <w:t>poskytnutí dotace</w:t>
      </w:r>
      <w:r>
        <w:t xml:space="preserve"> se již nemusí uvádět den vydání rozhodnutí</w:t>
      </w:r>
      <w:r w:rsidR="008E6B2E">
        <w:t xml:space="preserve"> (§ 14 odst.</w:t>
      </w:r>
      <w:r w:rsidR="00C24930">
        <w:t> </w:t>
      </w:r>
      <w:r w:rsidR="008E6B2E">
        <w:t>4)</w:t>
      </w:r>
      <w:r>
        <w:t>,</w:t>
      </w:r>
    </w:p>
    <w:p w:rsidR="009D1D04" w:rsidRDefault="00BF390E" w:rsidP="003E4E35">
      <w:pPr>
        <w:pStyle w:val="Odstavecseseznamem"/>
        <w:numPr>
          <w:ilvl w:val="0"/>
          <w:numId w:val="2"/>
        </w:numPr>
        <w:ind w:left="426" w:hanging="357"/>
      </w:pPr>
      <w:r w:rsidRPr="00E32EFC">
        <w:t>v</w:t>
      </w:r>
      <w:r w:rsidR="00B67057">
        <w:t>ložena</w:t>
      </w:r>
      <w:r w:rsidRPr="00880641">
        <w:t xml:space="preserve"> </w:t>
      </w:r>
      <w:r w:rsidRPr="00D26A64">
        <w:rPr>
          <w:b/>
        </w:rPr>
        <w:t>nová ustanovení § 14g až § 14q</w:t>
      </w:r>
      <w:r>
        <w:t>. Jedná se o z</w:t>
      </w:r>
      <w:r w:rsidRPr="00880641">
        <w:t>ásadní změn</w:t>
      </w:r>
      <w:r w:rsidR="009D1D04">
        <w:t>y</w:t>
      </w:r>
      <w:r w:rsidRPr="00880641">
        <w:t xml:space="preserve"> v oblasti </w:t>
      </w:r>
      <w:r w:rsidR="00CD1CA6">
        <w:t xml:space="preserve">procesu </w:t>
      </w:r>
      <w:r w:rsidRPr="00880641">
        <w:t>rozhodování o poskyt</w:t>
      </w:r>
      <w:r w:rsidR="00CD1CA6">
        <w:t>nutí dotace</w:t>
      </w:r>
      <w:r w:rsidR="007C41F0">
        <w:t>.</w:t>
      </w:r>
      <w:r w:rsidR="00CD1CA6" w:rsidRPr="00CD1CA6">
        <w:t xml:space="preserve"> </w:t>
      </w:r>
      <w:r w:rsidR="00EA57F5">
        <w:t>N</w:t>
      </w:r>
      <w:r>
        <w:t xml:space="preserve">ová úprava </w:t>
      </w:r>
      <w:r w:rsidR="009D1D04">
        <w:t>vymezuje:</w:t>
      </w:r>
    </w:p>
    <w:p w:rsidR="008920D0" w:rsidRPr="009A498C" w:rsidRDefault="008920D0" w:rsidP="009A498C">
      <w:pPr>
        <w:pStyle w:val="Odstavecseseznamem"/>
        <w:numPr>
          <w:ilvl w:val="0"/>
          <w:numId w:val="2"/>
        </w:numPr>
      </w:pPr>
      <w:r w:rsidRPr="009A498C">
        <w:t xml:space="preserve">možnost převést </w:t>
      </w:r>
      <w:r w:rsidR="00EA57F5" w:rsidRPr="009A498C">
        <w:t xml:space="preserve">veřejnoprávní smlouvou </w:t>
      </w:r>
      <w:r w:rsidRPr="009A498C">
        <w:t>některé činnosti poskytovatele</w:t>
      </w:r>
      <w:r w:rsidR="00E624BC" w:rsidRPr="009A498C">
        <w:t xml:space="preserve"> </w:t>
      </w:r>
      <w:r w:rsidR="009A498C">
        <w:t>(</w:t>
      </w:r>
      <w:r w:rsidR="009A498C" w:rsidRPr="009A498C">
        <w:t>kromě vyhlášení výzvy k podání žádosti o poskytnutí dotace a vydání rozhodnutí</w:t>
      </w:r>
      <w:r w:rsidR="009A498C">
        <w:t xml:space="preserve"> o poskytnutí dotace)</w:t>
      </w:r>
      <w:r w:rsidR="009A498C" w:rsidRPr="009A498C">
        <w:t xml:space="preserve"> </w:t>
      </w:r>
      <w:r w:rsidR="00E624BC" w:rsidRPr="009A498C">
        <w:t>na zprostředkující subjekty</w:t>
      </w:r>
      <w:r w:rsidR="009A498C" w:rsidRPr="009A498C">
        <w:t xml:space="preserve"> </w:t>
      </w:r>
      <w:r w:rsidR="00496BA0" w:rsidRPr="009A498C">
        <w:t>(§ 14g)</w:t>
      </w:r>
      <w:r w:rsidRPr="009A498C">
        <w:t>,</w:t>
      </w:r>
    </w:p>
    <w:p w:rsidR="00496BA0" w:rsidRPr="009A498C" w:rsidRDefault="00496BA0" w:rsidP="003E4E35">
      <w:pPr>
        <w:pStyle w:val="Odstavecseseznamem"/>
        <w:numPr>
          <w:ilvl w:val="0"/>
          <w:numId w:val="2"/>
        </w:numPr>
        <w:ind w:left="782" w:hanging="357"/>
      </w:pPr>
      <w:r>
        <w:t xml:space="preserve">doručování v případě úplného zamítnutí žádosti </w:t>
      </w:r>
      <w:r w:rsidR="00265D55">
        <w:t xml:space="preserve">o poskytnutí dotace </w:t>
      </w:r>
      <w:r>
        <w:t xml:space="preserve">pouze dálkovým </w:t>
      </w:r>
      <w:r w:rsidRPr="009A498C">
        <w:t>přístupem (§ 14h),</w:t>
      </w:r>
    </w:p>
    <w:p w:rsidR="009D1D04" w:rsidRPr="009A498C" w:rsidRDefault="00EA57F5" w:rsidP="003E4E35">
      <w:pPr>
        <w:pStyle w:val="Odstavecseseznamem"/>
        <w:numPr>
          <w:ilvl w:val="0"/>
          <w:numId w:val="2"/>
        </w:numPr>
        <w:ind w:left="782" w:hanging="357"/>
      </w:pPr>
      <w:r w:rsidRPr="009A498C">
        <w:t xml:space="preserve">povinné náležitosti </w:t>
      </w:r>
      <w:r w:rsidR="009A498C" w:rsidRPr="009A498C">
        <w:t>výzvy poskytovatele</w:t>
      </w:r>
      <w:r w:rsidR="00E624BC" w:rsidRPr="009A498C">
        <w:t xml:space="preserve"> </w:t>
      </w:r>
      <w:r w:rsidR="00496BA0" w:rsidRPr="009A498C">
        <w:t>(§ 14j)</w:t>
      </w:r>
      <w:r w:rsidR="00935E78" w:rsidRPr="009A498C">
        <w:t>. Výzva musí být</w:t>
      </w:r>
      <w:r w:rsidR="00D25A54" w:rsidRPr="009A498C">
        <w:t xml:space="preserve"> elektronicky </w:t>
      </w:r>
      <w:r w:rsidR="00935E78" w:rsidRPr="009A498C">
        <w:t xml:space="preserve">přístupná </w:t>
      </w:r>
      <w:r w:rsidR="00D25A54" w:rsidRPr="009A498C">
        <w:t xml:space="preserve">min. 30 dnů, </w:t>
      </w:r>
    </w:p>
    <w:p w:rsidR="00B10064" w:rsidRPr="009A498C" w:rsidRDefault="00EA57F5" w:rsidP="003E4E35">
      <w:pPr>
        <w:pStyle w:val="Odstavecseseznamem"/>
        <w:numPr>
          <w:ilvl w:val="0"/>
          <w:numId w:val="2"/>
        </w:numPr>
        <w:ind w:left="782" w:hanging="357"/>
      </w:pPr>
      <w:r w:rsidRPr="009A498C">
        <w:t xml:space="preserve">postup v případě vad </w:t>
      </w:r>
      <w:r w:rsidR="00935E78" w:rsidRPr="009A498C">
        <w:t xml:space="preserve">v </w:t>
      </w:r>
      <w:r w:rsidR="00265D55" w:rsidRPr="009A498C">
        <w:t>žádosti</w:t>
      </w:r>
      <w:r w:rsidR="00935E78" w:rsidRPr="009A498C">
        <w:t xml:space="preserve"> (§ 14k)</w:t>
      </w:r>
      <w:r w:rsidRPr="009A498C">
        <w:t>,</w:t>
      </w:r>
    </w:p>
    <w:p w:rsidR="00935E78" w:rsidRPr="009A498C" w:rsidRDefault="00CA2512" w:rsidP="003E4E35">
      <w:pPr>
        <w:pStyle w:val="Odstavecseseznamem"/>
        <w:numPr>
          <w:ilvl w:val="0"/>
          <w:numId w:val="2"/>
        </w:numPr>
        <w:ind w:left="782" w:hanging="357"/>
      </w:pPr>
      <w:r w:rsidRPr="009A498C">
        <w:t xml:space="preserve">povinnost poskytovatele vydat rozhodnutí, </w:t>
      </w:r>
      <w:r w:rsidR="00265D55" w:rsidRPr="009A498C">
        <w:t xml:space="preserve">jehož součástí </w:t>
      </w:r>
      <w:r w:rsidRPr="009A498C">
        <w:t>je výroková</w:t>
      </w:r>
      <w:r w:rsidR="00935E78" w:rsidRPr="009A498C">
        <w:t xml:space="preserve"> část</w:t>
      </w:r>
      <w:r w:rsidR="00496BA0" w:rsidRPr="009A498C">
        <w:t xml:space="preserve"> </w:t>
      </w:r>
      <w:r w:rsidRPr="009A498C">
        <w:t>(</w:t>
      </w:r>
      <w:r w:rsidR="00496BA0" w:rsidRPr="009A498C">
        <w:t xml:space="preserve">§ 14m). Jedná se </w:t>
      </w:r>
      <w:r w:rsidR="00FE2A7D" w:rsidRPr="009A498C">
        <w:t xml:space="preserve">zejména </w:t>
      </w:r>
      <w:r w:rsidR="00496BA0" w:rsidRPr="009A498C">
        <w:t>o náležitosti podle ustanovení §</w:t>
      </w:r>
      <w:r w:rsidR="00D3089D" w:rsidRPr="009A498C">
        <w:t> </w:t>
      </w:r>
      <w:r w:rsidR="00496BA0" w:rsidRPr="009A498C">
        <w:t xml:space="preserve">14 odst. 4, </w:t>
      </w:r>
      <w:r w:rsidR="00935E78" w:rsidRPr="009A498C">
        <w:t xml:space="preserve"> </w:t>
      </w:r>
    </w:p>
    <w:p w:rsidR="009D1D04" w:rsidRDefault="00BF390E" w:rsidP="003E4E35">
      <w:pPr>
        <w:pStyle w:val="Odstavecseseznamem"/>
        <w:numPr>
          <w:ilvl w:val="0"/>
          <w:numId w:val="2"/>
        </w:numPr>
        <w:ind w:left="782" w:hanging="357"/>
      </w:pPr>
      <w:r w:rsidRPr="009A498C">
        <w:t xml:space="preserve">doručování </w:t>
      </w:r>
      <w:r w:rsidR="00935E78" w:rsidRPr="009A498C">
        <w:t>v případě úplného</w:t>
      </w:r>
      <w:r w:rsidRPr="009A498C">
        <w:t xml:space="preserve"> zamítnutí žádosti,</w:t>
      </w:r>
      <w:r w:rsidR="00D25A54" w:rsidRPr="009A498C">
        <w:t xml:space="preserve"> a to ve lhůtě 30 dnů </w:t>
      </w:r>
      <w:r w:rsidR="00265D55" w:rsidRPr="009A498C">
        <w:t>od doby, kdy jsou vydána</w:t>
      </w:r>
      <w:r w:rsidR="00935E78" w:rsidRPr="009A498C">
        <w:t xml:space="preserve"> rozhodnutí, která pokryjí finanční prostředky na</w:t>
      </w:r>
      <w:r w:rsidR="00935E78">
        <w:t xml:space="preserve"> základě výzvy (§ 14n)</w:t>
      </w:r>
      <w:r w:rsidR="00496BA0">
        <w:t>,</w:t>
      </w:r>
    </w:p>
    <w:p w:rsidR="00AF0DB2" w:rsidRDefault="007973EA" w:rsidP="003E4E35">
      <w:pPr>
        <w:pStyle w:val="Odstavecseseznamem"/>
        <w:numPr>
          <w:ilvl w:val="0"/>
          <w:numId w:val="2"/>
        </w:numPr>
        <w:ind w:left="782" w:hanging="357"/>
      </w:pPr>
      <w:r>
        <w:lastRenderedPageBreak/>
        <w:t>vztah ke správnímu řádu (§ 14</w:t>
      </w:r>
      <w:r w:rsidR="00FE2A7D">
        <w:t>q</w:t>
      </w:r>
      <w:r>
        <w:t xml:space="preserve">). Vyjmenovává </w:t>
      </w:r>
      <w:r w:rsidR="00113288">
        <w:t xml:space="preserve">některá </w:t>
      </w:r>
      <w:r>
        <w:t>ustanovení správního řádu, která nelze aplikovat v řízení při poskytování dotace nebo NFV.</w:t>
      </w:r>
      <w:r w:rsidR="00AF0DB2">
        <w:t xml:space="preserve"> </w:t>
      </w:r>
      <w:r w:rsidR="00023681">
        <w:t>Důvodem této úprav</w:t>
      </w:r>
      <w:r w:rsidR="00AF0DB2">
        <w:t>y</w:t>
      </w:r>
      <w:r w:rsidR="00023681">
        <w:t xml:space="preserve"> bylo sjednocení odlišných postupů poskytovatelů při řízení o poskytnutí dotací nebo NFV</w:t>
      </w:r>
      <w:r w:rsidR="00AD15EA">
        <w:t>,</w:t>
      </w:r>
    </w:p>
    <w:p w:rsidR="00F31B7D" w:rsidRDefault="00AD15EA" w:rsidP="003E4E35">
      <w:pPr>
        <w:pStyle w:val="Odstavecseseznamem"/>
        <w:numPr>
          <w:ilvl w:val="0"/>
          <w:numId w:val="2"/>
        </w:numPr>
        <w:ind w:left="426" w:hanging="357"/>
      </w:pPr>
      <w:r>
        <w:t>p</w:t>
      </w:r>
      <w:r w:rsidRPr="00E0747B">
        <w:t>řechodná ustanovení –</w:t>
      </w:r>
      <w:r w:rsidR="007D1394">
        <w:t xml:space="preserve"> v řízeních o poskytnutí dotace, která nastala před nabytím </w:t>
      </w:r>
      <w:r w:rsidR="007D1394" w:rsidRPr="009A498C">
        <w:t xml:space="preserve">účinnosti tohoto zákona, se již postupuje podle aktuálního znění (např. výzvy poskytovatele, žádosti o </w:t>
      </w:r>
      <w:r w:rsidR="00265D55" w:rsidRPr="009A498C">
        <w:t>poskytnutí dotace</w:t>
      </w:r>
      <w:r w:rsidR="007D1394" w:rsidRPr="009A498C">
        <w:t>).</w:t>
      </w:r>
      <w:r w:rsidR="00A15337">
        <w:tab/>
      </w:r>
    </w:p>
    <w:p w:rsidR="007B00C4" w:rsidRPr="00190002" w:rsidRDefault="002E10AB" w:rsidP="007B00C4">
      <w:pPr>
        <w:pStyle w:val="Tomk2"/>
        <w:ind w:left="567" w:hanging="567"/>
      </w:pPr>
      <w:bookmarkStart w:id="47" w:name="_Toc38385262"/>
      <w:r>
        <w:rPr>
          <w:rFonts w:cs="Times New Roman"/>
          <w:szCs w:val="24"/>
        </w:rPr>
        <w:t xml:space="preserve">Vyhodnocení </w:t>
      </w:r>
      <w:r w:rsidR="007B00C4">
        <w:rPr>
          <w:rFonts w:cs="Times New Roman"/>
          <w:szCs w:val="24"/>
        </w:rPr>
        <w:t>nejdůležitějších změn zákona o</w:t>
      </w:r>
      <w:r w:rsidR="00F33E00">
        <w:rPr>
          <w:rFonts w:cs="Times New Roman"/>
          <w:szCs w:val="24"/>
        </w:rPr>
        <w:t> </w:t>
      </w:r>
      <w:r w:rsidR="007B00C4">
        <w:rPr>
          <w:rFonts w:cs="Times New Roman"/>
          <w:szCs w:val="24"/>
        </w:rPr>
        <w:t>rozpočtových pravidlech a jejich vliv</w:t>
      </w:r>
      <w:r w:rsidR="00347412">
        <w:rPr>
          <w:rFonts w:cs="Times New Roman"/>
          <w:szCs w:val="24"/>
        </w:rPr>
        <w:t>u</w:t>
      </w:r>
      <w:r w:rsidR="007B00C4">
        <w:rPr>
          <w:rFonts w:cs="Times New Roman"/>
          <w:szCs w:val="24"/>
        </w:rPr>
        <w:t xml:space="preserve"> na kontrolu</w:t>
      </w:r>
      <w:bookmarkEnd w:id="47"/>
    </w:p>
    <w:p w:rsidR="007B00C4" w:rsidRDefault="0001630C" w:rsidP="00493286">
      <w:r>
        <w:t xml:space="preserve">Vyhodnocení výsledků komparace bude zaměřeno na část zákona o </w:t>
      </w:r>
      <w:r w:rsidRPr="009B5D8C">
        <w:rPr>
          <w:b/>
        </w:rPr>
        <w:t>Poskytování dotací a</w:t>
      </w:r>
      <w:r>
        <w:rPr>
          <w:b/>
        </w:rPr>
        <w:t> </w:t>
      </w:r>
      <w:r w:rsidRPr="009B5D8C">
        <w:rPr>
          <w:b/>
        </w:rPr>
        <w:t>NFV</w:t>
      </w:r>
      <w:r>
        <w:rPr>
          <w:b/>
        </w:rPr>
        <w:t xml:space="preserve"> </w:t>
      </w:r>
      <w:r w:rsidRPr="00431012">
        <w:t>(§ 14</w:t>
      </w:r>
      <w:r>
        <w:t>, § 14a a 14f</w:t>
      </w:r>
      <w:r w:rsidRPr="00431012">
        <w:t>)</w:t>
      </w:r>
      <w:r>
        <w:t xml:space="preserve"> a</w:t>
      </w:r>
      <w:r w:rsidRPr="009B5D8C">
        <w:rPr>
          <w:b/>
        </w:rPr>
        <w:t xml:space="preserve"> Porušení rozpočtové kázně</w:t>
      </w:r>
      <w:r>
        <w:rPr>
          <w:b/>
        </w:rPr>
        <w:t xml:space="preserve"> </w:t>
      </w:r>
      <w:r w:rsidRPr="00431012">
        <w:t>(§</w:t>
      </w:r>
      <w:r>
        <w:t> </w:t>
      </w:r>
      <w:r w:rsidRPr="00431012">
        <w:t>44, § 44a )</w:t>
      </w:r>
      <w:r>
        <w:t>. Změny v těchto ustanoveních měly největší dopad na poskytovatele, finanční úřady a samozřejmě žadatele, resp. příjemce dotací. Důvodem pro novely zákona o rozpočtových pravidlech bylo doplnění a zpřesnění postupů poskytovatele při poskytování dotací nebo NFV v návaznosti na unijní právo a také potřeba respektovat soudní judikaturu.</w:t>
      </w:r>
    </w:p>
    <w:p w:rsidR="007B00C4" w:rsidRPr="000524A1" w:rsidRDefault="007B00C4" w:rsidP="007B00C4">
      <w:pPr>
        <w:pStyle w:val="Tomik3"/>
        <w:numPr>
          <w:ilvl w:val="2"/>
          <w:numId w:val="1"/>
        </w:numPr>
        <w:ind w:left="851" w:hanging="851"/>
        <w:rPr>
          <w:szCs w:val="24"/>
        </w:rPr>
      </w:pPr>
      <w:bookmarkStart w:id="48" w:name="_Toc38385263"/>
      <w:r>
        <w:rPr>
          <w:szCs w:val="24"/>
        </w:rPr>
        <w:t>Změny v ustanovení § 14</w:t>
      </w:r>
      <w:r w:rsidR="00F37772">
        <w:rPr>
          <w:szCs w:val="24"/>
        </w:rPr>
        <w:t>, §14e a § 14f</w:t>
      </w:r>
      <w:r>
        <w:rPr>
          <w:szCs w:val="24"/>
        </w:rPr>
        <w:t xml:space="preserve"> zákona o rozpočtových pravidlech</w:t>
      </w:r>
      <w:bookmarkEnd w:id="48"/>
    </w:p>
    <w:p w:rsidR="007B00C4" w:rsidRDefault="0001630C" w:rsidP="007B00C4">
      <w:r w:rsidRPr="009B5D8C">
        <w:t xml:space="preserve">Od účinnosti tohoto zákona mělo </w:t>
      </w:r>
      <w:r w:rsidRPr="00431012">
        <w:rPr>
          <w:b/>
        </w:rPr>
        <w:t>ustanovení § 14</w:t>
      </w:r>
      <w:r w:rsidRPr="009B5D8C">
        <w:t xml:space="preserve"> pouze 5 odstavců. Před první novelizací v roce 2004 </w:t>
      </w:r>
      <w:r>
        <w:t xml:space="preserve">toto ustanovení obsahovalo definici poskytovatele dotace a základní náležitosti rozhodnutí o poskytnutí dotace nebo NFV. S každou novelizací postupně docházelo k doplnění postupů při rozhodování o dotaci. Po poslední novele zákona č. 367/2017 Sb. účinné od 1. 1. 2018 obsahuje ustanovení </w:t>
      </w:r>
      <w:r w:rsidRPr="001408C3">
        <w:rPr>
          <w:b/>
        </w:rPr>
        <w:t xml:space="preserve">§ 14 </w:t>
      </w:r>
      <w:r w:rsidRPr="001408C3">
        <w:t>již</w:t>
      </w:r>
      <w:r w:rsidRPr="001408C3">
        <w:rPr>
          <w:b/>
        </w:rPr>
        <w:t xml:space="preserve"> 11 odstavců</w:t>
      </w:r>
      <w:r>
        <w:t xml:space="preserve"> a součástí je dalších </w:t>
      </w:r>
      <w:r w:rsidRPr="00F74AF8">
        <w:rPr>
          <w:b/>
        </w:rPr>
        <w:t>22 u</w:t>
      </w:r>
      <w:r w:rsidRPr="00431012">
        <w:rPr>
          <w:b/>
        </w:rPr>
        <w:t>stanovení (§</w:t>
      </w:r>
      <w:r>
        <w:rPr>
          <w:b/>
        </w:rPr>
        <w:t> </w:t>
      </w:r>
      <w:r w:rsidRPr="00431012">
        <w:rPr>
          <w:b/>
        </w:rPr>
        <w:t>14a až § 14q)</w:t>
      </w:r>
      <w:r>
        <w:t>. Následně budou představeny nejdůležitější změny týkající se ustanovení § 14, § 14e a 14f RP.</w:t>
      </w:r>
    </w:p>
    <w:p w:rsidR="0037144F" w:rsidRPr="0037144F" w:rsidRDefault="00F37772" w:rsidP="003E4E35">
      <w:pPr>
        <w:pStyle w:val="Odstavecseseznamem"/>
        <w:numPr>
          <w:ilvl w:val="0"/>
          <w:numId w:val="11"/>
        </w:numPr>
        <w:ind w:left="426"/>
      </w:pPr>
      <w:r>
        <w:rPr>
          <w:b/>
        </w:rPr>
        <w:t>U</w:t>
      </w:r>
      <w:r w:rsidR="007B00C4" w:rsidRPr="00F2698D">
        <w:rPr>
          <w:b/>
        </w:rPr>
        <w:t>stanovení § 14</w:t>
      </w:r>
      <w:r w:rsidR="00082654">
        <w:rPr>
          <w:b/>
        </w:rPr>
        <w:t xml:space="preserve"> RP</w:t>
      </w:r>
    </w:p>
    <w:p w:rsidR="007B00C4" w:rsidRDefault="0001630C" w:rsidP="00F37772">
      <w:r w:rsidRPr="0037144F">
        <w:t>P</w:t>
      </w:r>
      <w:r>
        <w:t xml:space="preserve">rvní důležitá změna přišla s novelou zákona č. 479/2003 Sb. účinnou od 1. 1. 2004. Týkala </w:t>
      </w:r>
      <w:r w:rsidRPr="00D25235">
        <w:t>se povinnosti poskytovatele</w:t>
      </w:r>
      <w:r>
        <w:t xml:space="preserve"> </w:t>
      </w:r>
      <w:r w:rsidRPr="0037144F">
        <w:rPr>
          <w:b/>
        </w:rPr>
        <w:t>rozdělit podmínky v rozhodnutí</w:t>
      </w:r>
      <w:r>
        <w:t xml:space="preserve"> o poskytnutí dotace nebo</w:t>
      </w:r>
      <w:r w:rsidR="008144F0">
        <w:t> </w:t>
      </w:r>
      <w:r>
        <w:t>NFV</w:t>
      </w:r>
      <w:r w:rsidRPr="0037144F">
        <w:rPr>
          <w:b/>
        </w:rPr>
        <w:t xml:space="preserve">, </w:t>
      </w:r>
      <w:r w:rsidRPr="00B0586C">
        <w:t xml:space="preserve">kterými </w:t>
      </w:r>
      <w:r>
        <w:t xml:space="preserve">je povinen se příjemce dotace </w:t>
      </w:r>
      <w:r w:rsidRPr="00B0586C">
        <w:t>řídit</w:t>
      </w:r>
      <w:r>
        <w:t>. Nejdříve se jednalo o rozdělení podmínek na zásadní a méně závažné bez rozlišení, odkud prostředky pochází. Toto členění podmínek mělo zásadní vliv na stanovení odvodu za PRK (§ 44, později § 44a), a to:</w:t>
      </w:r>
    </w:p>
    <w:p w:rsidR="007B00C4" w:rsidRDefault="007B00C4" w:rsidP="003E4E35">
      <w:pPr>
        <w:pStyle w:val="Odstavecseseznamem"/>
        <w:numPr>
          <w:ilvl w:val="0"/>
          <w:numId w:val="2"/>
        </w:numPr>
        <w:ind w:left="426"/>
      </w:pPr>
      <w:r w:rsidRPr="00A7112F">
        <w:t>ve stejné výši, v jaké byla porušena rozpočtová kázeň,</w:t>
      </w:r>
      <w:r w:rsidR="0001630C">
        <w:t xml:space="preserve"> nebo</w:t>
      </w:r>
    </w:p>
    <w:p w:rsidR="007B00C4" w:rsidRDefault="007B00C4" w:rsidP="003E4E35">
      <w:pPr>
        <w:pStyle w:val="Odstavecseseznamem"/>
        <w:numPr>
          <w:ilvl w:val="0"/>
          <w:numId w:val="2"/>
        </w:numPr>
        <w:ind w:left="426"/>
      </w:pPr>
      <w:r>
        <w:t>do výše 5 % z celkové částky poskytnutých prostředků.</w:t>
      </w:r>
    </w:p>
    <w:p w:rsidR="007B00C4" w:rsidRDefault="0001630C" w:rsidP="00F37772">
      <w:r w:rsidRPr="00F96EB8">
        <w:lastRenderedPageBreak/>
        <w:t>V dalších novelách zůstala povinnost rozdělení podmínek, přibyla možnost vyčlenit podmínky, kdy se nejedná o PRK, a začalo se rozlišovat, zda jsou prostředky poskytnuty z EU, od čehož se také odvíjelo stanovení výše odvodu. V aktuálním znění zákona se již nerozlišuje, zda jsou prostředky poskytnuty z EU, a výše odvodu za P</w:t>
      </w:r>
      <w:r>
        <w:t>RK (§ 44a odst. 4) se stanovuje:</w:t>
      </w:r>
    </w:p>
    <w:p w:rsidR="007B00C4" w:rsidRDefault="0001630C" w:rsidP="003E4E35">
      <w:pPr>
        <w:pStyle w:val="Odstavecseseznamem"/>
        <w:numPr>
          <w:ilvl w:val="0"/>
          <w:numId w:val="2"/>
        </w:numPr>
        <w:ind w:left="426"/>
      </w:pPr>
      <w:r>
        <w:t>pevnou částkou, pevným procentním podílem nebo procentním rozmezím z celkové částky</w:t>
      </w:r>
      <w:r w:rsidR="007B00C4">
        <w:t>,</w:t>
      </w:r>
    </w:p>
    <w:p w:rsidR="007B00C4" w:rsidRDefault="007B00C4" w:rsidP="003E4E35">
      <w:pPr>
        <w:pStyle w:val="Odstavecseseznamem"/>
        <w:numPr>
          <w:ilvl w:val="0"/>
          <w:numId w:val="2"/>
        </w:numPr>
        <w:ind w:left="426"/>
      </w:pPr>
      <w:r>
        <w:t xml:space="preserve">v </w:t>
      </w:r>
      <w:r w:rsidRPr="00BE55E4">
        <w:t>ostatních případech částk</w:t>
      </w:r>
      <w:r w:rsidR="00082654">
        <w:t>o</w:t>
      </w:r>
      <w:r w:rsidRPr="00BE55E4">
        <w:t>u, v jaké byla porušena rozpočtová kázeň.</w:t>
      </w:r>
    </w:p>
    <w:p w:rsidR="007B00C4" w:rsidRDefault="00082654" w:rsidP="00F37772">
      <w:r>
        <w:t xml:space="preserve">Ze začátku zákon neobsahoval povinnost členit podmínky v rozhodnutí o poskytnutí dotace. Zejména následné kontroly finančních úřadů, které jsou oprávněny kontrolovat pouze splnění podmínek příjemcem dotace nastavených poskytovatelem v právním aktu, byly </w:t>
      </w:r>
      <w:r w:rsidRPr="00062180">
        <w:t>značně problematické. Finanční úřady mohou vyměřit odvod nebo penále až 10 let ode dne PRK, což</w:t>
      </w:r>
      <w:r w:rsidR="008144F0">
        <w:t> </w:t>
      </w:r>
      <w:r w:rsidRPr="00062180">
        <w:t>je</w:t>
      </w:r>
      <w:r w:rsidR="008144F0">
        <w:t> </w:t>
      </w:r>
      <w:r w:rsidRPr="00062180">
        <w:t>velká časová prodleva od podpisu rozhodnutí o poskytnutí dotace do případné kontroly ze strany finančního úřadu.</w:t>
      </w:r>
      <w:r>
        <w:t xml:space="preserve"> Poskytovatel často v podnětu navrhoval sankci ve výši 100 % poskytnutých prostředků za nezávažné pochybení bez ohledu na splnění účelu dotace (nesplnění termínu, administrativní chyby, pochybení ve výběrovém řízení, které neovlivnilo výběr uchazeče, publicita aj.). Tento postup byl napadán příjemci dotací soudními žalobami na tvrdost sankce. Oprávněnost těchto žalob byla opakovaně potvrzena Nejvyšším správním soudem.</w:t>
      </w:r>
      <w:r>
        <w:rPr>
          <w:rStyle w:val="Znakapoznpodarou"/>
        </w:rPr>
        <w:footnoteReference w:id="66"/>
      </w:r>
      <w:r>
        <w:t xml:space="preserve"> Zákonodárce proto reagoval zanesením povinnosti členit podmínky a zároveň stanovením výše odvodu proporcionálně, tzn. s přihlédnutím k závažnosti porušení a vlivu na </w:t>
      </w:r>
      <w:r w:rsidRPr="00375137">
        <w:t xml:space="preserve">splnění účelu (novela č. 465/2011 Sb.). Do poslední novely v roce 2018 byl zanesen zákaz možnosti podávat žádosti o poskytnutí dotace nebo NFV ústně do protokolu, což lze vysvětlit </w:t>
      </w:r>
      <w:r w:rsidRPr="00FA0FE0">
        <w:t>tím, že někteří poskytovatelé tuto možnost využívali.</w:t>
      </w:r>
    </w:p>
    <w:p w:rsidR="007B00C4" w:rsidRPr="0037144F" w:rsidRDefault="007B00C4" w:rsidP="0037144F">
      <w:pPr>
        <w:ind w:firstLine="0"/>
        <w:rPr>
          <w:b/>
        </w:rPr>
      </w:pPr>
      <w:r w:rsidRPr="0037144F">
        <w:rPr>
          <w:b/>
        </w:rPr>
        <w:t>Výhody:</w:t>
      </w:r>
    </w:p>
    <w:p w:rsidR="00082654" w:rsidRPr="00FA0FE0" w:rsidRDefault="00082654" w:rsidP="00082654">
      <w:pPr>
        <w:pStyle w:val="Odstavecseseznamem"/>
        <w:numPr>
          <w:ilvl w:val="0"/>
          <w:numId w:val="2"/>
        </w:numPr>
        <w:ind w:left="426"/>
        <w:rPr>
          <w:b/>
        </w:rPr>
      </w:pPr>
      <w:r w:rsidRPr="00FA0FE0">
        <w:t>poskytovatel má možnost stanovit podmínky a nastavit výši odvodu za jejich porušení. To</w:t>
      </w:r>
      <w:r>
        <w:t> </w:t>
      </w:r>
      <w:r w:rsidRPr="00FA0FE0">
        <w:t>má vliv na výpočet odvodu, který je nižší než celková výše dotace</w:t>
      </w:r>
      <w:r>
        <w:t>,</w:t>
      </w:r>
      <w:r w:rsidRPr="00FA0FE0">
        <w:t xml:space="preserve"> a zároveň se promítá do </w:t>
      </w:r>
      <w:r>
        <w:t xml:space="preserve">oznámení nebo </w:t>
      </w:r>
      <w:r w:rsidRPr="00FA0FE0">
        <w:t>výzev poskytovatele podle ustanovení § 14e a § 14f,</w:t>
      </w:r>
    </w:p>
    <w:p w:rsidR="00082654" w:rsidRPr="0049651B" w:rsidRDefault="00082654" w:rsidP="00082654">
      <w:pPr>
        <w:pStyle w:val="Odstavecseseznamem"/>
        <w:numPr>
          <w:ilvl w:val="0"/>
          <w:numId w:val="2"/>
        </w:numPr>
        <w:ind w:left="426" w:hanging="357"/>
      </w:pPr>
      <w:r>
        <w:t>výjimečné případy, kdy by došlo při nesplnění podmínky rozhodnutí k odvodu ve výši celé částky poskytnutých prostředků.</w:t>
      </w:r>
    </w:p>
    <w:p w:rsidR="00082654" w:rsidRPr="0037144F" w:rsidRDefault="00082654" w:rsidP="00082654">
      <w:pPr>
        <w:ind w:firstLine="0"/>
        <w:rPr>
          <w:b/>
        </w:rPr>
      </w:pPr>
      <w:r w:rsidRPr="0037144F">
        <w:rPr>
          <w:b/>
        </w:rPr>
        <w:t>Nevýhody:</w:t>
      </w:r>
    </w:p>
    <w:p w:rsidR="00082654" w:rsidRPr="00F36F42" w:rsidRDefault="00082654" w:rsidP="00082654">
      <w:pPr>
        <w:pStyle w:val="Odstavecseseznamem"/>
        <w:numPr>
          <w:ilvl w:val="0"/>
          <w:numId w:val="2"/>
        </w:numPr>
        <w:ind w:left="425" w:hanging="357"/>
      </w:pPr>
      <w:r w:rsidRPr="00BF75F7">
        <w:t>pokud nejsou podmínky v rozhodnutí o posky</w:t>
      </w:r>
      <w:r>
        <w:t xml:space="preserve">tnutí dotace uvedeny, není možné aplikovat </w:t>
      </w:r>
      <w:r w:rsidRPr="00BF75F7">
        <w:t xml:space="preserve">snížený odvod v případě </w:t>
      </w:r>
      <w:r>
        <w:t xml:space="preserve">jejich </w:t>
      </w:r>
      <w:r w:rsidRPr="00BF75F7">
        <w:t>porušení,</w:t>
      </w:r>
    </w:p>
    <w:p w:rsidR="00CD1CA6" w:rsidRPr="00CD1CA6" w:rsidRDefault="00082654" w:rsidP="00082654">
      <w:pPr>
        <w:pStyle w:val="Odstavecseseznamem"/>
        <w:numPr>
          <w:ilvl w:val="0"/>
          <w:numId w:val="2"/>
        </w:numPr>
        <w:ind w:left="426"/>
      </w:pPr>
      <w:r>
        <w:lastRenderedPageBreak/>
        <w:t xml:space="preserve">u </w:t>
      </w:r>
      <w:r w:rsidRPr="00BF75F7">
        <w:t xml:space="preserve">některých podmínek si poskytovatel </w:t>
      </w:r>
      <w:r w:rsidRPr="00BF75F7">
        <w:rPr>
          <w:rFonts w:eastAsiaTheme="minorHAnsi"/>
          <w:szCs w:val="22"/>
          <w:lang w:eastAsia="en-US"/>
        </w:rPr>
        <w:t>v případě PRK</w:t>
      </w:r>
      <w:r w:rsidRPr="00BF75F7">
        <w:t xml:space="preserve"> stanoví</w:t>
      </w:r>
      <w:r w:rsidRPr="00BF75F7">
        <w:rPr>
          <w:rFonts w:eastAsiaTheme="minorHAnsi"/>
          <w:szCs w:val="22"/>
          <w:lang w:eastAsia="en-US"/>
        </w:rPr>
        <w:t xml:space="preserve"> příliš velké procentní rozmezí, </w:t>
      </w:r>
      <w:r w:rsidRPr="00BF75F7">
        <w:t>což potom ztěžuje správně stanovit výši odvodu</w:t>
      </w:r>
      <w:r w:rsidRPr="00BF75F7">
        <w:rPr>
          <w:rFonts w:eastAsiaTheme="minorHAnsi"/>
          <w:szCs w:val="22"/>
          <w:lang w:eastAsia="en-US"/>
        </w:rPr>
        <w:t>.</w:t>
      </w:r>
    </w:p>
    <w:p w:rsidR="00F37772" w:rsidRPr="00F37772" w:rsidRDefault="007B00C4" w:rsidP="003E4E35">
      <w:pPr>
        <w:pStyle w:val="Odstavecseseznamem"/>
        <w:numPr>
          <w:ilvl w:val="0"/>
          <w:numId w:val="11"/>
        </w:numPr>
        <w:ind w:left="426"/>
      </w:pPr>
      <w:r w:rsidRPr="000A58B4">
        <w:rPr>
          <w:b/>
        </w:rPr>
        <w:t>Ustanovení § 14e</w:t>
      </w:r>
      <w:r w:rsidR="00082654">
        <w:rPr>
          <w:b/>
        </w:rPr>
        <w:t xml:space="preserve"> RP</w:t>
      </w:r>
    </w:p>
    <w:p w:rsidR="007B00C4" w:rsidRDefault="00082654" w:rsidP="00F37772">
      <w:pPr>
        <w:ind w:left="66" w:firstLine="360"/>
      </w:pPr>
      <w:r w:rsidRPr="00F37772">
        <w:t>D</w:t>
      </w:r>
      <w:r>
        <w:t xml:space="preserve">alší nové ustanovení, které bylo do zákona zařazeno v roce 2012 novelou zákona č. 465/2011 Sb., umožnilo poskytovateli </w:t>
      </w:r>
      <w:r w:rsidRPr="00F37772">
        <w:rPr>
          <w:b/>
        </w:rPr>
        <w:t>provést krácení dotace</w:t>
      </w:r>
      <w:r>
        <w:t xml:space="preserve"> při podání žádosti o platbu příjemcem dotace. Krácení mohlo být provedeno pouze v případě, kdy se poskytovatel domníval, že byla porušena pravidla pro zadávání veřejných zakázek u projektů financovaných z EU. Poskytovatel měl povinnost informovat finanční úřad a příjemce o provedení opatření podle ustanovení § 14e. Dále bylo vyloučeno, aby mohl příjemce využít soudní přezkum (další novelou bylo toto vyloučení zrušeno). Následujícími novelami bylo ustanovení upraveno a k možnosti nevyplatit dotaci nebo její část mohlo dojít při </w:t>
      </w:r>
      <w:r w:rsidRPr="00F37772">
        <w:rPr>
          <w:b/>
        </w:rPr>
        <w:t xml:space="preserve">jakémkoliv porušení podmínek </w:t>
      </w:r>
      <w:r>
        <w:t xml:space="preserve">uvedených v rozhodnutí o poskytnutí dotace, a to </w:t>
      </w:r>
      <w:r w:rsidRPr="00983476">
        <w:rPr>
          <w:b/>
        </w:rPr>
        <w:t>také u prostředků mimo EU</w:t>
      </w:r>
      <w:r>
        <w:t xml:space="preserve">. Výjimkou jsou podmínky, kdy se nejedná o PRK. Výše nevyplacené částky musí být stanovena podle podmínek rozhodnutí o poskytnutí dotace a nelze provést krácení bez řádného odůvodnění, na což odkazuje např. usnesení </w:t>
      </w:r>
      <w:r w:rsidRPr="00AE1BC6">
        <w:t>Nejvyššího</w:t>
      </w:r>
      <w:r>
        <w:t xml:space="preserve"> správního soudu</w:t>
      </w:r>
      <w:r w:rsidR="00F37772">
        <w:t>.</w:t>
      </w:r>
      <w:r w:rsidR="007B00C4">
        <w:rPr>
          <w:rStyle w:val="Znakapoznpodarou"/>
        </w:rPr>
        <w:footnoteReference w:id="67"/>
      </w:r>
      <w:r w:rsidR="007B00C4">
        <w:t xml:space="preserve"> </w:t>
      </w:r>
    </w:p>
    <w:p w:rsidR="007B00C4" w:rsidRPr="00F37772" w:rsidRDefault="007B00C4" w:rsidP="00F37772">
      <w:pPr>
        <w:ind w:firstLine="0"/>
        <w:rPr>
          <w:b/>
        </w:rPr>
      </w:pPr>
      <w:r w:rsidRPr="00F37772">
        <w:rPr>
          <w:b/>
        </w:rPr>
        <w:t>Výhody:</w:t>
      </w:r>
    </w:p>
    <w:p w:rsidR="00082654" w:rsidRDefault="00082654" w:rsidP="00082654">
      <w:pPr>
        <w:pStyle w:val="Odstavecseseznamem"/>
        <w:numPr>
          <w:ilvl w:val="0"/>
          <w:numId w:val="2"/>
        </w:numPr>
        <w:ind w:left="426"/>
      </w:pPr>
      <w:r>
        <w:t>rychlé řešení v případě jasných porušení,</w:t>
      </w:r>
    </w:p>
    <w:p w:rsidR="00082654" w:rsidRDefault="00082654" w:rsidP="00082654">
      <w:pPr>
        <w:pStyle w:val="Odstavecseseznamem"/>
        <w:numPr>
          <w:ilvl w:val="0"/>
          <w:numId w:val="2"/>
        </w:numPr>
        <w:ind w:left="426"/>
      </w:pPr>
      <w:r>
        <w:t>minimální administrativní zátěž,</w:t>
      </w:r>
    </w:p>
    <w:p w:rsidR="00082654" w:rsidRPr="00EB53AB" w:rsidRDefault="00082654" w:rsidP="00082654">
      <w:pPr>
        <w:pStyle w:val="Odstavecseseznamem"/>
        <w:numPr>
          <w:ilvl w:val="0"/>
          <w:numId w:val="2"/>
        </w:numPr>
        <w:ind w:left="426"/>
      </w:pPr>
      <w:r>
        <w:t>příjemce dotace není vystaven možné sankci v podobě penále ze strany finančního úřadu,</w:t>
      </w:r>
    </w:p>
    <w:p w:rsidR="00082654" w:rsidRPr="00B31ECD" w:rsidRDefault="00082654" w:rsidP="00082654">
      <w:pPr>
        <w:pStyle w:val="Odstavecseseznamem"/>
        <w:numPr>
          <w:ilvl w:val="0"/>
          <w:numId w:val="2"/>
        </w:numPr>
        <w:ind w:left="426"/>
      </w:pPr>
      <w:r w:rsidRPr="00B31ECD">
        <w:t xml:space="preserve">poskytovatel </w:t>
      </w:r>
      <w:r>
        <w:t>má možnost nevyplatit prostředky</w:t>
      </w:r>
      <w:r w:rsidRPr="00B31ECD">
        <w:t xml:space="preserve"> (dotace poskytované ex post),</w:t>
      </w:r>
    </w:p>
    <w:p w:rsidR="00082654" w:rsidRDefault="00082654" w:rsidP="00082654">
      <w:pPr>
        <w:pStyle w:val="Odstavecseseznamem"/>
        <w:numPr>
          <w:ilvl w:val="0"/>
          <w:numId w:val="2"/>
        </w:numPr>
        <w:ind w:left="426"/>
      </w:pPr>
      <w:r w:rsidRPr="00B31ECD">
        <w:t>v případě námitek</w:t>
      </w:r>
      <w:r>
        <w:t xml:space="preserve"> proti krácení je povinností poskytovatele vydat rozhodnutí o námitkách, aby mohlo být rozhodnutí přezkoumatelné (od novely č. 25/2015 Sb.),</w:t>
      </w:r>
    </w:p>
    <w:p w:rsidR="00082654" w:rsidRDefault="00082654" w:rsidP="00082654">
      <w:pPr>
        <w:pStyle w:val="Odstavecseseznamem"/>
        <w:numPr>
          <w:ilvl w:val="0"/>
          <w:numId w:val="2"/>
        </w:numPr>
        <w:ind w:left="426"/>
      </w:pPr>
      <w:r>
        <w:t>m</w:t>
      </w:r>
      <w:r w:rsidRPr="00157C49">
        <w:t xml:space="preserve">ožnost </w:t>
      </w:r>
      <w:r>
        <w:t xml:space="preserve">obrany proti rozhodnutí o námitkách pomocí </w:t>
      </w:r>
      <w:r w:rsidRPr="00157C49">
        <w:t>soudní</w:t>
      </w:r>
      <w:r>
        <w:t>ho přezkumu (od novely č. 25/2015 Sb.),</w:t>
      </w:r>
    </w:p>
    <w:p w:rsidR="00082654" w:rsidRPr="00F37772" w:rsidRDefault="00082654" w:rsidP="00082654">
      <w:pPr>
        <w:pStyle w:val="Odstavecseseznamem"/>
        <w:numPr>
          <w:ilvl w:val="0"/>
          <w:numId w:val="2"/>
        </w:numPr>
        <w:ind w:left="426"/>
      </w:pPr>
      <w:r>
        <w:t>v případě nevyplacení dotace nedochází u příjemce dotace k PRK. Nemělo by tedy dojít k dvojímu postihu (krácení ze strany poskytovatele vs. odvod ze strany finančního úřadu),</w:t>
      </w:r>
    </w:p>
    <w:p w:rsidR="00082654" w:rsidRPr="00613B0B" w:rsidRDefault="00082654" w:rsidP="00082654">
      <w:pPr>
        <w:pStyle w:val="Odstavecseseznamem"/>
        <w:numPr>
          <w:ilvl w:val="0"/>
          <w:numId w:val="2"/>
        </w:numPr>
        <w:ind w:left="426"/>
        <w:rPr>
          <w:b/>
        </w:rPr>
      </w:pPr>
      <w:r w:rsidRPr="006A0DAB">
        <w:t xml:space="preserve">lze </w:t>
      </w:r>
      <w:r>
        <w:t>vy</w:t>
      </w:r>
      <w:r w:rsidRPr="006A0DAB">
        <w:t xml:space="preserve">užít </w:t>
      </w:r>
      <w:r>
        <w:t>výhodnější znění ustanovení § 14e</w:t>
      </w:r>
      <w:r w:rsidRPr="006A0DAB">
        <w:t xml:space="preserve"> i na dotace, u kterých rozhodnutí bylo </w:t>
      </w:r>
      <w:r>
        <w:t>vydáno před účinností novely č. 25/2015 Sb.</w:t>
      </w:r>
    </w:p>
    <w:p w:rsidR="00082654" w:rsidRPr="00F37772" w:rsidRDefault="00082654" w:rsidP="00082654">
      <w:pPr>
        <w:ind w:firstLine="0"/>
        <w:rPr>
          <w:b/>
        </w:rPr>
      </w:pPr>
      <w:r w:rsidRPr="00F37772">
        <w:rPr>
          <w:b/>
        </w:rPr>
        <w:t>Nevýhody:</w:t>
      </w:r>
    </w:p>
    <w:p w:rsidR="007B00C4" w:rsidRDefault="00082654" w:rsidP="00082654">
      <w:pPr>
        <w:pStyle w:val="Odstavecseseznamem"/>
        <w:numPr>
          <w:ilvl w:val="0"/>
          <w:numId w:val="2"/>
        </w:numPr>
        <w:ind w:left="426"/>
      </w:pPr>
      <w:r w:rsidRPr="00157C49">
        <w:t>příjemce</w:t>
      </w:r>
      <w:r>
        <w:t xml:space="preserve"> </w:t>
      </w:r>
      <w:r w:rsidRPr="00921089">
        <w:t xml:space="preserve">nemohl využít na opatření </w:t>
      </w:r>
      <w:r>
        <w:t>poskytovatele soudní přezkum</w:t>
      </w:r>
      <w:r w:rsidRPr="00921089">
        <w:t xml:space="preserve"> (zrušeno až novelou č.</w:t>
      </w:r>
      <w:r>
        <w:t> </w:t>
      </w:r>
      <w:r w:rsidRPr="00921089">
        <w:t>25/2015 Sb.)</w:t>
      </w:r>
      <w:r w:rsidR="007B00C4" w:rsidRPr="00921089">
        <w:t>,</w:t>
      </w:r>
      <w:r w:rsidR="007B00C4" w:rsidRPr="00F37772">
        <w:rPr>
          <w:vertAlign w:val="superscript"/>
        </w:rPr>
        <w:footnoteReference w:id="68"/>
      </w:r>
    </w:p>
    <w:p w:rsidR="007B00C4" w:rsidRPr="00F825A9" w:rsidRDefault="00082654" w:rsidP="00082654">
      <w:pPr>
        <w:pStyle w:val="Odstavecseseznamem"/>
        <w:numPr>
          <w:ilvl w:val="0"/>
          <w:numId w:val="2"/>
        </w:numPr>
        <w:ind w:left="426"/>
      </w:pPr>
      <w:r>
        <w:lastRenderedPageBreak/>
        <w:t xml:space="preserve">příjemce nemůže využít opravné a dozorčí prostředky </w:t>
      </w:r>
      <w:r w:rsidR="00191A9B">
        <w:t xml:space="preserve">podle daňového řádu </w:t>
      </w:r>
      <w:r>
        <w:t>(odvolání, obnova řízení, přezkum) jako v případě kontroly ze strany finančního úřadu.</w:t>
      </w:r>
    </w:p>
    <w:p w:rsidR="00F37772" w:rsidRDefault="007B00C4" w:rsidP="003E4E35">
      <w:pPr>
        <w:pStyle w:val="Odstavecseseznamem"/>
        <w:numPr>
          <w:ilvl w:val="0"/>
          <w:numId w:val="11"/>
        </w:numPr>
        <w:ind w:left="426"/>
        <w:rPr>
          <w:b/>
        </w:rPr>
      </w:pPr>
      <w:r>
        <w:rPr>
          <w:b/>
        </w:rPr>
        <w:t>Ustanovení § 14f</w:t>
      </w:r>
      <w:r w:rsidR="00082654">
        <w:rPr>
          <w:b/>
        </w:rPr>
        <w:t xml:space="preserve"> RP</w:t>
      </w:r>
    </w:p>
    <w:p w:rsidR="007B00C4" w:rsidRPr="00F37772" w:rsidRDefault="00082654" w:rsidP="00F37772">
      <w:pPr>
        <w:rPr>
          <w:b/>
        </w:rPr>
      </w:pPr>
      <w:r>
        <w:t>Jedná se o z</w:t>
      </w:r>
      <w:r w:rsidRPr="00E65B83">
        <w:t>ásadní rozšíření možnosti</w:t>
      </w:r>
      <w:r>
        <w:t>,</w:t>
      </w:r>
      <w:r w:rsidRPr="00E65B83">
        <w:t xml:space="preserve"> </w:t>
      </w:r>
      <w:r>
        <w:t xml:space="preserve">jak poskytovatelem řešit zjištěná </w:t>
      </w:r>
      <w:r w:rsidRPr="00E65B83">
        <w:t>pochybení</w:t>
      </w:r>
      <w:r>
        <w:t xml:space="preserve"> v případech, kdy již byla dotace vyplacena a porušení povinnosti v době zjištění trvá. Do zákona bylo toto ustanovení vloženo až novelou zákona č. 25/2015 Sb. účinnou od 25. 2. 2015. Pokud poskytovatel zjistí pochybení na straně příjemce a lze provést nápravu (administrativní pochybení, publicita, nezpůsobilé výdaje), měl by příjemci poslat </w:t>
      </w:r>
      <w:r w:rsidRPr="00F37772">
        <w:rPr>
          <w:b/>
        </w:rPr>
        <w:t>výzvu k provedení nápravy</w:t>
      </w:r>
      <w:r>
        <w:t xml:space="preserve">. Pokud již nelze nápravu provést (chyby ve výběrovém řízení, nesplnění termínů stanovených v rozhodnutí), poskytovatel odešle </w:t>
      </w:r>
      <w:r w:rsidRPr="00F37772">
        <w:rPr>
          <w:b/>
        </w:rPr>
        <w:t>výzvu</w:t>
      </w:r>
      <w:r>
        <w:t xml:space="preserve"> </w:t>
      </w:r>
      <w:r w:rsidRPr="00F37772">
        <w:rPr>
          <w:b/>
        </w:rPr>
        <w:t>k vrácení dotace nebo její části</w:t>
      </w:r>
      <w:r>
        <w:t>.</w:t>
      </w:r>
    </w:p>
    <w:p w:rsidR="007B00C4" w:rsidRDefault="007B00C4" w:rsidP="00F37772">
      <w:pPr>
        <w:ind w:firstLine="0"/>
      </w:pPr>
      <w:r w:rsidRPr="00F37772">
        <w:rPr>
          <w:b/>
        </w:rPr>
        <w:t>Výhody</w:t>
      </w:r>
      <w:r>
        <w:t>:</w:t>
      </w:r>
    </w:p>
    <w:p w:rsidR="00082654" w:rsidRDefault="00082654" w:rsidP="00082654">
      <w:pPr>
        <w:pStyle w:val="Odstavecseseznamem"/>
        <w:numPr>
          <w:ilvl w:val="0"/>
          <w:numId w:val="2"/>
        </w:numPr>
        <w:ind w:left="426"/>
      </w:pPr>
      <w:r>
        <w:t>rychlé řešení v případě jasných porušení,</w:t>
      </w:r>
    </w:p>
    <w:p w:rsidR="00082654" w:rsidRDefault="00082654" w:rsidP="00082654">
      <w:pPr>
        <w:pStyle w:val="Odstavecseseznamem"/>
        <w:numPr>
          <w:ilvl w:val="0"/>
          <w:numId w:val="2"/>
        </w:numPr>
        <w:ind w:left="426"/>
      </w:pPr>
      <w:r>
        <w:t>minimální administrativní zátěž v případě akceptace výzvy,</w:t>
      </w:r>
    </w:p>
    <w:p w:rsidR="00082654" w:rsidRDefault="00082654" w:rsidP="00082654">
      <w:pPr>
        <w:pStyle w:val="Odstavecseseznamem"/>
        <w:numPr>
          <w:ilvl w:val="0"/>
          <w:numId w:val="2"/>
        </w:numPr>
        <w:ind w:left="426"/>
      </w:pPr>
      <w:r w:rsidRPr="006A0DAB">
        <w:t>lze použít i na dotace, u kterých rozhodnutí bylo vydáno před účinností novely</w:t>
      </w:r>
      <w:r>
        <w:t>,</w:t>
      </w:r>
    </w:p>
    <w:p w:rsidR="00082654" w:rsidRDefault="00082654" w:rsidP="00082654">
      <w:pPr>
        <w:pStyle w:val="Odstavecseseznamem"/>
        <w:numPr>
          <w:ilvl w:val="0"/>
          <w:numId w:val="2"/>
        </w:numPr>
        <w:ind w:left="426"/>
      </w:pPr>
      <w:r>
        <w:t xml:space="preserve">ustanovení lze aplikovat jak u dotací poskytovaných </w:t>
      </w:r>
      <w:proofErr w:type="spellStart"/>
      <w:r>
        <w:t>ax</w:t>
      </w:r>
      <w:proofErr w:type="spellEnd"/>
      <w:r>
        <w:t>-ante, tak i ex-post,</w:t>
      </w:r>
    </w:p>
    <w:p w:rsidR="00082654" w:rsidRDefault="00082654" w:rsidP="00082654">
      <w:pPr>
        <w:pStyle w:val="Odstavecseseznamem"/>
        <w:numPr>
          <w:ilvl w:val="0"/>
          <w:numId w:val="2"/>
        </w:numPr>
        <w:ind w:left="426"/>
      </w:pPr>
      <w:r>
        <w:t>příjemce dotace není vystaven sankci v podobě penále ze strany finančního úřadu,</w:t>
      </w:r>
    </w:p>
    <w:p w:rsidR="00082654" w:rsidRDefault="00082654" w:rsidP="00082654">
      <w:pPr>
        <w:pStyle w:val="Odstavecseseznamem"/>
        <w:numPr>
          <w:ilvl w:val="0"/>
          <w:numId w:val="2"/>
        </w:numPr>
        <w:ind w:left="426"/>
      </w:pPr>
      <w:r>
        <w:t>v případě, že je ze strany příjemce provedena náprava nebo je požadovaná částka dotace vrácena, nedochází k PRK,</w:t>
      </w:r>
    </w:p>
    <w:p w:rsidR="00082654" w:rsidRDefault="00082654" w:rsidP="00082654">
      <w:pPr>
        <w:pStyle w:val="Odstavecseseznamem"/>
        <w:numPr>
          <w:ilvl w:val="0"/>
          <w:numId w:val="2"/>
        </w:numPr>
        <w:ind w:left="426"/>
      </w:pPr>
      <w:r>
        <w:t>samotné nesplnění výzvy není PRK,</w:t>
      </w:r>
    </w:p>
    <w:p w:rsidR="007B00C4" w:rsidRDefault="00082654" w:rsidP="00082654">
      <w:pPr>
        <w:pStyle w:val="Odstavecseseznamem"/>
        <w:numPr>
          <w:ilvl w:val="0"/>
          <w:numId w:val="2"/>
        </w:numPr>
        <w:ind w:left="426"/>
      </w:pPr>
      <w:r>
        <w:t>pokud příjemce s výzvou nesouhlasí, předává poskytovatel podnět na finanční úřad, který</w:t>
      </w:r>
      <w:r w:rsidR="008144F0">
        <w:t> </w:t>
      </w:r>
      <w:r>
        <w:t>v rámci řízení PRK prokáže či vyvrátí</w:t>
      </w:r>
      <w:r w:rsidR="007B00C4">
        <w:t>.</w:t>
      </w:r>
    </w:p>
    <w:p w:rsidR="007B00C4" w:rsidRPr="00F37772" w:rsidRDefault="007B00C4" w:rsidP="00F37772">
      <w:pPr>
        <w:ind w:firstLine="0"/>
        <w:rPr>
          <w:b/>
        </w:rPr>
      </w:pPr>
      <w:r w:rsidRPr="00F37772">
        <w:rPr>
          <w:b/>
        </w:rPr>
        <w:t>Nevýhody:</w:t>
      </w:r>
    </w:p>
    <w:p w:rsidR="007B00C4" w:rsidRPr="00CD1CA6" w:rsidRDefault="00082654" w:rsidP="003E4E35">
      <w:pPr>
        <w:pStyle w:val="Odstavecseseznamem"/>
        <w:numPr>
          <w:ilvl w:val="0"/>
          <w:numId w:val="2"/>
        </w:numPr>
        <w:ind w:left="426"/>
        <w:rPr>
          <w:b/>
        </w:rPr>
      </w:pPr>
      <w:r>
        <w:t xml:space="preserve">příjemce se proti výzvě </w:t>
      </w:r>
      <w:r w:rsidRPr="00DC6998">
        <w:t xml:space="preserve">nemůže soudně </w:t>
      </w:r>
      <w:r>
        <w:t>bránit jako v případě ustanovení § 14e, jelikož se nejedná o správní rozhodnutí. Jde pouze o informaci pro příjemce, kterou příjemce může akceptovat nebo zamítnout.</w:t>
      </w:r>
    </w:p>
    <w:p w:rsidR="007B00C4" w:rsidRPr="00543A9B" w:rsidRDefault="007B00C4" w:rsidP="007B00C4">
      <w:pPr>
        <w:pStyle w:val="Tomik3"/>
        <w:numPr>
          <w:ilvl w:val="2"/>
          <w:numId w:val="1"/>
        </w:numPr>
        <w:ind w:left="851" w:hanging="851"/>
        <w:rPr>
          <w:szCs w:val="24"/>
        </w:rPr>
      </w:pPr>
      <w:bookmarkStart w:id="49" w:name="_Toc38385264"/>
      <w:r>
        <w:rPr>
          <w:szCs w:val="24"/>
        </w:rPr>
        <w:t>Změny v ustanovení § 44 a § 44a zákona o rozpočtových pravidlech</w:t>
      </w:r>
      <w:bookmarkEnd w:id="49"/>
    </w:p>
    <w:p w:rsidR="007B00C4" w:rsidRDefault="008144F0" w:rsidP="007B00C4">
      <w:r w:rsidRPr="003C0A2C">
        <w:t>Novely ustanovení § 14 a zejména nová ustanovení § 14e a § 14f měly vliv nejen na</w:t>
      </w:r>
      <w:r>
        <w:t> </w:t>
      </w:r>
      <w:r w:rsidRPr="003C0A2C">
        <w:t>poskytování dotací, ale také na kontrolu ze strany finančních úřadů a vyměřování odvodů za</w:t>
      </w:r>
      <w:r>
        <w:t> </w:t>
      </w:r>
      <w:r w:rsidRPr="003C0A2C">
        <w:t>porušení rozpočtové kázně. Finanční úřady vykonávají správu odvodů podle zákona o</w:t>
      </w:r>
      <w:r>
        <w:t> </w:t>
      </w:r>
      <w:r w:rsidRPr="003C0A2C">
        <w:t xml:space="preserve">rozpočtových pravidlech. To znamená, že jedině finanční úřad může konstatovat, že byla porušena rozpočtová kázeň, která je spojená s vystavením odvodu. Zákon o rozpočtových </w:t>
      </w:r>
      <w:r w:rsidRPr="003C0A2C">
        <w:lastRenderedPageBreak/>
        <w:t xml:space="preserve">pravidlech se věnuje oblasti </w:t>
      </w:r>
      <w:r w:rsidRPr="003C0A2C">
        <w:rPr>
          <w:b/>
        </w:rPr>
        <w:t>Porušení rozpočtové kázně</w:t>
      </w:r>
      <w:r w:rsidRPr="003C0A2C">
        <w:t xml:space="preserve"> </w:t>
      </w:r>
      <w:r w:rsidRPr="003C0A2C">
        <w:rPr>
          <w:b/>
        </w:rPr>
        <w:t>v</w:t>
      </w:r>
      <w:r w:rsidRPr="003C0A2C">
        <w:t xml:space="preserve"> </w:t>
      </w:r>
      <w:r w:rsidRPr="003C0A2C">
        <w:rPr>
          <w:b/>
        </w:rPr>
        <w:t>ustanovení § 44</w:t>
      </w:r>
      <w:r w:rsidRPr="003C0A2C">
        <w:t xml:space="preserve">, které obsahuje </w:t>
      </w:r>
      <w:r w:rsidRPr="003C0A2C">
        <w:rPr>
          <w:b/>
        </w:rPr>
        <w:t>6 odstavců</w:t>
      </w:r>
      <w:r w:rsidRPr="003C0A2C">
        <w:t xml:space="preserve">. Od novely č. 482/2004 Sb. přibylo v této části zákona další </w:t>
      </w:r>
      <w:r w:rsidRPr="003C0A2C">
        <w:rPr>
          <w:b/>
        </w:rPr>
        <w:t>ustanovení § 44a</w:t>
      </w:r>
      <w:r w:rsidRPr="003C0A2C">
        <w:t>, které</w:t>
      </w:r>
      <w:r>
        <w:t> </w:t>
      </w:r>
      <w:r w:rsidRPr="003C0A2C">
        <w:t xml:space="preserve">převzalo až na definici porušení rozpočtové kázně veškeré náležitosti předchozího ustanovení. V aktuálním znění zákona zahrnuje </w:t>
      </w:r>
      <w:r w:rsidRPr="003C0A2C">
        <w:rPr>
          <w:b/>
        </w:rPr>
        <w:t>ustanovení § 44a 13 odstavců</w:t>
      </w:r>
      <w:r w:rsidRPr="003C0A2C">
        <w:t>. Součástí je</w:t>
      </w:r>
      <w:r>
        <w:t> </w:t>
      </w:r>
      <w:r w:rsidRPr="003C0A2C">
        <w:t>zejména způsob stanovení výše odvodu v návaznosti na podmínky určené poskytovatelem v rozhodnutí o poskytnutí dotace a další povinnosti spojené se správou odvodu a penále za</w:t>
      </w:r>
      <w:r>
        <w:t> </w:t>
      </w:r>
      <w:r w:rsidRPr="003C0A2C">
        <w:t>PRK.</w:t>
      </w:r>
    </w:p>
    <w:p w:rsidR="007B00C4" w:rsidRDefault="007B00C4" w:rsidP="007B00C4">
      <w:pPr>
        <w:autoSpaceDE w:val="0"/>
        <w:autoSpaceDN w:val="0"/>
        <w:adjustRightInd w:val="0"/>
        <w:spacing w:line="240" w:lineRule="auto"/>
        <w:ind w:firstLine="0"/>
        <w:jc w:val="left"/>
        <w:rPr>
          <w:b/>
          <w:szCs w:val="22"/>
        </w:rPr>
      </w:pPr>
    </w:p>
    <w:p w:rsidR="00F37772" w:rsidRPr="00F37772" w:rsidRDefault="007B00C4" w:rsidP="003E4E35">
      <w:pPr>
        <w:pStyle w:val="Odstavecseseznamem"/>
        <w:numPr>
          <w:ilvl w:val="0"/>
          <w:numId w:val="12"/>
        </w:numPr>
        <w:ind w:left="426"/>
        <w:rPr>
          <w:rFonts w:eastAsiaTheme="minorHAnsi"/>
          <w:szCs w:val="22"/>
          <w:lang w:eastAsia="en-US"/>
        </w:rPr>
      </w:pPr>
      <w:r w:rsidRPr="00A1779B">
        <w:rPr>
          <w:b/>
          <w:szCs w:val="22"/>
        </w:rPr>
        <w:t>Ustanovení § 44</w:t>
      </w:r>
    </w:p>
    <w:p w:rsidR="007B00C4" w:rsidRPr="00A1779B" w:rsidRDefault="008144F0" w:rsidP="001408C3">
      <w:pPr>
        <w:rPr>
          <w:rFonts w:eastAsiaTheme="minorHAnsi"/>
          <w:szCs w:val="22"/>
          <w:lang w:eastAsia="en-US"/>
        </w:rPr>
      </w:pPr>
      <w:r w:rsidRPr="003C0A2C">
        <w:rPr>
          <w:szCs w:val="22"/>
        </w:rPr>
        <w:t>Ve</w:t>
      </w:r>
      <w:r w:rsidRPr="003C0A2C">
        <w:t xml:space="preserve">lká změna související s ustanovením § 44 byla spojena s novelou č. 465/2011 Sb. (účinná od 30. 11. 2011). V ustanovení § 44 odst. 1 bylo vloženo nové písmeno </w:t>
      </w:r>
      <w:r w:rsidRPr="003C0A2C">
        <w:rPr>
          <w:b/>
        </w:rPr>
        <w:t>j</w:t>
      </w:r>
      <w:r w:rsidRPr="003C0A2C">
        <w:t>), které</w:t>
      </w:r>
      <w:r>
        <w:t> </w:t>
      </w:r>
      <w:r w:rsidRPr="003C0A2C">
        <w:t>rozšířilo skutkovou podstatu PRK. Toto ustanovení se dotýká výhradně dotací ex-post. Pro PRK podle písm. j) musí být splněny tři podmínky: porušení povinnosti souvisí s účelem dotace, k porušení dojde před přijetím dotace a porušení musí trvat v okamžiku přijetí dotace (chyby ve výběrovém řízení, nesplnění termínů, publicita).</w:t>
      </w:r>
    </w:p>
    <w:p w:rsidR="007B00C4" w:rsidRPr="00F37772" w:rsidRDefault="007B00C4" w:rsidP="00F37772">
      <w:pPr>
        <w:ind w:left="66" w:firstLine="0"/>
        <w:rPr>
          <w:rFonts w:eastAsiaTheme="minorHAnsi"/>
          <w:szCs w:val="22"/>
          <w:lang w:eastAsia="en-US"/>
        </w:rPr>
      </w:pPr>
      <w:r w:rsidRPr="00F37772">
        <w:rPr>
          <w:b/>
        </w:rPr>
        <w:t>Výhody</w:t>
      </w:r>
      <w:r w:rsidRPr="00F37772">
        <w:rPr>
          <w:rFonts w:eastAsiaTheme="minorHAnsi"/>
          <w:b/>
          <w:szCs w:val="22"/>
          <w:lang w:eastAsia="en-US"/>
        </w:rPr>
        <w:t>:</w:t>
      </w:r>
      <w:r w:rsidRPr="00F37772">
        <w:rPr>
          <w:rFonts w:eastAsiaTheme="minorHAnsi"/>
          <w:szCs w:val="22"/>
          <w:lang w:eastAsia="en-US"/>
        </w:rPr>
        <w:t xml:space="preserve"> </w:t>
      </w:r>
    </w:p>
    <w:p w:rsidR="007B00C4" w:rsidRPr="00F36F42" w:rsidRDefault="008144F0" w:rsidP="003E4E35">
      <w:pPr>
        <w:pStyle w:val="Odstavecseseznamem"/>
        <w:numPr>
          <w:ilvl w:val="0"/>
          <w:numId w:val="2"/>
        </w:numPr>
        <w:ind w:left="426"/>
        <w:rPr>
          <w:rFonts w:eastAsiaTheme="minorHAnsi"/>
          <w:szCs w:val="22"/>
          <w:lang w:eastAsia="en-US"/>
        </w:rPr>
      </w:pPr>
      <w:r>
        <w:t>u n</w:t>
      </w:r>
      <w:r w:rsidRPr="00F36F42">
        <w:t>eop</w:t>
      </w:r>
      <w:r>
        <w:t>r</w:t>
      </w:r>
      <w:r w:rsidRPr="00F36F42">
        <w:t>ávněné</w:t>
      </w:r>
      <w:r>
        <w:t xml:space="preserve">ho </w:t>
      </w:r>
      <w:r w:rsidRPr="00F36F42">
        <w:rPr>
          <w:rFonts w:eastAsiaTheme="minorHAnsi"/>
          <w:szCs w:val="22"/>
          <w:lang w:eastAsia="en-US"/>
        </w:rPr>
        <w:t xml:space="preserve">použití prostředků podle </w:t>
      </w:r>
      <w:r>
        <w:rPr>
          <w:rFonts w:eastAsiaTheme="minorHAnsi"/>
          <w:szCs w:val="22"/>
          <w:lang w:eastAsia="en-US"/>
        </w:rPr>
        <w:t>ustanovení</w:t>
      </w:r>
      <w:r w:rsidRPr="00FB27F7">
        <w:rPr>
          <w:rFonts w:eastAsiaTheme="minorHAnsi"/>
          <w:szCs w:val="22"/>
          <w:lang w:eastAsia="en-US"/>
        </w:rPr>
        <w:t xml:space="preserve"> § 44</w:t>
      </w:r>
      <w:r>
        <w:rPr>
          <w:rFonts w:eastAsiaTheme="minorHAnsi"/>
          <w:szCs w:val="22"/>
          <w:lang w:eastAsia="en-US"/>
        </w:rPr>
        <w:t xml:space="preserve"> </w:t>
      </w:r>
      <w:r w:rsidRPr="00F36F42">
        <w:rPr>
          <w:rFonts w:eastAsiaTheme="minorHAnsi"/>
          <w:szCs w:val="22"/>
          <w:lang w:eastAsia="en-US"/>
        </w:rPr>
        <w:t>odst. 1 písm. j)</w:t>
      </w:r>
      <w:r>
        <w:rPr>
          <w:rFonts w:eastAsiaTheme="minorHAnsi"/>
          <w:szCs w:val="22"/>
          <w:lang w:eastAsia="en-US"/>
        </w:rPr>
        <w:t xml:space="preserve"> </w:t>
      </w:r>
      <w:r>
        <w:t>se penále počítá ode dne následujícího po dni, kdy měl být odvod uhrazen. Při včasné úhradě odvodu se</w:t>
      </w:r>
      <w:r w:rsidR="00236D9A">
        <w:t> </w:t>
      </w:r>
      <w:r>
        <w:t>penále neuloží</w:t>
      </w:r>
      <w:r w:rsidRPr="00854602">
        <w:t>. V ostatních případech PRK se penále počítá ode dne následujícího po dni, kdy došlo k PRK</w:t>
      </w:r>
      <w:r>
        <w:t>.</w:t>
      </w:r>
    </w:p>
    <w:p w:rsidR="007B00C4" w:rsidRPr="00F37772" w:rsidRDefault="007B00C4" w:rsidP="00F37772">
      <w:pPr>
        <w:ind w:left="66" w:firstLine="0"/>
        <w:rPr>
          <w:rFonts w:eastAsiaTheme="minorHAnsi"/>
          <w:szCs w:val="22"/>
          <w:lang w:eastAsia="en-US"/>
        </w:rPr>
      </w:pPr>
      <w:r w:rsidRPr="00F37772">
        <w:rPr>
          <w:b/>
        </w:rPr>
        <w:t>Nevýhody</w:t>
      </w:r>
      <w:r w:rsidRPr="00F37772">
        <w:rPr>
          <w:rFonts w:eastAsiaTheme="minorHAnsi"/>
          <w:b/>
          <w:szCs w:val="22"/>
          <w:lang w:eastAsia="en-US"/>
        </w:rPr>
        <w:t>:</w:t>
      </w:r>
      <w:r w:rsidRPr="00F37772">
        <w:rPr>
          <w:rFonts w:eastAsiaTheme="minorHAnsi"/>
          <w:szCs w:val="22"/>
          <w:lang w:eastAsia="en-US"/>
        </w:rPr>
        <w:t xml:space="preserve"> </w:t>
      </w:r>
    </w:p>
    <w:p w:rsidR="007B00C4" w:rsidRPr="00F825A9" w:rsidRDefault="008144F0" w:rsidP="00F825A9">
      <w:pPr>
        <w:pStyle w:val="Odstavecseseznamem"/>
        <w:numPr>
          <w:ilvl w:val="0"/>
          <w:numId w:val="2"/>
        </w:numPr>
        <w:ind w:left="426"/>
      </w:pPr>
      <w:r>
        <w:t xml:space="preserve">možnost </w:t>
      </w:r>
      <w:r w:rsidRPr="00FB27F7">
        <w:t>záměny ustanovení § 44 odst. 1 písm. j) s ustanovením§ 44 odst. 1 písm. b), což</w:t>
      </w:r>
      <w:r>
        <w:t> </w:t>
      </w:r>
      <w:r w:rsidRPr="00FB27F7">
        <w:t>má vliv na výpočet penále</w:t>
      </w:r>
      <w:r>
        <w:t>.</w:t>
      </w:r>
    </w:p>
    <w:p w:rsidR="00F37772" w:rsidRPr="00F37772" w:rsidRDefault="007B00C4" w:rsidP="003E4E35">
      <w:pPr>
        <w:pStyle w:val="Odstavecseseznamem"/>
        <w:numPr>
          <w:ilvl w:val="0"/>
          <w:numId w:val="12"/>
        </w:numPr>
        <w:ind w:left="426"/>
        <w:rPr>
          <w:rFonts w:eastAsiaTheme="minorHAnsi"/>
          <w:szCs w:val="22"/>
          <w:lang w:eastAsia="en-US"/>
        </w:rPr>
      </w:pPr>
      <w:r w:rsidRPr="00A7470A">
        <w:rPr>
          <w:b/>
          <w:szCs w:val="22"/>
        </w:rPr>
        <w:t>Ustanovení § 44a</w:t>
      </w:r>
    </w:p>
    <w:p w:rsidR="007B00C4" w:rsidRPr="00A7470A" w:rsidRDefault="008144F0" w:rsidP="00F37772">
      <w:pPr>
        <w:rPr>
          <w:rFonts w:eastAsiaTheme="minorHAnsi"/>
          <w:lang w:eastAsia="en-US"/>
        </w:rPr>
      </w:pPr>
      <w:r w:rsidRPr="003C0A2C">
        <w:t xml:space="preserve">Toto ustanovení přišlo s </w:t>
      </w:r>
      <w:r w:rsidRPr="003C0A2C">
        <w:rPr>
          <w:rFonts w:eastAsiaTheme="minorHAnsi"/>
          <w:lang w:eastAsia="en-US"/>
        </w:rPr>
        <w:t>novelou č. 482/2004 Sb. (účinná od 7. 9. 2004), kdy byla do</w:t>
      </w:r>
      <w:r>
        <w:rPr>
          <w:rFonts w:eastAsiaTheme="minorHAnsi"/>
          <w:lang w:eastAsia="en-US"/>
        </w:rPr>
        <w:t> </w:t>
      </w:r>
      <w:r w:rsidRPr="003C0A2C">
        <w:rPr>
          <w:rFonts w:eastAsiaTheme="minorHAnsi"/>
          <w:lang w:eastAsia="en-US"/>
        </w:rPr>
        <w:t>zákona vložena povinnost, jak mají finanční úřady stanovit výši odvodu za PRK. Nejdříve byli tři možnosti, ale v roce 2015 došlo ke spojení prvních dvou (již se nerozlišovalo, zda jsou poskytnuté prostředky z EU). A</w:t>
      </w:r>
      <w:r w:rsidRPr="003C0A2C">
        <w:t xml:space="preserve">ktuálně je v ustanovení </w:t>
      </w:r>
      <w:r w:rsidRPr="003C0A2C">
        <w:rPr>
          <w:b/>
        </w:rPr>
        <w:t xml:space="preserve">§ 44a odst. 4 písm. a) </w:t>
      </w:r>
      <w:r w:rsidRPr="003C0A2C">
        <w:t>a</w:t>
      </w:r>
      <w:r w:rsidRPr="003C0A2C">
        <w:rPr>
          <w:b/>
        </w:rPr>
        <w:t xml:space="preserve"> b)</w:t>
      </w:r>
      <w:r w:rsidRPr="003C0A2C">
        <w:t>,</w:t>
      </w:r>
      <w:r w:rsidRPr="003C0A2C">
        <w:rPr>
          <w:rFonts w:eastAsiaTheme="minorHAnsi"/>
          <w:lang w:eastAsia="en-US"/>
        </w:rPr>
        <w:t xml:space="preserve"> který stanoví výši odvodu za PRK</w:t>
      </w:r>
      <w:r w:rsidR="007B00C4" w:rsidRPr="00A7470A">
        <w:rPr>
          <w:rFonts w:eastAsiaTheme="minorHAnsi"/>
          <w:lang w:eastAsia="en-US"/>
        </w:rPr>
        <w:t>:</w:t>
      </w:r>
    </w:p>
    <w:p w:rsidR="004307E4" w:rsidRPr="004307E4" w:rsidRDefault="007B00C4" w:rsidP="007C2F4D">
      <w:pPr>
        <w:pStyle w:val="Odstavecseseznamem"/>
        <w:numPr>
          <w:ilvl w:val="0"/>
          <w:numId w:val="13"/>
        </w:numPr>
        <w:ind w:left="426"/>
        <w:rPr>
          <w:rFonts w:eastAsiaTheme="minorHAnsi"/>
          <w:szCs w:val="22"/>
          <w:lang w:eastAsia="en-US"/>
        </w:rPr>
      </w:pPr>
      <w:r>
        <w:t xml:space="preserve">při </w:t>
      </w:r>
      <w:r w:rsidR="008144F0">
        <w:t>neoprávněném použití prostředků, kdy poskytovatel v rozhodnutí o dotaci vyčlenil podmínky pro odvod nižší, než je celková částka dotace</w:t>
      </w:r>
      <w:r w:rsidR="004307E4">
        <w:t>,</w:t>
      </w:r>
    </w:p>
    <w:p w:rsidR="007B00C4" w:rsidRPr="004307E4" w:rsidRDefault="007B00C4" w:rsidP="007C2F4D">
      <w:pPr>
        <w:pStyle w:val="Odstavecseseznamem"/>
        <w:numPr>
          <w:ilvl w:val="0"/>
          <w:numId w:val="13"/>
        </w:numPr>
        <w:ind w:left="426"/>
        <w:rPr>
          <w:rFonts w:eastAsiaTheme="minorHAnsi"/>
          <w:szCs w:val="22"/>
          <w:lang w:eastAsia="en-US"/>
        </w:rPr>
      </w:pPr>
      <w:r w:rsidRPr="00BB6412">
        <w:t>v</w:t>
      </w:r>
      <w:r w:rsidRPr="004307E4">
        <w:rPr>
          <w:rFonts w:eastAsiaTheme="minorHAnsi"/>
          <w:szCs w:val="22"/>
          <w:lang w:eastAsia="en-US"/>
        </w:rPr>
        <w:t> ostatních případech částka, v které byla porušena rozpočtová kázeň.</w:t>
      </w:r>
    </w:p>
    <w:p w:rsidR="00236D9A" w:rsidRDefault="00236D9A" w:rsidP="00F37772">
      <w:pPr>
        <w:ind w:left="66" w:firstLine="0"/>
        <w:rPr>
          <w:b/>
        </w:rPr>
      </w:pPr>
    </w:p>
    <w:p w:rsidR="00236D9A" w:rsidRDefault="00236D9A" w:rsidP="00F37772">
      <w:pPr>
        <w:ind w:left="66" w:firstLine="0"/>
        <w:rPr>
          <w:b/>
        </w:rPr>
      </w:pPr>
    </w:p>
    <w:p w:rsidR="007B00C4" w:rsidRPr="00F37772" w:rsidRDefault="007B00C4" w:rsidP="00F37772">
      <w:pPr>
        <w:ind w:left="66" w:firstLine="0"/>
        <w:rPr>
          <w:b/>
        </w:rPr>
      </w:pPr>
      <w:r w:rsidRPr="00F37772">
        <w:rPr>
          <w:b/>
        </w:rPr>
        <w:lastRenderedPageBreak/>
        <w:t xml:space="preserve">Výhody: </w:t>
      </w:r>
    </w:p>
    <w:p w:rsidR="008144F0" w:rsidRPr="003C0A2C" w:rsidRDefault="004307E4" w:rsidP="008144F0">
      <w:pPr>
        <w:numPr>
          <w:ilvl w:val="0"/>
          <w:numId w:val="2"/>
        </w:numPr>
        <w:ind w:left="426"/>
        <w:contextualSpacing/>
      </w:pPr>
      <w:r>
        <w:t>v </w:t>
      </w:r>
      <w:r w:rsidR="008144F0" w:rsidRPr="003C0A2C">
        <w:t>případě možnosti stanovit výši odvodu podle procentního rozmezí má finanční úřad povinnost provést správní úvahu, tzn. použít proporcionalitu pro stanovení výše odvodu, která musí být přiměřená a odpovídat tomu, co se stalo, tj. vzít v potaz závažnost porušení (od novely č. 465/2011 Sb.),</w:t>
      </w:r>
    </w:p>
    <w:p w:rsidR="008144F0" w:rsidRPr="003C0A2C" w:rsidRDefault="008144F0" w:rsidP="008144F0">
      <w:pPr>
        <w:numPr>
          <w:ilvl w:val="0"/>
          <w:numId w:val="2"/>
        </w:numPr>
        <w:ind w:left="426"/>
        <w:contextualSpacing/>
      </w:pPr>
      <w:r w:rsidRPr="003C0A2C">
        <w:t>při porušení více podmínek u veřejných zakázek se za PRK použije nejvyšší odvod podle podmínek rozhodnutí (od novely č. 25/2015 Sb.),</w:t>
      </w:r>
    </w:p>
    <w:p w:rsidR="008144F0" w:rsidRPr="003C0A2C" w:rsidRDefault="008144F0" w:rsidP="008144F0">
      <w:pPr>
        <w:numPr>
          <w:ilvl w:val="0"/>
          <w:numId w:val="2"/>
        </w:numPr>
        <w:ind w:left="426"/>
        <w:contextualSpacing/>
      </w:pPr>
      <w:r w:rsidRPr="003C0A2C">
        <w:t>stanovení minimální výše odvodu (od novely č. 25/2015 Sb.). Odvod se nevyměří, jestliže nepřesáhne 1 000 Kč v souhrnu za všechna porušení nebo ve vztahu k jedné dotaci (projektu),</w:t>
      </w:r>
    </w:p>
    <w:p w:rsidR="008144F0" w:rsidRPr="003C0A2C" w:rsidRDefault="008144F0" w:rsidP="008144F0">
      <w:pPr>
        <w:numPr>
          <w:ilvl w:val="0"/>
          <w:numId w:val="2"/>
        </w:numPr>
        <w:ind w:left="426"/>
        <w:contextualSpacing/>
      </w:pPr>
      <w:r w:rsidRPr="003C0A2C">
        <w:t>o žádostech o prominutí rozhoduje pouze GFŘ (od novely č. 465/2011 Sb.),</w:t>
      </w:r>
    </w:p>
    <w:p w:rsidR="007B00C4" w:rsidRDefault="008144F0" w:rsidP="008144F0">
      <w:pPr>
        <w:pStyle w:val="Odstavecseseznamem"/>
        <w:numPr>
          <w:ilvl w:val="0"/>
          <w:numId w:val="2"/>
        </w:numPr>
        <w:ind w:left="426"/>
      </w:pPr>
      <w:r w:rsidRPr="003C0A2C">
        <w:t>výrazná redukce důvodů pro prominutí (Pokyn č. GFŘ-D-43 ze dne 8. 1. 2020 ve věci rozhodování o prominutí)</w:t>
      </w:r>
      <w:r w:rsidR="007B00C4">
        <w:t>.</w:t>
      </w:r>
    </w:p>
    <w:p w:rsidR="007B00C4" w:rsidRDefault="007B00C4" w:rsidP="00F37772">
      <w:pPr>
        <w:ind w:firstLine="0"/>
      </w:pPr>
      <w:r w:rsidRPr="00F37772">
        <w:rPr>
          <w:b/>
        </w:rPr>
        <w:t>Nevýhody:</w:t>
      </w:r>
      <w:r w:rsidRPr="00B31ECD">
        <w:t xml:space="preserve"> </w:t>
      </w:r>
    </w:p>
    <w:p w:rsidR="007B00C4" w:rsidRPr="00412D65" w:rsidRDefault="008144F0" w:rsidP="003E4E35">
      <w:pPr>
        <w:pStyle w:val="Odstavecseseznamem"/>
        <w:numPr>
          <w:ilvl w:val="0"/>
          <w:numId w:val="2"/>
        </w:numPr>
        <w:ind w:left="426"/>
      </w:pPr>
      <w:r w:rsidRPr="00412D65">
        <w:t xml:space="preserve">v ustanovení § 44a odst. </w:t>
      </w:r>
      <w:r>
        <w:t>4</w:t>
      </w:r>
      <w:r w:rsidRPr="00412D65">
        <w:t xml:space="preserve">, písm. b) </w:t>
      </w:r>
      <w:r>
        <w:t xml:space="preserve">stále zůstává </w:t>
      </w:r>
      <w:r w:rsidRPr="00412D65">
        <w:t>nevhodná formulace „částka, v které byla porušena rozpočtová kázeň“. V pří</w:t>
      </w:r>
      <w:r>
        <w:t>padě porušení podmínky, za které</w:t>
      </w:r>
      <w:r w:rsidRPr="00412D65">
        <w:t xml:space="preserve"> poskytovatel nestanovil nižší odvod (zejména porušení podmínek při výběrovém řízení), postupuje finanční úřad podle pokynu GFŘ</w:t>
      </w:r>
      <w:r w:rsidR="007B00C4" w:rsidRPr="00412D65">
        <w:t>,</w:t>
      </w:r>
      <w:r w:rsidR="007B00C4" w:rsidRPr="00412D65">
        <w:rPr>
          <w:vertAlign w:val="superscript"/>
        </w:rPr>
        <w:footnoteReference w:id="69"/>
      </w:r>
    </w:p>
    <w:p w:rsidR="007B00C4" w:rsidRPr="00B84C7A" w:rsidRDefault="007B00C4" w:rsidP="003E4E35">
      <w:pPr>
        <w:pStyle w:val="Odstavecseseznamem"/>
        <w:numPr>
          <w:ilvl w:val="0"/>
          <w:numId w:val="2"/>
        </w:numPr>
        <w:ind w:left="426"/>
      </w:pPr>
      <w:r>
        <w:t>není stanovena lhůtu pro vyřízení žádosti o prominutí.</w:t>
      </w:r>
    </w:p>
    <w:p w:rsidR="00F31B7D" w:rsidRPr="007E35A5" w:rsidRDefault="00785291" w:rsidP="00F31B7D">
      <w:pPr>
        <w:pStyle w:val="Tomk2"/>
        <w:ind w:left="567" w:hanging="567"/>
      </w:pPr>
      <w:bookmarkStart w:id="50" w:name="_Toc38385265"/>
      <w:r>
        <w:rPr>
          <w:rFonts w:cs="Times New Roman"/>
          <w:szCs w:val="24"/>
        </w:rPr>
        <w:t xml:space="preserve">Trendová analýza dat z infomačního systému </w:t>
      </w:r>
      <w:r w:rsidR="00F31B7D">
        <w:rPr>
          <w:rFonts w:cs="Times New Roman"/>
          <w:szCs w:val="24"/>
        </w:rPr>
        <w:t>Finanční správ</w:t>
      </w:r>
      <w:r>
        <w:rPr>
          <w:rFonts w:cs="Times New Roman"/>
          <w:szCs w:val="24"/>
        </w:rPr>
        <w:t>y</w:t>
      </w:r>
      <w:bookmarkEnd w:id="50"/>
    </w:p>
    <w:p w:rsidR="0033539D" w:rsidRDefault="00D70456" w:rsidP="0033539D">
      <w:r>
        <w:t xml:space="preserve">V této kapitole bude provedena trendová </w:t>
      </w:r>
      <w:r w:rsidRPr="00A611C7">
        <w:t>analýza dat získaných</w:t>
      </w:r>
      <w:r w:rsidRPr="007E35A5">
        <w:t xml:space="preserve"> z </w:t>
      </w:r>
      <w:r>
        <w:t>IS</w:t>
      </w:r>
      <w:r w:rsidRPr="007E35A5">
        <w:t xml:space="preserve"> CEDR II, který je určen pro evidenci a</w:t>
      </w:r>
      <w:r>
        <w:t> </w:t>
      </w:r>
      <w:r w:rsidRPr="007E35A5">
        <w:t xml:space="preserve">kontrolu poskytování dotací. </w:t>
      </w:r>
      <w:r>
        <w:t>Úplná data</w:t>
      </w:r>
      <w:r w:rsidRPr="007E35A5">
        <w:t xml:space="preserve"> </w:t>
      </w:r>
      <w:r>
        <w:t>z IS</w:t>
      </w:r>
      <w:r w:rsidRPr="007E35A5">
        <w:t xml:space="preserve"> CEDR II jsou k</w:t>
      </w:r>
      <w:r>
        <w:t> dispozici pouze pracovníkům</w:t>
      </w:r>
      <w:r w:rsidRPr="007E35A5">
        <w:t xml:space="preserve"> finanční správy, kteří se zabývají kontrolou dotací.</w:t>
      </w:r>
      <w:r>
        <w:t xml:space="preserve"> Omezený přístup </w:t>
      </w:r>
      <w:r w:rsidRPr="00385452">
        <w:t>k datům mají poskytovatelé z důvodu přehledu o kontrolách prováděných finančními úřady. Data se budou týkat ustanovení zákona o rozpočtových pravidlech ve znění pozdějších předpisů, a to konkrétně</w:t>
      </w:r>
      <w:r w:rsidR="0033539D">
        <w:t>:</w:t>
      </w:r>
    </w:p>
    <w:p w:rsidR="008144F0" w:rsidRDefault="008144F0" w:rsidP="008144F0">
      <w:pPr>
        <w:pStyle w:val="Odstavecseseznamem"/>
        <w:numPr>
          <w:ilvl w:val="0"/>
          <w:numId w:val="2"/>
        </w:numPr>
        <w:ind w:left="426" w:hanging="357"/>
      </w:pPr>
      <w:r>
        <w:t>oznámení poskytovatele o krácení dotace (</w:t>
      </w:r>
      <w:r w:rsidRPr="003373F0">
        <w:t>§ 14e</w:t>
      </w:r>
      <w:r>
        <w:t xml:space="preserve"> RP)</w:t>
      </w:r>
      <w:r w:rsidRPr="003373F0">
        <w:t>,</w:t>
      </w:r>
    </w:p>
    <w:p w:rsidR="008144F0" w:rsidRDefault="008144F0" w:rsidP="008144F0">
      <w:pPr>
        <w:pStyle w:val="Odstavecseseznamem"/>
        <w:numPr>
          <w:ilvl w:val="0"/>
          <w:numId w:val="2"/>
        </w:numPr>
        <w:ind w:left="426" w:hanging="357"/>
      </w:pPr>
      <w:r>
        <w:t>výzvy poskytovatele k provedení opatření k nápravě nebo vrácení dotace (§ 14f RP),</w:t>
      </w:r>
    </w:p>
    <w:p w:rsidR="008144F0" w:rsidRDefault="008144F0" w:rsidP="008144F0">
      <w:pPr>
        <w:pStyle w:val="Odstavecseseznamem"/>
        <w:numPr>
          <w:ilvl w:val="0"/>
          <w:numId w:val="2"/>
        </w:numPr>
        <w:ind w:left="426" w:hanging="357"/>
      </w:pPr>
      <w:r>
        <w:lastRenderedPageBreak/>
        <w:t>žádosti příjemce</w:t>
      </w:r>
      <w:r w:rsidRPr="00861067">
        <w:t xml:space="preserve"> o prominutí odvodu nebo penále (§ 44 odst. 12 RP)</w:t>
      </w:r>
      <w:r>
        <w:t>, kterou podává na finanční úřad</w:t>
      </w:r>
      <w:r w:rsidRPr="00861067">
        <w:t>.</w:t>
      </w:r>
    </w:p>
    <w:p w:rsidR="00277ED7" w:rsidRPr="00F53A0A" w:rsidRDefault="008144F0" w:rsidP="008144F0">
      <w:r w:rsidRPr="00385452">
        <w:t>Další statistika zahrnuje data o podaných podnětech kontrolních orgánů na podezření o</w:t>
      </w:r>
      <w:r>
        <w:t> </w:t>
      </w:r>
      <w:r w:rsidRPr="00385452">
        <w:t>PRK podle ustanovení § 59 daňového řádu. Součástí analýzy bude zároveň i vyhodnocení</w:t>
      </w:r>
      <w:r w:rsidR="00124223">
        <w:t xml:space="preserve">. </w:t>
      </w:r>
    </w:p>
    <w:p w:rsidR="00277ED7" w:rsidRPr="00192569" w:rsidRDefault="00FD1A25" w:rsidP="00192569">
      <w:pPr>
        <w:pStyle w:val="Tomik3"/>
        <w:numPr>
          <w:ilvl w:val="2"/>
          <w:numId w:val="1"/>
        </w:numPr>
        <w:ind w:left="851" w:hanging="851"/>
        <w:rPr>
          <w:szCs w:val="24"/>
        </w:rPr>
      </w:pPr>
      <w:bookmarkStart w:id="51" w:name="_Toc38385266"/>
      <w:r>
        <w:rPr>
          <w:szCs w:val="24"/>
        </w:rPr>
        <w:t>Oznámení</w:t>
      </w:r>
      <w:r w:rsidR="00277ED7" w:rsidRPr="00192569">
        <w:rPr>
          <w:szCs w:val="24"/>
        </w:rPr>
        <w:t xml:space="preserve"> poskytovatele </w:t>
      </w:r>
      <w:r w:rsidR="00D70456">
        <w:rPr>
          <w:szCs w:val="24"/>
        </w:rPr>
        <w:t xml:space="preserve">o krácení dotace </w:t>
      </w:r>
      <w:r w:rsidR="0033539D" w:rsidRPr="00192569">
        <w:rPr>
          <w:szCs w:val="24"/>
        </w:rPr>
        <w:t xml:space="preserve">podle ustanovení </w:t>
      </w:r>
      <w:r w:rsidR="00277ED7" w:rsidRPr="00192569">
        <w:rPr>
          <w:szCs w:val="24"/>
        </w:rPr>
        <w:t>§ 14e RP</w:t>
      </w:r>
      <w:bookmarkEnd w:id="51"/>
    </w:p>
    <w:p w:rsidR="00F31B7D" w:rsidRDefault="00D70456" w:rsidP="00F31B7D">
      <w:r>
        <w:t>N</w:t>
      </w:r>
      <w:r w:rsidRPr="00F477AC">
        <w:t>ovela ve znění zákona č. 465/2011 Sb.</w:t>
      </w:r>
      <w:r>
        <w:t xml:space="preserve"> </w:t>
      </w:r>
      <w:r w:rsidRPr="002108F7">
        <w:t>(účinná od 30. 12. 2011)</w:t>
      </w:r>
      <w:r w:rsidRPr="00F477AC">
        <w:t>, kterým se mění zákon o</w:t>
      </w:r>
      <w:r>
        <w:t> </w:t>
      </w:r>
      <w:r w:rsidRPr="00F477AC">
        <w:t>rozpočtových pravidlech</w:t>
      </w:r>
      <w:r>
        <w:t xml:space="preserve">, umožnila poskytovatelům provádět krácení dotace. Graf č. 3 ukazuje počet oznámení vydaných poskytovateli, o kterých byly informovány finanční úřady v období 2015–2019. Do IS CEDR se začala tato data vkládat až od roku 2015, kdy vešla v platnost další novela, která dala poskytovatelům </w:t>
      </w:r>
      <w:r w:rsidRPr="002108F7">
        <w:t xml:space="preserve">povinnost </w:t>
      </w:r>
      <w:r>
        <w:t>využít ustanovení § 14f RP před zasláním podnětů na finanční úřady.</w:t>
      </w:r>
    </w:p>
    <w:p w:rsidR="00F31B7D" w:rsidRDefault="00F31B7D" w:rsidP="00F31B7D">
      <w:pPr>
        <w:ind w:firstLine="0"/>
      </w:pPr>
    </w:p>
    <w:p w:rsidR="00F31B7D" w:rsidRDefault="00F31B7D" w:rsidP="00F31B7D">
      <w:pPr>
        <w:ind w:firstLine="0"/>
      </w:pPr>
      <w:bookmarkStart w:id="52" w:name="_Toc38385523"/>
      <w:r>
        <w:t xml:space="preserve">Graf č. </w:t>
      </w:r>
      <w:r>
        <w:rPr>
          <w:noProof/>
        </w:rPr>
        <w:fldChar w:fldCharType="begin"/>
      </w:r>
      <w:r>
        <w:rPr>
          <w:noProof/>
        </w:rPr>
        <w:instrText xml:space="preserve"> SEQ Graf_č. \* ARABIC </w:instrText>
      </w:r>
      <w:r>
        <w:rPr>
          <w:noProof/>
        </w:rPr>
        <w:fldChar w:fldCharType="separate"/>
      </w:r>
      <w:r>
        <w:rPr>
          <w:noProof/>
        </w:rPr>
        <w:t>3</w:t>
      </w:r>
      <w:r>
        <w:rPr>
          <w:noProof/>
        </w:rPr>
        <w:fldChar w:fldCharType="end"/>
      </w:r>
      <w:r>
        <w:t xml:space="preserve">: </w:t>
      </w:r>
      <w:r w:rsidR="00D70456" w:rsidRPr="00CB1F81">
        <w:t xml:space="preserve">Počet doručených </w:t>
      </w:r>
      <w:r w:rsidR="00D70456">
        <w:t>oznámení</w:t>
      </w:r>
      <w:r w:rsidR="00D70456" w:rsidRPr="00CB1F81">
        <w:t xml:space="preserve"> </w:t>
      </w:r>
      <w:r w:rsidR="00D70456">
        <w:t xml:space="preserve">poskytovatele o krácení dotace </w:t>
      </w:r>
      <w:r w:rsidR="00D70456" w:rsidRPr="00CB1F81">
        <w:t>podle ustanovení § 14e RP za období 2015–2019</w:t>
      </w:r>
      <w:bookmarkEnd w:id="52"/>
    </w:p>
    <w:p w:rsidR="00F31B7D" w:rsidRDefault="00F31B7D" w:rsidP="00F31B7D">
      <w:pPr>
        <w:ind w:firstLine="0"/>
      </w:pPr>
      <w:r>
        <w:rPr>
          <w:noProof/>
        </w:rPr>
        <w:drawing>
          <wp:inline distT="0" distB="0" distL="0" distR="0" wp14:anchorId="043848B1" wp14:editId="7E4957E2">
            <wp:extent cx="5486400" cy="3000375"/>
            <wp:effectExtent l="0" t="0" r="0" b="952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1B7D" w:rsidRDefault="00F31B7D" w:rsidP="00F31B7D">
      <w:pPr>
        <w:ind w:firstLine="0"/>
      </w:pPr>
      <w:r>
        <w:t>Zdroj: IS CEDR II (vlastní zpracování)</w:t>
      </w:r>
    </w:p>
    <w:p w:rsidR="00F31B7D" w:rsidRDefault="00F31B7D" w:rsidP="00F31B7D"/>
    <w:p w:rsidR="00CD162D" w:rsidRDefault="00D70456" w:rsidP="00192569">
      <w:r>
        <w:t xml:space="preserve">Ačkoliv poskytovatelé měli možnost provádět krácení dotace </w:t>
      </w:r>
      <w:r w:rsidRPr="00E72D6B">
        <w:t>při podání žádosti o platbu příjemcem dotace</w:t>
      </w:r>
      <w:r>
        <w:t xml:space="preserve"> již od roku 2012, využili ji</w:t>
      </w:r>
      <w:r w:rsidRPr="00E72D6B">
        <w:t xml:space="preserve"> </w:t>
      </w:r>
      <w:r>
        <w:t xml:space="preserve">v roce 2015 a 2016 pouze v 339, resp. 275 případech. Při srovnání, jakým způsob se počet oznámení zvyšoval v dalších letech, se dá předpokládat, že </w:t>
      </w:r>
      <w:r w:rsidRPr="00E72D6B">
        <w:t xml:space="preserve">ani v předchozím období nedocházelo </w:t>
      </w:r>
      <w:r>
        <w:t>ze strany poskytovatelů</w:t>
      </w:r>
      <w:r w:rsidRPr="00E72D6B">
        <w:t xml:space="preserve"> k většímu využití oznámení o krácení.</w:t>
      </w:r>
      <w:r>
        <w:t xml:space="preserve"> Důvod lze najít v neznalosti novely zákona nebo v neochotě </w:t>
      </w:r>
      <w:r>
        <w:lastRenderedPageBreak/>
        <w:t xml:space="preserve">poskytovatelů provést krácení dotace. Dalším důvodem jistě bylo, že </w:t>
      </w:r>
      <w:r w:rsidRPr="003D472D">
        <w:t>teprve od novely z roku 2015 mohlo být toto ustanovení využito i v případě jakéhokoliv porušení, ne pouze při porušení pravidel pro zadávání veřejných zakázek. V roce 2017 stoupl počet oznámení téměř</w:t>
      </w:r>
      <w:r>
        <w:t xml:space="preserve"> o dvojnásobek na 519. V následujícím roce 2018 došlo ke skokovému nárůstu, kdy byla překročena hranice tisíce odeslaných oznámení ke krácení, konkrétně </w:t>
      </w:r>
      <w:r w:rsidRPr="0033539D">
        <w:rPr>
          <w:b/>
        </w:rPr>
        <w:t>1</w:t>
      </w:r>
      <w:r>
        <w:rPr>
          <w:b/>
        </w:rPr>
        <w:t xml:space="preserve"> </w:t>
      </w:r>
      <w:r w:rsidRPr="0033539D">
        <w:rPr>
          <w:b/>
        </w:rPr>
        <w:t>441</w:t>
      </w:r>
      <w:r>
        <w:t xml:space="preserve">. V roce 2019 došlo k mírnému poklesu o 10,5 % na 1 289 výzev, ale přesto je to stále téměř čtyřnásobný počet oznámení od evidování finančními úřady v IS CEDR v roce 2015. V současnosti poskytovatelé </w:t>
      </w:r>
      <w:r w:rsidRPr="003D472D">
        <w:t xml:space="preserve">ustanovení umožňující nevyplacení dotace používají </w:t>
      </w:r>
      <w:r>
        <w:t>již běžně.</w:t>
      </w:r>
      <w:r w:rsidR="00493286">
        <w:t xml:space="preserve"> </w:t>
      </w:r>
    </w:p>
    <w:p w:rsidR="00F31B7D" w:rsidRPr="00192569" w:rsidRDefault="00D70456" w:rsidP="00192569">
      <w:pPr>
        <w:pStyle w:val="Tomik3"/>
        <w:numPr>
          <w:ilvl w:val="2"/>
          <w:numId w:val="1"/>
        </w:numPr>
        <w:ind w:left="851" w:hanging="851"/>
        <w:rPr>
          <w:szCs w:val="24"/>
        </w:rPr>
      </w:pPr>
      <w:bookmarkStart w:id="53" w:name="_Toc38306492"/>
      <w:bookmarkStart w:id="54" w:name="_Toc38385267"/>
      <w:r w:rsidRPr="00192569">
        <w:rPr>
          <w:szCs w:val="24"/>
        </w:rPr>
        <w:t>Výzv</w:t>
      </w:r>
      <w:r>
        <w:rPr>
          <w:szCs w:val="24"/>
        </w:rPr>
        <w:t>a</w:t>
      </w:r>
      <w:r w:rsidRPr="00192569">
        <w:rPr>
          <w:szCs w:val="24"/>
        </w:rPr>
        <w:t xml:space="preserve"> poskytovatele </w:t>
      </w:r>
      <w:r>
        <w:t xml:space="preserve">k provedení opatření k nápravě nebo vrácení dotace </w:t>
      </w:r>
      <w:r w:rsidRPr="00192569">
        <w:rPr>
          <w:szCs w:val="24"/>
        </w:rPr>
        <w:t>podle ustanovení § 14f R</w:t>
      </w:r>
      <w:bookmarkEnd w:id="53"/>
      <w:r>
        <w:rPr>
          <w:szCs w:val="24"/>
        </w:rPr>
        <w:t>P</w:t>
      </w:r>
      <w:bookmarkEnd w:id="54"/>
    </w:p>
    <w:p w:rsidR="002D2032" w:rsidRDefault="00D70456" w:rsidP="00F31B7D">
      <w:r>
        <w:t xml:space="preserve">Další důležitá novela </w:t>
      </w:r>
      <w:r w:rsidRPr="00F477AC">
        <w:t>zákona č. 25/2015 Sb., kterým se mění zákon o rozpočtových pravidlech</w:t>
      </w:r>
      <w:r>
        <w:t xml:space="preserve">, nabyla účinnosti od 20. 2. 2015. </w:t>
      </w:r>
      <w:r w:rsidRPr="002D2032">
        <w:t xml:space="preserve">Nové ustanovení § 14f přidalo poskytovateli možnost vyzvat příjemce provést při zjištění porušení podmínek rozhodnutí opatření </w:t>
      </w:r>
      <w:r>
        <w:t xml:space="preserve">k </w:t>
      </w:r>
      <w:r w:rsidRPr="002D2032">
        <w:t>nápravě (§ 14f odst. 1</w:t>
      </w:r>
      <w:r>
        <w:t xml:space="preserve"> RP</w:t>
      </w:r>
      <w:r w:rsidRPr="002D2032">
        <w:t>) nebo vyzvat příjemce k vrácení</w:t>
      </w:r>
      <w:r>
        <w:t xml:space="preserve"> dotace nebo její části ve stanovené lhůtě (§ 14f odst. 3 RP). V grafu č. 4 jsou znázorněny počty zaslaných výzev podle odst. 1 a odst. 3 uvedeného ustanovení</w:t>
      </w:r>
      <w:r w:rsidR="009E7494">
        <w:t>.</w:t>
      </w:r>
    </w:p>
    <w:p w:rsidR="00060A5A" w:rsidRDefault="00060A5A">
      <w:pPr>
        <w:spacing w:after="200" w:line="276" w:lineRule="auto"/>
        <w:ind w:firstLine="0"/>
        <w:jc w:val="left"/>
      </w:pPr>
    </w:p>
    <w:p w:rsidR="00F31B7D" w:rsidRDefault="00F31B7D" w:rsidP="00F31B7D">
      <w:pPr>
        <w:ind w:firstLine="0"/>
      </w:pPr>
      <w:bookmarkStart w:id="55" w:name="_Toc38385524"/>
      <w:r>
        <w:t xml:space="preserve">Graf č. </w:t>
      </w:r>
      <w:r>
        <w:rPr>
          <w:noProof/>
        </w:rPr>
        <w:fldChar w:fldCharType="begin"/>
      </w:r>
      <w:r>
        <w:rPr>
          <w:noProof/>
        </w:rPr>
        <w:instrText xml:space="preserve"> SEQ Graf_č. \* ARABIC </w:instrText>
      </w:r>
      <w:r>
        <w:rPr>
          <w:noProof/>
        </w:rPr>
        <w:fldChar w:fldCharType="separate"/>
      </w:r>
      <w:r>
        <w:rPr>
          <w:noProof/>
        </w:rPr>
        <w:t>4</w:t>
      </w:r>
      <w:r>
        <w:rPr>
          <w:noProof/>
        </w:rPr>
        <w:fldChar w:fldCharType="end"/>
      </w:r>
      <w:r>
        <w:t xml:space="preserve">: </w:t>
      </w:r>
      <w:r w:rsidR="00D70456" w:rsidRPr="008450CD">
        <w:t xml:space="preserve">Počet doručených výzev </w:t>
      </w:r>
      <w:r w:rsidR="00D70456" w:rsidRPr="009F50F7">
        <w:t xml:space="preserve">poskytovatele k provedení opatření k nápravě nebo vrácení dotace </w:t>
      </w:r>
      <w:r w:rsidR="00D70456" w:rsidRPr="008450CD">
        <w:t>podle ustanovení § 14f RP za období 2015–2019</w:t>
      </w:r>
      <w:bookmarkEnd w:id="55"/>
    </w:p>
    <w:p w:rsidR="00F31B7D" w:rsidRDefault="00F31B7D" w:rsidP="00F31B7D">
      <w:pPr>
        <w:ind w:firstLine="0"/>
      </w:pPr>
      <w:r>
        <w:rPr>
          <w:noProof/>
        </w:rPr>
        <w:drawing>
          <wp:inline distT="0" distB="0" distL="0" distR="0" wp14:anchorId="5EBD7209" wp14:editId="24CCA3B4">
            <wp:extent cx="5486400" cy="3200400"/>
            <wp:effectExtent l="0" t="0" r="0" b="0"/>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31B7D" w:rsidRDefault="00F31B7D" w:rsidP="00F31B7D">
      <w:pPr>
        <w:ind w:firstLine="0"/>
      </w:pPr>
      <w:r>
        <w:t>Zdroj: IS CEDR II (vlastní zpracování)</w:t>
      </w:r>
    </w:p>
    <w:p w:rsidR="00F31B7D" w:rsidRDefault="00F31B7D" w:rsidP="00F31B7D">
      <w:pPr>
        <w:rPr>
          <w:b/>
        </w:rPr>
      </w:pPr>
    </w:p>
    <w:p w:rsidR="009E7494" w:rsidRPr="009E7494" w:rsidRDefault="00D70456" w:rsidP="00192569">
      <w:r w:rsidRPr="00062084">
        <w:t>V prvním roce účinnosti novely zákona, kdy měl</w:t>
      </w:r>
      <w:r>
        <w:t xml:space="preserve"> poskytovatel používat výzvy podle ustanovení § 14f RP, bylo </w:t>
      </w:r>
      <w:r w:rsidRPr="00051948">
        <w:t>příjemcům dotace odesláno celkem 120 výzev. Již v následujícím roce 2016 vyskočil počet výzev na 36 (§ 14f odst. 1) a 668 (§ 14f odst. 3).</w:t>
      </w:r>
      <w:r>
        <w:t xml:space="preserve"> Nárůst zasílání výzev příjemcům dotací, resp. informování finančních úřadů se dá vysvětlit postupnou aplikací tohoto ustanovení, kterou poskytovatelům zákon o rozpočtových pravidlech ukládá. V následujících letech došlo k dalšímu zvyšování počtu výzev na aktuálních </w:t>
      </w:r>
      <w:r w:rsidRPr="0033539D">
        <w:rPr>
          <w:b/>
        </w:rPr>
        <w:t>141</w:t>
      </w:r>
      <w:r>
        <w:t xml:space="preserve"> a </w:t>
      </w:r>
      <w:r w:rsidRPr="0033539D">
        <w:rPr>
          <w:b/>
        </w:rPr>
        <w:t>1</w:t>
      </w:r>
      <w:r>
        <w:rPr>
          <w:b/>
        </w:rPr>
        <w:t> </w:t>
      </w:r>
      <w:r w:rsidRPr="0033539D">
        <w:rPr>
          <w:b/>
        </w:rPr>
        <w:t>106</w:t>
      </w:r>
      <w:r w:rsidRPr="00E86ECD">
        <w:t>,</w:t>
      </w:r>
      <w:r>
        <w:rPr>
          <w:b/>
        </w:rPr>
        <w:t xml:space="preserve"> </w:t>
      </w:r>
      <w:r w:rsidRPr="00E86ECD">
        <w:t xml:space="preserve">které finanční úřady </w:t>
      </w:r>
      <w:r>
        <w:t>evidovaly v roce 2019. Graf ukazuje, že v prvním roce účinnosti novely zákona poskytovatelé nebyli dostatečně seznámeni s praktickým využitím ustanovení § 14f.</w:t>
      </w:r>
    </w:p>
    <w:p w:rsidR="00D86EF7" w:rsidRPr="00192569" w:rsidRDefault="00D70456" w:rsidP="00192569">
      <w:pPr>
        <w:pStyle w:val="Tomik3"/>
        <w:numPr>
          <w:ilvl w:val="2"/>
          <w:numId w:val="1"/>
        </w:numPr>
        <w:ind w:left="851" w:hanging="851"/>
        <w:rPr>
          <w:szCs w:val="24"/>
        </w:rPr>
      </w:pPr>
      <w:bookmarkStart w:id="56" w:name="_Toc38385268"/>
      <w:r>
        <w:rPr>
          <w:szCs w:val="24"/>
        </w:rPr>
        <w:t xml:space="preserve">Podněty </w:t>
      </w:r>
      <w:r w:rsidRPr="00192569">
        <w:rPr>
          <w:szCs w:val="24"/>
        </w:rPr>
        <w:t>kontrolních orgánů</w:t>
      </w:r>
      <w:r>
        <w:rPr>
          <w:szCs w:val="24"/>
        </w:rPr>
        <w:t xml:space="preserve"> </w:t>
      </w:r>
      <w:r>
        <w:t>na podezření z</w:t>
      </w:r>
      <w:r w:rsidRPr="00385452">
        <w:t xml:space="preserve"> PRK podle ustanovení § 59 </w:t>
      </w:r>
      <w:r w:rsidR="00D0566D">
        <w:t>DŘ</w:t>
      </w:r>
      <w:bookmarkEnd w:id="56"/>
    </w:p>
    <w:p w:rsidR="00F31B7D" w:rsidRDefault="00F26D3B" w:rsidP="00F31B7D">
      <w:r w:rsidRPr="004A2E4D">
        <w:t>Třetí statistika se zaměřuje na počet doručených podnětů, které posílají finančním úřadům ostatní kontrolní orgány (poskytovatelé, NKÚ, auditní orgán) v případě podezření, že došlo k</w:t>
      </w:r>
      <w:r>
        <w:t> </w:t>
      </w:r>
      <w:r w:rsidRPr="004A2E4D">
        <w:t xml:space="preserve">PRK. Podle ustanovení § 59 </w:t>
      </w:r>
      <w:r w:rsidR="00D0566D">
        <w:t>DŘ</w:t>
      </w:r>
      <w:r w:rsidRPr="004A2E4D">
        <w:t xml:space="preserve"> mají kontrolní orgány povinnost podávat finančním úřadům info</w:t>
      </w:r>
      <w:r>
        <w:t xml:space="preserve">rmace o výsledku svých kontrol </w:t>
      </w:r>
      <w:r w:rsidRPr="004A2E4D">
        <w:t>v případě, že dojde k nesplnění zákonných povinností vycházející</w:t>
      </w:r>
      <w:r>
        <w:t>ch</w:t>
      </w:r>
      <w:r w:rsidRPr="004A2E4D">
        <w:t xml:space="preserve"> z právního aktu. Ve vztahu k dotacím se tedy jedná o</w:t>
      </w:r>
      <w:r>
        <w:t> </w:t>
      </w:r>
      <w:r w:rsidRPr="004A2E4D">
        <w:t>případy, kdy kontrolou vzn</w:t>
      </w:r>
      <w:r>
        <w:t>iklo podezření, že byla porušena</w:t>
      </w:r>
      <w:r w:rsidRPr="004A2E4D">
        <w:t xml:space="preserve"> rozpočtová kázeň. </w:t>
      </w:r>
      <w:r>
        <w:t>Tyto informace je třeba</w:t>
      </w:r>
      <w:r w:rsidRPr="004A2E4D">
        <w:t xml:space="preserve"> zasílat do 30 dnů od zjištění. Následující graf ukazuje počet doručených podnětů od ostatních kontrolních orgánů ČR n</w:t>
      </w:r>
      <w:r>
        <w:t xml:space="preserve">a finanční úřady </w:t>
      </w:r>
      <w:r w:rsidRPr="004A2E4D">
        <w:t>od roku 2011.</w:t>
      </w:r>
    </w:p>
    <w:p w:rsidR="003F28A8" w:rsidRDefault="003F28A8" w:rsidP="00F31B7D"/>
    <w:p w:rsidR="00F31B7D" w:rsidRDefault="00F31B7D" w:rsidP="00F31B7D">
      <w:pPr>
        <w:ind w:firstLine="0"/>
      </w:pPr>
      <w:bookmarkStart w:id="57" w:name="_Toc38385525"/>
      <w:r>
        <w:t xml:space="preserve">Graf č. </w:t>
      </w:r>
      <w:r>
        <w:rPr>
          <w:noProof/>
        </w:rPr>
        <w:fldChar w:fldCharType="begin"/>
      </w:r>
      <w:r>
        <w:rPr>
          <w:noProof/>
        </w:rPr>
        <w:instrText xml:space="preserve"> SEQ Graf_č. \* ARABIC </w:instrText>
      </w:r>
      <w:r>
        <w:rPr>
          <w:noProof/>
        </w:rPr>
        <w:fldChar w:fldCharType="separate"/>
      </w:r>
      <w:r>
        <w:rPr>
          <w:noProof/>
        </w:rPr>
        <w:t>5</w:t>
      </w:r>
      <w:r>
        <w:rPr>
          <w:noProof/>
        </w:rPr>
        <w:fldChar w:fldCharType="end"/>
      </w:r>
      <w:r>
        <w:t xml:space="preserve">: </w:t>
      </w:r>
      <w:r w:rsidR="00F26D3B" w:rsidRPr="004A2E4D">
        <w:t xml:space="preserve">Počet doručených podnětů kontrolních orgánů na podezření z PRK podle ustanovení § 59 </w:t>
      </w:r>
      <w:r w:rsidR="00D0566D">
        <w:t>DŘ</w:t>
      </w:r>
      <w:r w:rsidR="00F26D3B" w:rsidRPr="004A2E4D">
        <w:t xml:space="preserve"> za období 2011–2019</w:t>
      </w:r>
      <w:bookmarkEnd w:id="57"/>
    </w:p>
    <w:p w:rsidR="00F31B7D" w:rsidRDefault="00F31B7D" w:rsidP="00F31B7D">
      <w:pPr>
        <w:ind w:firstLine="0"/>
      </w:pPr>
      <w:r>
        <w:rPr>
          <w:noProof/>
        </w:rPr>
        <w:drawing>
          <wp:inline distT="0" distB="0" distL="0" distR="0" wp14:anchorId="59B10176" wp14:editId="7691FA3C">
            <wp:extent cx="5486400" cy="276225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31B7D" w:rsidRDefault="00F31B7D" w:rsidP="00F31B7D">
      <w:pPr>
        <w:ind w:firstLine="0"/>
      </w:pPr>
      <w:r>
        <w:t>Zdroj: IS CEDR II (vlastní zpracování)</w:t>
      </w:r>
    </w:p>
    <w:p w:rsidR="00F31B7D" w:rsidRDefault="00F31B7D" w:rsidP="00F31B7D"/>
    <w:p w:rsidR="008608F3" w:rsidRDefault="00F26D3B" w:rsidP="00192569">
      <w:r w:rsidRPr="004A2E4D">
        <w:t>V roce 2011 a 2012 se pohyboval poče</w:t>
      </w:r>
      <w:r>
        <w:t>t doručených podnětů kolem</w:t>
      </w:r>
      <w:r w:rsidRPr="004A2E4D">
        <w:t xml:space="preserve"> 2</w:t>
      </w:r>
      <w:r>
        <w:t xml:space="preserve"> </w:t>
      </w:r>
      <w:r w:rsidRPr="004A2E4D">
        <w:t xml:space="preserve">400. </w:t>
      </w:r>
      <w:r>
        <w:t>V dalších letech se počet zvyšoval</w:t>
      </w:r>
      <w:r w:rsidRPr="004A2E4D">
        <w:t xml:space="preserve"> až na 3</w:t>
      </w:r>
      <w:r>
        <w:t xml:space="preserve"> 360 doručených</w:t>
      </w:r>
      <w:r w:rsidRPr="004A2E4D">
        <w:t xml:space="preserve"> podnětů v roce 2015. V té době prováděly finanční úřady kontrolu v podstatě</w:t>
      </w:r>
      <w:r>
        <w:t xml:space="preserve"> jen na základě podnětů a neměly</w:t>
      </w:r>
      <w:r w:rsidRPr="004A2E4D">
        <w:t xml:space="preserve"> prostor pro vlastní kontrolní činnost. Od roku 2016 počet postupně klesal až na hodnotu 1</w:t>
      </w:r>
      <w:r>
        <w:t xml:space="preserve"> 184 doručených podnětů </w:t>
      </w:r>
      <w:r w:rsidRPr="00840F74">
        <w:t>v roce 2019. Tuto</w:t>
      </w:r>
      <w:r>
        <w:t> </w:t>
      </w:r>
      <w:r w:rsidRPr="00840F74">
        <w:t>skutečnost lze vysvětlit využíváním ustanovení § 14e RP, ale zejména § 14f RP, které</w:t>
      </w:r>
      <w:r>
        <w:t> </w:t>
      </w:r>
      <w:r w:rsidRPr="00840F74">
        <w:t>mohl poskytovatel aplikovat od novely zákona č. 25/2015 Sb. V případě kontrolního nálezu měl poskytovatel již povinnost použít ustanovení § 14f  RP a následně informovat finanční úřad o tom, jak bylo na výzvu reagováno. Pokud příjemce výzvu akceptuje, finanční úřad pouze eviduje oznámení o výsledku výzvy. Naopak, pokud</w:t>
      </w:r>
      <w:r w:rsidRPr="004A2E4D">
        <w:t xml:space="preserve"> příjemce s výzvou nesouhlasí, jedná se o podnět, na </w:t>
      </w:r>
      <w:r>
        <w:t xml:space="preserve">jehož základě </w:t>
      </w:r>
      <w:r w:rsidRPr="004A2E4D">
        <w:t xml:space="preserve">finanční úřad </w:t>
      </w:r>
      <w:r>
        <w:t xml:space="preserve">provede </w:t>
      </w:r>
      <w:r w:rsidRPr="004A2E4D">
        <w:t>kontrolu skutečností pro stanovení případného odvodu za PRK.</w:t>
      </w:r>
    </w:p>
    <w:p w:rsidR="00F31B7D" w:rsidRPr="00192569" w:rsidRDefault="00F26D3B" w:rsidP="00192569">
      <w:pPr>
        <w:pStyle w:val="Tomik3"/>
        <w:numPr>
          <w:ilvl w:val="2"/>
          <w:numId w:val="1"/>
        </w:numPr>
        <w:ind w:left="851" w:hanging="851"/>
        <w:rPr>
          <w:szCs w:val="24"/>
        </w:rPr>
      </w:pPr>
      <w:bookmarkStart w:id="58" w:name="_Toc38385269"/>
      <w:r>
        <w:rPr>
          <w:szCs w:val="24"/>
        </w:rPr>
        <w:t xml:space="preserve">Žádost příjemce </w:t>
      </w:r>
      <w:r w:rsidRPr="00192569">
        <w:rPr>
          <w:szCs w:val="24"/>
        </w:rPr>
        <w:t>o prominutí odvodu a penále</w:t>
      </w:r>
      <w:r>
        <w:rPr>
          <w:szCs w:val="24"/>
        </w:rPr>
        <w:t xml:space="preserve"> </w:t>
      </w:r>
      <w:r>
        <w:t xml:space="preserve">podle ustanovení </w:t>
      </w:r>
      <w:r w:rsidRPr="00861067">
        <w:t>§ 44 odst. 12 RP</w:t>
      </w:r>
      <w:bookmarkEnd w:id="58"/>
    </w:p>
    <w:p w:rsidR="00822A8D" w:rsidRDefault="00F26D3B" w:rsidP="00D637F9">
      <w:r w:rsidRPr="004A2E4D">
        <w:t>Poslední statistika se týká počtu doručených žádostí o prominutí odvodu a penále ze strany příjemců dotací, o kterých rozhoduje Finanční správa prostřednictvím GFŘ (ustanovení § 44 odst. 12 RP). Statistika sleduje období 2011–2019.</w:t>
      </w:r>
    </w:p>
    <w:p w:rsidR="00822A8D" w:rsidRPr="00CA0400" w:rsidRDefault="00822A8D" w:rsidP="00F31B7D"/>
    <w:p w:rsidR="00F31B7D" w:rsidRDefault="00F31B7D" w:rsidP="00F31B7D">
      <w:pPr>
        <w:ind w:firstLine="0"/>
      </w:pPr>
      <w:bookmarkStart w:id="59" w:name="_Toc38385526"/>
      <w:r>
        <w:t xml:space="preserve">Graf č. </w:t>
      </w:r>
      <w:r w:rsidR="00191A9B">
        <w:fldChar w:fldCharType="begin"/>
      </w:r>
      <w:r w:rsidR="00191A9B">
        <w:instrText xml:space="preserve"> SEQ Graf_č. \* ARABIC </w:instrText>
      </w:r>
      <w:r w:rsidR="00191A9B">
        <w:fldChar w:fldCharType="separate"/>
      </w:r>
      <w:r>
        <w:t>6</w:t>
      </w:r>
      <w:r w:rsidR="00191A9B">
        <w:fldChar w:fldCharType="end"/>
      </w:r>
      <w:r>
        <w:t xml:space="preserve">: </w:t>
      </w:r>
      <w:r w:rsidR="00F26D3B" w:rsidRPr="004A2E4D">
        <w:t>Počet doručených žádostí příjemce o prominutí odvodu a penále podle ustanovení § 44 odst. 12 RP za období 2011–2019</w:t>
      </w:r>
      <w:bookmarkEnd w:id="59"/>
    </w:p>
    <w:p w:rsidR="00F31B7D" w:rsidRDefault="00F31B7D" w:rsidP="00F31B7D">
      <w:pPr>
        <w:ind w:firstLine="0"/>
      </w:pPr>
      <w:r>
        <w:rPr>
          <w:noProof/>
        </w:rPr>
        <w:drawing>
          <wp:inline distT="0" distB="0" distL="0" distR="0" wp14:anchorId="5939BEFD" wp14:editId="1760DF08">
            <wp:extent cx="5486400" cy="32004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31B7D" w:rsidRDefault="00F31B7D" w:rsidP="00F31B7D">
      <w:r>
        <w:t>Zdroj: IS CEDR II (vlastní zpracování)</w:t>
      </w:r>
    </w:p>
    <w:p w:rsidR="00822A8D" w:rsidRDefault="00822A8D" w:rsidP="00F31B7D"/>
    <w:p w:rsidR="007B00C4" w:rsidRDefault="00F26D3B" w:rsidP="007B00C4">
      <w:r>
        <w:t>V roce 2012 se navýšil počet doručených</w:t>
      </w:r>
      <w:r w:rsidRPr="004A2E4D">
        <w:t xml:space="preserve"> žádostí o prominutí o 39 % na 1</w:t>
      </w:r>
      <w:r>
        <w:t xml:space="preserve"> </w:t>
      </w:r>
      <w:r w:rsidRPr="004A2E4D">
        <w:t>364 oproti předchozímu roku. Tento skok byl způsoben novelou zákona č. 465/2011 Sb.</w:t>
      </w:r>
      <w:r>
        <w:t xml:space="preserve"> </w:t>
      </w:r>
      <w:r w:rsidRPr="00DE5064">
        <w:t>(účinná od 30. 12. 2011)</w:t>
      </w:r>
      <w:r w:rsidRPr="004A2E4D">
        <w:t>, kterým se mění zákon o rozpočtových pravidlech</w:t>
      </w:r>
      <w:r>
        <w:t>, kdy</w:t>
      </w:r>
      <w:r w:rsidRPr="004A2E4D">
        <w:t xml:space="preserve"> začalo o prominutí rozhodovat pouze GFŘ. V předchozích letech o prominutí rozhodovalo pouze ministerstvo nebo částečně Finanční ředitelství. Od roku 2014 se počet žádostí o promi</w:t>
      </w:r>
      <w:r>
        <w:t xml:space="preserve">nutí postupně snižoval na </w:t>
      </w:r>
      <w:r w:rsidRPr="004A2E4D">
        <w:t>337</w:t>
      </w:r>
      <w:r>
        <w:t xml:space="preserve"> v roce 2019</w:t>
      </w:r>
      <w:r w:rsidRPr="004A2E4D">
        <w:t>, což je pokles o 75 % ve srovnání s rokem 2012. Důvodem poklesu je využívání ustanovení § 14e a §</w:t>
      </w:r>
      <w:r>
        <w:t xml:space="preserve"> 14f. Jelikož</w:t>
      </w:r>
      <w:r w:rsidRPr="004A2E4D">
        <w:t xml:space="preserve"> poskytovatel </w:t>
      </w:r>
      <w:r w:rsidRPr="00DE5064">
        <w:t xml:space="preserve">při proplácení dotace </w:t>
      </w:r>
      <w:r w:rsidRPr="004A2E4D">
        <w:t>provede krácení nebo příjemce na základě výzvy finanční</w:t>
      </w:r>
      <w:r>
        <w:t xml:space="preserve"> prostředky vrátí, nedojde tak </w:t>
      </w:r>
      <w:r w:rsidRPr="004A2E4D">
        <w:t>k PRK a finanční úřad v těchto případech nezahajuje daňové řízení.</w:t>
      </w:r>
    </w:p>
    <w:p w:rsidR="006A0DAB" w:rsidRPr="00E422AF" w:rsidRDefault="00191A9B" w:rsidP="007B00C4">
      <w:pPr>
        <w:pStyle w:val="Tomk"/>
        <w:ind w:left="567" w:hanging="567"/>
        <w:rPr>
          <w:b w:val="0"/>
        </w:rPr>
      </w:pPr>
      <w:bookmarkStart w:id="60" w:name="_Toc38385270"/>
      <w:bookmarkEnd w:id="36"/>
      <w:r>
        <w:lastRenderedPageBreak/>
        <w:t>N</w:t>
      </w:r>
      <w:r w:rsidRPr="007B00C4">
        <w:t>ávrh</w:t>
      </w:r>
      <w:r>
        <w:t>y na optimalizaci postupů při kontrole</w:t>
      </w:r>
      <w:bookmarkEnd w:id="60"/>
    </w:p>
    <w:p w:rsidR="00AC3691" w:rsidRPr="00EE2772" w:rsidRDefault="00191A9B" w:rsidP="00AC3691">
      <w:r w:rsidRPr="005170C2">
        <w:t>V poslední kapitole bakalářské práce bude vyhodnocen přínos dvou nejdůležitějších ustanovení</w:t>
      </w:r>
      <w:r>
        <w:t xml:space="preserve"> zákona o rozpočtových pravidlech</w:t>
      </w:r>
      <w:r w:rsidRPr="005170C2">
        <w:t>, která mají největší vliv na poskytování dotací a</w:t>
      </w:r>
      <w:r>
        <w:t> </w:t>
      </w:r>
      <w:r w:rsidRPr="005170C2">
        <w:t>kontrolní orgány, a navržen</w:t>
      </w:r>
      <w:r>
        <w:t xml:space="preserve">a optimalizace kontrolních procesů </w:t>
      </w:r>
      <w:r w:rsidRPr="005170C2">
        <w:t>z pohledu zaměstnance Finanční správy.</w:t>
      </w:r>
    </w:p>
    <w:p w:rsidR="00AC3691" w:rsidRPr="00EE2772" w:rsidRDefault="00AC3691" w:rsidP="00AC3691">
      <w:pPr>
        <w:pStyle w:val="Odstavecseseznamem"/>
        <w:numPr>
          <w:ilvl w:val="0"/>
          <w:numId w:val="14"/>
        </w:numPr>
        <w:ind w:left="567"/>
        <w:rPr>
          <w:b/>
        </w:rPr>
      </w:pPr>
      <w:r w:rsidRPr="00EE2772">
        <w:rPr>
          <w:b/>
        </w:rPr>
        <w:t>Ustanovení § 14</w:t>
      </w:r>
      <w:r>
        <w:rPr>
          <w:b/>
        </w:rPr>
        <w:t xml:space="preserve"> RP</w:t>
      </w:r>
    </w:p>
    <w:p w:rsidR="00AC3691" w:rsidRDefault="00191A9B" w:rsidP="00AC3691">
      <w:r w:rsidRPr="00191A9B">
        <w:t xml:space="preserve">Novela zákona o rozpočtových pravidlech se nejvíce dotkla oblasti rozhodnutí o poskytnutí dotace </w:t>
      </w:r>
      <w:r w:rsidRPr="00191A9B">
        <w:rPr>
          <w:b/>
        </w:rPr>
        <w:t>(§ 14 RP)</w:t>
      </w:r>
      <w:r w:rsidRPr="00191A9B">
        <w:t>. Změna v zákoně dala nejdříve povinnost poskytovatelům stanovit v</w:t>
      </w:r>
      <w:r w:rsidR="006A1752">
        <w:t> </w:t>
      </w:r>
      <w:r w:rsidRPr="00191A9B">
        <w:t>rozhodnutí o poskytnutí dotace podmínky, které musí příjemce dotace dodržovat. Další novely umožnily poskytovateli postihnout porušení stanovených podmínek nižším odvodem než je celková částka dotace. Důvodem pro tyto změny byla pochybení příjemce, kdy se nejednalo o porušení podmínek výdejem prostředků (např. fakturou). Klasickým případem je nesplnění termínů, publicity projektu nebo chyby ve výběrovém řízení. Tento postup byl napadán příjemci dotací soudními žalobami na tvrdost zákona. Oprávněnost těchto žalob byla opakovaně potvrzena Nejvyšším správním soudem. Předmětné ustanovení se dále promítá do</w:t>
      </w:r>
      <w:r w:rsidR="006A1752">
        <w:t> </w:t>
      </w:r>
      <w:r w:rsidRPr="00191A9B">
        <w:t>ustanovení § 14e a § 14f RP a stanovení výše odvodu finančními úřady podle § 44a odst.</w:t>
      </w:r>
      <w:r w:rsidR="006A1752">
        <w:t> </w:t>
      </w:r>
      <w:r w:rsidRPr="00191A9B">
        <w:t>4.</w:t>
      </w:r>
      <w:r w:rsidR="006A1752">
        <w:t> </w:t>
      </w:r>
      <w:r w:rsidRPr="00191A9B">
        <w:t>RP.</w:t>
      </w:r>
    </w:p>
    <w:p w:rsidR="00AC3691" w:rsidRDefault="00AC3691" w:rsidP="00AC3691">
      <w:pPr>
        <w:ind w:firstLine="0"/>
      </w:pPr>
      <w:r w:rsidRPr="00601888">
        <w:rPr>
          <w:b/>
        </w:rPr>
        <w:t>Výhod</w:t>
      </w:r>
      <w:r>
        <w:rPr>
          <w:b/>
        </w:rPr>
        <w:t>y změn v ustanovení § 14 RP</w:t>
      </w:r>
      <w:r>
        <w:t>:</w:t>
      </w:r>
    </w:p>
    <w:p w:rsidR="00191A9B" w:rsidRDefault="00191A9B" w:rsidP="00191A9B">
      <w:pPr>
        <w:pStyle w:val="Odstavecseseznamem"/>
        <w:numPr>
          <w:ilvl w:val="0"/>
          <w:numId w:val="15"/>
        </w:numPr>
        <w:ind w:left="426"/>
      </w:pPr>
      <w:r>
        <w:t>v podstatě se vyloučila možnost stanovit odvod ve výši 100 % poskytnuté částky,</w:t>
      </w:r>
    </w:p>
    <w:p w:rsidR="00191A9B" w:rsidRDefault="00191A9B" w:rsidP="00191A9B">
      <w:pPr>
        <w:pStyle w:val="Odstavecseseznamem"/>
        <w:numPr>
          <w:ilvl w:val="0"/>
          <w:numId w:val="15"/>
        </w:numPr>
        <w:ind w:left="426"/>
      </w:pPr>
      <w:r>
        <w:t xml:space="preserve">vliv na oznámení poskytovatele </w:t>
      </w:r>
      <w:r w:rsidRPr="00D84554">
        <w:t xml:space="preserve">podle ustanovení § 14e </w:t>
      </w:r>
      <w:r>
        <w:t xml:space="preserve">RP a </w:t>
      </w:r>
      <w:r w:rsidRPr="00D84554">
        <w:t>výzv</w:t>
      </w:r>
      <w:r>
        <w:t>y</w:t>
      </w:r>
      <w:r w:rsidRPr="00D84554">
        <w:t xml:space="preserve"> </w:t>
      </w:r>
      <w:r>
        <w:t xml:space="preserve">podle </w:t>
      </w:r>
      <w:r w:rsidRPr="00D84554">
        <w:t>§ 14f</w:t>
      </w:r>
      <w:r>
        <w:t xml:space="preserve"> RP, která se do zákona dostala později,</w:t>
      </w:r>
    </w:p>
    <w:p w:rsidR="00191A9B" w:rsidRDefault="00191A9B" w:rsidP="00191A9B">
      <w:pPr>
        <w:pStyle w:val="Odstavecseseznamem"/>
        <w:numPr>
          <w:ilvl w:val="0"/>
          <w:numId w:val="15"/>
        </w:numPr>
        <w:ind w:left="426"/>
      </w:pPr>
      <w:r>
        <w:t>finanční úřad vyměřuje odvod ve výši stanovené poskytovatelem, na rozdíl od období před</w:t>
      </w:r>
      <w:r w:rsidR="006A1752">
        <w:t> </w:t>
      </w:r>
      <w:r>
        <w:t>novelami, kdy musel striktně postupovat podle rozhodnutí o poskytnutí dotace, které neumožňovalo provést snížený odvod, a často jej vyměřil v plné výši dotace.</w:t>
      </w:r>
    </w:p>
    <w:p w:rsidR="00191A9B" w:rsidRDefault="00191A9B" w:rsidP="00191A9B">
      <w:pPr>
        <w:ind w:firstLine="0"/>
      </w:pPr>
      <w:r w:rsidRPr="00601888">
        <w:rPr>
          <w:b/>
        </w:rPr>
        <w:t>Nevýhod</w:t>
      </w:r>
      <w:r>
        <w:rPr>
          <w:b/>
        </w:rPr>
        <w:t>y změn v ustanovení § 14 RP</w:t>
      </w:r>
      <w:r>
        <w:t>:</w:t>
      </w:r>
    </w:p>
    <w:p w:rsidR="00191A9B" w:rsidRDefault="00191A9B" w:rsidP="00191A9B">
      <w:pPr>
        <w:pStyle w:val="Odstavecseseznamem"/>
        <w:numPr>
          <w:ilvl w:val="0"/>
          <w:numId w:val="15"/>
        </w:numPr>
        <w:ind w:left="426"/>
      </w:pPr>
      <w:r>
        <w:t>možnost stanovení procentního rozmezí výše odvodu. Pokud je nastaveno příliš velké rozmezí, kontrolní orgán bude posuzovat procentní výši podle vlastní úvahy, což znamená, že každý kontrolní úřad rozhodne pravděpodobně o jiné výši u stejných porušení.</w:t>
      </w:r>
    </w:p>
    <w:p w:rsidR="00191A9B" w:rsidRDefault="00191A9B" w:rsidP="00191A9B">
      <w:pPr>
        <w:ind w:firstLine="0"/>
      </w:pPr>
      <w:r w:rsidRPr="00862049">
        <w:rPr>
          <w:b/>
        </w:rPr>
        <w:t>Návrh</w:t>
      </w:r>
      <w:r>
        <w:rPr>
          <w:b/>
        </w:rPr>
        <w:t>y změn</w:t>
      </w:r>
      <w:r>
        <w:t>:</w:t>
      </w:r>
    </w:p>
    <w:p w:rsidR="00AC3691" w:rsidRDefault="00191A9B" w:rsidP="00191A9B">
      <w:pPr>
        <w:ind w:firstLine="0"/>
      </w:pPr>
      <w:r>
        <w:t xml:space="preserve">Doplnění a změny v ustanovení § 14 RP byly ve prospěch příjemce dotace a zjednodušily stanovení výše odvodu. Jediným návrhem na další optimalizaci je odstranit z ustanovení § 14 </w:t>
      </w:r>
      <w:r>
        <w:lastRenderedPageBreak/>
        <w:t>odst. 5 možnost využití procentního rozmezí a ponechat zbývající dva režimy stanovení výše odvodu, které zákon umožňuje.</w:t>
      </w:r>
    </w:p>
    <w:p w:rsidR="00AC3691" w:rsidRPr="00C772F7" w:rsidRDefault="00AC3691" w:rsidP="00AC3691">
      <w:pPr>
        <w:pStyle w:val="Odstavecseseznamem"/>
        <w:numPr>
          <w:ilvl w:val="0"/>
          <w:numId w:val="14"/>
        </w:numPr>
        <w:ind w:left="567"/>
        <w:rPr>
          <w:b/>
        </w:rPr>
      </w:pPr>
      <w:r w:rsidRPr="00C772F7">
        <w:rPr>
          <w:b/>
        </w:rPr>
        <w:t>Ustanovení § 14e a 14f RP</w:t>
      </w:r>
    </w:p>
    <w:p w:rsidR="006A1752" w:rsidRDefault="006A1752" w:rsidP="00AC3691">
      <w:r>
        <w:t xml:space="preserve">Novely zákona o RP v letech 2011 a 2015 daly vzniknout dalším dvěma důležitým ustanovením </w:t>
      </w:r>
      <w:r w:rsidRPr="00862049">
        <w:rPr>
          <w:b/>
        </w:rPr>
        <w:t xml:space="preserve">§ 14e </w:t>
      </w:r>
      <w:r w:rsidRPr="00DB3C0B">
        <w:rPr>
          <w:bCs/>
        </w:rPr>
        <w:t>a následně</w:t>
      </w:r>
      <w:r>
        <w:rPr>
          <w:b/>
        </w:rPr>
        <w:t xml:space="preserve"> </w:t>
      </w:r>
      <w:r w:rsidRPr="00862049">
        <w:rPr>
          <w:b/>
        </w:rPr>
        <w:t>14f RP</w:t>
      </w:r>
      <w:r>
        <w:t xml:space="preserve">, která mají bezesporu největší vliv na poskytování dotací, což prokázala i statistická data Finanční správy. Obě ustanovení </w:t>
      </w:r>
      <w:r w:rsidRPr="00E65B83">
        <w:t>rozšíř</w:t>
      </w:r>
      <w:r>
        <w:t xml:space="preserve">ila </w:t>
      </w:r>
      <w:r w:rsidRPr="00E65B83">
        <w:t>možnosti</w:t>
      </w:r>
      <w:r>
        <w:t xml:space="preserve"> poskytovatele řešit zjištěná </w:t>
      </w:r>
      <w:r w:rsidRPr="00E65B83">
        <w:t>pochybení</w:t>
      </w:r>
      <w:r>
        <w:t xml:space="preserve"> příjemce. Ustanovení § 14e RP umožnilo poskytovateli vyřešit pochybení příjemce neproplacením dotace nebo její části. Ustanovení § 14f RP dovolilo příjemci na základě výzvy poskytovatele provést nápravu nebo vyzvat příjemce k vrácení dotace nebo její části. Jedná se o případy, kdy již byla dotace vyplacena a trvá porušení povinnosti.</w:t>
      </w:r>
    </w:p>
    <w:p w:rsidR="006A1752" w:rsidRDefault="006A1752" w:rsidP="006A1752">
      <w:r>
        <w:t xml:space="preserve">Statistická data Finanční správy za období 2015–2019 potvrdila vliv ustanovení § 14e a § 14f na oznámení a výzvy poskytovatelů. Počet oznámení v těchto letech vzrostl z 339 na 1 289 a počet výzev stoupl z 8, resp. 112 na 141, resp. 1 106. Tento nárůst prokazuje, že se poskytovatelé naučili využívat obě ustanovení. Další statistická data potvrdila vliv těchto ustanovení na podněty od kontrolních orgánů. Od roku 2015 jejich počet klesl z 3 360 na 1 184 a analogicky došlo ke snížení počtu žádostí o prominutí odvodu a penále z 940 na 337. Dá se předpokládat, že výše uvedené trendy budou pokračovat. Ve výsledku lze tvrdit, že došlo k utlumení činnosti finančních úřadů majících v kompetenci správu odvodu za PRK. Toto je možné chápat jako ohrožení transparentnosti, kdy poskytovatel rozhoduje o tom, komu přidělí dotaci, koho bude kontrolovat a s využitím ustanovení § 14e a § 14f může případná pochybení příjemce řešit bez jakéhokoliv zásahu finančního úřadu. </w:t>
      </w:r>
    </w:p>
    <w:p w:rsidR="00AC3691" w:rsidRDefault="006A1752" w:rsidP="006A1752">
      <w:r>
        <w:t xml:space="preserve">EU přitom požaduje dvojstupňový systém kontroly, </w:t>
      </w:r>
      <w:proofErr w:type="gramStart"/>
      <w:r>
        <w:t>tzn. aby</w:t>
      </w:r>
      <w:proofErr w:type="gramEnd"/>
      <w:r>
        <w:t xml:space="preserve"> ten, kdo prostředky poskytuje, zároveň nekontroloval. Proto je k provádění kontrol určen kromě poskytovatelů i finanční úřad.</w:t>
      </w:r>
      <w:r w:rsidRPr="00577DD2">
        <w:t xml:space="preserve"> </w:t>
      </w:r>
      <w:r>
        <w:t>Pro příjemce je však tato situace vcelku nepřehledná, jelikož při kontrole postupují oba kontrolní orgány podle jiných procesních zákonů, navíc někdy dochází k duplicitě kontrol a tedy k opakovanému zatížení příjemce dotace</w:t>
      </w:r>
      <w:r w:rsidR="00AC3691">
        <w:t xml:space="preserve"> </w:t>
      </w:r>
    </w:p>
    <w:p w:rsidR="006A1752" w:rsidRDefault="006A1752" w:rsidP="006A1752">
      <w:pPr>
        <w:ind w:firstLine="0"/>
      </w:pPr>
      <w:r w:rsidRPr="00601888">
        <w:rPr>
          <w:b/>
        </w:rPr>
        <w:t>Výhod</w:t>
      </w:r>
      <w:r>
        <w:rPr>
          <w:b/>
        </w:rPr>
        <w:t>y změn v ustanoveních § 14e a 14f RP</w:t>
      </w:r>
      <w:r>
        <w:t>:</w:t>
      </w:r>
    </w:p>
    <w:p w:rsidR="006A1752" w:rsidRDefault="006A1752" w:rsidP="006A1752">
      <w:pPr>
        <w:pStyle w:val="Odstavecseseznamem"/>
        <w:numPr>
          <w:ilvl w:val="0"/>
          <w:numId w:val="15"/>
        </w:numPr>
        <w:ind w:left="425" w:hanging="357"/>
      </w:pPr>
      <w:r>
        <w:t>rychlé řešení v případě jednoznačných pochybení s minimální zátěží příjemce,</w:t>
      </w:r>
    </w:p>
    <w:p w:rsidR="006A1752" w:rsidRDefault="006A1752" w:rsidP="006A1752">
      <w:pPr>
        <w:pStyle w:val="Odstavecseseznamem"/>
        <w:numPr>
          <w:ilvl w:val="0"/>
          <w:numId w:val="15"/>
        </w:numPr>
        <w:ind w:left="426"/>
      </w:pPr>
      <w:r>
        <w:t>po uplatnění ustanovení § 14e a 14f již nemůže finanční úřad konstatovat PRK.</w:t>
      </w:r>
    </w:p>
    <w:p w:rsidR="006A1752" w:rsidRDefault="006A1752" w:rsidP="006A1752">
      <w:pPr>
        <w:ind w:firstLine="0"/>
      </w:pPr>
      <w:r w:rsidRPr="00601888">
        <w:rPr>
          <w:b/>
        </w:rPr>
        <w:t>Nevýhod</w:t>
      </w:r>
      <w:r>
        <w:rPr>
          <w:b/>
        </w:rPr>
        <w:t>y změn v ustanoveních § 14e a 14f RP</w:t>
      </w:r>
      <w:r>
        <w:t>:</w:t>
      </w:r>
    </w:p>
    <w:p w:rsidR="00AC3691" w:rsidRDefault="006A1752" w:rsidP="006A1752">
      <w:pPr>
        <w:pStyle w:val="Odstavecseseznamem"/>
        <w:numPr>
          <w:ilvl w:val="0"/>
          <w:numId w:val="15"/>
        </w:numPr>
        <w:ind w:left="425" w:hanging="357"/>
      </w:pPr>
      <w:r>
        <w:t>je otázkou, zda obě ustanovení nedala poskytovatelům příliš silnou rozhodovací pravomoc:</w:t>
      </w:r>
    </w:p>
    <w:p w:rsidR="009C722E" w:rsidRDefault="006A1752" w:rsidP="007652E9">
      <w:pPr>
        <w:pStyle w:val="Odstavecseseznamem"/>
        <w:numPr>
          <w:ilvl w:val="0"/>
          <w:numId w:val="15"/>
        </w:numPr>
        <w:ind w:left="782" w:hanging="357"/>
      </w:pPr>
      <w:r>
        <w:lastRenderedPageBreak/>
        <w:t>ačkoliv příjemce může podat námitky proti oznámení podle § 14e a v případě jejich neakceptace poskytovatelem požádat o soudní přezkum, prostředky obdrží až po úspěšném ukončení soudního sporu,</w:t>
      </w:r>
    </w:p>
    <w:p w:rsidR="006A1752" w:rsidRDefault="006A1752" w:rsidP="007652E9">
      <w:pPr>
        <w:pStyle w:val="Odstavecseseznamem"/>
        <w:numPr>
          <w:ilvl w:val="0"/>
          <w:numId w:val="15"/>
        </w:numPr>
        <w:ind w:left="782" w:hanging="357"/>
      </w:pPr>
      <w:r>
        <w:t>zákon o RP nikde nestanovuje postup, jak má příjemce reagovat, když jsou jeho námitky proti výzvě podle ustanovení § 14f zamítnuty.</w:t>
      </w:r>
    </w:p>
    <w:p w:rsidR="006A1752" w:rsidRDefault="006A1752" w:rsidP="006A1752">
      <w:pPr>
        <w:ind w:firstLine="0"/>
      </w:pPr>
      <w:r w:rsidRPr="00453DB9">
        <w:rPr>
          <w:b/>
        </w:rPr>
        <w:t>Návrh</w:t>
      </w:r>
      <w:r>
        <w:rPr>
          <w:b/>
        </w:rPr>
        <w:t>y změn</w:t>
      </w:r>
      <w:r>
        <w:t>:</w:t>
      </w:r>
    </w:p>
    <w:p w:rsidR="006A1752" w:rsidRDefault="006A1752" w:rsidP="006A1752">
      <w:r>
        <w:t>Z důvodu příliš silné rozhodovací pravomoci poskytovatele v důsledku obou ustanovení má příjemce omezené možnosti se právně bránit na rozdíl od kontroly provedené finančním úřadem. Navrhované změny jsou následující:</w:t>
      </w:r>
    </w:p>
    <w:p w:rsidR="006A1752" w:rsidRDefault="006A1752" w:rsidP="006A1752">
      <w:pPr>
        <w:pStyle w:val="Odstavecseseznamem"/>
        <w:numPr>
          <w:ilvl w:val="0"/>
          <w:numId w:val="15"/>
        </w:numPr>
        <w:ind w:left="425" w:hanging="357"/>
      </w:pPr>
      <w:r>
        <w:t>zvýšit možnosti obrany příjemce tím, že poskytovatel nebude moci provést bez souhlasu příjemce krácení dotace podle ustanovení § 14e a bude mít povinnost informovat o tomto nesouhlasu finanční úřad, který zahájí daňové řízení ve věci odvodu za případné PRK,</w:t>
      </w:r>
    </w:p>
    <w:p w:rsidR="006A1752" w:rsidRDefault="006A1752" w:rsidP="006A1752">
      <w:pPr>
        <w:pStyle w:val="Odstavecseseznamem"/>
        <w:numPr>
          <w:ilvl w:val="0"/>
          <w:numId w:val="15"/>
        </w:numPr>
        <w:ind w:left="425" w:hanging="357"/>
        <w:rPr>
          <w:rFonts w:eastAsia="Calibri"/>
          <w:lang w:eastAsia="en-US"/>
        </w:rPr>
      </w:pPr>
      <w:r>
        <w:t>prostřednictvím kurzů či poradenství v oblasti poskytování dotací upozornit na možný postup příjemce v případě výzvy poskytovatele podle ustanovení § 14f, že při nesouhlasu s výzvou bude výzva postoupena poskytovatelem finančnímu úřadu.  Pokud v rámci daňového řízení bude stanoven odvod, může příjemce využít opravné nebo dozorčí prostředky podle daňového řádu (návrh</w:t>
      </w:r>
      <w:r w:rsidRPr="00C61080">
        <w:t xml:space="preserve"> na obnovu řízení</w:t>
      </w:r>
      <w:r>
        <w:t>, přezkumné</w:t>
      </w:r>
      <w:r w:rsidRPr="00C61080">
        <w:t xml:space="preserve"> řízení</w:t>
      </w:r>
      <w:r>
        <w:t>), případně prominutí odvodu podle rozpočtových pravidel.</w:t>
      </w:r>
    </w:p>
    <w:p w:rsidR="00E422AF" w:rsidRDefault="00E422AF" w:rsidP="00E422AF">
      <w:pPr>
        <w:pStyle w:val="Odstavecseseznamem"/>
        <w:ind w:left="426" w:firstLine="0"/>
      </w:pPr>
    </w:p>
    <w:p w:rsidR="00162B4A" w:rsidRPr="009203F6" w:rsidRDefault="00D830D7" w:rsidP="00162B4A">
      <w:pPr>
        <w:pStyle w:val="Tomk"/>
        <w:numPr>
          <w:ilvl w:val="0"/>
          <w:numId w:val="0"/>
        </w:numPr>
        <w:ind w:left="360" w:hanging="360"/>
        <w:rPr>
          <w:rFonts w:cs="Times New Roman"/>
          <w:sz w:val="24"/>
          <w:szCs w:val="24"/>
        </w:rPr>
      </w:pPr>
      <w:bookmarkStart w:id="61" w:name="_Toc31638252"/>
      <w:bookmarkStart w:id="62" w:name="_Toc38385271"/>
      <w:r w:rsidRPr="00D54CAD">
        <w:rPr>
          <w:rFonts w:cs="Times New Roman"/>
        </w:rPr>
        <w:lastRenderedPageBreak/>
        <w:t>ZÁVĚR</w:t>
      </w:r>
      <w:bookmarkEnd w:id="61"/>
      <w:bookmarkEnd w:id="62"/>
    </w:p>
    <w:p w:rsidR="00F23359" w:rsidRDefault="00F23359" w:rsidP="00F23359">
      <w:pPr>
        <w:rPr>
          <w:rFonts w:eastAsia="Calibri"/>
          <w:lang w:eastAsia="en-US"/>
        </w:rPr>
      </w:pPr>
      <w:r>
        <w:rPr>
          <w:rFonts w:eastAsia="Calibri"/>
          <w:lang w:eastAsia="en-US"/>
        </w:rPr>
        <w:t xml:space="preserve">Dá se předpokládat, že dotace budou hrát v dnešní době ještě důležitější roli, než měly doposud. V současné situaci, kdy EU a celý svět řeší, jak se vypořádat s rozsahem ekonomických škod, které způsobuje </w:t>
      </w:r>
      <w:proofErr w:type="spellStart"/>
      <w:r>
        <w:rPr>
          <w:rFonts w:eastAsia="Calibri"/>
          <w:lang w:eastAsia="en-US"/>
        </w:rPr>
        <w:t>koronavirová</w:t>
      </w:r>
      <w:proofErr w:type="spellEnd"/>
      <w:r>
        <w:rPr>
          <w:rFonts w:eastAsia="Calibri"/>
          <w:lang w:eastAsia="en-US"/>
        </w:rPr>
        <w:t xml:space="preserve"> pandemie, význam evropských fondů ještě vzroste. Již v tuto chvíli schválila Evropská komise opatření na podporu výzkumu </w:t>
      </w:r>
      <w:proofErr w:type="spellStart"/>
      <w:r>
        <w:rPr>
          <w:rFonts w:eastAsia="Calibri"/>
          <w:lang w:eastAsia="en-US"/>
        </w:rPr>
        <w:t>koronaviru</w:t>
      </w:r>
      <w:proofErr w:type="spellEnd"/>
      <w:r>
        <w:rPr>
          <w:rFonts w:eastAsia="Calibri"/>
          <w:lang w:eastAsia="en-US"/>
        </w:rPr>
        <w:t>, vyčlenila prostředky na repatriaci občanů EU nebo odsouhlasila přímou podporu výdajů na</w:t>
      </w:r>
      <w:r>
        <w:rPr>
          <w:rFonts w:eastAsia="Calibri"/>
          <w:lang w:eastAsia="en-US"/>
        </w:rPr>
        <w:t> </w:t>
      </w:r>
      <w:r>
        <w:rPr>
          <w:rFonts w:eastAsia="Calibri"/>
          <w:lang w:eastAsia="en-US"/>
        </w:rPr>
        <w:t>zdravotní péči.</w:t>
      </w:r>
      <w:r>
        <w:rPr>
          <w:rStyle w:val="Znakapoznpodarou"/>
          <w:rFonts w:eastAsia="Calibri"/>
          <w:lang w:eastAsia="en-US"/>
        </w:rPr>
        <w:footnoteReference w:id="70"/>
      </w:r>
      <w:r>
        <w:rPr>
          <w:rFonts w:eastAsia="Calibri"/>
          <w:lang w:eastAsia="en-US"/>
        </w:rPr>
        <w:t xml:space="preserve"> Proto je důležité, aby nejen poskytování prostředků z EU </w:t>
      </w:r>
      <w:r w:rsidRPr="00B25D5F">
        <w:rPr>
          <w:rFonts w:eastAsia="Calibri"/>
          <w:lang w:eastAsia="en-US"/>
        </w:rPr>
        <w:t>probíhalo</w:t>
      </w:r>
      <w:r>
        <w:rPr>
          <w:rFonts w:eastAsia="Calibri"/>
          <w:lang w:eastAsia="en-US"/>
        </w:rPr>
        <w:t xml:space="preserve"> transparentně, ale i kontrola příjemců měla jasně stanovená pravidla, která by příjemce finančních prostředků zatěžovala co nejmenší mírou.</w:t>
      </w:r>
    </w:p>
    <w:p w:rsidR="00F23359" w:rsidRPr="00D1432A" w:rsidRDefault="00F23359" w:rsidP="00F23359">
      <w:pPr>
        <w:rPr>
          <w:rFonts w:eastAsia="Calibri"/>
          <w:lang w:eastAsia="en-US"/>
        </w:rPr>
      </w:pPr>
      <w:r>
        <w:rPr>
          <w:rFonts w:eastAsia="Calibri"/>
          <w:lang w:eastAsia="en-US"/>
        </w:rPr>
        <w:t xml:space="preserve">Tato bakalářská práce by měla zvýšit povědomí o poskytování dotací z evropských fondů. Mohla by být zajímavým přínosem pro všechny, kdo se pohybují v oblasti dotací, ať už by se </w:t>
      </w:r>
      <w:r w:rsidRPr="00D1432A">
        <w:rPr>
          <w:rFonts w:eastAsia="Calibri"/>
          <w:lang w:eastAsia="en-US"/>
        </w:rPr>
        <w:t>jednalo o příjemce dotací nebo zaměstnance kontrolních orgánů.</w:t>
      </w:r>
    </w:p>
    <w:p w:rsidR="00F23359" w:rsidRDefault="00F23359" w:rsidP="00F23359">
      <w:pPr>
        <w:rPr>
          <w:rFonts w:eastAsia="Calibri"/>
          <w:lang w:eastAsia="en-US"/>
        </w:rPr>
      </w:pPr>
      <w:r w:rsidRPr="00D1432A">
        <w:rPr>
          <w:rFonts w:eastAsia="Calibri"/>
          <w:lang w:eastAsia="en-US"/>
        </w:rPr>
        <w:t>Cílem bakalářské práce bylo představit vývoj novel zákona č. 218/2000 Sb., o rozpočtových pravidlech od doby účinnosti zákona do roku 2018, kdy byla schválena zatím poslední novela, a zhodnotit vliv novel na poskytování finančních prostředků a na jejich kontrolu pomocí kvantitativní obsahové analýzy.</w:t>
      </w:r>
      <w:r>
        <w:rPr>
          <w:rFonts w:eastAsia="Calibri"/>
          <w:lang w:eastAsia="en-US"/>
        </w:rPr>
        <w:t xml:space="preserve"> </w:t>
      </w:r>
    </w:p>
    <w:p w:rsidR="00F23359" w:rsidRPr="00D1432A" w:rsidRDefault="00F23359" w:rsidP="00F23359">
      <w:pPr>
        <w:rPr>
          <w:rFonts w:eastAsia="Calibri"/>
          <w:lang w:eastAsia="en-US"/>
        </w:rPr>
      </w:pPr>
      <w:r>
        <w:rPr>
          <w:rFonts w:eastAsia="Calibri"/>
          <w:lang w:eastAsia="en-US"/>
        </w:rPr>
        <w:t xml:space="preserve">Teoretická část byla rozdělena na čtyři části. Nejprve byly vysvětleny základní pojmy (dotace a návratné finanční výpomoci, Národní fond atd.) a představeny </w:t>
      </w:r>
      <w:r w:rsidRPr="00683CE6">
        <w:rPr>
          <w:rFonts w:eastAsia="Calibri"/>
          <w:lang w:eastAsia="en-US"/>
        </w:rPr>
        <w:t>Evropské strukturální a investiční fondy</w:t>
      </w:r>
      <w:r>
        <w:rPr>
          <w:rFonts w:eastAsia="Calibri"/>
          <w:lang w:eastAsia="en-US"/>
        </w:rPr>
        <w:t>, z kterých čerpá ČR</w:t>
      </w:r>
      <w:r w:rsidRPr="00D2203F">
        <w:rPr>
          <w:rFonts w:eastAsia="Calibri"/>
          <w:lang w:eastAsia="en-US"/>
        </w:rPr>
        <w:t xml:space="preserve"> </w:t>
      </w:r>
      <w:r>
        <w:rPr>
          <w:rFonts w:eastAsia="Calibri"/>
          <w:lang w:eastAsia="en-US"/>
        </w:rPr>
        <w:t xml:space="preserve">finanční prostředky. Poté bylo provedeno </w:t>
      </w:r>
      <w:r w:rsidRPr="003F1B1D">
        <w:rPr>
          <w:rFonts w:eastAsia="Calibri"/>
          <w:lang w:eastAsia="en-US"/>
        </w:rPr>
        <w:t>shrnutí</w:t>
      </w:r>
      <w:r>
        <w:rPr>
          <w:rFonts w:eastAsia="Calibri"/>
          <w:lang w:eastAsia="en-US"/>
        </w:rPr>
        <w:t xml:space="preserve"> </w:t>
      </w:r>
      <w:r>
        <w:t>historie čerpání v předchozích programových obdobích. Následovala analýza čerpání v aktuálním programovém období 2014–2020 v členění podle operačních programů a typů fondů. Ke</w:t>
      </w:r>
      <w:r>
        <w:t> </w:t>
      </w:r>
      <w:r>
        <w:t>dni</w:t>
      </w:r>
      <w:r>
        <w:t> </w:t>
      </w:r>
      <w:r>
        <w:t>31. 12. 2019 ČR vyčerpala 41,36 % finančních prostředků z celkové alokace, což</w:t>
      </w:r>
      <w:r>
        <w:t> </w:t>
      </w:r>
      <w:r>
        <w:t>vzhledem ke končícímu programovému období není příliš vysoké číslo. V dalších dvou částech byly představeny instituce implementační struktury v oblasti evropských fondů a</w:t>
      </w:r>
      <w:r>
        <w:t> </w:t>
      </w:r>
      <w:r w:rsidRPr="00D1432A">
        <w:t>kontrolní orgány, které jsou oprávněny provádět kontrolu finančních prostředků z rozpočtu EU. Poslední, čtvrtá část se zaměřila na představení zákona o rozpočtových pravidlech.</w:t>
      </w:r>
    </w:p>
    <w:p w:rsidR="00F23359" w:rsidRPr="00DF553E" w:rsidRDefault="00F23359" w:rsidP="00F23359">
      <w:pPr>
        <w:rPr>
          <w:rFonts w:eastAsia="Calibri"/>
          <w:lang w:eastAsia="en-US"/>
        </w:rPr>
      </w:pPr>
      <w:r w:rsidRPr="00D1432A">
        <w:t>Praktická část obsahuje tři části. Nejdříve byla provedena komparace sedmi novel zákona o rozpočtových pravidlech a následně došlo k vyhodnocení nejdůležitějších změn a k</w:t>
      </w:r>
      <w:r>
        <w:t xml:space="preserve"> posouzení </w:t>
      </w:r>
      <w:r w:rsidRPr="00602516">
        <w:t>jejich vliv</w:t>
      </w:r>
      <w:r>
        <w:t>u</w:t>
      </w:r>
      <w:r w:rsidRPr="00602516">
        <w:t xml:space="preserve"> </w:t>
      </w:r>
      <w:r>
        <w:t>na kontrolu poskytnutých prostředků</w:t>
      </w:r>
      <w:r w:rsidRPr="00602516">
        <w:t xml:space="preserve">. </w:t>
      </w:r>
      <w:r>
        <w:t>Poté byla podrobena analýze</w:t>
      </w:r>
      <w:r w:rsidRPr="00602516">
        <w:t xml:space="preserve"> </w:t>
      </w:r>
      <w:r>
        <w:t xml:space="preserve">vybraná </w:t>
      </w:r>
      <w:r w:rsidRPr="00602516">
        <w:t>dat</w:t>
      </w:r>
      <w:r>
        <w:t>a</w:t>
      </w:r>
      <w:r w:rsidRPr="00602516">
        <w:t xml:space="preserve"> z informačního sy</w:t>
      </w:r>
      <w:r>
        <w:t>s</w:t>
      </w:r>
      <w:r w:rsidRPr="00602516">
        <w:t>tému Finanční správy</w:t>
      </w:r>
      <w:r>
        <w:t xml:space="preserve">. Výsledkem bylo prokázání vlivu </w:t>
      </w:r>
      <w:r w:rsidRPr="00D1432A">
        <w:t>doručených oznámení a výzev podle ustanovení</w:t>
      </w:r>
      <w:r>
        <w:t xml:space="preserve"> § 14e a § 14f RP na počet doruče</w:t>
      </w:r>
      <w:r w:rsidRPr="00D1432A">
        <w:t>ných podn</w:t>
      </w:r>
      <w:r>
        <w:t xml:space="preserve">ětů a </w:t>
      </w:r>
      <w:r w:rsidRPr="00D1432A">
        <w:t xml:space="preserve">žádostí </w:t>
      </w:r>
      <w:r w:rsidRPr="00D1432A">
        <w:lastRenderedPageBreak/>
        <w:t>o</w:t>
      </w:r>
      <w:r>
        <w:t> </w:t>
      </w:r>
      <w:r w:rsidRPr="00D1432A">
        <w:t>prominutí na finanční úřady. Teprve v dalším roce po účinnosti novely zákona č. 25/2015 Sb.</w:t>
      </w:r>
      <w:r w:rsidRPr="0086764A">
        <w:t xml:space="preserve"> došlo k výraznému nárůstu počtu oznámení a výzev oproti snížení počtu podnětů a žádostí o</w:t>
      </w:r>
      <w:r>
        <w:t> </w:t>
      </w:r>
      <w:r w:rsidRPr="0086764A">
        <w:t>prominutí. Důvodem ročního zpoždění by mohla být neznalost zákona a</w:t>
      </w:r>
      <w:r>
        <w:t> </w:t>
      </w:r>
      <w:r w:rsidRPr="0086764A">
        <w:t>přechodných pravidel ze strany poskytovatelů, kter</w:t>
      </w:r>
      <w:r>
        <w:t>é</w:t>
      </w:r>
      <w:r w:rsidRPr="0086764A">
        <w:t xml:space="preserve"> umožňoval</w:t>
      </w:r>
      <w:r>
        <w:t>y</w:t>
      </w:r>
      <w:r w:rsidRPr="0086764A">
        <w:t xml:space="preserve"> využ</w:t>
      </w:r>
      <w:r>
        <w:t>í</w:t>
      </w:r>
      <w:r w:rsidRPr="0086764A">
        <w:t>vat ustanovení § 14f také u rozhodnutí o poskytnutí dotace podepsané</w:t>
      </w:r>
      <w:r>
        <w:t>ho</w:t>
      </w:r>
      <w:r w:rsidRPr="0086764A">
        <w:t xml:space="preserve"> před touto novelou</w:t>
      </w:r>
      <w:r>
        <w:t>,</w:t>
      </w:r>
      <w:r w:rsidRPr="0086764A">
        <w:t xml:space="preserve"> nebo</w:t>
      </w:r>
      <w:r>
        <w:t xml:space="preserve"> šlo pouze o neochotu poskytovatelů používat toto </w:t>
      </w:r>
      <w:r w:rsidRPr="00DF553E">
        <w:t>ustanovení zákona.</w:t>
      </w:r>
      <w:r>
        <w:t xml:space="preserve"> P</w:t>
      </w:r>
      <w:r w:rsidRPr="00DF553E">
        <w:t xml:space="preserve">oslední část bakalářské práce </w:t>
      </w:r>
      <w:r>
        <w:t xml:space="preserve">obsahuje shrnutí </w:t>
      </w:r>
      <w:r w:rsidRPr="00DF553E">
        <w:t xml:space="preserve">předchozí analýzy a </w:t>
      </w:r>
      <w:r>
        <w:t xml:space="preserve">na závěr jsou </w:t>
      </w:r>
      <w:r w:rsidRPr="00DF553E">
        <w:t>uved</w:t>
      </w:r>
      <w:r>
        <w:t>eny</w:t>
      </w:r>
      <w:r w:rsidRPr="00DF553E">
        <w:t xml:space="preserve"> návrh</w:t>
      </w:r>
      <w:r>
        <w:t>y</w:t>
      </w:r>
      <w:r w:rsidRPr="00DF553E">
        <w:t xml:space="preserve"> na optimalizaci postupů při</w:t>
      </w:r>
      <w:r>
        <w:t> </w:t>
      </w:r>
      <w:r w:rsidRPr="00DF553E">
        <w:t xml:space="preserve">kontrole. </w:t>
      </w:r>
      <w:r w:rsidRPr="00DF553E">
        <w:rPr>
          <w:rFonts w:eastAsia="Calibri"/>
          <w:lang w:eastAsia="en-US"/>
        </w:rPr>
        <w:t>Výsledky ukázaly</w:t>
      </w:r>
      <w:r>
        <w:rPr>
          <w:rFonts w:eastAsia="Calibri"/>
          <w:lang w:eastAsia="en-US"/>
        </w:rPr>
        <w:t xml:space="preserve">, že novela zákona č. 25/2015 Sb. </w:t>
      </w:r>
      <w:r w:rsidRPr="00DF553E">
        <w:rPr>
          <w:rFonts w:eastAsia="Calibri"/>
          <w:lang w:eastAsia="en-US"/>
        </w:rPr>
        <w:t>zvýšila pravomoc poskytovatelů</w:t>
      </w:r>
      <w:r>
        <w:rPr>
          <w:rFonts w:eastAsia="Calibri"/>
          <w:lang w:eastAsia="en-US"/>
        </w:rPr>
        <w:t xml:space="preserve"> </w:t>
      </w:r>
      <w:r w:rsidRPr="00DF553E">
        <w:rPr>
          <w:rFonts w:eastAsia="Calibri"/>
          <w:lang w:eastAsia="en-US"/>
        </w:rPr>
        <w:t>a</w:t>
      </w:r>
      <w:r>
        <w:rPr>
          <w:rFonts w:eastAsia="Calibri"/>
          <w:lang w:eastAsia="en-US"/>
        </w:rPr>
        <w:t> </w:t>
      </w:r>
      <w:r w:rsidRPr="00DF553E">
        <w:rPr>
          <w:rFonts w:eastAsia="Calibri"/>
          <w:lang w:eastAsia="en-US"/>
        </w:rPr>
        <w:t>tím</w:t>
      </w:r>
      <w:r>
        <w:rPr>
          <w:rFonts w:eastAsia="Calibri"/>
          <w:lang w:eastAsia="en-US"/>
        </w:rPr>
        <w:t> </w:t>
      </w:r>
      <w:r w:rsidRPr="00DF553E">
        <w:rPr>
          <w:rFonts w:eastAsia="Calibri"/>
          <w:lang w:eastAsia="en-US"/>
        </w:rPr>
        <w:t>nepřímo omezila kontrolní činnost Finanční správy, která má ze zákona na</w:t>
      </w:r>
      <w:r>
        <w:rPr>
          <w:rFonts w:eastAsia="Calibri"/>
          <w:lang w:eastAsia="en-US"/>
        </w:rPr>
        <w:t> </w:t>
      </w:r>
      <w:r w:rsidRPr="00DF553E">
        <w:rPr>
          <w:rFonts w:eastAsia="Calibri"/>
          <w:lang w:eastAsia="en-US"/>
        </w:rPr>
        <w:t>starost správu odvodů za porušení rozpočtové kázně.</w:t>
      </w:r>
    </w:p>
    <w:p w:rsidR="00D830D7" w:rsidRDefault="00F23359" w:rsidP="00F23359">
      <w:pPr>
        <w:rPr>
          <w:szCs w:val="22"/>
        </w:rPr>
      </w:pPr>
      <w:r>
        <w:rPr>
          <w:rFonts w:eastAsia="Calibri"/>
          <w:lang w:eastAsia="en-US"/>
        </w:rPr>
        <w:t xml:space="preserve">Rozšířením bakalářské práce o údaje o provedených kontrolách poskytovateli a Finanční správou, doplněné o výsledky kontrolních zjištění, a následným provedením komparace získaných dat a </w:t>
      </w:r>
      <w:r w:rsidRPr="00DF553E">
        <w:rPr>
          <w:rFonts w:eastAsia="Calibri"/>
          <w:lang w:eastAsia="en-US"/>
        </w:rPr>
        <w:t>analýz</w:t>
      </w:r>
      <w:r>
        <w:rPr>
          <w:rFonts w:eastAsia="Calibri"/>
          <w:lang w:eastAsia="en-US"/>
        </w:rPr>
        <w:t xml:space="preserve">y by ze zjištěných údajů </w:t>
      </w:r>
      <w:r w:rsidRPr="00DF553E">
        <w:rPr>
          <w:rFonts w:eastAsia="Calibri"/>
          <w:lang w:eastAsia="en-US"/>
        </w:rPr>
        <w:t>mohl</w:t>
      </w:r>
      <w:r>
        <w:rPr>
          <w:rFonts w:eastAsia="Calibri"/>
          <w:lang w:eastAsia="en-US"/>
        </w:rPr>
        <w:t>y</w:t>
      </w:r>
      <w:r w:rsidRPr="00DF553E">
        <w:rPr>
          <w:rFonts w:eastAsia="Calibri"/>
          <w:lang w:eastAsia="en-US"/>
        </w:rPr>
        <w:t xml:space="preserve"> </w:t>
      </w:r>
      <w:r>
        <w:rPr>
          <w:rFonts w:eastAsia="Calibri"/>
          <w:lang w:eastAsia="en-US"/>
        </w:rPr>
        <w:t>vzejít</w:t>
      </w:r>
      <w:r w:rsidRPr="00DF553E">
        <w:rPr>
          <w:rFonts w:eastAsia="Calibri"/>
          <w:lang w:eastAsia="en-US"/>
        </w:rPr>
        <w:t xml:space="preserve"> návrh</w:t>
      </w:r>
      <w:r>
        <w:rPr>
          <w:rFonts w:eastAsia="Calibri"/>
          <w:lang w:eastAsia="en-US"/>
        </w:rPr>
        <w:t>y, jak</w:t>
      </w:r>
      <w:r w:rsidRPr="00DF553E">
        <w:rPr>
          <w:rFonts w:eastAsia="Calibri"/>
          <w:lang w:eastAsia="en-US"/>
        </w:rPr>
        <w:t xml:space="preserve"> nastav</w:t>
      </w:r>
      <w:r>
        <w:rPr>
          <w:rFonts w:eastAsia="Calibri"/>
          <w:lang w:eastAsia="en-US"/>
        </w:rPr>
        <w:t>it</w:t>
      </w:r>
      <w:r w:rsidRPr="00DF553E">
        <w:rPr>
          <w:rFonts w:eastAsia="Calibri"/>
          <w:lang w:eastAsia="en-US"/>
        </w:rPr>
        <w:t xml:space="preserve"> </w:t>
      </w:r>
      <w:r>
        <w:rPr>
          <w:rFonts w:eastAsia="Calibri"/>
          <w:lang w:eastAsia="en-US"/>
        </w:rPr>
        <w:t xml:space="preserve">a </w:t>
      </w:r>
      <w:r w:rsidRPr="00DF553E">
        <w:rPr>
          <w:rFonts w:eastAsia="Calibri"/>
          <w:lang w:eastAsia="en-US"/>
        </w:rPr>
        <w:t>zjednoduš</w:t>
      </w:r>
      <w:r>
        <w:rPr>
          <w:rFonts w:eastAsia="Calibri"/>
          <w:lang w:eastAsia="en-US"/>
        </w:rPr>
        <w:t>it</w:t>
      </w:r>
      <w:r w:rsidRPr="00DF553E">
        <w:rPr>
          <w:rFonts w:eastAsia="Calibri"/>
          <w:lang w:eastAsia="en-US"/>
        </w:rPr>
        <w:t xml:space="preserve"> kontrolní</w:t>
      </w:r>
      <w:r>
        <w:rPr>
          <w:rFonts w:eastAsia="Calibri"/>
          <w:lang w:eastAsia="en-US"/>
        </w:rPr>
        <w:t xml:space="preserve"> mechanismy tak, aby se podařila snížit administrativní a časová</w:t>
      </w:r>
      <w:r w:rsidRPr="00DF553E">
        <w:rPr>
          <w:rFonts w:eastAsia="Calibri"/>
          <w:lang w:eastAsia="en-US"/>
        </w:rPr>
        <w:t xml:space="preserve"> zátěž pro příjemce </w:t>
      </w:r>
      <w:r>
        <w:rPr>
          <w:rFonts w:eastAsia="Calibri"/>
          <w:lang w:eastAsia="en-US"/>
        </w:rPr>
        <w:t xml:space="preserve">dotace </w:t>
      </w:r>
      <w:r w:rsidRPr="00DF553E">
        <w:rPr>
          <w:rFonts w:eastAsia="Calibri"/>
          <w:lang w:eastAsia="en-US"/>
        </w:rPr>
        <w:t xml:space="preserve">při </w:t>
      </w:r>
      <w:r>
        <w:rPr>
          <w:rFonts w:eastAsia="Calibri"/>
          <w:lang w:eastAsia="en-US"/>
        </w:rPr>
        <w:t>provádění kontrol a zároveň zefektivnit samotná kontrola</w:t>
      </w:r>
      <w:r w:rsidR="007F1F1D" w:rsidRPr="00DF553E">
        <w:rPr>
          <w:rFonts w:eastAsia="Calibri"/>
          <w:lang w:eastAsia="en-US"/>
        </w:rPr>
        <w:t>.</w:t>
      </w:r>
    </w:p>
    <w:p w:rsidR="00D830D7" w:rsidRDefault="00D830D7" w:rsidP="003373F0">
      <w:pPr>
        <w:rPr>
          <w:szCs w:val="22"/>
        </w:rPr>
      </w:pPr>
    </w:p>
    <w:p w:rsidR="00D830D7" w:rsidRDefault="00D830D7" w:rsidP="00D830D7">
      <w:pPr>
        <w:pStyle w:val="Tomk"/>
        <w:numPr>
          <w:ilvl w:val="0"/>
          <w:numId w:val="0"/>
        </w:numPr>
        <w:ind w:left="360" w:hanging="360"/>
        <w:rPr>
          <w:rFonts w:cs="Times New Roman"/>
        </w:rPr>
      </w:pPr>
      <w:bookmarkStart w:id="63" w:name="_Toc38385272"/>
      <w:r w:rsidRPr="00D830D7">
        <w:rPr>
          <w:rFonts w:cs="Times New Roman"/>
        </w:rPr>
        <w:lastRenderedPageBreak/>
        <w:t>LITERATURA A PRAMENY</w:t>
      </w:r>
      <w:bookmarkEnd w:id="63"/>
    </w:p>
    <w:p w:rsidR="00D830D7" w:rsidRPr="005474C1" w:rsidRDefault="00D830D7" w:rsidP="000208CE">
      <w:pPr>
        <w:spacing w:after="120"/>
        <w:ind w:firstLine="0"/>
        <w:jc w:val="left"/>
        <w:rPr>
          <w:rFonts w:eastAsia="Calibri"/>
          <w:b/>
          <w:szCs w:val="22"/>
          <w:lang w:eastAsia="en-US"/>
        </w:rPr>
      </w:pPr>
      <w:r w:rsidRPr="005474C1">
        <w:rPr>
          <w:rFonts w:cstheme="minorHAnsi"/>
          <w:b/>
        </w:rPr>
        <w:t>Seznam literatury</w:t>
      </w:r>
      <w:r w:rsidRPr="005474C1">
        <w:rPr>
          <w:rFonts w:eastAsia="Calibri"/>
          <w:b/>
          <w:szCs w:val="22"/>
          <w:lang w:eastAsia="en-US"/>
        </w:rPr>
        <w:t>:</w:t>
      </w:r>
    </w:p>
    <w:p w:rsidR="006F7C2E" w:rsidRPr="006F7C2E" w:rsidRDefault="006F7C2E" w:rsidP="000208CE">
      <w:pPr>
        <w:shd w:val="clear" w:color="auto" w:fill="FFFFFF"/>
        <w:spacing w:after="120"/>
        <w:ind w:firstLine="0"/>
        <w:rPr>
          <w:rFonts w:asciiTheme="majorBidi" w:hAnsiTheme="majorBidi" w:cstheme="majorBidi"/>
          <w:color w:val="000000" w:themeColor="text1"/>
          <w:shd w:val="clear" w:color="auto" w:fill="FFFFFF"/>
          <w:lang w:eastAsia="zh-CN"/>
        </w:rPr>
      </w:pPr>
      <w:r w:rsidRPr="006F7C2E">
        <w:rPr>
          <w:rFonts w:asciiTheme="majorBidi" w:hAnsiTheme="majorBidi" w:cstheme="majorBidi"/>
          <w:color w:val="000000" w:themeColor="text1"/>
          <w:shd w:val="clear" w:color="auto" w:fill="FFFFFF"/>
          <w:lang w:eastAsia="zh-CN"/>
        </w:rPr>
        <w:t xml:space="preserve">BAJER, Petr a Jiří MATYÁŠ. </w:t>
      </w:r>
      <w:r w:rsidRPr="006F7C2E">
        <w:rPr>
          <w:rFonts w:asciiTheme="majorBidi" w:hAnsiTheme="majorBidi" w:cstheme="majorBidi"/>
          <w:i/>
          <w:color w:val="000000" w:themeColor="text1"/>
          <w:shd w:val="clear" w:color="auto" w:fill="FFFFFF"/>
          <w:lang w:eastAsia="zh-CN"/>
        </w:rPr>
        <w:t>Praktický průvodce dotacemi z fondů Evropské unie</w:t>
      </w:r>
      <w:r w:rsidRPr="006F7C2E">
        <w:rPr>
          <w:rFonts w:asciiTheme="majorBidi" w:hAnsiTheme="majorBidi" w:cstheme="majorBidi"/>
          <w:color w:val="000000" w:themeColor="text1"/>
          <w:shd w:val="clear" w:color="auto" w:fill="FFFFFF"/>
          <w:lang w:eastAsia="zh-CN"/>
        </w:rPr>
        <w:t xml:space="preserve">. Brno: </w:t>
      </w:r>
      <w:proofErr w:type="spellStart"/>
      <w:r w:rsidRPr="006F7C2E">
        <w:rPr>
          <w:rFonts w:asciiTheme="majorBidi" w:hAnsiTheme="majorBidi" w:cstheme="majorBidi"/>
          <w:color w:val="000000" w:themeColor="text1"/>
          <w:shd w:val="clear" w:color="auto" w:fill="FFFFFF"/>
          <w:lang w:eastAsia="zh-CN"/>
        </w:rPr>
        <w:t>Eurospolečnosti</w:t>
      </w:r>
      <w:proofErr w:type="spellEnd"/>
      <w:r w:rsidRPr="006F7C2E">
        <w:rPr>
          <w:rFonts w:asciiTheme="majorBidi" w:hAnsiTheme="majorBidi" w:cstheme="majorBidi"/>
          <w:color w:val="000000" w:themeColor="text1"/>
          <w:shd w:val="clear" w:color="auto" w:fill="FFFFFF"/>
          <w:lang w:eastAsia="zh-CN"/>
        </w:rPr>
        <w:t>, 2009. 122 s. ISBN 978-80-254-4017-9.</w:t>
      </w:r>
    </w:p>
    <w:p w:rsidR="006F7C2E" w:rsidRPr="006F7C2E" w:rsidRDefault="006F7C2E" w:rsidP="000208CE">
      <w:pPr>
        <w:shd w:val="clear" w:color="auto" w:fill="FFFFFF"/>
        <w:spacing w:after="120"/>
        <w:ind w:firstLine="0"/>
        <w:rPr>
          <w:rFonts w:asciiTheme="majorBidi" w:hAnsiTheme="majorBidi" w:cstheme="majorBidi"/>
          <w:color w:val="000000" w:themeColor="text1"/>
          <w:shd w:val="clear" w:color="auto" w:fill="FFFFFF"/>
          <w:lang w:eastAsia="zh-CN"/>
        </w:rPr>
      </w:pPr>
      <w:r w:rsidRPr="006F7C2E">
        <w:rPr>
          <w:rFonts w:asciiTheme="majorBidi" w:hAnsiTheme="majorBidi" w:cstheme="majorBidi"/>
          <w:color w:val="000000" w:themeColor="text1"/>
          <w:shd w:val="clear" w:color="auto" w:fill="FFFFFF"/>
          <w:lang w:eastAsia="zh-CN"/>
        </w:rPr>
        <w:t xml:space="preserve">BAKEŠ, Milan. </w:t>
      </w:r>
      <w:r w:rsidRPr="006F7C2E">
        <w:rPr>
          <w:rFonts w:asciiTheme="majorBidi" w:hAnsiTheme="majorBidi" w:cstheme="majorBidi"/>
          <w:i/>
          <w:color w:val="000000" w:themeColor="text1"/>
          <w:shd w:val="clear" w:color="auto" w:fill="FFFFFF"/>
          <w:lang w:eastAsia="zh-CN"/>
        </w:rPr>
        <w:t>Finanční právo</w:t>
      </w:r>
      <w:r w:rsidRPr="006F7C2E">
        <w:rPr>
          <w:rFonts w:asciiTheme="majorBidi" w:hAnsiTheme="majorBidi" w:cstheme="majorBidi"/>
          <w:color w:val="000000" w:themeColor="text1"/>
          <w:shd w:val="clear" w:color="auto" w:fill="FFFFFF"/>
          <w:lang w:eastAsia="zh-CN"/>
        </w:rPr>
        <w:t xml:space="preserve">. 6. vyd. Praha: </w:t>
      </w:r>
      <w:proofErr w:type="gramStart"/>
      <w:r w:rsidRPr="006F7C2E">
        <w:rPr>
          <w:rFonts w:asciiTheme="majorBidi" w:hAnsiTheme="majorBidi" w:cstheme="majorBidi"/>
          <w:color w:val="000000" w:themeColor="text1"/>
          <w:shd w:val="clear" w:color="auto" w:fill="FFFFFF"/>
          <w:lang w:eastAsia="zh-CN"/>
        </w:rPr>
        <w:t>C.H.</w:t>
      </w:r>
      <w:proofErr w:type="gramEnd"/>
      <w:r w:rsidRPr="006F7C2E">
        <w:rPr>
          <w:rFonts w:asciiTheme="majorBidi" w:hAnsiTheme="majorBidi" w:cstheme="majorBidi"/>
          <w:color w:val="000000" w:themeColor="text1"/>
          <w:shd w:val="clear" w:color="auto" w:fill="FFFFFF"/>
          <w:lang w:eastAsia="zh-CN"/>
        </w:rPr>
        <w:t xml:space="preserve"> Beck, 2012. 552 s. ISBN 978-80-7400-440-7.</w:t>
      </w:r>
    </w:p>
    <w:p w:rsidR="001461BC" w:rsidRDefault="001461BC" w:rsidP="000208CE">
      <w:pPr>
        <w:shd w:val="clear" w:color="auto" w:fill="FFFFFF"/>
        <w:spacing w:after="120"/>
        <w:ind w:firstLine="0"/>
        <w:rPr>
          <w:rFonts w:asciiTheme="majorBidi" w:hAnsiTheme="majorBidi" w:cstheme="majorBidi"/>
          <w:color w:val="000000" w:themeColor="text1"/>
          <w:shd w:val="clear" w:color="auto" w:fill="FFFFFF"/>
          <w:lang w:eastAsia="zh-CN"/>
        </w:rPr>
      </w:pPr>
      <w:r w:rsidRPr="006F7C2E">
        <w:rPr>
          <w:rFonts w:asciiTheme="majorBidi" w:hAnsiTheme="majorBidi" w:cstheme="majorBidi"/>
          <w:color w:val="000000" w:themeColor="text1"/>
          <w:shd w:val="clear" w:color="auto" w:fill="FFFFFF"/>
          <w:lang w:eastAsia="zh-CN"/>
        </w:rPr>
        <w:t>DISMAN, Miroslav. </w:t>
      </w:r>
      <w:r w:rsidRPr="006F7C2E">
        <w:rPr>
          <w:rFonts w:asciiTheme="majorBidi" w:hAnsiTheme="majorBidi" w:cstheme="majorBidi"/>
          <w:i/>
          <w:color w:val="000000" w:themeColor="text1"/>
          <w:shd w:val="clear" w:color="auto" w:fill="FFFFFF"/>
          <w:lang w:eastAsia="zh-CN"/>
        </w:rPr>
        <w:t>Jak se vyrábí sociologická znalost: příručka pro uživatele</w:t>
      </w:r>
      <w:r w:rsidRPr="006F7C2E">
        <w:rPr>
          <w:rFonts w:asciiTheme="majorBidi" w:hAnsiTheme="majorBidi" w:cstheme="majorBidi"/>
          <w:color w:val="000000" w:themeColor="text1"/>
          <w:shd w:val="clear" w:color="auto" w:fill="FFFFFF"/>
          <w:lang w:eastAsia="zh-CN"/>
        </w:rPr>
        <w:t>. 4. vyd. Praha: Karolinum, 2011. 372 s. ISBN 978-80-246-1966-8.</w:t>
      </w:r>
    </w:p>
    <w:p w:rsidR="006F7C2E" w:rsidRPr="006F7C2E" w:rsidRDefault="006F7C2E" w:rsidP="000208CE">
      <w:pPr>
        <w:shd w:val="clear" w:color="auto" w:fill="FFFFFF"/>
        <w:spacing w:after="120"/>
        <w:ind w:firstLine="0"/>
        <w:rPr>
          <w:rFonts w:asciiTheme="majorBidi" w:hAnsiTheme="majorBidi" w:cstheme="majorBidi"/>
          <w:color w:val="000000" w:themeColor="text1"/>
          <w:shd w:val="clear" w:color="auto" w:fill="FFFFFF"/>
          <w:lang w:eastAsia="zh-CN"/>
        </w:rPr>
      </w:pPr>
      <w:r w:rsidRPr="006F7C2E">
        <w:rPr>
          <w:rFonts w:asciiTheme="majorBidi" w:hAnsiTheme="majorBidi" w:cstheme="majorBidi"/>
          <w:color w:val="000000" w:themeColor="text1"/>
          <w:shd w:val="clear" w:color="auto" w:fill="FFFFFF"/>
          <w:lang w:eastAsia="zh-CN"/>
        </w:rPr>
        <w:t xml:space="preserve">STRNADOVÁ, Zuzana. </w:t>
      </w:r>
      <w:r w:rsidRPr="006F7C2E">
        <w:rPr>
          <w:rFonts w:asciiTheme="majorBidi" w:hAnsiTheme="majorBidi" w:cstheme="majorBidi"/>
          <w:i/>
          <w:color w:val="000000" w:themeColor="text1"/>
          <w:shd w:val="clear" w:color="auto" w:fill="FFFFFF"/>
          <w:lang w:eastAsia="zh-CN"/>
        </w:rPr>
        <w:t>Co by měl vědět příjemce dotace</w:t>
      </w:r>
      <w:r w:rsidRPr="006F7C2E">
        <w:rPr>
          <w:rFonts w:asciiTheme="majorBidi" w:hAnsiTheme="majorBidi" w:cstheme="majorBidi"/>
          <w:color w:val="000000" w:themeColor="text1"/>
          <w:shd w:val="clear" w:color="auto" w:fill="FFFFFF"/>
          <w:lang w:eastAsia="zh-CN"/>
        </w:rPr>
        <w:t xml:space="preserve">. Praha: </w:t>
      </w:r>
      <w:proofErr w:type="spellStart"/>
      <w:r w:rsidRPr="006F7C2E">
        <w:rPr>
          <w:rFonts w:asciiTheme="majorBidi" w:hAnsiTheme="majorBidi" w:cstheme="majorBidi"/>
          <w:color w:val="000000" w:themeColor="text1"/>
          <w:shd w:val="clear" w:color="auto" w:fill="FFFFFF"/>
          <w:lang w:eastAsia="zh-CN"/>
        </w:rPr>
        <w:t>Grada</w:t>
      </w:r>
      <w:proofErr w:type="spellEnd"/>
      <w:r w:rsidRPr="006F7C2E">
        <w:rPr>
          <w:rFonts w:asciiTheme="majorBidi" w:hAnsiTheme="majorBidi" w:cstheme="majorBidi"/>
          <w:color w:val="000000" w:themeColor="text1"/>
          <w:shd w:val="clear" w:color="auto" w:fill="FFFFFF"/>
          <w:lang w:eastAsia="zh-CN"/>
        </w:rPr>
        <w:t xml:space="preserve"> </w:t>
      </w:r>
      <w:proofErr w:type="spellStart"/>
      <w:r w:rsidRPr="006F7C2E">
        <w:rPr>
          <w:rFonts w:asciiTheme="majorBidi" w:hAnsiTheme="majorBidi" w:cstheme="majorBidi"/>
          <w:color w:val="000000" w:themeColor="text1"/>
          <w:shd w:val="clear" w:color="auto" w:fill="FFFFFF"/>
          <w:lang w:eastAsia="zh-CN"/>
        </w:rPr>
        <w:t>Publishing</w:t>
      </w:r>
      <w:proofErr w:type="spellEnd"/>
      <w:r w:rsidRPr="006F7C2E">
        <w:rPr>
          <w:rFonts w:asciiTheme="majorBidi" w:hAnsiTheme="majorBidi" w:cstheme="majorBidi"/>
          <w:color w:val="000000" w:themeColor="text1"/>
          <w:shd w:val="clear" w:color="auto" w:fill="FFFFFF"/>
          <w:lang w:eastAsia="zh-CN"/>
        </w:rPr>
        <w:t>, 2019. 192 s. ISBN 978-80-247-3076-9.</w:t>
      </w:r>
    </w:p>
    <w:p w:rsidR="006F7C2E" w:rsidRPr="006F7C2E" w:rsidRDefault="006F7C2E" w:rsidP="000208CE">
      <w:pPr>
        <w:shd w:val="clear" w:color="auto" w:fill="FFFFFF"/>
        <w:spacing w:after="120"/>
        <w:ind w:firstLine="0"/>
        <w:rPr>
          <w:rFonts w:asciiTheme="majorBidi" w:hAnsiTheme="majorBidi" w:cstheme="majorBidi"/>
          <w:color w:val="000000" w:themeColor="text1"/>
          <w:shd w:val="clear" w:color="auto" w:fill="FFFFFF"/>
          <w:lang w:eastAsia="zh-CN"/>
        </w:rPr>
      </w:pPr>
      <w:r w:rsidRPr="006F7C2E">
        <w:rPr>
          <w:rFonts w:asciiTheme="majorBidi" w:hAnsiTheme="majorBidi" w:cstheme="majorBidi"/>
          <w:color w:val="000000" w:themeColor="text1"/>
          <w:shd w:val="clear" w:color="auto" w:fill="FFFFFF"/>
          <w:lang w:eastAsia="zh-CN"/>
        </w:rPr>
        <w:t xml:space="preserve">TAUER, Vladimír, Helena ZEMÁNKOVÁ a Jana ŠUBRTOVÁ. </w:t>
      </w:r>
      <w:r w:rsidRPr="006F7C2E">
        <w:rPr>
          <w:rFonts w:asciiTheme="majorBidi" w:hAnsiTheme="majorBidi" w:cstheme="majorBidi"/>
          <w:i/>
          <w:color w:val="000000" w:themeColor="text1"/>
          <w:shd w:val="clear" w:color="auto" w:fill="FFFFFF"/>
          <w:lang w:eastAsia="zh-CN"/>
        </w:rPr>
        <w:t>Získejte dotace z fondů EU</w:t>
      </w:r>
      <w:r w:rsidRPr="006F7C2E">
        <w:rPr>
          <w:rFonts w:asciiTheme="majorBidi" w:hAnsiTheme="majorBidi" w:cstheme="majorBidi"/>
          <w:color w:val="000000" w:themeColor="text1"/>
          <w:shd w:val="clear" w:color="auto" w:fill="FFFFFF"/>
          <w:lang w:eastAsia="zh-CN"/>
        </w:rPr>
        <w:t xml:space="preserve">. Brno: </w:t>
      </w:r>
      <w:proofErr w:type="spellStart"/>
      <w:r w:rsidRPr="006F7C2E">
        <w:rPr>
          <w:rFonts w:asciiTheme="majorBidi" w:hAnsiTheme="majorBidi" w:cstheme="majorBidi"/>
          <w:color w:val="000000" w:themeColor="text1"/>
          <w:shd w:val="clear" w:color="auto" w:fill="FFFFFF"/>
          <w:lang w:eastAsia="zh-CN"/>
        </w:rPr>
        <w:t>Computer</w:t>
      </w:r>
      <w:proofErr w:type="spellEnd"/>
      <w:r w:rsidRPr="006F7C2E">
        <w:rPr>
          <w:rFonts w:asciiTheme="majorBidi" w:hAnsiTheme="majorBidi" w:cstheme="majorBidi"/>
          <w:color w:val="000000" w:themeColor="text1"/>
          <w:shd w:val="clear" w:color="auto" w:fill="FFFFFF"/>
          <w:lang w:eastAsia="zh-CN"/>
        </w:rPr>
        <w:t xml:space="preserve"> </w:t>
      </w:r>
      <w:proofErr w:type="spellStart"/>
      <w:r w:rsidRPr="006F7C2E">
        <w:rPr>
          <w:rFonts w:asciiTheme="majorBidi" w:hAnsiTheme="majorBidi" w:cstheme="majorBidi"/>
          <w:color w:val="000000" w:themeColor="text1"/>
          <w:shd w:val="clear" w:color="auto" w:fill="FFFFFF"/>
          <w:lang w:eastAsia="zh-CN"/>
        </w:rPr>
        <w:t>Press</w:t>
      </w:r>
      <w:proofErr w:type="spellEnd"/>
      <w:r w:rsidRPr="006F7C2E">
        <w:rPr>
          <w:rFonts w:asciiTheme="majorBidi" w:hAnsiTheme="majorBidi" w:cstheme="majorBidi"/>
          <w:color w:val="000000" w:themeColor="text1"/>
          <w:shd w:val="clear" w:color="auto" w:fill="FFFFFF"/>
          <w:lang w:eastAsia="zh-CN"/>
        </w:rPr>
        <w:t>, 2009. 160 s. ISBN 978-80-2512-649-3.</w:t>
      </w:r>
    </w:p>
    <w:p w:rsidR="006F7C2E" w:rsidRDefault="006F7C2E" w:rsidP="000208CE">
      <w:pPr>
        <w:shd w:val="clear" w:color="auto" w:fill="FFFFFF"/>
        <w:spacing w:after="120"/>
        <w:ind w:firstLine="0"/>
        <w:rPr>
          <w:rFonts w:asciiTheme="majorBidi" w:hAnsiTheme="majorBidi" w:cstheme="majorBidi"/>
          <w:color w:val="000000" w:themeColor="text1"/>
          <w:shd w:val="clear" w:color="auto" w:fill="FFFFFF"/>
          <w:lang w:eastAsia="zh-CN"/>
        </w:rPr>
      </w:pPr>
      <w:r w:rsidRPr="006F7C2E">
        <w:rPr>
          <w:rFonts w:asciiTheme="majorBidi" w:hAnsiTheme="majorBidi" w:cstheme="majorBidi"/>
          <w:color w:val="000000" w:themeColor="text1"/>
          <w:shd w:val="clear" w:color="auto" w:fill="FFFFFF"/>
          <w:lang w:eastAsia="zh-CN"/>
        </w:rPr>
        <w:t xml:space="preserve">ÚZ číslo: 1357. </w:t>
      </w:r>
      <w:r w:rsidRPr="006F7C2E">
        <w:rPr>
          <w:rFonts w:asciiTheme="majorBidi" w:hAnsiTheme="majorBidi" w:cstheme="majorBidi"/>
          <w:i/>
          <w:color w:val="000000" w:themeColor="text1"/>
          <w:shd w:val="clear" w:color="auto" w:fill="FFFFFF"/>
          <w:lang w:eastAsia="zh-CN"/>
        </w:rPr>
        <w:t>Rozpočet a financování: obce, kraje, hl. město Praha, organizační složky státu, příspěvkové organizace, svazky obcí</w:t>
      </w:r>
      <w:r w:rsidRPr="006F7C2E">
        <w:rPr>
          <w:rFonts w:asciiTheme="majorBidi" w:hAnsiTheme="majorBidi" w:cstheme="majorBidi"/>
          <w:color w:val="000000" w:themeColor="text1"/>
          <w:shd w:val="clear" w:color="auto" w:fill="FFFFFF"/>
          <w:lang w:eastAsia="zh-CN"/>
        </w:rPr>
        <w:t xml:space="preserve">. Ostrava: </w:t>
      </w:r>
      <w:proofErr w:type="spellStart"/>
      <w:r w:rsidRPr="006F7C2E">
        <w:rPr>
          <w:rFonts w:asciiTheme="majorBidi" w:hAnsiTheme="majorBidi" w:cstheme="majorBidi"/>
          <w:color w:val="000000" w:themeColor="text1"/>
          <w:shd w:val="clear" w:color="auto" w:fill="FFFFFF"/>
          <w:lang w:eastAsia="zh-CN"/>
        </w:rPr>
        <w:t>Sagit</w:t>
      </w:r>
      <w:proofErr w:type="spellEnd"/>
      <w:r w:rsidRPr="006F7C2E">
        <w:rPr>
          <w:rFonts w:asciiTheme="majorBidi" w:hAnsiTheme="majorBidi" w:cstheme="majorBidi"/>
          <w:color w:val="000000" w:themeColor="text1"/>
          <w:shd w:val="clear" w:color="auto" w:fill="FFFFFF"/>
          <w:lang w:eastAsia="zh-CN"/>
        </w:rPr>
        <w:t>, 2020. 352 s. ISBN 978-80-7488-392-7.</w:t>
      </w:r>
    </w:p>
    <w:p w:rsidR="00D830D7" w:rsidRPr="005474C1" w:rsidRDefault="00D830D7" w:rsidP="000208CE">
      <w:pPr>
        <w:spacing w:after="120"/>
        <w:ind w:firstLine="0"/>
        <w:rPr>
          <w:rFonts w:eastAsia="Calibri"/>
          <w:b/>
          <w:szCs w:val="22"/>
          <w:lang w:eastAsia="en-US"/>
        </w:rPr>
      </w:pPr>
      <w:r w:rsidRPr="005474C1">
        <w:rPr>
          <w:rFonts w:eastAsia="Calibri"/>
          <w:b/>
          <w:szCs w:val="22"/>
          <w:lang w:eastAsia="en-US"/>
        </w:rPr>
        <w:t xml:space="preserve">Seznam </w:t>
      </w:r>
      <w:r w:rsidR="005474C1" w:rsidRPr="005474C1">
        <w:rPr>
          <w:rFonts w:eastAsia="Calibri"/>
          <w:b/>
          <w:lang w:eastAsia="en-US"/>
        </w:rPr>
        <w:t>elektronických zdrojů:</w:t>
      </w:r>
      <w:r w:rsidRPr="005474C1">
        <w:rPr>
          <w:rFonts w:eastAsia="Calibri"/>
          <w:b/>
          <w:szCs w:val="22"/>
          <w:lang w:eastAsia="en-US"/>
        </w:rPr>
        <w:t xml:space="preserve"> </w:t>
      </w:r>
    </w:p>
    <w:p w:rsidR="005E5464" w:rsidRPr="000E7698" w:rsidRDefault="001017CD" w:rsidP="000208CE">
      <w:pPr>
        <w:spacing w:after="120"/>
        <w:ind w:firstLine="0"/>
        <w:rPr>
          <w:color w:val="000000" w:themeColor="text1"/>
        </w:rPr>
      </w:pPr>
      <w:r w:rsidRPr="00AB2090">
        <w:rPr>
          <w:b/>
          <w:bCs/>
        </w:rPr>
        <w:t>Elektronické dokumenty:</w:t>
      </w:r>
      <w:r w:rsidR="00060FED">
        <w:rPr>
          <w:rFonts w:eastAsia="Calibri"/>
          <w:lang w:eastAsia="en-US"/>
        </w:rPr>
        <w:t xml:space="preserve"> </w:t>
      </w:r>
    </w:p>
    <w:p w:rsidR="001017CD" w:rsidRPr="006D716C" w:rsidRDefault="001017CD" w:rsidP="00D444A2">
      <w:pPr>
        <w:spacing w:after="120"/>
        <w:ind w:firstLine="0"/>
        <w:rPr>
          <w:color w:val="000000" w:themeColor="text1"/>
          <w:shd w:val="clear" w:color="auto" w:fill="FFFFFF"/>
          <w:lang w:eastAsia="zh-CN"/>
        </w:rPr>
      </w:pPr>
      <w:r w:rsidRPr="006D716C">
        <w:rPr>
          <w:color w:val="000000" w:themeColor="text1"/>
          <w:shd w:val="clear" w:color="auto" w:fill="FFFFFF"/>
          <w:lang w:eastAsia="zh-CN"/>
        </w:rPr>
        <w:t>LINDEROVÁ, Ivica, Petr SCHOLZ a Michal MUNDUCH. </w:t>
      </w:r>
      <w:r w:rsidRPr="006D716C">
        <w:rPr>
          <w:i/>
          <w:iCs/>
          <w:color w:val="000000" w:themeColor="text1"/>
          <w:lang w:eastAsia="zh-CN"/>
        </w:rPr>
        <w:t>Úvod do metodiky výzkumu</w:t>
      </w:r>
      <w:r w:rsidRPr="006D716C">
        <w:rPr>
          <w:color w:val="000000" w:themeColor="text1"/>
          <w:shd w:val="clear" w:color="auto" w:fill="FFFFFF"/>
          <w:lang w:eastAsia="zh-CN"/>
        </w:rPr>
        <w:t xml:space="preserve">. Jihlava: Vysoká škola polytechnická Jihlava, 2016. 69 s. ISBN 978-80-88064-23-7. </w:t>
      </w:r>
      <w:r w:rsidRPr="006D716C">
        <w:rPr>
          <w:rFonts w:eastAsia="Calibri"/>
          <w:color w:val="000000" w:themeColor="text1"/>
          <w:lang w:eastAsia="en-US"/>
        </w:rPr>
        <w:t xml:space="preserve">[online]. 2016. [cit. </w:t>
      </w:r>
      <w:proofErr w:type="gramStart"/>
      <w:r w:rsidRPr="006D716C">
        <w:rPr>
          <w:rFonts w:eastAsia="Calibri"/>
          <w:color w:val="000000" w:themeColor="text1"/>
          <w:lang w:eastAsia="en-US"/>
        </w:rPr>
        <w:t>13.01.2020</w:t>
      </w:r>
      <w:proofErr w:type="gramEnd"/>
      <w:r w:rsidRPr="006D716C">
        <w:rPr>
          <w:rFonts w:eastAsia="Calibri"/>
          <w:color w:val="000000" w:themeColor="text1"/>
          <w:lang w:eastAsia="en-US"/>
        </w:rPr>
        <w:t xml:space="preserve">]. Dostupné z: </w:t>
      </w:r>
      <w:r w:rsidRPr="006D716C">
        <w:rPr>
          <w:color w:val="000000" w:themeColor="text1"/>
          <w:shd w:val="clear" w:color="auto" w:fill="FFFFFF"/>
          <w:lang w:eastAsia="zh-CN"/>
        </w:rPr>
        <w:t>https://www.vspj.cz/ISBN/Skripta%20-%20VŠPJ/Úvod%20do%20metodiky%20výzkumu%20-%20Linderová,%</w:t>
      </w:r>
      <w:proofErr w:type="gramStart"/>
      <w:r w:rsidRPr="006D716C">
        <w:rPr>
          <w:color w:val="000000" w:themeColor="text1"/>
          <w:shd w:val="clear" w:color="auto" w:fill="FFFFFF"/>
          <w:lang w:eastAsia="zh-CN"/>
        </w:rPr>
        <w:t>20Scholz,%20Munduch</w:t>
      </w:r>
      <w:proofErr w:type="gramEnd"/>
      <w:r w:rsidRPr="006D716C">
        <w:rPr>
          <w:color w:val="000000" w:themeColor="text1"/>
          <w:shd w:val="clear" w:color="auto" w:fill="FFFFFF"/>
          <w:lang w:eastAsia="zh-CN"/>
        </w:rPr>
        <w:t>.pdf.</w:t>
      </w:r>
    </w:p>
    <w:p w:rsidR="001017CD" w:rsidRPr="00AB2090" w:rsidRDefault="001017CD" w:rsidP="000208CE">
      <w:pPr>
        <w:spacing w:after="120"/>
        <w:ind w:firstLine="0"/>
        <w:rPr>
          <w:rFonts w:eastAsia="Calibri"/>
          <w:bCs/>
          <w:lang w:eastAsia="en-US"/>
        </w:rPr>
      </w:pPr>
      <w:r w:rsidRPr="00AB2090">
        <w:rPr>
          <w:rFonts w:eastAsia="Calibri"/>
          <w:bCs/>
          <w:lang w:eastAsia="en-US"/>
        </w:rPr>
        <w:t>Ministerstvo pro místní rozvoj ČR,</w:t>
      </w:r>
      <w:r w:rsidRPr="00AB2090">
        <w:rPr>
          <w:rFonts w:eastAsia="Calibri"/>
          <w:b/>
          <w:lang w:eastAsia="en-US"/>
        </w:rPr>
        <w:t xml:space="preserve"> </w:t>
      </w:r>
      <w:r w:rsidRPr="00AB2090">
        <w:rPr>
          <w:rFonts w:eastAsia="Calibri"/>
          <w:i/>
          <w:lang w:eastAsia="en-US"/>
        </w:rPr>
        <w:t>DOHODA O PARTNERSTVÍ PRO PROGRAMOVÉ OBDOBÍ 2014–2020 ČESKÁ REPUBLIKA z 26. srpna 2014</w:t>
      </w:r>
      <w:r w:rsidRPr="00AB2090">
        <w:rPr>
          <w:rFonts w:eastAsia="Calibri"/>
          <w:lang w:eastAsia="en-US"/>
        </w:rPr>
        <w:t xml:space="preserve">. 221 s. [online]. 2014. [cit. </w:t>
      </w:r>
      <w:proofErr w:type="gramStart"/>
      <w:r w:rsidRPr="00AB2090">
        <w:rPr>
          <w:rFonts w:eastAsia="Calibri"/>
          <w:lang w:eastAsia="en-US"/>
        </w:rPr>
        <w:t>13.01.2020</w:t>
      </w:r>
      <w:proofErr w:type="gramEnd"/>
      <w:r w:rsidRPr="00AB2090">
        <w:rPr>
          <w:rFonts w:eastAsia="Calibri"/>
          <w:lang w:eastAsia="en-US"/>
        </w:rPr>
        <w:t xml:space="preserve">]. Dostupné z: </w:t>
      </w:r>
      <w:hyperlink r:id="rId15" w:history="1">
        <w:r w:rsidRPr="00AB2090">
          <w:rPr>
            <w:rStyle w:val="Hypertextovodkaz"/>
            <w:color w:val="auto"/>
            <w:u w:val="none"/>
          </w:rPr>
          <w:t>https://www.dotaceeu.cz/cs/evropske-fondy-v-cr/2014-2020/dohoda-o-partnerstvi</w:t>
        </w:r>
      </w:hyperlink>
      <w:r w:rsidRPr="00AB2090">
        <w:rPr>
          <w:rFonts w:eastAsia="Calibri"/>
          <w:lang w:eastAsia="en-US"/>
        </w:rPr>
        <w:t>.</w:t>
      </w:r>
    </w:p>
    <w:p w:rsidR="001017CD" w:rsidRPr="00AB2090" w:rsidRDefault="001017CD" w:rsidP="000208CE">
      <w:pPr>
        <w:spacing w:after="120"/>
        <w:ind w:firstLine="0"/>
        <w:rPr>
          <w:rFonts w:eastAsia="Calibri"/>
          <w:lang w:eastAsia="en-US"/>
        </w:rPr>
      </w:pPr>
      <w:r w:rsidRPr="00AB2090">
        <w:rPr>
          <w:rFonts w:eastAsia="Calibri"/>
          <w:bCs/>
          <w:lang w:eastAsia="en-US"/>
        </w:rPr>
        <w:t>Ministerstvo financí ČR, odbor 55 - Národní fond</w:t>
      </w:r>
      <w:r w:rsidRPr="00AB2090">
        <w:rPr>
          <w:rFonts w:eastAsia="Calibri"/>
          <w:lang w:eastAsia="en-US"/>
        </w:rPr>
        <w:t>.</w:t>
      </w:r>
      <w:r w:rsidRPr="00AB2090">
        <w:rPr>
          <w:rFonts w:eastAsia="Calibri"/>
          <w:b/>
          <w:lang w:eastAsia="en-US"/>
        </w:rPr>
        <w:t xml:space="preserve"> </w:t>
      </w:r>
      <w:r w:rsidRPr="00AB2090">
        <w:rPr>
          <w:rFonts w:eastAsia="Calibri"/>
          <w:i/>
          <w:lang w:eastAsia="en-US"/>
        </w:rPr>
        <w:t>Metodický pokyn finančních toků programů spolufinancovaných z Evropských strukturálních fondů, Fondu soudržnosti a Evropského námořního a rybářského fondu na programové období 2014 - 2020 s účinností od 1. 11. 201</w:t>
      </w:r>
      <w:r w:rsidR="00EA2005">
        <w:rPr>
          <w:rFonts w:eastAsia="Calibri"/>
          <w:i/>
          <w:lang w:eastAsia="en-US"/>
        </w:rPr>
        <w:t>4</w:t>
      </w:r>
      <w:r w:rsidRPr="00AB2090">
        <w:rPr>
          <w:rFonts w:eastAsia="Calibri"/>
          <w:lang w:eastAsia="en-US"/>
        </w:rPr>
        <w:t xml:space="preserve">. </w:t>
      </w:r>
      <w:r w:rsidR="00EA2005">
        <w:rPr>
          <w:rFonts w:eastAsia="Calibri"/>
          <w:lang w:eastAsia="en-US"/>
        </w:rPr>
        <w:t>77</w:t>
      </w:r>
      <w:r w:rsidRPr="00AB2090">
        <w:rPr>
          <w:rFonts w:eastAsia="Calibri"/>
          <w:lang w:eastAsia="en-US"/>
        </w:rPr>
        <w:t> s. [online]. 201</w:t>
      </w:r>
      <w:r w:rsidR="00216535">
        <w:rPr>
          <w:rFonts w:eastAsia="Calibri"/>
          <w:lang w:eastAsia="en-US"/>
        </w:rPr>
        <w:t>4</w:t>
      </w:r>
      <w:r w:rsidRPr="00AB2090">
        <w:rPr>
          <w:rFonts w:eastAsia="Calibri"/>
          <w:lang w:eastAsia="en-US"/>
        </w:rPr>
        <w:t xml:space="preserve">. [cit. </w:t>
      </w:r>
      <w:proofErr w:type="gramStart"/>
      <w:r w:rsidRPr="00AB2090">
        <w:rPr>
          <w:rFonts w:eastAsia="Calibri"/>
          <w:lang w:eastAsia="en-US"/>
        </w:rPr>
        <w:t>13.11.2019</w:t>
      </w:r>
      <w:proofErr w:type="gramEnd"/>
      <w:r w:rsidRPr="00AB2090">
        <w:rPr>
          <w:rFonts w:eastAsia="Calibri"/>
          <w:lang w:eastAsia="en-US"/>
        </w:rPr>
        <w:t xml:space="preserve">]. Dostupné z: </w:t>
      </w:r>
      <w:r w:rsidR="00EA2005" w:rsidRPr="00EA2005">
        <w:rPr>
          <w:rFonts w:eastAsia="Calibri"/>
          <w:lang w:eastAsia="en-US"/>
        </w:rPr>
        <w:lastRenderedPageBreak/>
        <w:t>https://www.mfcr.cz/cs/legislativa/metodiky/2014/metodicky-pokyn-financnich-toku-programu-19506</w:t>
      </w:r>
      <w:r w:rsidR="00EA2005">
        <w:rPr>
          <w:rFonts w:eastAsia="Calibri"/>
          <w:lang w:eastAsia="en-US"/>
        </w:rPr>
        <w:t>.</w:t>
      </w:r>
    </w:p>
    <w:p w:rsidR="001017CD" w:rsidRPr="00AB2090" w:rsidRDefault="001017CD" w:rsidP="000208CE">
      <w:pPr>
        <w:spacing w:after="120"/>
        <w:ind w:firstLine="0"/>
        <w:rPr>
          <w:rFonts w:eastAsia="Calibri"/>
          <w:lang w:eastAsia="en-US"/>
        </w:rPr>
      </w:pPr>
      <w:r w:rsidRPr="00AB2090">
        <w:rPr>
          <w:rFonts w:eastAsia="Calibri"/>
          <w:bCs/>
          <w:lang w:eastAsia="en-US"/>
        </w:rPr>
        <w:t>Ministerstvo financí ČR, odbor 55 - Národní fond</w:t>
      </w:r>
      <w:r w:rsidRPr="00AB2090">
        <w:rPr>
          <w:rFonts w:eastAsia="Calibri"/>
          <w:lang w:eastAsia="en-US"/>
        </w:rPr>
        <w:t>.</w:t>
      </w:r>
      <w:r w:rsidRPr="00AB2090">
        <w:rPr>
          <w:rFonts w:eastAsia="Calibri"/>
          <w:b/>
          <w:lang w:eastAsia="en-US"/>
        </w:rPr>
        <w:t xml:space="preserve"> </w:t>
      </w:r>
      <w:r w:rsidRPr="00AB2090">
        <w:rPr>
          <w:rFonts w:eastAsia="Calibri"/>
          <w:i/>
          <w:lang w:eastAsia="en-US"/>
        </w:rPr>
        <w:t>Metodický pokyn finančních toků programů spolufinancovaných z Evropských strukturálních fondů, Fondu soudržnosti a Evropského námořního a rybářského fondu na programové období 2007 - 2013 s účinností od 1. 9. 2013</w:t>
      </w:r>
      <w:r w:rsidRPr="00AB2090">
        <w:rPr>
          <w:rFonts w:eastAsia="Calibri"/>
          <w:lang w:eastAsia="en-US"/>
        </w:rPr>
        <w:t xml:space="preserve">. 106 s. [online]. 2013. [cit. </w:t>
      </w:r>
      <w:proofErr w:type="gramStart"/>
      <w:r w:rsidRPr="00AB2090">
        <w:rPr>
          <w:rFonts w:eastAsia="Calibri"/>
          <w:lang w:eastAsia="en-US"/>
        </w:rPr>
        <w:t>13.11.2019</w:t>
      </w:r>
      <w:proofErr w:type="gramEnd"/>
      <w:r w:rsidRPr="00AB2090">
        <w:rPr>
          <w:rFonts w:eastAsia="Calibri"/>
          <w:lang w:eastAsia="en-US"/>
        </w:rPr>
        <w:t>]. Dostupné z: https://www.mfcr.cz/cs/legislativa/metodiky/2013/metodika-financnich-toku-a-kontroly-prog-13734.</w:t>
      </w:r>
    </w:p>
    <w:p w:rsidR="00D6517C" w:rsidRDefault="00D6517C" w:rsidP="000208CE">
      <w:pPr>
        <w:spacing w:after="120"/>
        <w:ind w:firstLine="0"/>
        <w:rPr>
          <w:rFonts w:eastAsia="Calibri"/>
          <w:bCs/>
          <w:lang w:eastAsia="en-US"/>
        </w:rPr>
      </w:pPr>
      <w:r w:rsidRPr="00D6517C">
        <w:rPr>
          <w:rFonts w:eastAsia="Calibri"/>
          <w:bCs/>
          <w:lang w:eastAsia="en-US"/>
        </w:rPr>
        <w:t>Ministerstvo pro místní rozvoj, Odbor rámce podpory společenství</w:t>
      </w:r>
      <w:r w:rsidRPr="00D6517C">
        <w:rPr>
          <w:rFonts w:eastAsia="Calibri"/>
          <w:lang w:eastAsia="en-US"/>
        </w:rPr>
        <w:t>.</w:t>
      </w:r>
      <w:r w:rsidRPr="00D6517C">
        <w:rPr>
          <w:rFonts w:eastAsia="Calibri"/>
          <w:b/>
          <w:lang w:eastAsia="en-US"/>
        </w:rPr>
        <w:t xml:space="preserve"> </w:t>
      </w:r>
      <w:r w:rsidRPr="00D6517C">
        <w:rPr>
          <w:rFonts w:eastAsia="Calibri"/>
          <w:i/>
          <w:lang w:eastAsia="en-US"/>
        </w:rPr>
        <w:t>Pravidla způsobilých výdajů pro programy spolufinancované ze strukturálních fondů a Fondu soudržnosti na programové období 2007-2013 platnost od 1. ledna 2007</w:t>
      </w:r>
      <w:r w:rsidRPr="00D6517C">
        <w:rPr>
          <w:rFonts w:eastAsia="Calibri"/>
          <w:lang w:eastAsia="en-US"/>
        </w:rPr>
        <w:t>. s.</w:t>
      </w:r>
      <w:r>
        <w:t xml:space="preserve"> 25</w:t>
      </w:r>
      <w:r w:rsidRPr="00D6517C">
        <w:rPr>
          <w:rFonts w:eastAsia="Calibri"/>
          <w:lang w:eastAsia="en-US"/>
        </w:rPr>
        <w:t xml:space="preserve"> [online]. 2007. [cit. </w:t>
      </w:r>
      <w:proofErr w:type="gramStart"/>
      <w:r w:rsidRPr="00D6517C">
        <w:rPr>
          <w:rFonts w:eastAsia="Calibri"/>
          <w:lang w:eastAsia="en-US"/>
        </w:rPr>
        <w:t>27.02.2020</w:t>
      </w:r>
      <w:proofErr w:type="gramEnd"/>
      <w:r w:rsidRPr="00D6517C">
        <w:rPr>
          <w:rFonts w:eastAsia="Calibri"/>
          <w:lang w:eastAsia="en-US"/>
        </w:rPr>
        <w:t>]. Dostupné z: https://dotaceeu.cz/cs/evropske-fondy-v-cr/programove-obdobi-2007-2013/metodicke-rizeni-nsrr.</w:t>
      </w:r>
    </w:p>
    <w:p w:rsidR="001017CD" w:rsidRPr="00AB2090" w:rsidRDefault="001017CD" w:rsidP="000208CE">
      <w:pPr>
        <w:spacing w:after="120"/>
        <w:ind w:firstLine="0"/>
        <w:rPr>
          <w:rFonts w:eastAsia="Calibri"/>
          <w:lang w:eastAsia="en-US"/>
        </w:rPr>
      </w:pPr>
      <w:r w:rsidRPr="00AB2090">
        <w:rPr>
          <w:rFonts w:eastAsia="Calibri"/>
          <w:bCs/>
          <w:lang w:eastAsia="en-US"/>
        </w:rPr>
        <w:t>Ministerstvo pro místní rozvoj ČR, Národní orgán pro koordinaci a řízení, Odbor řízení a koordinace fondů EU</w:t>
      </w:r>
      <w:r w:rsidRPr="00AB2090">
        <w:rPr>
          <w:rFonts w:eastAsia="Calibri"/>
          <w:lang w:eastAsia="en-US"/>
        </w:rPr>
        <w:t>.</w:t>
      </w:r>
      <w:r w:rsidRPr="00AB2090">
        <w:rPr>
          <w:rFonts w:eastAsia="Calibri"/>
          <w:b/>
          <w:lang w:eastAsia="en-US"/>
        </w:rPr>
        <w:t xml:space="preserve"> </w:t>
      </w:r>
      <w:r w:rsidRPr="00AB2090">
        <w:rPr>
          <w:rFonts w:eastAsia="Calibri"/>
          <w:i/>
          <w:lang w:eastAsia="en-US"/>
        </w:rPr>
        <w:t>Čtvrtletní zpráva o implementaci ESI fondů v České republice v programovém období 2014–2020, IV. čtvrtletí 2019</w:t>
      </w:r>
      <w:r w:rsidRPr="00AB2090">
        <w:rPr>
          <w:rFonts w:eastAsia="Calibri"/>
          <w:lang w:eastAsia="en-US"/>
        </w:rPr>
        <w:t xml:space="preserve">. 122 s. [online]. 2020. [cit. </w:t>
      </w:r>
      <w:proofErr w:type="gramStart"/>
      <w:r w:rsidRPr="00AB2090">
        <w:rPr>
          <w:rFonts w:eastAsia="Calibri"/>
          <w:lang w:eastAsia="en-US"/>
        </w:rPr>
        <w:t>09.03.2020</w:t>
      </w:r>
      <w:proofErr w:type="gramEnd"/>
      <w:r w:rsidRPr="00AB2090">
        <w:rPr>
          <w:rFonts w:eastAsia="Calibri"/>
          <w:lang w:eastAsia="en-US"/>
        </w:rPr>
        <w:t>]. Dostupné z: https://www.dotaceeu.cz/cs/statistiky-a-analyzy/cerpani-v-obdobi-2014-2020.</w:t>
      </w:r>
    </w:p>
    <w:p w:rsidR="001017CD" w:rsidRPr="001017CD" w:rsidRDefault="001017CD" w:rsidP="000208CE">
      <w:pPr>
        <w:spacing w:after="120"/>
        <w:ind w:firstLine="0"/>
        <w:rPr>
          <w:rFonts w:eastAsia="Calibri"/>
          <w:bCs/>
          <w:lang w:eastAsia="en-US"/>
        </w:rPr>
      </w:pPr>
      <w:r w:rsidRPr="00AB2090">
        <w:t xml:space="preserve">Rada Evropské unie, </w:t>
      </w:r>
      <w:r w:rsidRPr="00AB2090">
        <w:rPr>
          <w:rFonts w:eastAsia="Calibri"/>
          <w:bCs/>
          <w:i/>
          <w:lang w:eastAsia="en-US"/>
        </w:rPr>
        <w:t>NAŘÍZENÍ RADY (ES) č. 1083/2006 ze dne 11. července 2006 o obecných ustanoveních o Evropském fondu pro regionální rozvoj, Evropském sociálním fondu a Fondu soudržnosti a o zrušení nařízení (ES) č. 1260/1999.</w:t>
      </w:r>
      <w:r w:rsidRPr="00AB2090">
        <w:rPr>
          <w:rFonts w:eastAsia="Calibri"/>
          <w:bCs/>
          <w:lang w:eastAsia="en-US"/>
        </w:rPr>
        <w:t xml:space="preserve"> 110 s. </w:t>
      </w:r>
      <w:r w:rsidRPr="00AB2090">
        <w:rPr>
          <w:rFonts w:eastAsia="Calibri"/>
          <w:lang w:eastAsia="en-US"/>
        </w:rPr>
        <w:t xml:space="preserve">[online]. 2006. [cit. </w:t>
      </w:r>
      <w:proofErr w:type="gramStart"/>
      <w:r w:rsidRPr="00AB2090">
        <w:rPr>
          <w:rFonts w:eastAsia="Calibri"/>
          <w:lang w:eastAsia="en-US"/>
        </w:rPr>
        <w:t>27.02.2020</w:t>
      </w:r>
      <w:proofErr w:type="gramEnd"/>
      <w:r w:rsidRPr="00AB2090">
        <w:rPr>
          <w:rFonts w:eastAsia="Calibri"/>
          <w:lang w:eastAsia="en-US"/>
        </w:rPr>
        <w:t xml:space="preserve">]. Dostupné z: </w:t>
      </w:r>
      <w:r w:rsidRPr="00AB2090">
        <w:rPr>
          <w:rFonts w:eastAsia="Calibri"/>
          <w:bCs/>
          <w:lang w:eastAsia="en-US"/>
        </w:rPr>
        <w:t>https://eur-lex.europa.eu/legal-content/</w:t>
      </w:r>
      <w:r>
        <w:rPr>
          <w:rFonts w:eastAsia="Calibri"/>
          <w:bCs/>
          <w:lang w:eastAsia="en-US"/>
        </w:rPr>
        <w:t>cs/TXT/?uri=CELEX%3A32006R1083.</w:t>
      </w:r>
    </w:p>
    <w:p w:rsidR="000B268D" w:rsidRPr="00AB2090" w:rsidRDefault="000B268D" w:rsidP="000208CE">
      <w:pPr>
        <w:spacing w:after="120"/>
        <w:ind w:firstLine="0"/>
        <w:rPr>
          <w:color w:val="000000" w:themeColor="text1"/>
        </w:rPr>
      </w:pPr>
      <w:r w:rsidRPr="00AB2090">
        <w:rPr>
          <w:b/>
          <w:bCs/>
        </w:rPr>
        <w:t>Internetové články</w:t>
      </w:r>
      <w:r w:rsidR="006F7C2E">
        <w:rPr>
          <w:b/>
          <w:bCs/>
        </w:rPr>
        <w:t>:</w:t>
      </w:r>
    </w:p>
    <w:p w:rsidR="008113FA" w:rsidRPr="008113FA" w:rsidRDefault="008113FA" w:rsidP="000208CE">
      <w:pPr>
        <w:spacing w:after="120"/>
        <w:ind w:firstLine="0"/>
        <w:rPr>
          <w:rFonts w:eastAsia="Calibri"/>
          <w:lang w:eastAsia="en-US"/>
        </w:rPr>
      </w:pPr>
      <w:r w:rsidRPr="008113FA">
        <w:rPr>
          <w:rFonts w:eastAsia="Calibri"/>
          <w:lang w:eastAsia="en-US"/>
        </w:rPr>
        <w:t xml:space="preserve">Agentura pro podnikání a inovace. </w:t>
      </w:r>
      <w:r w:rsidRPr="000F6064">
        <w:rPr>
          <w:rFonts w:eastAsia="Calibri"/>
          <w:i/>
          <w:lang w:eastAsia="en-US"/>
        </w:rPr>
        <w:t>O API.</w:t>
      </w:r>
      <w:r w:rsidRPr="008113FA">
        <w:rPr>
          <w:rFonts w:eastAsia="Calibri"/>
          <w:lang w:eastAsia="en-US"/>
        </w:rPr>
        <w:t xml:space="preserve"> [online]. 2020. [cit. </w:t>
      </w:r>
      <w:proofErr w:type="gramStart"/>
      <w:r w:rsidRPr="008113FA">
        <w:rPr>
          <w:rFonts w:eastAsia="Calibri"/>
          <w:lang w:eastAsia="en-US"/>
        </w:rPr>
        <w:t>10.02.2020</w:t>
      </w:r>
      <w:proofErr w:type="gramEnd"/>
      <w:r w:rsidRPr="008113FA">
        <w:rPr>
          <w:rFonts w:eastAsia="Calibri"/>
          <w:lang w:eastAsia="en-US"/>
        </w:rPr>
        <w:t>]. Dostupné z: https://www.agentura-api.org/cs/o-api/.</w:t>
      </w:r>
    </w:p>
    <w:p w:rsidR="008113FA" w:rsidRPr="008113FA" w:rsidRDefault="008113FA" w:rsidP="000208CE">
      <w:pPr>
        <w:spacing w:after="120"/>
        <w:ind w:firstLine="0"/>
        <w:rPr>
          <w:rFonts w:eastAsia="Calibri"/>
          <w:lang w:eastAsia="en-US"/>
        </w:rPr>
      </w:pPr>
      <w:proofErr w:type="spellStart"/>
      <w:r w:rsidRPr="008113FA">
        <w:rPr>
          <w:rFonts w:eastAsia="Calibri"/>
          <w:lang w:eastAsia="en-US"/>
        </w:rPr>
        <w:t>CzechInvest</w:t>
      </w:r>
      <w:proofErr w:type="spellEnd"/>
      <w:r w:rsidRPr="008113FA">
        <w:rPr>
          <w:rFonts w:eastAsia="Calibri"/>
          <w:lang w:eastAsia="en-US"/>
        </w:rPr>
        <w:t xml:space="preserve">. </w:t>
      </w:r>
      <w:r w:rsidRPr="000F6064">
        <w:rPr>
          <w:rFonts w:eastAsia="Calibri"/>
          <w:i/>
          <w:lang w:eastAsia="en-US"/>
        </w:rPr>
        <w:t>Historie.</w:t>
      </w:r>
      <w:r w:rsidRPr="008113FA">
        <w:rPr>
          <w:rFonts w:eastAsia="Calibri"/>
          <w:lang w:eastAsia="en-US"/>
        </w:rPr>
        <w:t xml:space="preserve"> [online]. 2020. [cit. </w:t>
      </w:r>
      <w:proofErr w:type="gramStart"/>
      <w:r w:rsidRPr="008113FA">
        <w:rPr>
          <w:rFonts w:eastAsia="Calibri"/>
          <w:lang w:eastAsia="en-US"/>
        </w:rPr>
        <w:t>10.02.2020</w:t>
      </w:r>
      <w:proofErr w:type="gramEnd"/>
      <w:r w:rsidRPr="008113FA">
        <w:rPr>
          <w:rFonts w:eastAsia="Calibri"/>
          <w:lang w:eastAsia="en-US"/>
        </w:rPr>
        <w:t>]. Dostupné z: https://www.czechinvest.org/cz/O-CzechInvestu/Historie.</w:t>
      </w:r>
    </w:p>
    <w:p w:rsidR="008113FA" w:rsidRPr="008113FA" w:rsidRDefault="008113FA" w:rsidP="000208CE">
      <w:pPr>
        <w:spacing w:after="120"/>
        <w:ind w:firstLine="0"/>
        <w:rPr>
          <w:rFonts w:eastAsia="Calibri"/>
          <w:lang w:eastAsia="en-US"/>
        </w:rPr>
      </w:pPr>
      <w:proofErr w:type="spellStart"/>
      <w:r w:rsidRPr="008113FA">
        <w:rPr>
          <w:rFonts w:eastAsia="Calibri"/>
          <w:lang w:eastAsia="en-US"/>
        </w:rPr>
        <w:t>DotaceEU</w:t>
      </w:r>
      <w:proofErr w:type="spellEnd"/>
      <w:r w:rsidRPr="008113FA">
        <w:rPr>
          <w:rFonts w:eastAsia="Calibri"/>
          <w:lang w:eastAsia="en-US"/>
        </w:rPr>
        <w:t xml:space="preserve">. </w:t>
      </w:r>
      <w:r w:rsidRPr="000F6064">
        <w:rPr>
          <w:rFonts w:eastAsia="Calibri"/>
          <w:i/>
          <w:lang w:eastAsia="en-US"/>
        </w:rPr>
        <w:t>Dohoda o partnerství</w:t>
      </w:r>
      <w:r w:rsidRPr="008113FA">
        <w:rPr>
          <w:rFonts w:eastAsia="Calibri"/>
          <w:lang w:eastAsia="en-US"/>
        </w:rPr>
        <w:t xml:space="preserve">. [online]. 2020. [cit. </w:t>
      </w:r>
      <w:proofErr w:type="gramStart"/>
      <w:r w:rsidRPr="008113FA">
        <w:rPr>
          <w:rFonts w:eastAsia="Calibri"/>
          <w:lang w:eastAsia="en-US"/>
        </w:rPr>
        <w:t>08.02.2020</w:t>
      </w:r>
      <w:proofErr w:type="gramEnd"/>
      <w:r w:rsidRPr="008113FA">
        <w:rPr>
          <w:rFonts w:eastAsia="Calibri"/>
          <w:lang w:eastAsia="en-US"/>
        </w:rPr>
        <w:t>]. Dostupné z: https://www.dotaceeu.cz/cs/evropske-fondy-v-cr/2014-2020/dohoda-o-partnerstvi.</w:t>
      </w:r>
    </w:p>
    <w:p w:rsidR="008113FA" w:rsidRPr="008113FA" w:rsidRDefault="008113FA" w:rsidP="000208CE">
      <w:pPr>
        <w:spacing w:after="120"/>
        <w:ind w:firstLine="0"/>
        <w:rPr>
          <w:rFonts w:eastAsia="Calibri"/>
          <w:lang w:eastAsia="en-US"/>
        </w:rPr>
      </w:pPr>
      <w:proofErr w:type="spellStart"/>
      <w:r w:rsidRPr="008113FA">
        <w:rPr>
          <w:rFonts w:eastAsia="Calibri"/>
          <w:lang w:eastAsia="en-US"/>
        </w:rPr>
        <w:t>DotaceEU</w:t>
      </w:r>
      <w:proofErr w:type="spellEnd"/>
      <w:r w:rsidRPr="008113FA">
        <w:rPr>
          <w:rFonts w:eastAsia="Calibri"/>
          <w:lang w:eastAsia="en-US"/>
        </w:rPr>
        <w:t xml:space="preserve">. </w:t>
      </w:r>
      <w:r w:rsidRPr="000F6064">
        <w:rPr>
          <w:rFonts w:eastAsia="Calibri"/>
          <w:i/>
          <w:lang w:eastAsia="en-US"/>
        </w:rPr>
        <w:t>Evropské fondy v ČR.</w:t>
      </w:r>
      <w:r w:rsidRPr="008113FA">
        <w:rPr>
          <w:rFonts w:eastAsia="Calibri"/>
          <w:lang w:eastAsia="en-US"/>
        </w:rPr>
        <w:t xml:space="preserve"> [online]. 2020. [cit. </w:t>
      </w:r>
      <w:proofErr w:type="gramStart"/>
      <w:r w:rsidRPr="008113FA">
        <w:rPr>
          <w:rFonts w:eastAsia="Calibri"/>
          <w:lang w:eastAsia="en-US"/>
        </w:rPr>
        <w:t>08.02.2020</w:t>
      </w:r>
      <w:proofErr w:type="gramEnd"/>
      <w:r w:rsidRPr="008113FA">
        <w:rPr>
          <w:rFonts w:eastAsia="Calibri"/>
          <w:lang w:eastAsia="en-US"/>
        </w:rPr>
        <w:t>]. Dostupné z: https://www.dotaceeu.cz/cs/Evropske-fondy-v-CR.</w:t>
      </w:r>
    </w:p>
    <w:p w:rsidR="008113FA" w:rsidRPr="008113FA" w:rsidRDefault="008113FA" w:rsidP="000208CE">
      <w:pPr>
        <w:spacing w:after="120"/>
        <w:ind w:firstLine="0"/>
        <w:rPr>
          <w:rFonts w:eastAsia="Calibri"/>
          <w:lang w:eastAsia="en-US"/>
        </w:rPr>
      </w:pPr>
      <w:proofErr w:type="spellStart"/>
      <w:r w:rsidRPr="008113FA">
        <w:rPr>
          <w:rFonts w:eastAsia="Calibri"/>
          <w:lang w:eastAsia="en-US"/>
        </w:rPr>
        <w:lastRenderedPageBreak/>
        <w:t>DotaceEU</w:t>
      </w:r>
      <w:proofErr w:type="spellEnd"/>
      <w:r w:rsidRPr="008113FA">
        <w:rPr>
          <w:rFonts w:eastAsia="Calibri"/>
          <w:lang w:eastAsia="en-US"/>
        </w:rPr>
        <w:t xml:space="preserve">. </w:t>
      </w:r>
      <w:r w:rsidRPr="000F6064">
        <w:rPr>
          <w:rFonts w:eastAsia="Calibri"/>
          <w:i/>
          <w:lang w:eastAsia="en-US"/>
        </w:rPr>
        <w:t>Programové období 2021-2027</w:t>
      </w:r>
      <w:r w:rsidRPr="008113FA">
        <w:rPr>
          <w:rFonts w:eastAsia="Calibri"/>
          <w:lang w:eastAsia="en-US"/>
        </w:rPr>
        <w:t xml:space="preserve">. [online]. 2020. [cit. </w:t>
      </w:r>
      <w:proofErr w:type="gramStart"/>
      <w:r w:rsidRPr="008113FA">
        <w:rPr>
          <w:rFonts w:eastAsia="Calibri"/>
          <w:lang w:eastAsia="en-US"/>
        </w:rPr>
        <w:t>08.02.2020</w:t>
      </w:r>
      <w:proofErr w:type="gramEnd"/>
      <w:r w:rsidRPr="008113FA">
        <w:rPr>
          <w:rFonts w:eastAsia="Calibri"/>
          <w:lang w:eastAsia="en-US"/>
        </w:rPr>
        <w:t>]. Dostupné z: https://www.dotaceeu.cz/cs/evropske-fondy-v-cr/kohezni-politika-po-roce-2020.</w:t>
      </w:r>
    </w:p>
    <w:p w:rsidR="008113FA" w:rsidRPr="008113FA" w:rsidRDefault="008113FA" w:rsidP="000208CE">
      <w:pPr>
        <w:spacing w:after="120"/>
        <w:ind w:firstLine="0"/>
        <w:rPr>
          <w:rFonts w:eastAsia="Calibri"/>
          <w:lang w:eastAsia="en-US"/>
        </w:rPr>
      </w:pPr>
      <w:r w:rsidRPr="008113FA">
        <w:rPr>
          <w:rFonts w:eastAsia="Calibri"/>
          <w:lang w:eastAsia="en-US"/>
        </w:rPr>
        <w:t xml:space="preserve">EUROSKOP.CZ. </w:t>
      </w:r>
      <w:r w:rsidRPr="000F6064">
        <w:rPr>
          <w:rFonts w:eastAsia="Calibri"/>
          <w:i/>
          <w:lang w:eastAsia="en-US"/>
        </w:rPr>
        <w:t xml:space="preserve">Přehled fondů. </w:t>
      </w:r>
      <w:r w:rsidRPr="008113FA">
        <w:rPr>
          <w:rFonts w:eastAsia="Calibri"/>
          <w:lang w:eastAsia="en-US"/>
        </w:rPr>
        <w:t xml:space="preserve">[online]. 2020. [cit. </w:t>
      </w:r>
      <w:proofErr w:type="gramStart"/>
      <w:r w:rsidRPr="008113FA">
        <w:rPr>
          <w:rFonts w:eastAsia="Calibri"/>
          <w:lang w:eastAsia="en-US"/>
        </w:rPr>
        <w:t>04.02.2020</w:t>
      </w:r>
      <w:proofErr w:type="gramEnd"/>
      <w:r w:rsidRPr="008113FA">
        <w:rPr>
          <w:rFonts w:eastAsia="Calibri"/>
          <w:lang w:eastAsia="en-US"/>
        </w:rPr>
        <w:t>]. Dostupné z: https://www.euroskop.cz/9035/sekce/prehled-fondu-eu/.</w:t>
      </w:r>
    </w:p>
    <w:p w:rsidR="008113FA" w:rsidRPr="008113FA" w:rsidRDefault="008113FA" w:rsidP="000208CE">
      <w:pPr>
        <w:spacing w:after="120"/>
        <w:ind w:firstLine="0"/>
        <w:rPr>
          <w:rFonts w:eastAsia="Calibri"/>
          <w:lang w:eastAsia="en-US"/>
        </w:rPr>
      </w:pPr>
      <w:r w:rsidRPr="008113FA">
        <w:rPr>
          <w:rFonts w:eastAsia="Calibri"/>
          <w:lang w:eastAsia="en-US"/>
        </w:rPr>
        <w:t xml:space="preserve">Evropská komise. </w:t>
      </w:r>
      <w:r w:rsidRPr="000F6064">
        <w:rPr>
          <w:rFonts w:eastAsia="Calibri"/>
          <w:i/>
          <w:lang w:eastAsia="en-US"/>
        </w:rPr>
        <w:t>Erasmus+</w:t>
      </w:r>
      <w:r w:rsidRPr="008113FA">
        <w:rPr>
          <w:rFonts w:eastAsia="Calibri"/>
          <w:lang w:eastAsia="en-US"/>
        </w:rPr>
        <w:t xml:space="preserve">  [online]. 2020. [cit. </w:t>
      </w:r>
      <w:proofErr w:type="gramStart"/>
      <w:r w:rsidRPr="008113FA">
        <w:rPr>
          <w:rFonts w:eastAsia="Calibri"/>
          <w:lang w:eastAsia="en-US"/>
        </w:rPr>
        <w:t>04.02.2020</w:t>
      </w:r>
      <w:proofErr w:type="gramEnd"/>
      <w:r w:rsidRPr="008113FA">
        <w:rPr>
          <w:rFonts w:eastAsia="Calibri"/>
          <w:lang w:eastAsia="en-US"/>
        </w:rPr>
        <w:t>]. Dostupné z: https://ec.europa.eu/programmes/erasmus-plus/.</w:t>
      </w:r>
    </w:p>
    <w:p w:rsidR="008113FA" w:rsidRPr="008113FA" w:rsidRDefault="008113FA" w:rsidP="000208CE">
      <w:pPr>
        <w:spacing w:after="120"/>
        <w:ind w:firstLine="0"/>
        <w:rPr>
          <w:rFonts w:eastAsia="Calibri"/>
          <w:lang w:eastAsia="en-US"/>
        </w:rPr>
      </w:pPr>
      <w:r w:rsidRPr="008113FA">
        <w:rPr>
          <w:rFonts w:eastAsia="Calibri"/>
          <w:lang w:eastAsia="en-US"/>
        </w:rPr>
        <w:t xml:space="preserve">Evropská komise. </w:t>
      </w:r>
      <w:r w:rsidRPr="000F6064">
        <w:rPr>
          <w:rFonts w:eastAsia="Calibri"/>
          <w:i/>
          <w:lang w:eastAsia="en-US"/>
        </w:rPr>
        <w:t>Evropský námořní a rybářský fond (ENRF).</w:t>
      </w:r>
      <w:r w:rsidRPr="008113FA">
        <w:rPr>
          <w:rFonts w:eastAsia="Calibri"/>
          <w:lang w:eastAsia="en-US"/>
        </w:rPr>
        <w:t xml:space="preserve"> [online]. 2020. [cit. </w:t>
      </w:r>
      <w:proofErr w:type="gramStart"/>
      <w:r w:rsidRPr="008113FA">
        <w:rPr>
          <w:rFonts w:eastAsia="Calibri"/>
          <w:lang w:eastAsia="en-US"/>
        </w:rPr>
        <w:t>04.02.2020</w:t>
      </w:r>
      <w:proofErr w:type="gramEnd"/>
      <w:r w:rsidRPr="008113FA">
        <w:rPr>
          <w:rFonts w:eastAsia="Calibri"/>
          <w:lang w:eastAsia="en-US"/>
        </w:rPr>
        <w:t>]. Dostupné z: https://ec.europa.eu/fisheries/cfp/emff_cs.</w:t>
      </w:r>
    </w:p>
    <w:p w:rsidR="008113FA" w:rsidRPr="008113FA" w:rsidRDefault="008113FA" w:rsidP="000208CE">
      <w:pPr>
        <w:spacing w:after="120"/>
        <w:ind w:firstLine="0"/>
        <w:rPr>
          <w:rFonts w:eastAsia="Calibri"/>
          <w:lang w:eastAsia="en-US"/>
        </w:rPr>
      </w:pPr>
      <w:r w:rsidRPr="008113FA">
        <w:rPr>
          <w:rFonts w:eastAsia="Calibri"/>
          <w:lang w:eastAsia="en-US"/>
        </w:rPr>
        <w:t xml:space="preserve">Evropská komise. </w:t>
      </w:r>
      <w:r w:rsidRPr="000F6064">
        <w:rPr>
          <w:rFonts w:eastAsia="Calibri"/>
          <w:i/>
          <w:lang w:eastAsia="en-US"/>
        </w:rPr>
        <w:t>Evropský úřad pro boj proti podvodům.</w:t>
      </w:r>
      <w:r w:rsidRPr="008113FA">
        <w:rPr>
          <w:rFonts w:eastAsia="Calibri"/>
          <w:lang w:eastAsia="en-US"/>
        </w:rPr>
        <w:t xml:space="preserve"> [online]. 2020. [cit. </w:t>
      </w:r>
      <w:proofErr w:type="gramStart"/>
      <w:r w:rsidRPr="008113FA">
        <w:rPr>
          <w:rFonts w:eastAsia="Calibri"/>
          <w:lang w:eastAsia="en-US"/>
        </w:rPr>
        <w:t>04.02.2020</w:t>
      </w:r>
      <w:proofErr w:type="gramEnd"/>
      <w:r w:rsidRPr="008113FA">
        <w:rPr>
          <w:rFonts w:eastAsia="Calibri"/>
          <w:lang w:eastAsia="en-US"/>
        </w:rPr>
        <w:t>]. Dostupné z: https://ec.europa.eu/anti-fraud/about-us_cs.</w:t>
      </w:r>
    </w:p>
    <w:p w:rsidR="008113FA" w:rsidRPr="008113FA" w:rsidRDefault="008113FA" w:rsidP="000208CE">
      <w:pPr>
        <w:spacing w:after="120"/>
        <w:ind w:firstLine="0"/>
        <w:rPr>
          <w:rFonts w:eastAsia="Calibri"/>
          <w:lang w:eastAsia="en-US"/>
        </w:rPr>
      </w:pPr>
      <w:r w:rsidRPr="008113FA">
        <w:rPr>
          <w:rFonts w:eastAsia="Calibri"/>
          <w:lang w:eastAsia="en-US"/>
        </w:rPr>
        <w:t xml:space="preserve">Evropská komise. </w:t>
      </w:r>
      <w:r w:rsidRPr="000F6064">
        <w:rPr>
          <w:rFonts w:eastAsia="Calibri"/>
          <w:i/>
          <w:lang w:eastAsia="en-US"/>
        </w:rPr>
        <w:t>Fond solidarity EU.</w:t>
      </w:r>
      <w:r w:rsidRPr="008113FA">
        <w:rPr>
          <w:rFonts w:eastAsia="Calibri"/>
          <w:lang w:eastAsia="en-US"/>
        </w:rPr>
        <w:t xml:space="preserve"> [online]. 2020. [cit. </w:t>
      </w:r>
      <w:proofErr w:type="gramStart"/>
      <w:r w:rsidRPr="008113FA">
        <w:rPr>
          <w:rFonts w:eastAsia="Calibri"/>
          <w:lang w:eastAsia="en-US"/>
        </w:rPr>
        <w:t>04.02.2020</w:t>
      </w:r>
      <w:proofErr w:type="gramEnd"/>
      <w:r w:rsidRPr="008113FA">
        <w:rPr>
          <w:rFonts w:eastAsia="Calibri"/>
          <w:lang w:eastAsia="en-US"/>
        </w:rPr>
        <w:t>]. Dostupné z: https://ec.europa.eu/regional_policy/cs/funding/solidarity-fund/.</w:t>
      </w:r>
    </w:p>
    <w:p w:rsidR="008113FA" w:rsidRDefault="008113FA" w:rsidP="000208CE">
      <w:pPr>
        <w:spacing w:after="120"/>
        <w:ind w:firstLine="0"/>
        <w:rPr>
          <w:rFonts w:eastAsia="Calibri"/>
          <w:lang w:eastAsia="en-US"/>
        </w:rPr>
      </w:pPr>
      <w:r w:rsidRPr="008113FA">
        <w:rPr>
          <w:rFonts w:eastAsia="Calibri"/>
          <w:lang w:eastAsia="en-US"/>
        </w:rPr>
        <w:t xml:space="preserve">Evropská komise. </w:t>
      </w:r>
      <w:r w:rsidRPr="000F6064">
        <w:rPr>
          <w:rFonts w:eastAsia="Calibri"/>
          <w:i/>
          <w:lang w:eastAsia="en-US"/>
        </w:rPr>
        <w:t>Politická strategie EU</w:t>
      </w:r>
      <w:r w:rsidRPr="008113FA">
        <w:rPr>
          <w:rFonts w:eastAsia="Calibri"/>
          <w:lang w:eastAsia="en-US"/>
        </w:rPr>
        <w:t xml:space="preserve">. [online]. 2020. [cit. </w:t>
      </w:r>
      <w:proofErr w:type="gramStart"/>
      <w:r w:rsidRPr="008113FA">
        <w:rPr>
          <w:rFonts w:eastAsia="Calibri"/>
          <w:lang w:eastAsia="en-US"/>
        </w:rPr>
        <w:t>04.02.2020</w:t>
      </w:r>
      <w:proofErr w:type="gramEnd"/>
      <w:r w:rsidRPr="008113FA">
        <w:rPr>
          <w:rFonts w:eastAsia="Calibri"/>
          <w:lang w:eastAsia="en-US"/>
        </w:rPr>
        <w:t xml:space="preserve">]. Dostupné z:  </w:t>
      </w:r>
      <w:r w:rsidR="00891B44" w:rsidRPr="00891B44">
        <w:rPr>
          <w:rFonts w:eastAsia="Calibri"/>
          <w:lang w:eastAsia="en-US"/>
        </w:rPr>
        <w:t>https://ec.europa.eu/info/strategy_cs</w:t>
      </w:r>
      <w:r w:rsidRPr="008113FA">
        <w:rPr>
          <w:rFonts w:eastAsia="Calibri"/>
          <w:lang w:eastAsia="en-US"/>
        </w:rPr>
        <w:t>.</w:t>
      </w:r>
    </w:p>
    <w:p w:rsidR="00891B44" w:rsidRPr="00891B44" w:rsidRDefault="00891B44" w:rsidP="000208CE">
      <w:pPr>
        <w:spacing w:after="120"/>
        <w:ind w:firstLine="0"/>
      </w:pPr>
      <w:r>
        <w:t xml:space="preserve">Evropská komise. </w:t>
      </w:r>
      <w:r w:rsidRPr="00DA4AE4">
        <w:rPr>
          <w:i/>
        </w:rPr>
        <w:t>Přehled opatření</w:t>
      </w:r>
      <w:r>
        <w:t xml:space="preserve"> Komise. [online]. 2020. </w:t>
      </w:r>
      <w:r w:rsidRPr="008113FA">
        <w:rPr>
          <w:rFonts w:eastAsia="Calibri"/>
          <w:lang w:eastAsia="en-US"/>
        </w:rPr>
        <w:t xml:space="preserve">[cit. </w:t>
      </w:r>
      <w:proofErr w:type="gramStart"/>
      <w:r w:rsidR="00F47B7F">
        <w:rPr>
          <w:rFonts w:eastAsia="Calibri"/>
          <w:lang w:eastAsia="en-US"/>
        </w:rPr>
        <w:t>10</w:t>
      </w:r>
      <w:r w:rsidRPr="008113FA">
        <w:rPr>
          <w:rFonts w:eastAsia="Calibri"/>
          <w:lang w:eastAsia="en-US"/>
        </w:rPr>
        <w:t>.0</w:t>
      </w:r>
      <w:r>
        <w:rPr>
          <w:rFonts w:eastAsia="Calibri"/>
          <w:lang w:eastAsia="en-US"/>
        </w:rPr>
        <w:t>4</w:t>
      </w:r>
      <w:r w:rsidRPr="008113FA">
        <w:rPr>
          <w:rFonts w:eastAsia="Calibri"/>
          <w:lang w:eastAsia="en-US"/>
        </w:rPr>
        <w:t>.2020</w:t>
      </w:r>
      <w:proofErr w:type="gramEnd"/>
      <w:r w:rsidRPr="008113FA">
        <w:rPr>
          <w:rFonts w:eastAsia="Calibri"/>
          <w:lang w:eastAsia="en-US"/>
        </w:rPr>
        <w:t>].</w:t>
      </w:r>
      <w:r>
        <w:t xml:space="preserve"> Dostupné z: </w:t>
      </w:r>
      <w:r w:rsidRPr="00DA4AE4">
        <w:t>https://ec.europa.eu/info/live-work-travel-eu/health/coronavirus-response/overview-commissions-response_cs</w:t>
      </w:r>
      <w:r>
        <w:t>.</w:t>
      </w:r>
    </w:p>
    <w:p w:rsidR="008113FA" w:rsidRPr="008113FA" w:rsidRDefault="008113FA" w:rsidP="000208CE">
      <w:pPr>
        <w:spacing w:after="120"/>
        <w:ind w:firstLine="0"/>
        <w:rPr>
          <w:rFonts w:eastAsia="Calibri"/>
          <w:lang w:eastAsia="en-US"/>
        </w:rPr>
      </w:pPr>
      <w:r w:rsidRPr="008113FA">
        <w:rPr>
          <w:rFonts w:eastAsia="Calibri"/>
          <w:lang w:eastAsia="en-US"/>
        </w:rPr>
        <w:t xml:space="preserve">Evropská komise. </w:t>
      </w:r>
      <w:r w:rsidRPr="000F6064">
        <w:rPr>
          <w:rFonts w:eastAsia="Calibri"/>
          <w:i/>
          <w:lang w:eastAsia="en-US"/>
        </w:rPr>
        <w:t>Slovníček – Evropský zemědělský fond pro rozvoj venkova (EZFRV)</w:t>
      </w:r>
      <w:r w:rsidR="000F6064">
        <w:rPr>
          <w:rFonts w:eastAsia="Calibri"/>
          <w:i/>
          <w:lang w:eastAsia="en-US"/>
        </w:rPr>
        <w:t>.</w:t>
      </w:r>
      <w:r w:rsidRPr="008113FA">
        <w:rPr>
          <w:rFonts w:eastAsia="Calibri"/>
          <w:lang w:eastAsia="en-US"/>
        </w:rPr>
        <w:t xml:space="preserve"> [online]. 2020. [cit. </w:t>
      </w:r>
      <w:proofErr w:type="gramStart"/>
      <w:r w:rsidRPr="008113FA">
        <w:rPr>
          <w:rFonts w:eastAsia="Calibri"/>
          <w:lang w:eastAsia="en-US"/>
        </w:rPr>
        <w:t>04.02.2020</w:t>
      </w:r>
      <w:proofErr w:type="gramEnd"/>
      <w:r w:rsidRPr="008113FA">
        <w:rPr>
          <w:rFonts w:eastAsia="Calibri"/>
          <w:lang w:eastAsia="en-US"/>
        </w:rPr>
        <w:t>]. Dostupné z: https://ec.europa.eu/regional_policy/cs/policy/what/glossary/e/european-agricultural-fund-for-rural-development.</w:t>
      </w:r>
    </w:p>
    <w:p w:rsidR="008113FA" w:rsidRPr="008113FA" w:rsidRDefault="008113FA" w:rsidP="000208CE">
      <w:pPr>
        <w:spacing w:after="120"/>
        <w:ind w:firstLine="0"/>
        <w:rPr>
          <w:rFonts w:eastAsia="Calibri"/>
          <w:lang w:eastAsia="en-US"/>
        </w:rPr>
      </w:pPr>
      <w:r w:rsidRPr="008113FA">
        <w:rPr>
          <w:rFonts w:eastAsia="Calibri"/>
          <w:lang w:eastAsia="en-US"/>
        </w:rPr>
        <w:t xml:space="preserve">Evropská rada a Rada EU. </w:t>
      </w:r>
      <w:r w:rsidRPr="000F6064">
        <w:rPr>
          <w:rFonts w:eastAsia="Calibri"/>
          <w:i/>
          <w:lang w:eastAsia="en-US"/>
        </w:rPr>
        <w:t>Evropský fond pro strategické investice</w:t>
      </w:r>
      <w:r w:rsidRPr="008113FA">
        <w:rPr>
          <w:rFonts w:eastAsia="Calibri"/>
          <w:lang w:eastAsia="en-US"/>
        </w:rPr>
        <w:t xml:space="preserve">. [online]. 2020. [cit. </w:t>
      </w:r>
      <w:proofErr w:type="gramStart"/>
      <w:r w:rsidRPr="008113FA">
        <w:rPr>
          <w:rFonts w:eastAsia="Calibri"/>
          <w:lang w:eastAsia="en-US"/>
        </w:rPr>
        <w:t>04.02.2020</w:t>
      </w:r>
      <w:proofErr w:type="gramEnd"/>
      <w:r w:rsidRPr="008113FA">
        <w:rPr>
          <w:rFonts w:eastAsia="Calibri"/>
          <w:lang w:eastAsia="en-US"/>
        </w:rPr>
        <w:t>]. Dostupné z: https://www.consilium.europa.eu/cs/policies/investment-plan/strategic-investments-fund/.</w:t>
      </w:r>
    </w:p>
    <w:p w:rsidR="008113FA" w:rsidRPr="008113FA" w:rsidRDefault="008113FA" w:rsidP="000208CE">
      <w:pPr>
        <w:spacing w:after="120"/>
        <w:ind w:firstLine="0"/>
        <w:rPr>
          <w:rFonts w:eastAsia="Calibri"/>
          <w:lang w:eastAsia="en-US"/>
        </w:rPr>
      </w:pPr>
      <w:r w:rsidRPr="008113FA">
        <w:rPr>
          <w:rFonts w:eastAsia="Calibri"/>
          <w:lang w:eastAsia="en-US"/>
        </w:rPr>
        <w:t xml:space="preserve">EVROPSKÝ ÚČETNÍ DVŮR. </w:t>
      </w:r>
      <w:r w:rsidRPr="000F6064">
        <w:rPr>
          <w:rFonts w:eastAsia="Calibri"/>
          <w:i/>
          <w:lang w:eastAsia="en-US"/>
        </w:rPr>
        <w:t>Poslání a úloha</w:t>
      </w:r>
      <w:r w:rsidRPr="008113FA">
        <w:rPr>
          <w:rFonts w:eastAsia="Calibri"/>
          <w:lang w:eastAsia="en-US"/>
        </w:rPr>
        <w:t xml:space="preserve">. [online]. 2020. [cit. </w:t>
      </w:r>
      <w:proofErr w:type="gramStart"/>
      <w:r w:rsidRPr="008113FA">
        <w:rPr>
          <w:rFonts w:eastAsia="Calibri"/>
          <w:lang w:eastAsia="en-US"/>
        </w:rPr>
        <w:t>04.02.2020</w:t>
      </w:r>
      <w:proofErr w:type="gramEnd"/>
      <w:r w:rsidRPr="008113FA">
        <w:rPr>
          <w:rFonts w:eastAsia="Calibri"/>
          <w:lang w:eastAsia="en-US"/>
        </w:rPr>
        <w:t>]. Dostupné z: https://www.eca.europa.eu/cs/Pages/MissionAndRole.aspx.</w:t>
      </w:r>
    </w:p>
    <w:p w:rsidR="008113FA" w:rsidRPr="008113FA" w:rsidRDefault="008113FA" w:rsidP="000208CE">
      <w:pPr>
        <w:spacing w:after="120"/>
        <w:ind w:firstLine="0"/>
        <w:rPr>
          <w:rFonts w:eastAsia="Calibri"/>
          <w:lang w:eastAsia="en-US"/>
        </w:rPr>
      </w:pPr>
      <w:r w:rsidRPr="008113FA">
        <w:rPr>
          <w:rFonts w:eastAsia="Calibri"/>
          <w:lang w:eastAsia="en-US"/>
        </w:rPr>
        <w:t xml:space="preserve">Ministerstvo financí ČR. </w:t>
      </w:r>
      <w:r w:rsidR="000F6064" w:rsidRPr="000F6064">
        <w:rPr>
          <w:rFonts w:eastAsia="Calibri"/>
          <w:i/>
          <w:lang w:eastAsia="en-US"/>
        </w:rPr>
        <w:t>O</w:t>
      </w:r>
      <w:r w:rsidRPr="000F6064">
        <w:rPr>
          <w:rFonts w:eastAsia="Calibri"/>
          <w:i/>
          <w:lang w:eastAsia="en-US"/>
        </w:rPr>
        <w:t>dbor 52 - Auditní orgán</w:t>
      </w:r>
      <w:r w:rsidRPr="008113FA">
        <w:rPr>
          <w:rFonts w:eastAsia="Calibri"/>
          <w:lang w:eastAsia="en-US"/>
        </w:rPr>
        <w:t xml:space="preserve">. [online]. 2005. [cit. </w:t>
      </w:r>
      <w:proofErr w:type="gramStart"/>
      <w:r w:rsidRPr="008113FA">
        <w:rPr>
          <w:rFonts w:eastAsia="Calibri"/>
          <w:lang w:eastAsia="en-US"/>
        </w:rPr>
        <w:t>08.02.2020</w:t>
      </w:r>
      <w:proofErr w:type="gramEnd"/>
      <w:r w:rsidRPr="008113FA">
        <w:rPr>
          <w:rFonts w:eastAsia="Calibri"/>
          <w:lang w:eastAsia="en-US"/>
        </w:rPr>
        <w:t>]. Dostupné z: https://www.mfcr.cz/cs/o-ministerstvu/zakladni-informace/organizacni-struktura/sekce-04/odbor-52-auditni-organ.</w:t>
      </w:r>
    </w:p>
    <w:p w:rsidR="008113FA" w:rsidRPr="008113FA" w:rsidRDefault="008113FA" w:rsidP="000208CE">
      <w:pPr>
        <w:spacing w:after="120"/>
        <w:ind w:firstLine="0"/>
        <w:rPr>
          <w:rFonts w:eastAsia="Calibri"/>
          <w:lang w:eastAsia="en-US"/>
        </w:rPr>
      </w:pPr>
      <w:r w:rsidRPr="008113FA">
        <w:rPr>
          <w:rFonts w:eastAsia="Calibri"/>
          <w:lang w:eastAsia="en-US"/>
        </w:rPr>
        <w:lastRenderedPageBreak/>
        <w:t xml:space="preserve">Ministerstvo financí ČR. </w:t>
      </w:r>
      <w:r w:rsidR="000F6064" w:rsidRPr="000F6064">
        <w:rPr>
          <w:rFonts w:eastAsia="Calibri"/>
          <w:i/>
          <w:lang w:eastAsia="en-US"/>
        </w:rPr>
        <w:t>O</w:t>
      </w:r>
      <w:r w:rsidRPr="000F6064">
        <w:rPr>
          <w:rFonts w:eastAsia="Calibri"/>
          <w:i/>
          <w:lang w:eastAsia="en-US"/>
        </w:rPr>
        <w:t>dbor 55 – Národní fond</w:t>
      </w:r>
      <w:r w:rsidRPr="008113FA">
        <w:rPr>
          <w:rFonts w:eastAsia="Calibri"/>
          <w:lang w:eastAsia="en-US"/>
        </w:rPr>
        <w:t xml:space="preserve">. [online]. 2005. [cit. </w:t>
      </w:r>
      <w:proofErr w:type="gramStart"/>
      <w:r w:rsidRPr="008113FA">
        <w:rPr>
          <w:rFonts w:eastAsia="Calibri"/>
          <w:lang w:eastAsia="en-US"/>
        </w:rPr>
        <w:t>08.02.2020</w:t>
      </w:r>
      <w:proofErr w:type="gramEnd"/>
      <w:r w:rsidRPr="008113FA">
        <w:rPr>
          <w:rFonts w:eastAsia="Calibri"/>
          <w:lang w:eastAsia="en-US"/>
        </w:rPr>
        <w:t>]. Dostupné z: https://www.mfcr.cz/cs/o-ministerstvu/zakladni-informace/organizacni-struktura/sekce-06/odbor-55-narodni-fond.</w:t>
      </w:r>
    </w:p>
    <w:p w:rsidR="008113FA" w:rsidRPr="008113FA" w:rsidRDefault="008113FA" w:rsidP="000208CE">
      <w:pPr>
        <w:spacing w:after="120"/>
        <w:ind w:firstLine="0"/>
        <w:rPr>
          <w:rFonts w:eastAsia="Calibri"/>
          <w:lang w:eastAsia="en-US"/>
        </w:rPr>
      </w:pPr>
      <w:r w:rsidRPr="008113FA">
        <w:rPr>
          <w:rFonts w:eastAsia="Calibri"/>
          <w:lang w:eastAsia="en-US"/>
        </w:rPr>
        <w:t xml:space="preserve">Ministerstvo pro místní rozvoj ČR. </w:t>
      </w:r>
      <w:proofErr w:type="spellStart"/>
      <w:r w:rsidRPr="000F6064">
        <w:rPr>
          <w:rFonts w:eastAsia="Calibri"/>
          <w:i/>
          <w:lang w:eastAsia="en-US"/>
        </w:rPr>
        <w:t>DotaceEU</w:t>
      </w:r>
      <w:proofErr w:type="spellEnd"/>
      <w:r w:rsidRPr="000F6064">
        <w:rPr>
          <w:rFonts w:eastAsia="Calibri"/>
          <w:i/>
          <w:lang w:eastAsia="en-US"/>
        </w:rPr>
        <w:t xml:space="preserve"> - Informace o fondech</w:t>
      </w:r>
      <w:r w:rsidRPr="008113FA">
        <w:rPr>
          <w:rFonts w:eastAsia="Calibri"/>
          <w:lang w:eastAsia="en-US"/>
        </w:rPr>
        <w:t xml:space="preserve">. [online]. 2020. [cit. </w:t>
      </w:r>
      <w:proofErr w:type="gramStart"/>
      <w:r w:rsidRPr="008113FA">
        <w:rPr>
          <w:rFonts w:eastAsia="Calibri"/>
          <w:lang w:eastAsia="en-US"/>
        </w:rPr>
        <w:t>04.02.2020</w:t>
      </w:r>
      <w:proofErr w:type="gramEnd"/>
      <w:r w:rsidRPr="008113FA">
        <w:rPr>
          <w:rFonts w:eastAsia="Calibri"/>
          <w:lang w:eastAsia="en-US"/>
        </w:rPr>
        <w:t>]. Dostupné z: https://www.euroskop.cz/9035/sekce/prehled-fondu-eu/.</w:t>
      </w:r>
    </w:p>
    <w:p w:rsidR="008113FA" w:rsidRPr="008113FA" w:rsidRDefault="008113FA" w:rsidP="000208CE">
      <w:pPr>
        <w:spacing w:after="120"/>
        <w:ind w:firstLine="0"/>
        <w:rPr>
          <w:rFonts w:eastAsia="Calibri"/>
          <w:lang w:eastAsia="en-US"/>
        </w:rPr>
      </w:pPr>
      <w:r w:rsidRPr="008113FA">
        <w:rPr>
          <w:rFonts w:eastAsia="Calibri"/>
          <w:lang w:eastAsia="en-US"/>
        </w:rPr>
        <w:t xml:space="preserve">Ministerstvo vnitra České republiky. </w:t>
      </w:r>
      <w:r w:rsidRPr="000F6064">
        <w:rPr>
          <w:rFonts w:eastAsia="Calibri"/>
          <w:i/>
          <w:lang w:eastAsia="en-US"/>
        </w:rPr>
        <w:t>Obecné informace</w:t>
      </w:r>
      <w:r w:rsidRPr="008113FA">
        <w:rPr>
          <w:rFonts w:eastAsia="Calibri"/>
          <w:lang w:eastAsia="en-US"/>
        </w:rPr>
        <w:t xml:space="preserve">. [online]. 2020. [cit. </w:t>
      </w:r>
      <w:proofErr w:type="gramStart"/>
      <w:r w:rsidRPr="008113FA">
        <w:rPr>
          <w:rFonts w:eastAsia="Calibri"/>
          <w:lang w:eastAsia="en-US"/>
        </w:rPr>
        <w:t>04.02.2020</w:t>
      </w:r>
      <w:proofErr w:type="gramEnd"/>
      <w:r w:rsidRPr="008113FA">
        <w:rPr>
          <w:rFonts w:eastAsia="Calibri"/>
          <w:lang w:eastAsia="en-US"/>
        </w:rPr>
        <w:t>]. Dostupné z: https://www.mvcr.cz/clanek/fondy-eu-v-oblasti-vnitrnich-veci-obecne-informace.aspx?q=Y2hudW09Mg%3D%3D.</w:t>
      </w:r>
    </w:p>
    <w:p w:rsidR="008113FA" w:rsidRPr="008113FA" w:rsidRDefault="008113FA" w:rsidP="000208CE">
      <w:pPr>
        <w:spacing w:after="120"/>
        <w:ind w:firstLine="0"/>
        <w:rPr>
          <w:rFonts w:eastAsia="Calibri"/>
          <w:lang w:eastAsia="en-US"/>
        </w:rPr>
      </w:pPr>
      <w:r w:rsidRPr="008113FA">
        <w:rPr>
          <w:rFonts w:eastAsia="Calibri"/>
          <w:lang w:eastAsia="en-US"/>
        </w:rPr>
        <w:t xml:space="preserve">Nejvyšší kontrolní úřad. </w:t>
      </w:r>
      <w:r w:rsidRPr="008113FA">
        <w:rPr>
          <w:rFonts w:eastAsia="Calibri"/>
          <w:i/>
          <w:lang w:eastAsia="en-US"/>
        </w:rPr>
        <w:t>Statistika</w:t>
      </w:r>
      <w:r w:rsidRPr="008113FA">
        <w:rPr>
          <w:rFonts w:eastAsia="Calibri"/>
          <w:lang w:eastAsia="en-US"/>
        </w:rPr>
        <w:t xml:space="preserve">. [online]. 2020. [cit. </w:t>
      </w:r>
      <w:proofErr w:type="gramStart"/>
      <w:r w:rsidRPr="008113FA">
        <w:rPr>
          <w:rFonts w:eastAsia="Calibri"/>
          <w:lang w:eastAsia="en-US"/>
        </w:rPr>
        <w:t>10.02.2020</w:t>
      </w:r>
      <w:proofErr w:type="gramEnd"/>
      <w:r w:rsidRPr="008113FA">
        <w:rPr>
          <w:rFonts w:eastAsia="Calibri"/>
          <w:lang w:eastAsia="en-US"/>
        </w:rPr>
        <w:t>]. Dostupné z: https://www.nku.cz/cz/kontrola/statistiky/.</w:t>
      </w:r>
    </w:p>
    <w:p w:rsidR="008113FA" w:rsidRPr="008113FA" w:rsidRDefault="008113FA" w:rsidP="000208CE">
      <w:pPr>
        <w:spacing w:after="120"/>
        <w:ind w:firstLine="0"/>
        <w:rPr>
          <w:rFonts w:eastAsia="Calibri"/>
          <w:lang w:eastAsia="en-US"/>
        </w:rPr>
      </w:pPr>
      <w:r w:rsidRPr="008113FA">
        <w:rPr>
          <w:rFonts w:eastAsia="Calibri"/>
          <w:lang w:eastAsia="en-US"/>
        </w:rPr>
        <w:t xml:space="preserve">Oživení.cz. </w:t>
      </w:r>
      <w:r w:rsidRPr="008113FA">
        <w:rPr>
          <w:rFonts w:eastAsia="Calibri"/>
          <w:i/>
          <w:lang w:eastAsia="en-US"/>
        </w:rPr>
        <w:t>Dotace</w:t>
      </w:r>
      <w:r w:rsidRPr="008113FA">
        <w:rPr>
          <w:rFonts w:eastAsia="Calibri"/>
          <w:lang w:eastAsia="en-US"/>
        </w:rPr>
        <w:t xml:space="preserve">. [online]. 2020. [cit. </w:t>
      </w:r>
      <w:proofErr w:type="gramStart"/>
      <w:r w:rsidRPr="008113FA">
        <w:rPr>
          <w:rFonts w:eastAsia="Calibri"/>
          <w:lang w:eastAsia="en-US"/>
        </w:rPr>
        <w:t>11.02.2020</w:t>
      </w:r>
      <w:proofErr w:type="gramEnd"/>
      <w:r w:rsidRPr="008113FA">
        <w:rPr>
          <w:rFonts w:eastAsia="Calibri"/>
          <w:lang w:eastAsia="en-US"/>
        </w:rPr>
        <w:t>]. Dostupné z:  https://www.oziveni.cz/faqs/category/pravni-poradna-dotace/.</w:t>
      </w:r>
    </w:p>
    <w:p w:rsidR="008113FA" w:rsidRPr="008113FA" w:rsidRDefault="008113FA" w:rsidP="000208CE">
      <w:pPr>
        <w:spacing w:after="120"/>
        <w:ind w:firstLine="0"/>
        <w:rPr>
          <w:rFonts w:eastAsia="Calibri"/>
          <w:lang w:eastAsia="en-US"/>
        </w:rPr>
      </w:pPr>
      <w:r w:rsidRPr="008113FA">
        <w:rPr>
          <w:rFonts w:eastAsia="Calibri"/>
          <w:lang w:eastAsia="en-US"/>
        </w:rPr>
        <w:t xml:space="preserve">SFDI. </w:t>
      </w:r>
      <w:r w:rsidRPr="00864EBA">
        <w:rPr>
          <w:rFonts w:eastAsia="Calibri"/>
          <w:i/>
          <w:lang w:eastAsia="en-US"/>
        </w:rPr>
        <w:t>Zákon o SFDI</w:t>
      </w:r>
      <w:r w:rsidRPr="008113FA">
        <w:rPr>
          <w:rFonts w:eastAsia="Calibri"/>
          <w:lang w:eastAsia="en-US"/>
        </w:rPr>
        <w:t xml:space="preserve">. [online]. 2020. [cit. </w:t>
      </w:r>
      <w:proofErr w:type="gramStart"/>
      <w:r w:rsidRPr="008113FA">
        <w:rPr>
          <w:rFonts w:eastAsia="Calibri"/>
          <w:lang w:eastAsia="en-US"/>
        </w:rPr>
        <w:t>10.02.2020</w:t>
      </w:r>
      <w:proofErr w:type="gramEnd"/>
      <w:r w:rsidRPr="008113FA">
        <w:rPr>
          <w:rFonts w:eastAsia="Calibri"/>
          <w:lang w:eastAsia="en-US"/>
        </w:rPr>
        <w:t>]. Dostupné z:https://www.sfdi.cz/zakladni-informace/zakon-o-sfdi/.</w:t>
      </w:r>
    </w:p>
    <w:p w:rsidR="000F7182" w:rsidRDefault="00864EBA" w:rsidP="000208CE">
      <w:pPr>
        <w:spacing w:after="120"/>
        <w:ind w:firstLine="0"/>
        <w:rPr>
          <w:rFonts w:eastAsia="Calibri"/>
        </w:rPr>
      </w:pPr>
      <w:r w:rsidRPr="00864EBA">
        <w:t>Státní zemědělský intervenční fond</w:t>
      </w:r>
      <w:r w:rsidR="000F7182" w:rsidRPr="00864EBA">
        <w:t>.</w:t>
      </w:r>
      <w:r w:rsidR="000F7182">
        <w:t xml:space="preserve"> </w:t>
      </w:r>
      <w:r w:rsidRPr="00864EBA">
        <w:rPr>
          <w:i/>
        </w:rPr>
        <w:t>O nás</w:t>
      </w:r>
      <w:r w:rsidR="000F7182">
        <w:t xml:space="preserve">. [online]. 2013. [cit. </w:t>
      </w:r>
      <w:proofErr w:type="gramStart"/>
      <w:r w:rsidR="000F7182">
        <w:t>17.03.2020</w:t>
      </w:r>
      <w:proofErr w:type="gramEnd"/>
      <w:r w:rsidR="000F7182">
        <w:t xml:space="preserve">]. Dostupné z: </w:t>
      </w:r>
      <w:r w:rsidR="000F7182" w:rsidRPr="000F7182">
        <w:rPr>
          <w:rFonts w:eastAsia="Calibri"/>
        </w:rPr>
        <w:t>https://www.szif.cz/cs/o-nas</w:t>
      </w:r>
      <w:r w:rsidR="000F7182">
        <w:rPr>
          <w:rFonts w:eastAsia="Calibri"/>
        </w:rPr>
        <w:t>.</w:t>
      </w:r>
    </w:p>
    <w:p w:rsidR="00AE7702" w:rsidRDefault="008113FA" w:rsidP="000208CE">
      <w:pPr>
        <w:spacing w:after="120"/>
        <w:ind w:firstLine="0"/>
        <w:rPr>
          <w:rFonts w:eastAsia="Calibri"/>
          <w:lang w:eastAsia="en-US"/>
        </w:rPr>
      </w:pPr>
      <w:r w:rsidRPr="008113FA">
        <w:rPr>
          <w:rFonts w:eastAsia="Calibri"/>
          <w:lang w:eastAsia="en-US"/>
        </w:rPr>
        <w:t xml:space="preserve">Státní fond životního prostředí ČR. </w:t>
      </w:r>
      <w:r w:rsidRPr="008113FA">
        <w:rPr>
          <w:rFonts w:eastAsia="Calibri"/>
          <w:i/>
          <w:lang w:eastAsia="en-US"/>
        </w:rPr>
        <w:t>Hospodaření Fondu</w:t>
      </w:r>
      <w:r w:rsidRPr="008113FA">
        <w:rPr>
          <w:rFonts w:eastAsia="Calibri"/>
          <w:lang w:eastAsia="en-US"/>
        </w:rPr>
        <w:t xml:space="preserve">. [online]. 2020. [cit. </w:t>
      </w:r>
      <w:proofErr w:type="gramStart"/>
      <w:r w:rsidRPr="008113FA">
        <w:rPr>
          <w:rFonts w:eastAsia="Calibri"/>
          <w:lang w:eastAsia="en-US"/>
        </w:rPr>
        <w:t>10.02.2020</w:t>
      </w:r>
      <w:proofErr w:type="gramEnd"/>
      <w:r w:rsidRPr="008113FA">
        <w:rPr>
          <w:rFonts w:eastAsia="Calibri"/>
          <w:lang w:eastAsia="en-US"/>
        </w:rPr>
        <w:t>]. Dostupné z: https://www.sfzp.cz/o-sfzp-cr/o-nas/hospodareni-fondu/.</w:t>
      </w:r>
    </w:p>
    <w:p w:rsidR="006F7C2E" w:rsidRPr="00AB2090" w:rsidRDefault="006F7C2E" w:rsidP="000208CE">
      <w:pPr>
        <w:spacing w:after="120"/>
        <w:ind w:firstLine="0"/>
        <w:rPr>
          <w:rFonts w:eastAsia="Calibri"/>
          <w:b/>
          <w:lang w:eastAsia="en-US"/>
        </w:rPr>
      </w:pPr>
      <w:r w:rsidRPr="00AB2090">
        <w:rPr>
          <w:rFonts w:eastAsia="Calibri"/>
          <w:b/>
          <w:lang w:eastAsia="en-US"/>
        </w:rPr>
        <w:t>Legislativní zdroje:</w:t>
      </w:r>
    </w:p>
    <w:p w:rsidR="006F7C2E" w:rsidRPr="00AB2090" w:rsidRDefault="006F7C2E" w:rsidP="000208CE">
      <w:pPr>
        <w:spacing w:after="120"/>
        <w:ind w:firstLine="0"/>
        <w:rPr>
          <w:rFonts w:eastAsia="Calibri"/>
          <w:lang w:eastAsia="en-US"/>
        </w:rPr>
      </w:pPr>
      <w:r w:rsidRPr="00AB2090">
        <w:rPr>
          <w:rFonts w:eastAsia="Calibri"/>
          <w:lang w:eastAsia="en-US"/>
        </w:rPr>
        <w:t xml:space="preserve">Vláda České republiky, Oddělení EU fondů. </w:t>
      </w:r>
      <w:r w:rsidRPr="00AB2090">
        <w:rPr>
          <w:rFonts w:eastAsia="Calibri"/>
          <w:i/>
          <w:lang w:eastAsia="en-US"/>
        </w:rPr>
        <w:t xml:space="preserve">USNESENÍ VLÁDY ČESKÉ REPUBLIKY ze dne 28. listopadu 2012 č. 867. </w:t>
      </w:r>
      <w:r w:rsidRPr="00AB2090">
        <w:rPr>
          <w:rFonts w:eastAsia="Calibri"/>
          <w:lang w:eastAsia="en-US"/>
        </w:rPr>
        <w:t xml:space="preserve">[online]. 2012. [cit. </w:t>
      </w:r>
      <w:proofErr w:type="gramStart"/>
      <w:r w:rsidRPr="00AB2090">
        <w:rPr>
          <w:rFonts w:eastAsia="Calibri"/>
          <w:lang w:eastAsia="en-US"/>
        </w:rPr>
        <w:t>15.02.2020</w:t>
      </w:r>
      <w:proofErr w:type="gramEnd"/>
      <w:r w:rsidRPr="00AB2090">
        <w:rPr>
          <w:rFonts w:eastAsia="Calibri"/>
          <w:lang w:eastAsia="en-US"/>
        </w:rPr>
        <w:t>]. Dostupné z: https://apps.odok.cz/djv-agenda?date=2012-11-28.</w:t>
      </w:r>
    </w:p>
    <w:p w:rsidR="006F7C2E" w:rsidRPr="00AB2090" w:rsidRDefault="006F7C2E" w:rsidP="000208CE">
      <w:pPr>
        <w:spacing w:after="120"/>
        <w:ind w:firstLine="0"/>
        <w:rPr>
          <w:rFonts w:eastAsia="Calibri"/>
          <w:lang w:eastAsia="en-US"/>
        </w:rPr>
      </w:pPr>
      <w:r w:rsidRPr="00AB2090">
        <w:rPr>
          <w:rFonts w:eastAsia="Calibri"/>
          <w:lang w:eastAsia="en-US"/>
        </w:rPr>
        <w:t>Zákon č. 218/2000 Sb., o rozpočtových pravidlech a o změně některých souvisejících zákonů (rozpočtová pravidla).</w:t>
      </w:r>
    </w:p>
    <w:p w:rsidR="006F7C2E" w:rsidRPr="00AB2090" w:rsidRDefault="006F7C2E" w:rsidP="000208CE">
      <w:pPr>
        <w:spacing w:after="120"/>
        <w:ind w:firstLine="0"/>
        <w:rPr>
          <w:rFonts w:eastAsia="Calibri"/>
          <w:lang w:eastAsia="en-US"/>
        </w:rPr>
      </w:pPr>
      <w:r w:rsidRPr="00AB2090">
        <w:rPr>
          <w:rFonts w:eastAsia="Calibri"/>
          <w:lang w:eastAsia="en-US"/>
        </w:rPr>
        <w:t>Zákon č. 479/2003 Sb., kterým se mění zákon č. 218/2000 Sb., o rozpočtových pravidlech a o změně některých souvisejících zákonů (rozpočtová pravidla), ve znění pozdějších předpisů, zákon č. 337/1992 Sb., o správě daní a poplatků, ve znění pozdějších předpisů, a zákon č. 353/2003 Sb., o spotřebních daních.</w:t>
      </w:r>
    </w:p>
    <w:p w:rsidR="006F7C2E" w:rsidRPr="00AB2090" w:rsidRDefault="006F7C2E" w:rsidP="000208CE">
      <w:pPr>
        <w:spacing w:after="120"/>
        <w:ind w:firstLine="0"/>
        <w:rPr>
          <w:rFonts w:eastAsia="Calibri"/>
          <w:lang w:eastAsia="en-US"/>
        </w:rPr>
      </w:pPr>
      <w:r w:rsidRPr="00AB2090">
        <w:rPr>
          <w:rFonts w:eastAsia="Calibri"/>
          <w:lang w:eastAsia="en-US"/>
        </w:rPr>
        <w:lastRenderedPageBreak/>
        <w:t>Zákon č. 482/2004 Sb., kterým se mění zákon č. 218/2000 Sb., o rozpočtových pravidlech a o změně některých souvisejících zákonů (rozpočtová pravidla), ve znění pozdějších předpisů, a některé další zákony.</w:t>
      </w:r>
    </w:p>
    <w:p w:rsidR="006F7C2E" w:rsidRPr="00AB2090" w:rsidRDefault="006F7C2E" w:rsidP="000208CE">
      <w:pPr>
        <w:spacing w:after="120"/>
        <w:ind w:firstLine="0"/>
        <w:rPr>
          <w:rFonts w:eastAsia="Calibri"/>
          <w:lang w:eastAsia="en-US"/>
        </w:rPr>
      </w:pPr>
      <w:r w:rsidRPr="00AB2090">
        <w:rPr>
          <w:rFonts w:eastAsia="Calibri"/>
          <w:lang w:eastAsia="en-US"/>
        </w:rPr>
        <w:t>Zákon č. 26/2008 Sb., kterým se mění zákon č. 218/2000 Sb., o rozpočtových pravidlech a o změně některých souvisejících zákonů (rozpočtová pravidla), ve znění pozdějších předpisů, a další související zákony.</w:t>
      </w:r>
    </w:p>
    <w:p w:rsidR="006F7C2E" w:rsidRPr="00AB2090" w:rsidRDefault="006F7C2E" w:rsidP="000208CE">
      <w:pPr>
        <w:spacing w:after="120"/>
        <w:ind w:firstLine="0"/>
        <w:rPr>
          <w:rFonts w:eastAsia="Calibri"/>
          <w:lang w:eastAsia="en-US"/>
        </w:rPr>
      </w:pPr>
      <w:r w:rsidRPr="00AB2090">
        <w:rPr>
          <w:rFonts w:eastAsia="Calibri"/>
          <w:lang w:eastAsia="en-US"/>
        </w:rPr>
        <w:t>Zákon č. 465/2011 Sb., kterým se mění zákon č. 218/2000 Sb., o rozpočtových pravidlech a o  změně některých souvisejících zákonů (rozpočtová pravidla), ve znění pozdějších předpisů, a některé další zákony.</w:t>
      </w:r>
    </w:p>
    <w:p w:rsidR="006F7C2E" w:rsidRPr="00AB2090" w:rsidRDefault="006F7C2E" w:rsidP="000208CE">
      <w:pPr>
        <w:spacing w:after="120"/>
        <w:ind w:firstLine="0"/>
        <w:rPr>
          <w:rFonts w:eastAsia="Calibri"/>
          <w:lang w:eastAsia="en-US"/>
        </w:rPr>
      </w:pPr>
      <w:r w:rsidRPr="00AB2090">
        <w:rPr>
          <w:rFonts w:eastAsia="Calibri"/>
          <w:lang w:eastAsia="en-US"/>
        </w:rPr>
        <w:t>Zákon č. 25/2015 Sb.,</w:t>
      </w:r>
      <w:r w:rsidRPr="00AB2090">
        <w:t xml:space="preserve"> </w:t>
      </w:r>
      <w:r w:rsidRPr="00AB2090">
        <w:rPr>
          <w:rFonts w:eastAsia="Calibri"/>
          <w:lang w:eastAsia="en-US"/>
        </w:rPr>
        <w:t>kterým se mění zákon č. 218/2000 Sb., o rozpočtových pravidlech a o  změně některých souvisejících zákonů (rozpočtová pravidla), ve znění pozdějších předpisů.</w:t>
      </w:r>
    </w:p>
    <w:p w:rsidR="006F7C2E" w:rsidRPr="00AB2090" w:rsidRDefault="006F7C2E" w:rsidP="000208CE">
      <w:pPr>
        <w:spacing w:after="120"/>
        <w:ind w:firstLine="0"/>
        <w:rPr>
          <w:rFonts w:eastAsia="Calibri"/>
          <w:lang w:eastAsia="en-US"/>
        </w:rPr>
      </w:pPr>
      <w:r w:rsidRPr="00AB2090">
        <w:rPr>
          <w:rFonts w:eastAsia="Calibri"/>
          <w:lang w:eastAsia="en-US"/>
        </w:rPr>
        <w:t>Zákon č. 128/2016 Sb., kterým se mění zákon č. 218/2000 Sb., o rozpočtových pravidlech a o změně některých souvisejících zákonů (rozpočtová pravidla), ve znění pozdějších předpisů, a některé další zákony.</w:t>
      </w:r>
    </w:p>
    <w:p w:rsidR="006F7C2E" w:rsidRPr="00AB2090" w:rsidRDefault="006F7C2E" w:rsidP="000208CE">
      <w:pPr>
        <w:spacing w:after="120"/>
        <w:ind w:firstLine="0"/>
        <w:rPr>
          <w:rFonts w:eastAsia="Calibri"/>
          <w:i/>
          <w:lang w:eastAsia="en-US"/>
        </w:rPr>
      </w:pPr>
      <w:r w:rsidRPr="00AB2090">
        <w:rPr>
          <w:rFonts w:eastAsia="Calibri"/>
          <w:lang w:eastAsia="en-US"/>
        </w:rPr>
        <w:t>Zákon č. 367/2017 Sb., kterým se mění zákon č. 218/2000 Sb., o rozpočtových pravidlech a o změně některých souvisejících zákonů (rozpočtová pravidla), ve znění pozdějších předpisů, a další související zákony.</w:t>
      </w:r>
    </w:p>
    <w:p w:rsidR="006F7C2E" w:rsidRDefault="006F7C2E" w:rsidP="000208CE">
      <w:pPr>
        <w:spacing w:after="120"/>
        <w:ind w:firstLine="0"/>
        <w:rPr>
          <w:rFonts w:eastAsia="Calibri"/>
          <w:lang w:eastAsia="en-US"/>
        </w:rPr>
      </w:pPr>
      <w:r>
        <w:rPr>
          <w:rFonts w:eastAsia="Calibri"/>
          <w:lang w:eastAsia="en-US"/>
        </w:rPr>
        <w:t>Zákon č. 280/2009 Sb., daňový řád.</w:t>
      </w:r>
    </w:p>
    <w:p w:rsidR="006F7C2E" w:rsidRPr="00AB2090" w:rsidRDefault="006F7C2E" w:rsidP="000208CE">
      <w:pPr>
        <w:spacing w:after="120"/>
        <w:ind w:firstLine="0"/>
        <w:rPr>
          <w:rFonts w:eastAsia="Calibri"/>
          <w:lang w:eastAsia="en-US"/>
        </w:rPr>
      </w:pPr>
      <w:r w:rsidRPr="00AB2090">
        <w:rPr>
          <w:rFonts w:eastAsia="Calibri"/>
          <w:lang w:eastAsia="en-US"/>
        </w:rPr>
        <w:t>Zákon č. 531/1990 Sb., o územních finančních orgánech.</w:t>
      </w:r>
    </w:p>
    <w:p w:rsidR="008113FA" w:rsidRPr="00AB2090" w:rsidRDefault="006F7C2E" w:rsidP="000208CE">
      <w:pPr>
        <w:spacing w:after="120"/>
        <w:ind w:firstLine="0"/>
        <w:rPr>
          <w:rFonts w:eastAsia="Calibri"/>
          <w:lang w:eastAsia="en-US"/>
        </w:rPr>
      </w:pPr>
      <w:r w:rsidRPr="00AB2090">
        <w:rPr>
          <w:rFonts w:eastAsia="Calibri"/>
          <w:lang w:eastAsia="en-US"/>
        </w:rPr>
        <w:t>Zákon č. 456/2011 Sb., o Finanční správě České republiky.</w:t>
      </w:r>
    </w:p>
    <w:p w:rsidR="00FA7316" w:rsidRPr="00AB2090" w:rsidRDefault="00FA7316" w:rsidP="000208CE">
      <w:pPr>
        <w:spacing w:after="120"/>
        <w:ind w:firstLine="0"/>
        <w:rPr>
          <w:rFonts w:eastAsia="Calibri"/>
          <w:b/>
          <w:lang w:eastAsia="en-US"/>
        </w:rPr>
      </w:pPr>
      <w:r w:rsidRPr="00AB2090">
        <w:rPr>
          <w:rFonts w:eastAsia="Calibri"/>
          <w:b/>
          <w:lang w:eastAsia="en-US"/>
        </w:rPr>
        <w:t>Jiné zdroje:</w:t>
      </w:r>
    </w:p>
    <w:p w:rsidR="00FA7316" w:rsidRPr="00AB2090" w:rsidRDefault="001211D3" w:rsidP="000208CE">
      <w:pPr>
        <w:spacing w:after="120"/>
        <w:ind w:firstLine="0"/>
      </w:pPr>
      <w:r w:rsidRPr="00AB2090">
        <w:t xml:space="preserve">Automatizovaný systém právních informací, </w:t>
      </w:r>
      <w:r w:rsidR="00FA7316" w:rsidRPr="00AB2090">
        <w:t xml:space="preserve">ASPI, </w:t>
      </w:r>
      <w:proofErr w:type="spellStart"/>
      <w:r w:rsidR="00FA7316" w:rsidRPr="00AB2090">
        <w:t>Wolters</w:t>
      </w:r>
      <w:proofErr w:type="spellEnd"/>
      <w:r w:rsidR="00FA7316" w:rsidRPr="00AB2090">
        <w:t xml:space="preserve"> </w:t>
      </w:r>
      <w:proofErr w:type="spellStart"/>
      <w:r w:rsidR="00FA7316" w:rsidRPr="00AB2090">
        <w:t>Kluwer</w:t>
      </w:r>
      <w:proofErr w:type="spellEnd"/>
      <w:r w:rsidR="00FA7316" w:rsidRPr="00AB2090">
        <w:t xml:space="preserve"> ČR, a.s., IČ: 63077639.</w:t>
      </w:r>
    </w:p>
    <w:p w:rsidR="00F6519C" w:rsidRPr="00F6519C" w:rsidRDefault="001211D3" w:rsidP="000208CE">
      <w:pPr>
        <w:spacing w:after="120"/>
        <w:ind w:firstLine="0"/>
        <w:rPr>
          <w:rFonts w:eastAsia="Calibri"/>
          <w:strike/>
          <w:szCs w:val="22"/>
          <w:lang w:eastAsia="en-US"/>
        </w:rPr>
      </w:pPr>
      <w:r w:rsidRPr="00AB2090">
        <w:t xml:space="preserve">Informační systém Centrální evidence dotací z rozpočtu, IS </w:t>
      </w:r>
      <w:r w:rsidR="00FA7316" w:rsidRPr="00AB2090">
        <w:t>CEDR, ASD Software, s.r.o., IČ:</w:t>
      </w:r>
      <w:r w:rsidRPr="00AB2090">
        <w:t> </w:t>
      </w:r>
      <w:r w:rsidR="00FA7316" w:rsidRPr="00AB2090">
        <w:t>62363930</w:t>
      </w:r>
      <w:r w:rsidR="00AB2090">
        <w:t>.</w:t>
      </w:r>
      <w:r w:rsidR="00FA7316" w:rsidRPr="00AB2090">
        <w:t xml:space="preserve"> </w:t>
      </w:r>
    </w:p>
    <w:p w:rsidR="005474C1" w:rsidRDefault="005474C1" w:rsidP="00D830D7">
      <w:pPr>
        <w:spacing w:after="160" w:line="259" w:lineRule="auto"/>
        <w:ind w:firstLine="0"/>
        <w:rPr>
          <w:rFonts w:eastAsia="Calibri"/>
          <w:b/>
          <w:szCs w:val="22"/>
          <w:highlight w:val="yellow"/>
          <w:lang w:eastAsia="en-US"/>
        </w:rPr>
      </w:pPr>
    </w:p>
    <w:p w:rsidR="007D2817" w:rsidRDefault="007D2817" w:rsidP="007D2817">
      <w:pPr>
        <w:pStyle w:val="Tomk"/>
        <w:numPr>
          <w:ilvl w:val="0"/>
          <w:numId w:val="0"/>
        </w:numPr>
        <w:ind w:left="360" w:hanging="360"/>
        <w:rPr>
          <w:rFonts w:cs="Times New Roman"/>
        </w:rPr>
      </w:pPr>
      <w:bookmarkStart w:id="64" w:name="_Toc38385273"/>
      <w:r>
        <w:rPr>
          <w:rFonts w:cs="Times New Roman"/>
        </w:rPr>
        <w:lastRenderedPageBreak/>
        <w:t>SEZNAM ZKRATEK</w:t>
      </w:r>
      <w:bookmarkEnd w:id="64"/>
    </w:p>
    <w:p w:rsidR="00D0566D" w:rsidRDefault="00D0566D" w:rsidP="007D2817">
      <w:pPr>
        <w:ind w:firstLine="0"/>
      </w:pPr>
      <w:r>
        <w:t>DŘ – z</w:t>
      </w:r>
      <w:r w:rsidRPr="004A7D38">
        <w:t>ákon č. 280/2009 Sb., daňový řád, ve znění pozdějších předpisů</w:t>
      </w:r>
    </w:p>
    <w:p w:rsidR="00DF133B" w:rsidRDefault="00DF133B" w:rsidP="007D2817">
      <w:pPr>
        <w:ind w:firstLine="0"/>
      </w:pPr>
      <w:r>
        <w:t xml:space="preserve">EFRR – </w:t>
      </w:r>
      <w:r w:rsidRPr="00DF133B">
        <w:t>Evropský fond pro regionální rozvoj</w:t>
      </w:r>
    </w:p>
    <w:p w:rsidR="00DF133B" w:rsidRDefault="00DF133B" w:rsidP="007D2817">
      <w:pPr>
        <w:ind w:firstLine="0"/>
      </w:pPr>
      <w:r>
        <w:t xml:space="preserve">ENF – </w:t>
      </w:r>
      <w:r w:rsidRPr="00DF133B">
        <w:t>Evropsk</w:t>
      </w:r>
      <w:r>
        <w:t>ý</w:t>
      </w:r>
      <w:r w:rsidRPr="00DF133B">
        <w:t xml:space="preserve"> námořní a rybářsk</w:t>
      </w:r>
      <w:r>
        <w:t>ý</w:t>
      </w:r>
      <w:r w:rsidRPr="00DF133B">
        <w:t xml:space="preserve"> fond</w:t>
      </w:r>
    </w:p>
    <w:p w:rsidR="00DF133B" w:rsidRDefault="00DF133B" w:rsidP="007D2817">
      <w:pPr>
        <w:ind w:firstLine="0"/>
      </w:pPr>
      <w:r>
        <w:t xml:space="preserve">ESF – </w:t>
      </w:r>
      <w:r w:rsidRPr="00DF133B">
        <w:t>Evropsk</w:t>
      </w:r>
      <w:r>
        <w:t>ý</w:t>
      </w:r>
      <w:r w:rsidRPr="00DF133B">
        <w:t xml:space="preserve"> sociální fond</w:t>
      </w:r>
    </w:p>
    <w:p w:rsidR="007D2817" w:rsidRDefault="007D2817" w:rsidP="007D2817">
      <w:pPr>
        <w:ind w:firstLine="0"/>
      </w:pPr>
      <w:r>
        <w:t>ESI – Evropské strukturální a investiční fondy</w:t>
      </w:r>
    </w:p>
    <w:p w:rsidR="00DF133B" w:rsidRDefault="00DF133B" w:rsidP="007D2817">
      <w:pPr>
        <w:ind w:firstLine="0"/>
      </w:pPr>
      <w:r>
        <w:t xml:space="preserve">EZFRV – </w:t>
      </w:r>
      <w:r w:rsidRPr="00DF133B">
        <w:t>Evropsk</w:t>
      </w:r>
      <w:r>
        <w:t>ý</w:t>
      </w:r>
      <w:r w:rsidRPr="00DF133B">
        <w:t xml:space="preserve"> zemědělsk</w:t>
      </w:r>
      <w:r>
        <w:t>ý</w:t>
      </w:r>
      <w:r w:rsidRPr="00DF133B">
        <w:t xml:space="preserve"> fond pro rozvoj venkova</w:t>
      </w:r>
    </w:p>
    <w:p w:rsidR="00DF133B" w:rsidRDefault="00DF133B" w:rsidP="007D2817">
      <w:pPr>
        <w:ind w:firstLine="0"/>
      </w:pPr>
      <w:r>
        <w:t xml:space="preserve">FS – </w:t>
      </w:r>
      <w:r w:rsidRPr="00DF133B">
        <w:t>Fond soudržnosti</w:t>
      </w:r>
    </w:p>
    <w:p w:rsidR="00DF133B" w:rsidRDefault="00DF133B" w:rsidP="007D2817">
      <w:pPr>
        <w:ind w:firstLine="0"/>
      </w:pPr>
      <w:r>
        <w:t>GFŘ – Generální finanční ředitelství</w:t>
      </w:r>
    </w:p>
    <w:p w:rsidR="007D2817" w:rsidRDefault="007D2817" w:rsidP="007D2817">
      <w:pPr>
        <w:ind w:firstLine="0"/>
      </w:pPr>
      <w:r>
        <w:t>NF – Národní fond</w:t>
      </w:r>
    </w:p>
    <w:p w:rsidR="007D2817" w:rsidRDefault="007D2817" w:rsidP="007D2817">
      <w:pPr>
        <w:ind w:firstLine="0"/>
      </w:pPr>
      <w:r>
        <w:t>NFV – návratná finanční výpomoc</w:t>
      </w:r>
    </w:p>
    <w:p w:rsidR="007D2817" w:rsidRDefault="007D2817" w:rsidP="007D2817">
      <w:pPr>
        <w:ind w:firstLine="0"/>
      </w:pPr>
      <w:r>
        <w:t>NOK – Národní koordinační orgán</w:t>
      </w:r>
    </w:p>
    <w:p w:rsidR="007D2817" w:rsidRDefault="007D2817" w:rsidP="007D2817">
      <w:pPr>
        <w:ind w:firstLine="0"/>
      </w:pPr>
      <w:r>
        <w:t>OP – operační program</w:t>
      </w:r>
    </w:p>
    <w:p w:rsidR="00392344" w:rsidRDefault="00392344" w:rsidP="007D2817">
      <w:pPr>
        <w:ind w:firstLine="0"/>
      </w:pPr>
      <w:r>
        <w:t>OSS – organizační složky státu</w:t>
      </w:r>
    </w:p>
    <w:p w:rsidR="007D2817" w:rsidRDefault="007D2817" w:rsidP="007D2817">
      <w:pPr>
        <w:ind w:firstLine="0"/>
      </w:pPr>
      <w:r>
        <w:t>PCO – Platební a certifikační orgán</w:t>
      </w:r>
    </w:p>
    <w:p w:rsidR="005F6006" w:rsidRDefault="007D2817" w:rsidP="007D2817">
      <w:pPr>
        <w:ind w:left="709" w:hanging="709"/>
      </w:pPr>
      <w:r>
        <w:t>PRK –</w:t>
      </w:r>
      <w:r w:rsidR="005F6006">
        <w:t xml:space="preserve"> porušení rozpočtové kázně</w:t>
      </w:r>
    </w:p>
    <w:p w:rsidR="007D2817" w:rsidRDefault="005F6006" w:rsidP="00D0566D">
      <w:pPr>
        <w:ind w:left="567" w:hanging="567"/>
      </w:pPr>
      <w:r>
        <w:t xml:space="preserve">RP – </w:t>
      </w:r>
      <w:r w:rsidR="007D2817">
        <w:t>zákon o rozpočtových pravidlech, zákona č. 218/2000 Sb., o rozpočtových pravidlech a</w:t>
      </w:r>
      <w:r w:rsidR="00D0566D">
        <w:t> </w:t>
      </w:r>
      <w:r w:rsidR="007D2817">
        <w:t>o</w:t>
      </w:r>
      <w:r w:rsidR="00D0566D">
        <w:t> </w:t>
      </w:r>
      <w:r w:rsidR="007D2817">
        <w:t xml:space="preserve">změně některých souvisejících zákonů (rozpočtová pravidla) </w:t>
      </w:r>
    </w:p>
    <w:p w:rsidR="007D2817" w:rsidRDefault="007D2817" w:rsidP="007D2817">
      <w:pPr>
        <w:ind w:firstLine="0"/>
      </w:pPr>
      <w:r>
        <w:t>SR – státní rozpočet</w:t>
      </w:r>
    </w:p>
    <w:p w:rsidR="00FD35F8" w:rsidRDefault="00FD35F8" w:rsidP="00FD35F8">
      <w:pPr>
        <w:pStyle w:val="Tomk"/>
        <w:numPr>
          <w:ilvl w:val="0"/>
          <w:numId w:val="0"/>
        </w:numPr>
        <w:ind w:left="360" w:hanging="360"/>
        <w:rPr>
          <w:rFonts w:cs="Times New Roman"/>
        </w:rPr>
      </w:pPr>
      <w:bookmarkStart w:id="65" w:name="_Toc38385274"/>
      <w:r w:rsidRPr="00D830D7">
        <w:rPr>
          <w:rFonts w:cs="Times New Roman"/>
        </w:rPr>
        <w:lastRenderedPageBreak/>
        <w:t xml:space="preserve">SEZNAM </w:t>
      </w:r>
      <w:r>
        <w:rPr>
          <w:rFonts w:cs="Times New Roman"/>
        </w:rPr>
        <w:t>OBRÁZKŮ</w:t>
      </w:r>
      <w:bookmarkEnd w:id="65"/>
    </w:p>
    <w:p w:rsidR="00236D9A" w:rsidRDefault="009203F6" w:rsidP="00236D9A">
      <w:pPr>
        <w:pStyle w:val="Seznamobrzk"/>
        <w:tabs>
          <w:tab w:val="right" w:leader="dot" w:pos="9060"/>
        </w:tabs>
        <w:ind w:firstLine="0"/>
        <w:rPr>
          <w:rFonts w:asciiTheme="minorHAnsi" w:eastAsiaTheme="minorEastAsia" w:hAnsiTheme="minorHAnsi" w:cstheme="minorBidi"/>
          <w:noProof/>
          <w:sz w:val="22"/>
          <w:szCs w:val="22"/>
        </w:rPr>
      </w:pPr>
      <w:r>
        <w:rPr>
          <w:rFonts w:eastAsiaTheme="minorHAnsi"/>
          <w:color w:val="000000"/>
          <w:lang w:eastAsia="en-US"/>
        </w:rPr>
        <w:fldChar w:fldCharType="begin"/>
      </w:r>
      <w:r>
        <w:rPr>
          <w:rFonts w:eastAsiaTheme="minorHAnsi"/>
          <w:color w:val="000000"/>
          <w:lang w:eastAsia="en-US"/>
        </w:rPr>
        <w:instrText xml:space="preserve"> TOC \c "Obr." </w:instrText>
      </w:r>
      <w:r>
        <w:rPr>
          <w:rFonts w:eastAsiaTheme="minorHAnsi"/>
          <w:color w:val="000000"/>
          <w:lang w:eastAsia="en-US"/>
        </w:rPr>
        <w:fldChar w:fldCharType="separate"/>
      </w:r>
      <w:r w:rsidR="00236D9A">
        <w:rPr>
          <w:noProof/>
        </w:rPr>
        <w:t>Obr. 1: Schéma implementační struktury v oblasti evropských fondů</w:t>
      </w:r>
      <w:r w:rsidR="00236D9A">
        <w:rPr>
          <w:noProof/>
        </w:rPr>
        <w:tab/>
      </w:r>
      <w:r w:rsidR="00236D9A">
        <w:rPr>
          <w:noProof/>
        </w:rPr>
        <w:fldChar w:fldCharType="begin"/>
      </w:r>
      <w:r w:rsidR="00236D9A">
        <w:rPr>
          <w:noProof/>
        </w:rPr>
        <w:instrText xml:space="preserve"> PAGEREF _Toc38398858 \h </w:instrText>
      </w:r>
      <w:r w:rsidR="00236D9A">
        <w:rPr>
          <w:noProof/>
        </w:rPr>
      </w:r>
      <w:r w:rsidR="00236D9A">
        <w:rPr>
          <w:noProof/>
        </w:rPr>
        <w:fldChar w:fldCharType="separate"/>
      </w:r>
      <w:r w:rsidR="00236D9A">
        <w:rPr>
          <w:noProof/>
        </w:rPr>
        <w:t>25</w:t>
      </w:r>
      <w:r w:rsidR="00236D9A">
        <w:rPr>
          <w:noProof/>
        </w:rPr>
        <w:fldChar w:fldCharType="end"/>
      </w:r>
    </w:p>
    <w:p w:rsidR="00FD35F8" w:rsidRPr="009203F6" w:rsidRDefault="009203F6" w:rsidP="00FD35F8">
      <w:pPr>
        <w:ind w:firstLine="0"/>
        <w:rPr>
          <w:rFonts w:eastAsiaTheme="minorHAnsi"/>
          <w:color w:val="000000"/>
          <w:lang w:eastAsia="en-US"/>
        </w:rPr>
      </w:pPr>
      <w:r>
        <w:rPr>
          <w:rFonts w:eastAsiaTheme="minorHAnsi"/>
          <w:color w:val="000000"/>
          <w:lang w:eastAsia="en-US"/>
        </w:rPr>
        <w:fldChar w:fldCharType="end"/>
      </w:r>
    </w:p>
    <w:p w:rsidR="00D830D7" w:rsidRDefault="00D830D7" w:rsidP="00D830D7">
      <w:pPr>
        <w:pStyle w:val="Tomk"/>
        <w:numPr>
          <w:ilvl w:val="0"/>
          <w:numId w:val="0"/>
        </w:numPr>
        <w:ind w:left="360" w:hanging="360"/>
        <w:rPr>
          <w:rFonts w:cs="Times New Roman"/>
        </w:rPr>
      </w:pPr>
      <w:bookmarkStart w:id="66" w:name="_Toc38385275"/>
      <w:r w:rsidRPr="00D830D7">
        <w:rPr>
          <w:rFonts w:cs="Times New Roman"/>
        </w:rPr>
        <w:lastRenderedPageBreak/>
        <w:t xml:space="preserve">SEZNAM </w:t>
      </w:r>
      <w:r w:rsidR="0073326F" w:rsidRPr="00D830D7">
        <w:rPr>
          <w:rFonts w:cs="Times New Roman"/>
        </w:rPr>
        <w:t>TABULEK</w:t>
      </w:r>
      <w:bookmarkEnd w:id="66"/>
    </w:p>
    <w:p w:rsidR="009337F8" w:rsidRDefault="00D520F4" w:rsidP="009337F8">
      <w:pPr>
        <w:pStyle w:val="Seznamobrzk"/>
        <w:tabs>
          <w:tab w:val="right" w:leader="dot" w:pos="9060"/>
        </w:tabs>
        <w:ind w:firstLine="0"/>
        <w:rPr>
          <w:rFonts w:asciiTheme="minorHAnsi" w:eastAsiaTheme="minorEastAsia" w:hAnsiTheme="minorHAnsi" w:cstheme="minorBidi"/>
          <w:noProof/>
          <w:sz w:val="22"/>
          <w:szCs w:val="22"/>
        </w:rPr>
      </w:pPr>
      <w:r>
        <w:fldChar w:fldCharType="begin"/>
      </w:r>
      <w:r>
        <w:instrText xml:space="preserve"> TOC \h \z \c "Tabulka č." </w:instrText>
      </w:r>
      <w:r>
        <w:fldChar w:fldCharType="separate"/>
      </w:r>
      <w:hyperlink w:anchor="_Toc38385466" w:history="1">
        <w:r w:rsidR="009337F8" w:rsidRPr="00F27FFD">
          <w:rPr>
            <w:rStyle w:val="Hypertextovodkaz"/>
            <w:rFonts w:eastAsia="Calibri"/>
            <w:noProof/>
          </w:rPr>
          <w:t>Tabulka č. 1: Operační programy v programovém období 2014–2020</w:t>
        </w:r>
        <w:r w:rsidR="009337F8">
          <w:rPr>
            <w:noProof/>
            <w:webHidden/>
          </w:rPr>
          <w:tab/>
        </w:r>
        <w:r w:rsidR="009337F8">
          <w:rPr>
            <w:noProof/>
            <w:webHidden/>
          </w:rPr>
          <w:fldChar w:fldCharType="begin"/>
        </w:r>
        <w:r w:rsidR="009337F8">
          <w:rPr>
            <w:noProof/>
            <w:webHidden/>
          </w:rPr>
          <w:instrText xml:space="preserve"> PAGEREF _Toc38385466 \h </w:instrText>
        </w:r>
        <w:r w:rsidR="009337F8">
          <w:rPr>
            <w:noProof/>
            <w:webHidden/>
          </w:rPr>
        </w:r>
        <w:r w:rsidR="009337F8">
          <w:rPr>
            <w:noProof/>
            <w:webHidden/>
          </w:rPr>
          <w:fldChar w:fldCharType="separate"/>
        </w:r>
        <w:r w:rsidR="00236D9A">
          <w:rPr>
            <w:noProof/>
            <w:webHidden/>
          </w:rPr>
          <w:t>17</w:t>
        </w:r>
        <w:r w:rsidR="009337F8">
          <w:rPr>
            <w:noProof/>
            <w:webHidden/>
          </w:rPr>
          <w:fldChar w:fldCharType="end"/>
        </w:r>
      </w:hyperlink>
    </w:p>
    <w:p w:rsidR="009337F8" w:rsidRDefault="005230E1" w:rsidP="009337F8">
      <w:pPr>
        <w:pStyle w:val="Seznamobrzk"/>
        <w:tabs>
          <w:tab w:val="right" w:leader="dot" w:pos="9060"/>
        </w:tabs>
        <w:ind w:firstLine="0"/>
        <w:rPr>
          <w:rFonts w:asciiTheme="minorHAnsi" w:eastAsiaTheme="minorEastAsia" w:hAnsiTheme="minorHAnsi" w:cstheme="minorBidi"/>
          <w:noProof/>
          <w:sz w:val="22"/>
          <w:szCs w:val="22"/>
        </w:rPr>
      </w:pPr>
      <w:hyperlink w:anchor="_Toc38385467" w:history="1">
        <w:r w:rsidR="009337F8" w:rsidRPr="00F27FFD">
          <w:rPr>
            <w:rStyle w:val="Hypertextovodkaz"/>
            <w:rFonts w:eastAsia="Calibri"/>
            <w:noProof/>
          </w:rPr>
          <w:t>Tabulka č. 2: Stav čerpání v programovém období 2014–2020 k 31. 12. 2019, členění podle fondů</w:t>
        </w:r>
        <w:r w:rsidR="009337F8">
          <w:rPr>
            <w:noProof/>
            <w:webHidden/>
          </w:rPr>
          <w:tab/>
        </w:r>
        <w:r w:rsidR="009337F8">
          <w:rPr>
            <w:noProof/>
            <w:webHidden/>
          </w:rPr>
          <w:fldChar w:fldCharType="begin"/>
        </w:r>
        <w:r w:rsidR="009337F8">
          <w:rPr>
            <w:noProof/>
            <w:webHidden/>
          </w:rPr>
          <w:instrText xml:space="preserve"> PAGEREF _Toc38385467 \h </w:instrText>
        </w:r>
        <w:r w:rsidR="009337F8">
          <w:rPr>
            <w:noProof/>
            <w:webHidden/>
          </w:rPr>
        </w:r>
        <w:r w:rsidR="009337F8">
          <w:rPr>
            <w:noProof/>
            <w:webHidden/>
          </w:rPr>
          <w:fldChar w:fldCharType="separate"/>
        </w:r>
        <w:r w:rsidR="00236D9A">
          <w:rPr>
            <w:noProof/>
            <w:webHidden/>
          </w:rPr>
          <w:t>19</w:t>
        </w:r>
        <w:r w:rsidR="009337F8">
          <w:rPr>
            <w:noProof/>
            <w:webHidden/>
          </w:rPr>
          <w:fldChar w:fldCharType="end"/>
        </w:r>
      </w:hyperlink>
    </w:p>
    <w:p w:rsidR="009337F8" w:rsidRDefault="005230E1" w:rsidP="009337F8">
      <w:pPr>
        <w:pStyle w:val="Seznamobrzk"/>
        <w:tabs>
          <w:tab w:val="right" w:leader="dot" w:pos="9060"/>
        </w:tabs>
        <w:ind w:firstLine="0"/>
        <w:rPr>
          <w:rFonts w:asciiTheme="minorHAnsi" w:eastAsiaTheme="minorEastAsia" w:hAnsiTheme="minorHAnsi" w:cstheme="minorBidi"/>
          <w:noProof/>
          <w:sz w:val="22"/>
          <w:szCs w:val="22"/>
        </w:rPr>
      </w:pPr>
      <w:hyperlink w:anchor="_Toc38385468" w:history="1">
        <w:r w:rsidR="009337F8" w:rsidRPr="00F27FFD">
          <w:rPr>
            <w:rStyle w:val="Hypertextovodkaz"/>
            <w:rFonts w:eastAsia="Calibri"/>
            <w:noProof/>
          </w:rPr>
          <w:t>Tabulka č. 3: Stav čerpání v programovém období 2014–2020 k 31. 12. 2019, členění podle operačních programů</w:t>
        </w:r>
        <w:r w:rsidR="009337F8">
          <w:rPr>
            <w:noProof/>
            <w:webHidden/>
          </w:rPr>
          <w:tab/>
        </w:r>
        <w:r w:rsidR="009337F8">
          <w:rPr>
            <w:noProof/>
            <w:webHidden/>
          </w:rPr>
          <w:fldChar w:fldCharType="begin"/>
        </w:r>
        <w:r w:rsidR="009337F8">
          <w:rPr>
            <w:noProof/>
            <w:webHidden/>
          </w:rPr>
          <w:instrText xml:space="preserve"> PAGEREF _Toc38385468 \h </w:instrText>
        </w:r>
        <w:r w:rsidR="009337F8">
          <w:rPr>
            <w:noProof/>
            <w:webHidden/>
          </w:rPr>
        </w:r>
        <w:r w:rsidR="009337F8">
          <w:rPr>
            <w:noProof/>
            <w:webHidden/>
          </w:rPr>
          <w:fldChar w:fldCharType="separate"/>
        </w:r>
        <w:r w:rsidR="00236D9A">
          <w:rPr>
            <w:noProof/>
            <w:webHidden/>
          </w:rPr>
          <w:t>19</w:t>
        </w:r>
        <w:r w:rsidR="009337F8">
          <w:rPr>
            <w:noProof/>
            <w:webHidden/>
          </w:rPr>
          <w:fldChar w:fldCharType="end"/>
        </w:r>
      </w:hyperlink>
    </w:p>
    <w:p w:rsidR="009337F8" w:rsidRDefault="005230E1" w:rsidP="009337F8">
      <w:pPr>
        <w:pStyle w:val="Seznamobrzk"/>
        <w:tabs>
          <w:tab w:val="right" w:leader="dot" w:pos="9060"/>
        </w:tabs>
        <w:ind w:firstLine="0"/>
        <w:rPr>
          <w:rFonts w:asciiTheme="minorHAnsi" w:eastAsiaTheme="minorEastAsia" w:hAnsiTheme="minorHAnsi" w:cstheme="minorBidi"/>
          <w:noProof/>
          <w:sz w:val="22"/>
          <w:szCs w:val="22"/>
        </w:rPr>
      </w:pPr>
      <w:hyperlink w:anchor="_Toc38385469" w:history="1">
        <w:r w:rsidR="009337F8" w:rsidRPr="00F27FFD">
          <w:rPr>
            <w:rStyle w:val="Hypertextovodkaz"/>
            <w:rFonts w:eastAsia="Calibri"/>
            <w:noProof/>
          </w:rPr>
          <w:t>Tabulka č. 4: Rozdělení prostředků na jednotlivé operační programy v programovém období 2014–2020 v relaci k typu fondu</w:t>
        </w:r>
        <w:r w:rsidR="009337F8">
          <w:rPr>
            <w:noProof/>
            <w:webHidden/>
          </w:rPr>
          <w:tab/>
        </w:r>
        <w:r w:rsidR="009337F8">
          <w:rPr>
            <w:noProof/>
            <w:webHidden/>
          </w:rPr>
          <w:fldChar w:fldCharType="begin"/>
        </w:r>
        <w:r w:rsidR="009337F8">
          <w:rPr>
            <w:noProof/>
            <w:webHidden/>
          </w:rPr>
          <w:instrText xml:space="preserve"> PAGEREF _Toc38385469 \h </w:instrText>
        </w:r>
        <w:r w:rsidR="009337F8">
          <w:rPr>
            <w:noProof/>
            <w:webHidden/>
          </w:rPr>
        </w:r>
        <w:r w:rsidR="009337F8">
          <w:rPr>
            <w:noProof/>
            <w:webHidden/>
          </w:rPr>
          <w:fldChar w:fldCharType="separate"/>
        </w:r>
        <w:r w:rsidR="00236D9A">
          <w:rPr>
            <w:noProof/>
            <w:webHidden/>
          </w:rPr>
          <w:t>20</w:t>
        </w:r>
        <w:r w:rsidR="009337F8">
          <w:rPr>
            <w:noProof/>
            <w:webHidden/>
          </w:rPr>
          <w:fldChar w:fldCharType="end"/>
        </w:r>
      </w:hyperlink>
    </w:p>
    <w:p w:rsidR="009337F8" w:rsidRDefault="005230E1" w:rsidP="009337F8">
      <w:pPr>
        <w:pStyle w:val="Seznamobrzk"/>
        <w:tabs>
          <w:tab w:val="right" w:leader="dot" w:pos="9060"/>
        </w:tabs>
        <w:ind w:firstLine="0"/>
        <w:rPr>
          <w:rFonts w:asciiTheme="minorHAnsi" w:eastAsiaTheme="minorEastAsia" w:hAnsiTheme="minorHAnsi" w:cstheme="minorBidi"/>
          <w:noProof/>
          <w:sz w:val="22"/>
          <w:szCs w:val="22"/>
        </w:rPr>
      </w:pPr>
      <w:hyperlink w:anchor="_Toc38385470" w:history="1">
        <w:r w:rsidR="009337F8" w:rsidRPr="00F27FFD">
          <w:rPr>
            <w:rStyle w:val="Hypertextovodkaz"/>
            <w:rFonts w:eastAsia="Calibri"/>
            <w:noProof/>
          </w:rPr>
          <w:t>Tabulka č. 5: Nejdůležitější novely zákona č. 218/2000 Sb., o rozpočtových pravidlech</w:t>
        </w:r>
        <w:r w:rsidR="009337F8">
          <w:rPr>
            <w:noProof/>
            <w:webHidden/>
          </w:rPr>
          <w:tab/>
        </w:r>
        <w:r w:rsidR="009337F8">
          <w:rPr>
            <w:noProof/>
            <w:webHidden/>
          </w:rPr>
          <w:fldChar w:fldCharType="begin"/>
        </w:r>
        <w:r w:rsidR="009337F8">
          <w:rPr>
            <w:noProof/>
            <w:webHidden/>
          </w:rPr>
          <w:instrText xml:space="preserve"> PAGEREF _Toc38385470 \h </w:instrText>
        </w:r>
        <w:r w:rsidR="009337F8">
          <w:rPr>
            <w:noProof/>
            <w:webHidden/>
          </w:rPr>
        </w:r>
        <w:r w:rsidR="009337F8">
          <w:rPr>
            <w:noProof/>
            <w:webHidden/>
          </w:rPr>
          <w:fldChar w:fldCharType="separate"/>
        </w:r>
        <w:r w:rsidR="00236D9A">
          <w:rPr>
            <w:noProof/>
            <w:webHidden/>
          </w:rPr>
          <w:t>39</w:t>
        </w:r>
        <w:r w:rsidR="009337F8">
          <w:rPr>
            <w:noProof/>
            <w:webHidden/>
          </w:rPr>
          <w:fldChar w:fldCharType="end"/>
        </w:r>
      </w:hyperlink>
    </w:p>
    <w:p w:rsidR="00D830D7" w:rsidRPr="00D830D7" w:rsidRDefault="00D520F4" w:rsidP="009337F8">
      <w:pPr>
        <w:ind w:firstLine="0"/>
      </w:pPr>
      <w:r>
        <w:fldChar w:fldCharType="end"/>
      </w:r>
    </w:p>
    <w:p w:rsidR="00D830D7" w:rsidRDefault="00D830D7" w:rsidP="00D830D7">
      <w:pPr>
        <w:pStyle w:val="Tomk"/>
        <w:numPr>
          <w:ilvl w:val="0"/>
          <w:numId w:val="0"/>
        </w:numPr>
        <w:ind w:left="360" w:hanging="360"/>
        <w:rPr>
          <w:rFonts w:cs="Times New Roman"/>
        </w:rPr>
      </w:pPr>
      <w:bookmarkStart w:id="67" w:name="_Toc38385276"/>
      <w:r w:rsidRPr="00D830D7">
        <w:rPr>
          <w:rFonts w:cs="Times New Roman"/>
        </w:rPr>
        <w:lastRenderedPageBreak/>
        <w:t xml:space="preserve">SEZNAM </w:t>
      </w:r>
      <w:r w:rsidR="0073326F">
        <w:rPr>
          <w:rFonts w:cs="Times New Roman"/>
        </w:rPr>
        <w:t>GRAFŮ</w:t>
      </w:r>
      <w:bookmarkEnd w:id="67"/>
    </w:p>
    <w:p w:rsidR="009337F8" w:rsidRDefault="00FD35F8" w:rsidP="009337F8">
      <w:pPr>
        <w:pStyle w:val="Seznamobrzk"/>
        <w:tabs>
          <w:tab w:val="right" w:leader="dot" w:pos="9060"/>
        </w:tabs>
        <w:ind w:firstLine="0"/>
        <w:rPr>
          <w:rFonts w:asciiTheme="minorHAnsi" w:eastAsiaTheme="minorEastAsia" w:hAnsiTheme="minorHAnsi" w:cstheme="minorBidi"/>
          <w:noProof/>
          <w:sz w:val="22"/>
          <w:szCs w:val="22"/>
        </w:rPr>
      </w:pPr>
      <w:r>
        <w:fldChar w:fldCharType="begin"/>
      </w:r>
      <w:r>
        <w:instrText xml:space="preserve"> TOC \h \z \c "Graf č." </w:instrText>
      </w:r>
      <w:r>
        <w:fldChar w:fldCharType="separate"/>
      </w:r>
      <w:hyperlink w:anchor="_Toc38385521" w:history="1">
        <w:r w:rsidR="009337F8" w:rsidRPr="00433145">
          <w:rPr>
            <w:rStyle w:val="Hypertextovodkaz"/>
            <w:rFonts w:eastAsia="Calibri"/>
            <w:noProof/>
          </w:rPr>
          <w:t>Graf č. 1: Stav čerpání v programovém období 2014–2020 k 31. 12. 2019, členění podle fondů</w:t>
        </w:r>
        <w:r w:rsidR="009337F8">
          <w:rPr>
            <w:noProof/>
            <w:webHidden/>
          </w:rPr>
          <w:tab/>
        </w:r>
        <w:r w:rsidR="009337F8">
          <w:rPr>
            <w:noProof/>
            <w:webHidden/>
          </w:rPr>
          <w:fldChar w:fldCharType="begin"/>
        </w:r>
        <w:r w:rsidR="009337F8">
          <w:rPr>
            <w:noProof/>
            <w:webHidden/>
          </w:rPr>
          <w:instrText xml:space="preserve"> PAGEREF _Toc38385521 \h </w:instrText>
        </w:r>
        <w:r w:rsidR="009337F8">
          <w:rPr>
            <w:noProof/>
            <w:webHidden/>
          </w:rPr>
        </w:r>
        <w:r w:rsidR="009337F8">
          <w:rPr>
            <w:noProof/>
            <w:webHidden/>
          </w:rPr>
          <w:fldChar w:fldCharType="separate"/>
        </w:r>
        <w:r w:rsidR="00236D9A">
          <w:rPr>
            <w:noProof/>
            <w:webHidden/>
          </w:rPr>
          <w:t>21</w:t>
        </w:r>
        <w:r w:rsidR="009337F8">
          <w:rPr>
            <w:noProof/>
            <w:webHidden/>
          </w:rPr>
          <w:fldChar w:fldCharType="end"/>
        </w:r>
      </w:hyperlink>
    </w:p>
    <w:p w:rsidR="009337F8" w:rsidRDefault="005230E1" w:rsidP="009337F8">
      <w:pPr>
        <w:pStyle w:val="Seznamobrzk"/>
        <w:tabs>
          <w:tab w:val="right" w:leader="dot" w:pos="9060"/>
        </w:tabs>
        <w:ind w:firstLine="0"/>
        <w:rPr>
          <w:rFonts w:asciiTheme="minorHAnsi" w:eastAsiaTheme="minorEastAsia" w:hAnsiTheme="minorHAnsi" w:cstheme="minorBidi"/>
          <w:noProof/>
          <w:sz w:val="22"/>
          <w:szCs w:val="22"/>
        </w:rPr>
      </w:pPr>
      <w:hyperlink w:anchor="_Toc38385522" w:history="1">
        <w:r w:rsidR="009337F8" w:rsidRPr="00433145">
          <w:rPr>
            <w:rStyle w:val="Hypertextovodkaz"/>
            <w:rFonts w:eastAsia="Calibri"/>
            <w:noProof/>
          </w:rPr>
          <w:t>Graf č. 2: Stav čerpání v programovém období 2014–2020 k 31. 12. 2019, členění podle operačních programů</w:t>
        </w:r>
        <w:r w:rsidR="009337F8">
          <w:rPr>
            <w:noProof/>
            <w:webHidden/>
          </w:rPr>
          <w:tab/>
        </w:r>
        <w:r w:rsidR="009337F8">
          <w:rPr>
            <w:noProof/>
            <w:webHidden/>
          </w:rPr>
          <w:fldChar w:fldCharType="begin"/>
        </w:r>
        <w:r w:rsidR="009337F8">
          <w:rPr>
            <w:noProof/>
            <w:webHidden/>
          </w:rPr>
          <w:instrText xml:space="preserve"> PAGEREF _Toc38385522 \h </w:instrText>
        </w:r>
        <w:r w:rsidR="009337F8">
          <w:rPr>
            <w:noProof/>
            <w:webHidden/>
          </w:rPr>
        </w:r>
        <w:r w:rsidR="009337F8">
          <w:rPr>
            <w:noProof/>
            <w:webHidden/>
          </w:rPr>
          <w:fldChar w:fldCharType="separate"/>
        </w:r>
        <w:r w:rsidR="00236D9A">
          <w:rPr>
            <w:noProof/>
            <w:webHidden/>
          </w:rPr>
          <w:t>21</w:t>
        </w:r>
        <w:r w:rsidR="009337F8">
          <w:rPr>
            <w:noProof/>
            <w:webHidden/>
          </w:rPr>
          <w:fldChar w:fldCharType="end"/>
        </w:r>
      </w:hyperlink>
    </w:p>
    <w:p w:rsidR="009337F8" w:rsidRDefault="005230E1" w:rsidP="009337F8">
      <w:pPr>
        <w:pStyle w:val="Seznamobrzk"/>
        <w:tabs>
          <w:tab w:val="right" w:leader="dot" w:pos="9060"/>
        </w:tabs>
        <w:ind w:firstLine="0"/>
        <w:rPr>
          <w:rFonts w:asciiTheme="minorHAnsi" w:eastAsiaTheme="minorEastAsia" w:hAnsiTheme="minorHAnsi" w:cstheme="minorBidi"/>
          <w:noProof/>
          <w:sz w:val="22"/>
          <w:szCs w:val="22"/>
        </w:rPr>
      </w:pPr>
      <w:hyperlink w:anchor="_Toc38385523" w:history="1">
        <w:r w:rsidR="009337F8" w:rsidRPr="00433145">
          <w:rPr>
            <w:rStyle w:val="Hypertextovodkaz"/>
            <w:rFonts w:eastAsia="Calibri"/>
            <w:noProof/>
          </w:rPr>
          <w:t xml:space="preserve">Graf č. 3: Počet doručených oznámení poskytovatele o krácení </w:t>
        </w:r>
        <w:r w:rsidR="009337F8" w:rsidRPr="00433145">
          <w:rPr>
            <w:rStyle w:val="Hypertextovodkaz"/>
            <w:rFonts w:eastAsia="Calibri"/>
            <w:noProof/>
          </w:rPr>
          <w:t>d</w:t>
        </w:r>
        <w:r w:rsidR="009337F8" w:rsidRPr="00433145">
          <w:rPr>
            <w:rStyle w:val="Hypertextovodkaz"/>
            <w:rFonts w:eastAsia="Calibri"/>
            <w:noProof/>
          </w:rPr>
          <w:t>otace podle ustanovení § 14e RP za období 2015–2019</w:t>
        </w:r>
        <w:r w:rsidR="009337F8">
          <w:rPr>
            <w:noProof/>
            <w:webHidden/>
          </w:rPr>
          <w:tab/>
        </w:r>
        <w:r w:rsidR="009337F8">
          <w:rPr>
            <w:noProof/>
            <w:webHidden/>
          </w:rPr>
          <w:fldChar w:fldCharType="begin"/>
        </w:r>
        <w:r w:rsidR="009337F8">
          <w:rPr>
            <w:noProof/>
            <w:webHidden/>
          </w:rPr>
          <w:instrText xml:space="preserve"> PAGEREF _Toc38385523 \h </w:instrText>
        </w:r>
        <w:r w:rsidR="009337F8">
          <w:rPr>
            <w:noProof/>
            <w:webHidden/>
          </w:rPr>
        </w:r>
        <w:r w:rsidR="009337F8">
          <w:rPr>
            <w:noProof/>
            <w:webHidden/>
          </w:rPr>
          <w:fldChar w:fldCharType="separate"/>
        </w:r>
        <w:r w:rsidR="00236D9A">
          <w:rPr>
            <w:noProof/>
            <w:webHidden/>
          </w:rPr>
          <w:t>55</w:t>
        </w:r>
        <w:r w:rsidR="009337F8">
          <w:rPr>
            <w:noProof/>
            <w:webHidden/>
          </w:rPr>
          <w:fldChar w:fldCharType="end"/>
        </w:r>
      </w:hyperlink>
    </w:p>
    <w:p w:rsidR="009337F8" w:rsidRDefault="005230E1" w:rsidP="009337F8">
      <w:pPr>
        <w:pStyle w:val="Seznamobrzk"/>
        <w:tabs>
          <w:tab w:val="right" w:leader="dot" w:pos="9060"/>
        </w:tabs>
        <w:ind w:firstLine="0"/>
        <w:rPr>
          <w:rFonts w:asciiTheme="minorHAnsi" w:eastAsiaTheme="minorEastAsia" w:hAnsiTheme="minorHAnsi" w:cstheme="minorBidi"/>
          <w:noProof/>
          <w:sz w:val="22"/>
          <w:szCs w:val="22"/>
        </w:rPr>
      </w:pPr>
      <w:hyperlink w:anchor="_Toc38385524" w:history="1">
        <w:r w:rsidR="009337F8" w:rsidRPr="00433145">
          <w:rPr>
            <w:rStyle w:val="Hypertextovodkaz"/>
            <w:rFonts w:eastAsia="Calibri"/>
            <w:noProof/>
          </w:rPr>
          <w:t>Graf č. 4: Počet doručených výzev poskytovatele k provedení opatření k nápravě nebo vrácení dotace podle ustanovení § 14f RP za období 2015–2019</w:t>
        </w:r>
        <w:r w:rsidR="009337F8">
          <w:rPr>
            <w:noProof/>
            <w:webHidden/>
          </w:rPr>
          <w:tab/>
        </w:r>
        <w:r w:rsidR="009337F8">
          <w:rPr>
            <w:noProof/>
            <w:webHidden/>
          </w:rPr>
          <w:fldChar w:fldCharType="begin"/>
        </w:r>
        <w:r w:rsidR="009337F8">
          <w:rPr>
            <w:noProof/>
            <w:webHidden/>
          </w:rPr>
          <w:instrText xml:space="preserve"> PAGEREF _Toc38385524 \h </w:instrText>
        </w:r>
        <w:r w:rsidR="009337F8">
          <w:rPr>
            <w:noProof/>
            <w:webHidden/>
          </w:rPr>
        </w:r>
        <w:r w:rsidR="009337F8">
          <w:rPr>
            <w:noProof/>
            <w:webHidden/>
          </w:rPr>
          <w:fldChar w:fldCharType="separate"/>
        </w:r>
        <w:r w:rsidR="00236D9A">
          <w:rPr>
            <w:noProof/>
            <w:webHidden/>
          </w:rPr>
          <w:t>56</w:t>
        </w:r>
        <w:r w:rsidR="009337F8">
          <w:rPr>
            <w:noProof/>
            <w:webHidden/>
          </w:rPr>
          <w:fldChar w:fldCharType="end"/>
        </w:r>
      </w:hyperlink>
    </w:p>
    <w:p w:rsidR="009337F8" w:rsidRDefault="005230E1" w:rsidP="009337F8">
      <w:pPr>
        <w:pStyle w:val="Seznamobrzk"/>
        <w:tabs>
          <w:tab w:val="right" w:leader="dot" w:pos="9060"/>
        </w:tabs>
        <w:ind w:firstLine="0"/>
        <w:rPr>
          <w:rFonts w:asciiTheme="minorHAnsi" w:eastAsiaTheme="minorEastAsia" w:hAnsiTheme="minorHAnsi" w:cstheme="minorBidi"/>
          <w:noProof/>
          <w:sz w:val="22"/>
          <w:szCs w:val="22"/>
        </w:rPr>
      </w:pPr>
      <w:hyperlink w:anchor="_Toc38385525" w:history="1">
        <w:r w:rsidR="009337F8" w:rsidRPr="00433145">
          <w:rPr>
            <w:rStyle w:val="Hypertextovodkaz"/>
            <w:rFonts w:eastAsia="Calibri"/>
            <w:noProof/>
          </w:rPr>
          <w:t>Graf č. 5: Počet doručených podnětů kontrolních orgánů na podezření z PRK podle ustanovení § 59 DŘ za období 2011–2019</w:t>
        </w:r>
        <w:r w:rsidR="009337F8">
          <w:rPr>
            <w:noProof/>
            <w:webHidden/>
          </w:rPr>
          <w:tab/>
        </w:r>
        <w:r w:rsidR="009337F8">
          <w:rPr>
            <w:noProof/>
            <w:webHidden/>
          </w:rPr>
          <w:fldChar w:fldCharType="begin"/>
        </w:r>
        <w:r w:rsidR="009337F8">
          <w:rPr>
            <w:noProof/>
            <w:webHidden/>
          </w:rPr>
          <w:instrText xml:space="preserve"> PAGEREF _Toc38385525 \h </w:instrText>
        </w:r>
        <w:r w:rsidR="009337F8">
          <w:rPr>
            <w:noProof/>
            <w:webHidden/>
          </w:rPr>
        </w:r>
        <w:r w:rsidR="009337F8">
          <w:rPr>
            <w:noProof/>
            <w:webHidden/>
          </w:rPr>
          <w:fldChar w:fldCharType="separate"/>
        </w:r>
        <w:r w:rsidR="00236D9A">
          <w:rPr>
            <w:noProof/>
            <w:webHidden/>
          </w:rPr>
          <w:t>57</w:t>
        </w:r>
        <w:r w:rsidR="009337F8">
          <w:rPr>
            <w:noProof/>
            <w:webHidden/>
          </w:rPr>
          <w:fldChar w:fldCharType="end"/>
        </w:r>
      </w:hyperlink>
    </w:p>
    <w:p w:rsidR="009337F8" w:rsidRDefault="005230E1" w:rsidP="009337F8">
      <w:pPr>
        <w:pStyle w:val="Seznamobrzk"/>
        <w:tabs>
          <w:tab w:val="right" w:leader="dot" w:pos="9060"/>
        </w:tabs>
        <w:ind w:firstLine="0"/>
        <w:rPr>
          <w:rFonts w:asciiTheme="minorHAnsi" w:eastAsiaTheme="minorEastAsia" w:hAnsiTheme="minorHAnsi" w:cstheme="minorBidi"/>
          <w:noProof/>
          <w:sz w:val="22"/>
          <w:szCs w:val="22"/>
        </w:rPr>
      </w:pPr>
      <w:hyperlink w:anchor="_Toc38385526" w:history="1">
        <w:r w:rsidR="009337F8" w:rsidRPr="00433145">
          <w:rPr>
            <w:rStyle w:val="Hypertextovodkaz"/>
            <w:rFonts w:eastAsia="Calibri"/>
            <w:noProof/>
          </w:rPr>
          <w:t>Graf č. 6: Počet doručených žádostí příjemce o prominutí odvodu a penále podle ustanovení § 44 odst. 12 RP za období 2011–2019</w:t>
        </w:r>
        <w:r w:rsidR="009337F8">
          <w:rPr>
            <w:noProof/>
            <w:webHidden/>
          </w:rPr>
          <w:tab/>
        </w:r>
        <w:r w:rsidR="009337F8">
          <w:rPr>
            <w:noProof/>
            <w:webHidden/>
          </w:rPr>
          <w:fldChar w:fldCharType="begin"/>
        </w:r>
        <w:r w:rsidR="009337F8">
          <w:rPr>
            <w:noProof/>
            <w:webHidden/>
          </w:rPr>
          <w:instrText xml:space="preserve"> PAGEREF _Toc38385526 \h </w:instrText>
        </w:r>
        <w:r w:rsidR="009337F8">
          <w:rPr>
            <w:noProof/>
            <w:webHidden/>
          </w:rPr>
        </w:r>
        <w:r w:rsidR="009337F8">
          <w:rPr>
            <w:noProof/>
            <w:webHidden/>
          </w:rPr>
          <w:fldChar w:fldCharType="separate"/>
        </w:r>
        <w:r w:rsidR="00236D9A">
          <w:rPr>
            <w:noProof/>
            <w:webHidden/>
          </w:rPr>
          <w:t>58</w:t>
        </w:r>
        <w:r w:rsidR="009337F8">
          <w:rPr>
            <w:noProof/>
            <w:webHidden/>
          </w:rPr>
          <w:fldChar w:fldCharType="end"/>
        </w:r>
      </w:hyperlink>
    </w:p>
    <w:p w:rsidR="00D830D7" w:rsidRPr="00D830D7" w:rsidRDefault="00FD35F8" w:rsidP="009337F8">
      <w:pPr>
        <w:ind w:firstLine="0"/>
        <w:jc w:val="left"/>
      </w:pPr>
      <w:r>
        <w:fldChar w:fldCharType="end"/>
      </w:r>
    </w:p>
    <w:p w:rsidR="00D830D7" w:rsidRDefault="00D830D7" w:rsidP="00D830D7">
      <w:pPr>
        <w:pStyle w:val="Tomk"/>
        <w:numPr>
          <w:ilvl w:val="0"/>
          <w:numId w:val="0"/>
        </w:numPr>
        <w:ind w:left="360" w:hanging="360"/>
        <w:rPr>
          <w:rFonts w:cs="Times New Roman"/>
        </w:rPr>
      </w:pPr>
      <w:bookmarkStart w:id="68" w:name="_Toc38385277"/>
      <w:r w:rsidRPr="00D830D7">
        <w:rPr>
          <w:rFonts w:cs="Times New Roman"/>
        </w:rPr>
        <w:lastRenderedPageBreak/>
        <w:t>ANOTACE</w:t>
      </w:r>
      <w:bookmarkEnd w:id="68"/>
    </w:p>
    <w:p w:rsidR="007D2817" w:rsidRPr="000208CE" w:rsidRDefault="007D2817" w:rsidP="007D2817">
      <w:pPr>
        <w:pBdr>
          <w:bottom w:val="single" w:sz="6" w:space="1" w:color="auto"/>
        </w:pBdr>
        <w:spacing w:after="120"/>
        <w:ind w:firstLine="0"/>
      </w:pPr>
      <w:r w:rsidRPr="000208CE">
        <w:t xml:space="preserve">Bibliografický údaj: </w:t>
      </w:r>
      <w:proofErr w:type="spellStart"/>
      <w:r w:rsidRPr="000208CE">
        <w:t>Rašner</w:t>
      </w:r>
      <w:proofErr w:type="spellEnd"/>
      <w:r w:rsidRPr="000208CE">
        <w:t xml:space="preserve">, Tomáš. </w:t>
      </w:r>
      <w:r w:rsidR="006C03E1" w:rsidRPr="000208CE">
        <w:rPr>
          <w:i/>
        </w:rPr>
        <w:t>Dotace a jejich kontrola</w:t>
      </w:r>
      <w:r w:rsidRPr="000208CE">
        <w:rPr>
          <w:i/>
        </w:rPr>
        <w:t xml:space="preserve">. </w:t>
      </w:r>
      <w:r w:rsidR="006C03E1" w:rsidRPr="000208CE">
        <w:t>Olomouc 2020</w:t>
      </w:r>
      <w:r w:rsidRPr="000208CE">
        <w:t>. Bakalářská</w:t>
      </w:r>
      <w:r w:rsidR="006C03E1" w:rsidRPr="000208CE">
        <w:t xml:space="preserve"> </w:t>
      </w:r>
      <w:r w:rsidRPr="000208CE">
        <w:t xml:space="preserve">práce. Moravská vysoká škola Olomouc. Vedoucí práce: </w:t>
      </w:r>
      <w:r w:rsidR="006C03E1" w:rsidRPr="000208CE">
        <w:t xml:space="preserve">Ing. Zuzana </w:t>
      </w:r>
      <w:proofErr w:type="spellStart"/>
      <w:r w:rsidR="006C03E1" w:rsidRPr="000208CE">
        <w:t>Stefanovová</w:t>
      </w:r>
      <w:proofErr w:type="spellEnd"/>
      <w:r w:rsidR="006C03E1" w:rsidRPr="000208CE">
        <w:t>, Ph.D.</w:t>
      </w:r>
    </w:p>
    <w:p w:rsidR="007D2817" w:rsidRPr="000208CE" w:rsidRDefault="007D2817" w:rsidP="007D2817">
      <w:pPr>
        <w:spacing w:after="120"/>
      </w:pPr>
    </w:p>
    <w:p w:rsidR="007D2817" w:rsidRPr="000208CE" w:rsidRDefault="007D2817" w:rsidP="007D2817">
      <w:pPr>
        <w:spacing w:after="120"/>
        <w:ind w:firstLine="0"/>
      </w:pPr>
      <w:r w:rsidRPr="000208CE">
        <w:rPr>
          <w:b/>
        </w:rPr>
        <w:t>Název práce:</w:t>
      </w:r>
      <w:r w:rsidR="006C03E1" w:rsidRPr="000208CE">
        <w:t xml:space="preserve"> Dotace a jejich kontrola</w:t>
      </w:r>
    </w:p>
    <w:p w:rsidR="007D2817" w:rsidRPr="000208CE" w:rsidRDefault="007D2817" w:rsidP="007D2817">
      <w:pPr>
        <w:spacing w:after="120"/>
        <w:ind w:firstLine="0"/>
      </w:pPr>
      <w:r w:rsidRPr="000208CE">
        <w:rPr>
          <w:b/>
        </w:rPr>
        <w:t>Autor:</w:t>
      </w:r>
      <w:r w:rsidRPr="000208CE">
        <w:t xml:space="preserve"> </w:t>
      </w:r>
      <w:r w:rsidR="006C03E1" w:rsidRPr="000208CE">
        <w:t xml:space="preserve">Tomáš </w:t>
      </w:r>
      <w:proofErr w:type="spellStart"/>
      <w:r w:rsidR="006C03E1" w:rsidRPr="000208CE">
        <w:t>Rašner</w:t>
      </w:r>
      <w:proofErr w:type="spellEnd"/>
    </w:p>
    <w:p w:rsidR="007D2817" w:rsidRPr="000208CE" w:rsidRDefault="007D2817" w:rsidP="007D2817">
      <w:pPr>
        <w:spacing w:after="120"/>
        <w:ind w:firstLine="0"/>
        <w:rPr>
          <w:b/>
        </w:rPr>
      </w:pPr>
      <w:r w:rsidRPr="000208CE">
        <w:rPr>
          <w:b/>
        </w:rPr>
        <w:t>Ústav:</w:t>
      </w:r>
      <w:r w:rsidR="006C03E1" w:rsidRPr="000208CE">
        <w:rPr>
          <w:b/>
        </w:rPr>
        <w:t xml:space="preserve"> </w:t>
      </w:r>
      <w:r w:rsidR="006C03E1" w:rsidRPr="000208CE">
        <w:t>Ústav podnikové ekonomiky</w:t>
      </w:r>
    </w:p>
    <w:p w:rsidR="007D2817" w:rsidRPr="000208CE" w:rsidRDefault="007D2817" w:rsidP="007D2817">
      <w:pPr>
        <w:spacing w:after="120"/>
        <w:ind w:firstLine="0"/>
      </w:pPr>
      <w:r w:rsidRPr="000208CE">
        <w:rPr>
          <w:b/>
        </w:rPr>
        <w:t>Vedoucí práce:</w:t>
      </w:r>
      <w:r w:rsidR="006C03E1" w:rsidRPr="000208CE">
        <w:t xml:space="preserve"> Ing. Zuzana </w:t>
      </w:r>
      <w:proofErr w:type="spellStart"/>
      <w:r w:rsidR="006C03E1" w:rsidRPr="000208CE">
        <w:t>Stefanovová</w:t>
      </w:r>
      <w:proofErr w:type="spellEnd"/>
      <w:r w:rsidR="006C03E1" w:rsidRPr="000208CE">
        <w:t>, Ph.D.</w:t>
      </w:r>
    </w:p>
    <w:p w:rsidR="006C03E1" w:rsidRPr="000208CE" w:rsidRDefault="007D2817" w:rsidP="00E54CC8">
      <w:pPr>
        <w:spacing w:after="120"/>
        <w:ind w:firstLine="0"/>
      </w:pPr>
      <w:r w:rsidRPr="000208CE">
        <w:rPr>
          <w:b/>
        </w:rPr>
        <w:t>Abstrakt:</w:t>
      </w:r>
      <w:r w:rsidRPr="000208CE">
        <w:t xml:space="preserve"> </w:t>
      </w:r>
      <w:r w:rsidR="007B129C">
        <w:t>Bakalářská práce „Dotace a jejich kontrola“ se věnuje oblasti poskytování dotací z</w:t>
      </w:r>
      <w:r w:rsidR="00A06966">
        <w:t> </w:t>
      </w:r>
      <w:r w:rsidR="007B129C">
        <w:t>evropských fondů</w:t>
      </w:r>
      <w:r w:rsidR="006E4BE5">
        <w:t xml:space="preserve"> a jejich kontrole</w:t>
      </w:r>
      <w:r w:rsidR="007B129C">
        <w:t xml:space="preserve">. Cílem práce je představit vývoj </w:t>
      </w:r>
      <w:r w:rsidR="009337F8">
        <w:t xml:space="preserve">jednotlivých </w:t>
      </w:r>
      <w:r w:rsidR="00282888">
        <w:t xml:space="preserve">novel </w:t>
      </w:r>
      <w:r w:rsidR="007B129C">
        <w:t xml:space="preserve">zákona č. 218/2000 Sb., o rozpočtových pravidlech </w:t>
      </w:r>
      <w:r w:rsidR="00282888">
        <w:t>od účinnosti zákona do roku 2018</w:t>
      </w:r>
      <w:r w:rsidR="00261538">
        <w:t xml:space="preserve"> a zhodnotit vliv novel na poskytování dotací</w:t>
      </w:r>
      <w:r w:rsidR="00282888">
        <w:t xml:space="preserve"> a na jejich kontrolu</w:t>
      </w:r>
      <w:r w:rsidR="00261538">
        <w:t xml:space="preserve">. </w:t>
      </w:r>
      <w:r w:rsidR="00E54CC8" w:rsidRPr="00EB3FFE">
        <w:rPr>
          <w:rFonts w:eastAsia="Calibri"/>
          <w:lang w:eastAsia="en-US"/>
        </w:rPr>
        <w:t>Teoretická část</w:t>
      </w:r>
      <w:r w:rsidR="00C54370">
        <w:rPr>
          <w:rFonts w:eastAsia="Calibri"/>
          <w:lang w:eastAsia="en-US"/>
        </w:rPr>
        <w:t xml:space="preserve"> se</w:t>
      </w:r>
      <w:r w:rsidR="00E54CC8" w:rsidRPr="00900A66">
        <w:rPr>
          <w:rFonts w:eastAsia="Calibri"/>
          <w:lang w:eastAsia="en-US"/>
        </w:rPr>
        <w:t xml:space="preserve"> </w:t>
      </w:r>
      <w:r w:rsidR="005B3232">
        <w:rPr>
          <w:rFonts w:eastAsia="Calibri"/>
          <w:lang w:eastAsia="en-US"/>
        </w:rPr>
        <w:t xml:space="preserve">věnuje </w:t>
      </w:r>
      <w:r w:rsidR="00E54CC8">
        <w:t>evropsk</w:t>
      </w:r>
      <w:r w:rsidR="005B3232">
        <w:t>ým</w:t>
      </w:r>
      <w:r w:rsidR="00E54CC8">
        <w:t xml:space="preserve"> fond</w:t>
      </w:r>
      <w:r w:rsidR="005B3232">
        <w:t>ům</w:t>
      </w:r>
      <w:r w:rsidR="00E54CC8">
        <w:t xml:space="preserve"> a jejich účel</w:t>
      </w:r>
      <w:r w:rsidR="005B3232">
        <w:t>u</w:t>
      </w:r>
      <w:r w:rsidR="00E54CC8">
        <w:t>,</w:t>
      </w:r>
      <w:r w:rsidR="00C54370">
        <w:t xml:space="preserve"> dále </w:t>
      </w:r>
      <w:r w:rsidR="005B3232">
        <w:t xml:space="preserve">je provedena analýza čerpání prostředků z EU v </w:t>
      </w:r>
      <w:r w:rsidR="00E54CC8">
        <w:t xml:space="preserve">programové období </w:t>
      </w:r>
      <w:r w:rsidR="005B3232">
        <w:t>2014–2020</w:t>
      </w:r>
      <w:r w:rsidR="00E54CC8">
        <w:t xml:space="preserve">. </w:t>
      </w:r>
      <w:r w:rsidR="002B73BB">
        <w:rPr>
          <w:rFonts w:eastAsia="Calibri"/>
          <w:lang w:eastAsia="en-US"/>
        </w:rPr>
        <w:t>Následně</w:t>
      </w:r>
      <w:r w:rsidR="005B3232">
        <w:rPr>
          <w:rFonts w:eastAsia="Calibri"/>
          <w:lang w:eastAsia="en-US"/>
        </w:rPr>
        <w:t xml:space="preserve"> jsou </w:t>
      </w:r>
      <w:r w:rsidR="00E54CC8">
        <w:rPr>
          <w:rFonts w:eastAsia="Calibri"/>
          <w:lang w:eastAsia="en-US"/>
        </w:rPr>
        <w:t>představeny subjekty implementační struktury v oblasti čerpání dotací z</w:t>
      </w:r>
      <w:r w:rsidR="005B3232">
        <w:rPr>
          <w:rFonts w:eastAsia="Calibri"/>
          <w:lang w:eastAsia="en-US"/>
        </w:rPr>
        <w:t> </w:t>
      </w:r>
      <w:r w:rsidR="00E54CC8">
        <w:rPr>
          <w:rFonts w:eastAsia="Calibri"/>
          <w:lang w:eastAsia="en-US"/>
        </w:rPr>
        <w:t>EU</w:t>
      </w:r>
      <w:r w:rsidR="005B3232">
        <w:rPr>
          <w:rFonts w:eastAsia="Calibri"/>
          <w:lang w:eastAsia="en-US"/>
        </w:rPr>
        <w:t xml:space="preserve"> a kontrolní</w:t>
      </w:r>
      <w:r w:rsidR="00E54CC8">
        <w:rPr>
          <w:rFonts w:eastAsia="Calibri"/>
          <w:lang w:eastAsia="en-US"/>
        </w:rPr>
        <w:t xml:space="preserve"> orgány</w:t>
      </w:r>
      <w:r w:rsidR="005B3232">
        <w:rPr>
          <w:rFonts w:eastAsia="Calibri"/>
          <w:lang w:eastAsia="en-US"/>
        </w:rPr>
        <w:t xml:space="preserve"> společně se</w:t>
      </w:r>
      <w:r w:rsidR="006A1752">
        <w:rPr>
          <w:rFonts w:eastAsia="Calibri"/>
          <w:lang w:eastAsia="en-US"/>
        </w:rPr>
        <w:t> </w:t>
      </w:r>
      <w:r w:rsidR="00E54CC8">
        <w:rPr>
          <w:rFonts w:eastAsia="Calibri"/>
          <w:lang w:eastAsia="en-US"/>
        </w:rPr>
        <w:t xml:space="preserve">zákonem </w:t>
      </w:r>
      <w:r w:rsidR="00E54CC8" w:rsidRPr="00900A66">
        <w:rPr>
          <w:rFonts w:eastAsia="Calibri"/>
          <w:lang w:eastAsia="en-US"/>
        </w:rPr>
        <w:t>č. 218/2000 Sb.</w:t>
      </w:r>
      <w:r w:rsidR="00E54CC8">
        <w:rPr>
          <w:rFonts w:eastAsia="Calibri"/>
          <w:lang w:eastAsia="en-US"/>
        </w:rPr>
        <w:t>,</w:t>
      </w:r>
      <w:r w:rsidR="00E54CC8" w:rsidRPr="00900A66">
        <w:rPr>
          <w:rFonts w:eastAsia="Calibri"/>
          <w:lang w:eastAsia="en-US"/>
        </w:rPr>
        <w:t xml:space="preserve"> o rozpočtových pravidlech</w:t>
      </w:r>
      <w:r w:rsidR="00E54CC8">
        <w:rPr>
          <w:rFonts w:eastAsia="Calibri"/>
          <w:lang w:eastAsia="en-US"/>
        </w:rPr>
        <w:t xml:space="preserve">. </w:t>
      </w:r>
      <w:r w:rsidR="00E54CC8">
        <w:t>P</w:t>
      </w:r>
      <w:r w:rsidR="00E54CC8" w:rsidRPr="00602516">
        <w:t>raktick</w:t>
      </w:r>
      <w:r w:rsidR="00E54CC8">
        <w:t>á</w:t>
      </w:r>
      <w:r w:rsidR="00E54CC8" w:rsidRPr="00602516">
        <w:t xml:space="preserve"> část </w:t>
      </w:r>
      <w:r w:rsidR="00A10E49">
        <w:t xml:space="preserve">obsahuje </w:t>
      </w:r>
      <w:r w:rsidR="00E54CC8">
        <w:t>komparac</w:t>
      </w:r>
      <w:r w:rsidR="00A06966">
        <w:t>i</w:t>
      </w:r>
      <w:r w:rsidR="00E54CC8">
        <w:t xml:space="preserve"> </w:t>
      </w:r>
      <w:r w:rsidR="00E54CC8" w:rsidRPr="00602516">
        <w:t>novel zákona o rozpočtových pravidlech</w:t>
      </w:r>
      <w:r w:rsidR="00E54CC8">
        <w:t xml:space="preserve">, </w:t>
      </w:r>
      <w:r w:rsidR="00A10E49">
        <w:t xml:space="preserve">analýzu získaných dat a </w:t>
      </w:r>
      <w:r w:rsidR="00E54CC8" w:rsidRPr="00602516">
        <w:t xml:space="preserve">vyhodnocení nejdůležitějších změn a </w:t>
      </w:r>
      <w:r w:rsidR="00E54CC8">
        <w:t xml:space="preserve">posouzení </w:t>
      </w:r>
      <w:r w:rsidR="00E54CC8" w:rsidRPr="00602516">
        <w:t>jejich vliv</w:t>
      </w:r>
      <w:r w:rsidR="00E54CC8">
        <w:t>u</w:t>
      </w:r>
      <w:r w:rsidR="00E54CC8" w:rsidRPr="00602516">
        <w:t xml:space="preserve"> </w:t>
      </w:r>
      <w:r w:rsidR="00E54CC8">
        <w:t>na kontrolu poskytnutých prostředků</w:t>
      </w:r>
      <w:r w:rsidR="00E54CC8" w:rsidRPr="00602516">
        <w:t xml:space="preserve">. </w:t>
      </w:r>
      <w:r w:rsidR="002B73BB">
        <w:t>Poté jsou podrobena</w:t>
      </w:r>
      <w:r w:rsidR="00E54CC8">
        <w:t xml:space="preserve"> analýze</w:t>
      </w:r>
      <w:r w:rsidR="00E54CC8" w:rsidRPr="00602516">
        <w:t xml:space="preserve"> </w:t>
      </w:r>
      <w:r w:rsidR="00E54CC8">
        <w:t xml:space="preserve">vybraná </w:t>
      </w:r>
      <w:r w:rsidR="00E54CC8" w:rsidRPr="00602516">
        <w:t>dat</w:t>
      </w:r>
      <w:r w:rsidR="00E54CC8">
        <w:t>a</w:t>
      </w:r>
      <w:r w:rsidR="00E54CC8" w:rsidRPr="00602516">
        <w:t xml:space="preserve"> z informačního sytému Finanční správy</w:t>
      </w:r>
      <w:r w:rsidR="00E54CC8">
        <w:t>.</w:t>
      </w:r>
      <w:r w:rsidR="00A10E49">
        <w:t xml:space="preserve"> </w:t>
      </w:r>
      <w:r w:rsidR="00A10E49">
        <w:t xml:space="preserve">V poslední části </w:t>
      </w:r>
      <w:r w:rsidR="00A10E49">
        <w:t>jsou uvedeny návrhy na optimalizaci kontroly finančních prostředků.</w:t>
      </w:r>
    </w:p>
    <w:p w:rsidR="006C03E1" w:rsidRPr="000208CE" w:rsidRDefault="006C03E1" w:rsidP="007D2817">
      <w:pPr>
        <w:pBdr>
          <w:bottom w:val="single" w:sz="6" w:space="1" w:color="auto"/>
        </w:pBdr>
        <w:spacing w:after="120"/>
        <w:ind w:firstLine="0"/>
      </w:pPr>
    </w:p>
    <w:p w:rsidR="007D2817" w:rsidRPr="000208CE" w:rsidRDefault="007D2817" w:rsidP="007D2817">
      <w:pPr>
        <w:pBdr>
          <w:bottom w:val="single" w:sz="6" w:space="1" w:color="auto"/>
        </w:pBdr>
        <w:spacing w:after="120"/>
        <w:ind w:firstLine="0"/>
      </w:pPr>
      <w:r w:rsidRPr="000208CE">
        <w:rPr>
          <w:b/>
        </w:rPr>
        <w:t>Klíčová slova:</w:t>
      </w:r>
      <w:r w:rsidR="006C03E1" w:rsidRPr="000208CE">
        <w:t xml:space="preserve"> </w:t>
      </w:r>
      <w:r w:rsidR="003657ED">
        <w:t>d</w:t>
      </w:r>
      <w:r w:rsidR="00DE60C6" w:rsidRPr="000208CE">
        <w:t xml:space="preserve">otace, </w:t>
      </w:r>
      <w:r w:rsidR="006C03E1" w:rsidRPr="000208CE">
        <w:t>Evropské fondy, zákon o rozpočtových pravidlech, porušení rozpočtové kázně</w:t>
      </w:r>
    </w:p>
    <w:p w:rsidR="006C03E1" w:rsidRPr="002A0462" w:rsidRDefault="006C03E1" w:rsidP="006C03E1">
      <w:pPr>
        <w:spacing w:after="120"/>
        <w:ind w:firstLine="0"/>
        <w:rPr>
          <w:lang w:val="en-GB"/>
        </w:rPr>
      </w:pPr>
      <w:r w:rsidRPr="002A0462">
        <w:rPr>
          <w:b/>
          <w:lang w:val="en-GB"/>
        </w:rPr>
        <w:t>Title:</w:t>
      </w:r>
      <w:r w:rsidR="00DE60C6" w:rsidRPr="002A0462">
        <w:rPr>
          <w:b/>
          <w:lang w:val="en-GB"/>
        </w:rPr>
        <w:t xml:space="preserve"> </w:t>
      </w:r>
      <w:r w:rsidR="004F4178" w:rsidRPr="002A0462">
        <w:rPr>
          <w:lang w:val="en-GB"/>
        </w:rPr>
        <w:t>Grants and Their Auditing</w:t>
      </w:r>
    </w:p>
    <w:p w:rsidR="006C03E1" w:rsidRPr="002A0462" w:rsidRDefault="006C03E1" w:rsidP="006C03E1">
      <w:pPr>
        <w:spacing w:after="120"/>
        <w:ind w:firstLine="0"/>
        <w:rPr>
          <w:lang w:val="en-GB"/>
        </w:rPr>
      </w:pPr>
      <w:r w:rsidRPr="002A0462">
        <w:rPr>
          <w:b/>
          <w:lang w:val="en-GB"/>
        </w:rPr>
        <w:t>Author:</w:t>
      </w:r>
      <w:r w:rsidRPr="002A0462">
        <w:rPr>
          <w:lang w:val="en-GB"/>
        </w:rPr>
        <w:t xml:space="preserve"> </w:t>
      </w:r>
      <w:proofErr w:type="spellStart"/>
      <w:r w:rsidRPr="002A0462">
        <w:rPr>
          <w:lang w:val="en-GB"/>
        </w:rPr>
        <w:t>Tomáš</w:t>
      </w:r>
      <w:proofErr w:type="spellEnd"/>
      <w:r w:rsidRPr="002A0462">
        <w:rPr>
          <w:lang w:val="en-GB"/>
        </w:rPr>
        <w:t xml:space="preserve"> </w:t>
      </w:r>
      <w:proofErr w:type="spellStart"/>
      <w:r w:rsidRPr="002A0462">
        <w:rPr>
          <w:lang w:val="en-GB"/>
        </w:rPr>
        <w:t>Rašner</w:t>
      </w:r>
      <w:proofErr w:type="spellEnd"/>
    </w:p>
    <w:p w:rsidR="006C03E1" w:rsidRPr="002A0462" w:rsidRDefault="006C03E1" w:rsidP="006C03E1">
      <w:pPr>
        <w:spacing w:after="120"/>
        <w:ind w:firstLine="0"/>
        <w:rPr>
          <w:lang w:val="en-GB"/>
        </w:rPr>
      </w:pPr>
      <w:r w:rsidRPr="002A0462">
        <w:rPr>
          <w:b/>
          <w:lang w:val="en-GB"/>
        </w:rPr>
        <w:t>Department:</w:t>
      </w:r>
      <w:r w:rsidRPr="002A0462">
        <w:rPr>
          <w:lang w:val="en-GB"/>
        </w:rPr>
        <w:t xml:space="preserve"> Department of Business Economics</w:t>
      </w:r>
    </w:p>
    <w:p w:rsidR="006C03E1" w:rsidRPr="002A0462" w:rsidRDefault="006C03E1" w:rsidP="006C03E1">
      <w:pPr>
        <w:spacing w:after="120"/>
        <w:ind w:firstLine="0"/>
        <w:rPr>
          <w:lang w:val="en-GB"/>
        </w:rPr>
      </w:pPr>
      <w:r w:rsidRPr="002A0462">
        <w:rPr>
          <w:b/>
          <w:lang w:val="en-GB"/>
        </w:rPr>
        <w:t>Supervisor:</w:t>
      </w:r>
      <w:r w:rsidRPr="002A0462">
        <w:rPr>
          <w:lang w:val="en-GB"/>
        </w:rPr>
        <w:t xml:space="preserve"> </w:t>
      </w:r>
      <w:proofErr w:type="spellStart"/>
      <w:r w:rsidRPr="002A0462">
        <w:rPr>
          <w:lang w:val="en-GB"/>
        </w:rPr>
        <w:t>Ing</w:t>
      </w:r>
      <w:proofErr w:type="spellEnd"/>
      <w:r w:rsidRPr="002A0462">
        <w:rPr>
          <w:lang w:val="en-GB"/>
        </w:rPr>
        <w:t xml:space="preserve">. Zuzana </w:t>
      </w:r>
      <w:proofErr w:type="spellStart"/>
      <w:r w:rsidRPr="002A0462">
        <w:rPr>
          <w:lang w:val="en-GB"/>
        </w:rPr>
        <w:t>Stefanovová</w:t>
      </w:r>
      <w:proofErr w:type="spellEnd"/>
      <w:r w:rsidRPr="002A0462">
        <w:rPr>
          <w:lang w:val="en-GB"/>
        </w:rPr>
        <w:t>, Ph.D.</w:t>
      </w:r>
    </w:p>
    <w:p w:rsidR="00663115" w:rsidRPr="00F23359" w:rsidRDefault="006C03E1" w:rsidP="006C03E1">
      <w:pPr>
        <w:spacing w:after="120"/>
        <w:ind w:firstLine="0"/>
        <w:rPr>
          <w:lang w:val="en-GB"/>
        </w:rPr>
      </w:pPr>
      <w:r w:rsidRPr="002A0462">
        <w:rPr>
          <w:b/>
          <w:lang w:val="en-GB"/>
        </w:rPr>
        <w:t>Abstract:</w:t>
      </w:r>
      <w:r w:rsidRPr="002A0462">
        <w:rPr>
          <w:lang w:val="en-GB"/>
        </w:rPr>
        <w:t xml:space="preserve"> </w:t>
      </w:r>
      <w:r w:rsidR="00CE1A74" w:rsidRPr="002A0462">
        <w:rPr>
          <w:lang w:val="en-GB"/>
        </w:rPr>
        <w:t>The bachelor the</w:t>
      </w:r>
      <w:r w:rsidR="00F86CFC" w:rsidRPr="002A0462">
        <w:rPr>
          <w:lang w:val="en-GB"/>
        </w:rPr>
        <w:t>sis "Grants and Their Auditing</w:t>
      </w:r>
      <w:r w:rsidR="00CE1A74" w:rsidRPr="002A0462">
        <w:rPr>
          <w:lang w:val="en-GB"/>
        </w:rPr>
        <w:t>" deals</w:t>
      </w:r>
      <w:r w:rsidR="002A0462">
        <w:rPr>
          <w:lang w:val="en-GB"/>
        </w:rPr>
        <w:t xml:space="preserve"> with</w:t>
      </w:r>
      <w:r w:rsidR="00CE1A74" w:rsidRPr="002A0462">
        <w:rPr>
          <w:lang w:val="en-GB"/>
        </w:rPr>
        <w:t xml:space="preserve"> </w:t>
      </w:r>
      <w:r w:rsidR="00663115" w:rsidRPr="002A0462">
        <w:rPr>
          <w:lang w:val="en-GB"/>
        </w:rPr>
        <w:t>the provision of grants from European funds</w:t>
      </w:r>
      <w:r w:rsidR="00F86CFC" w:rsidRPr="002A0462">
        <w:rPr>
          <w:lang w:val="en-GB"/>
        </w:rPr>
        <w:t xml:space="preserve"> and their auditing</w:t>
      </w:r>
      <w:r w:rsidR="00CE1A74" w:rsidRPr="002A0462">
        <w:rPr>
          <w:lang w:val="en-GB"/>
        </w:rPr>
        <w:t>. The aim of the thesis is to present the development of</w:t>
      </w:r>
      <w:r w:rsidR="00F23359">
        <w:rPr>
          <w:lang w:val="en-GB"/>
        </w:rPr>
        <w:t> </w:t>
      </w:r>
      <w:r w:rsidR="00CE1A74" w:rsidRPr="002A0462">
        <w:rPr>
          <w:lang w:val="en-GB"/>
        </w:rPr>
        <w:t xml:space="preserve">individual amendments to </w:t>
      </w:r>
      <w:r w:rsidR="00663115" w:rsidRPr="002A0462">
        <w:rPr>
          <w:lang w:val="en-GB"/>
        </w:rPr>
        <w:t xml:space="preserve">the </w:t>
      </w:r>
      <w:r w:rsidR="002A0462" w:rsidRPr="002A0462">
        <w:rPr>
          <w:lang w:val="en-GB"/>
        </w:rPr>
        <w:t>Act No 218/2000 Coll., on Budgetary R</w:t>
      </w:r>
      <w:r w:rsidR="00566C82" w:rsidRPr="002A0462">
        <w:rPr>
          <w:lang w:val="en-GB"/>
        </w:rPr>
        <w:t>ules</w:t>
      </w:r>
      <w:r w:rsidR="00663115" w:rsidRPr="002A0462">
        <w:rPr>
          <w:lang w:val="en-GB"/>
        </w:rPr>
        <w:t xml:space="preserve"> from its </w:t>
      </w:r>
      <w:r w:rsidR="00663115" w:rsidRPr="002A0462">
        <w:rPr>
          <w:lang w:val="en-GB"/>
        </w:rPr>
        <w:lastRenderedPageBreak/>
        <w:t xml:space="preserve">effectiveness </w:t>
      </w:r>
      <w:r w:rsidR="00CE1A74" w:rsidRPr="002A0462">
        <w:rPr>
          <w:lang w:val="en-GB"/>
        </w:rPr>
        <w:t>until 2018 and to evaluate the impact of the amendmen</w:t>
      </w:r>
      <w:r w:rsidR="00663115" w:rsidRPr="002A0462">
        <w:rPr>
          <w:lang w:val="en-GB"/>
        </w:rPr>
        <w:t>ts on the provision of grants</w:t>
      </w:r>
      <w:r w:rsidR="00CE1A74" w:rsidRPr="002A0462">
        <w:rPr>
          <w:lang w:val="en-GB"/>
        </w:rPr>
        <w:t xml:space="preserve"> and t</w:t>
      </w:r>
      <w:r w:rsidR="00663115" w:rsidRPr="002A0462">
        <w:rPr>
          <w:lang w:val="en-GB"/>
        </w:rPr>
        <w:t>heir auditing</w:t>
      </w:r>
      <w:r w:rsidR="00CE1A74" w:rsidRPr="002A0462">
        <w:rPr>
          <w:lang w:val="en-GB"/>
        </w:rPr>
        <w:t>.</w:t>
      </w:r>
      <w:r w:rsidR="002A0462" w:rsidRPr="002A0462">
        <w:rPr>
          <w:lang w:val="en-GB"/>
        </w:rPr>
        <w:t xml:space="preserve"> </w:t>
      </w:r>
      <w:r w:rsidR="00663115" w:rsidRPr="002A0462">
        <w:rPr>
          <w:lang w:val="en-GB"/>
        </w:rPr>
        <w:t>The theoretical part focuses on European funds and their purpose. Further,</w:t>
      </w:r>
      <w:r w:rsidR="00F23359">
        <w:rPr>
          <w:lang w:val="en-GB"/>
        </w:rPr>
        <w:t> </w:t>
      </w:r>
      <w:r w:rsidR="00566C82" w:rsidRPr="002A0462">
        <w:rPr>
          <w:lang w:val="en-GB"/>
        </w:rPr>
        <w:t xml:space="preserve">the use of EU grants in the programming period </w:t>
      </w:r>
      <w:r w:rsidR="00566C82" w:rsidRPr="002A0462">
        <w:rPr>
          <w:lang w:val="en-GB"/>
        </w:rPr>
        <w:t>2014</w:t>
      </w:r>
      <w:r w:rsidR="002A0462">
        <w:t>–</w:t>
      </w:r>
      <w:r w:rsidR="002A0462">
        <w:rPr>
          <w:lang w:val="en-GB"/>
        </w:rPr>
        <w:t>2020 is analys</w:t>
      </w:r>
      <w:r w:rsidR="00566C82" w:rsidRPr="002A0462">
        <w:rPr>
          <w:lang w:val="en-GB"/>
        </w:rPr>
        <w:t xml:space="preserve">ed. Subsequently, </w:t>
      </w:r>
      <w:r w:rsidR="00663115" w:rsidRPr="002A0462">
        <w:rPr>
          <w:lang w:val="en-GB"/>
        </w:rPr>
        <w:t>subjects of the implementation structure</w:t>
      </w:r>
      <w:r w:rsidR="00566C82" w:rsidRPr="002A0462">
        <w:rPr>
          <w:lang w:val="en-GB"/>
        </w:rPr>
        <w:t xml:space="preserve"> within the use of EU grants and auditing</w:t>
      </w:r>
      <w:r w:rsidR="00663115" w:rsidRPr="002A0462">
        <w:rPr>
          <w:lang w:val="en-GB"/>
        </w:rPr>
        <w:t xml:space="preserve"> bodies </w:t>
      </w:r>
      <w:r w:rsidR="00566C82" w:rsidRPr="002A0462">
        <w:rPr>
          <w:lang w:val="en-GB"/>
        </w:rPr>
        <w:t xml:space="preserve">together with </w:t>
      </w:r>
      <w:bookmarkStart w:id="69" w:name="_GoBack"/>
      <w:bookmarkEnd w:id="69"/>
      <w:r w:rsidR="00566C82" w:rsidRPr="002A0462">
        <w:rPr>
          <w:lang w:val="en-GB"/>
        </w:rPr>
        <w:t xml:space="preserve">the </w:t>
      </w:r>
      <w:r w:rsidR="002A0462" w:rsidRPr="002A0462">
        <w:rPr>
          <w:lang w:val="en-GB"/>
        </w:rPr>
        <w:t>Act No 218/2000 Coll., on Budgetary R</w:t>
      </w:r>
      <w:r w:rsidR="00566C82" w:rsidRPr="002A0462">
        <w:rPr>
          <w:lang w:val="en-GB"/>
        </w:rPr>
        <w:t>ules</w:t>
      </w:r>
      <w:r w:rsidR="00566C82" w:rsidRPr="002A0462">
        <w:rPr>
          <w:lang w:val="en-GB"/>
        </w:rPr>
        <w:t xml:space="preserve"> </w:t>
      </w:r>
      <w:r w:rsidR="00663115" w:rsidRPr="002A0462">
        <w:rPr>
          <w:lang w:val="en-GB"/>
        </w:rPr>
        <w:t>are introduced</w:t>
      </w:r>
      <w:r w:rsidR="00566C82" w:rsidRPr="002A0462">
        <w:rPr>
          <w:lang w:val="en-GB"/>
        </w:rPr>
        <w:t xml:space="preserve">. </w:t>
      </w:r>
      <w:r w:rsidR="002A0462" w:rsidRPr="002A0462">
        <w:rPr>
          <w:lang w:val="en-GB"/>
        </w:rPr>
        <w:t>The practical part contains the</w:t>
      </w:r>
      <w:r w:rsidR="00566C82" w:rsidRPr="002A0462">
        <w:rPr>
          <w:lang w:val="en-GB"/>
        </w:rPr>
        <w:t xml:space="preserve"> comparison of amendments to the Act on Budgetary Rules, analysis of the obtained data and evaluation of the most important changes and assessmen</w:t>
      </w:r>
      <w:r w:rsidR="002A0462" w:rsidRPr="002A0462">
        <w:rPr>
          <w:lang w:val="en-GB"/>
        </w:rPr>
        <w:t>t of their impact on</w:t>
      </w:r>
      <w:r w:rsidR="00F23359">
        <w:rPr>
          <w:lang w:val="en-GB"/>
        </w:rPr>
        <w:t> </w:t>
      </w:r>
      <w:r w:rsidR="002A0462" w:rsidRPr="002A0462">
        <w:rPr>
          <w:lang w:val="en-GB"/>
        </w:rPr>
        <w:t>the</w:t>
      </w:r>
      <w:r w:rsidR="00F23359">
        <w:rPr>
          <w:lang w:val="en-GB"/>
        </w:rPr>
        <w:t> </w:t>
      </w:r>
      <w:r w:rsidR="002A0462" w:rsidRPr="002A0462">
        <w:rPr>
          <w:lang w:val="en-GB"/>
        </w:rPr>
        <w:t>auditing</w:t>
      </w:r>
      <w:r w:rsidR="00566C82" w:rsidRPr="002A0462">
        <w:rPr>
          <w:lang w:val="en-GB"/>
        </w:rPr>
        <w:t xml:space="preserve"> of the funds provided. Then, selected data from the Financial Administrati</w:t>
      </w:r>
      <w:r w:rsidR="002A0462">
        <w:rPr>
          <w:lang w:val="en-GB"/>
        </w:rPr>
        <w:t xml:space="preserve">on information system are </w:t>
      </w:r>
      <w:r w:rsidR="002A0462" w:rsidRPr="00F23359">
        <w:rPr>
          <w:lang w:val="en-GB"/>
        </w:rPr>
        <w:t>analys</w:t>
      </w:r>
      <w:r w:rsidR="00566C82" w:rsidRPr="00F23359">
        <w:rPr>
          <w:lang w:val="en-GB"/>
        </w:rPr>
        <w:t>ed. The last part contains sugges</w:t>
      </w:r>
      <w:r w:rsidR="002A0462" w:rsidRPr="00F23359">
        <w:rPr>
          <w:lang w:val="en-GB"/>
        </w:rPr>
        <w:t>tions for optimizing the auditing of grants</w:t>
      </w:r>
      <w:r w:rsidR="00566C82" w:rsidRPr="00F23359">
        <w:rPr>
          <w:lang w:val="en-GB"/>
        </w:rPr>
        <w:t>.</w:t>
      </w:r>
    </w:p>
    <w:p w:rsidR="006C03E1" w:rsidRPr="00F23359" w:rsidRDefault="006C03E1" w:rsidP="006C03E1">
      <w:pPr>
        <w:spacing w:after="120"/>
        <w:ind w:firstLine="0"/>
        <w:rPr>
          <w:lang w:val="en-GB"/>
        </w:rPr>
      </w:pPr>
    </w:p>
    <w:p w:rsidR="00623063" w:rsidRPr="00F23359" w:rsidRDefault="006C03E1" w:rsidP="00461D7C">
      <w:pPr>
        <w:spacing w:after="120"/>
        <w:ind w:firstLine="0"/>
        <w:rPr>
          <w:lang w:val="en-GB"/>
        </w:rPr>
      </w:pPr>
      <w:r w:rsidRPr="00F23359">
        <w:rPr>
          <w:b/>
          <w:lang w:val="en-GB"/>
        </w:rPr>
        <w:t>Keywords:</w:t>
      </w:r>
      <w:r w:rsidRPr="00F23359">
        <w:rPr>
          <w:lang w:val="en-GB"/>
        </w:rPr>
        <w:t xml:space="preserve"> </w:t>
      </w:r>
      <w:r w:rsidR="00CE1A74" w:rsidRPr="00F23359">
        <w:rPr>
          <w:color w:val="000000"/>
          <w:lang w:val="en-GB"/>
        </w:rPr>
        <w:t xml:space="preserve">Grants, EU Funds, </w:t>
      </w:r>
      <w:r w:rsidR="00F23359" w:rsidRPr="002A0462">
        <w:rPr>
          <w:lang w:val="en-GB"/>
        </w:rPr>
        <w:t>the Act No 218/2000 Coll., on Budgetary Rules</w:t>
      </w:r>
      <w:r w:rsidR="00CE1A74" w:rsidRPr="00F23359">
        <w:rPr>
          <w:color w:val="000000"/>
          <w:lang w:val="en-GB"/>
        </w:rPr>
        <w:t>, breach of budgetary discipline</w:t>
      </w:r>
    </w:p>
    <w:sectPr w:rsidR="00623063" w:rsidRPr="00F23359" w:rsidSect="002B7F35">
      <w:footerReference w:type="default" r:id="rId16"/>
      <w:pgSz w:w="11906" w:h="16838"/>
      <w:pgMar w:top="1418" w:right="851"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71E" w:rsidRDefault="00C0671E" w:rsidP="00623063">
      <w:pPr>
        <w:spacing w:line="240" w:lineRule="auto"/>
      </w:pPr>
      <w:r>
        <w:separator/>
      </w:r>
    </w:p>
  </w:endnote>
  <w:endnote w:type="continuationSeparator" w:id="0">
    <w:p w:rsidR="00C0671E" w:rsidRDefault="00C0671E" w:rsidP="00623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erriweather">
    <w:altName w:val="Times New Roman"/>
    <w:charset w:val="00"/>
    <w:family w:val="auto"/>
    <w:pitch w:val="default"/>
  </w:font>
  <w:font w:name="Roboto">
    <w:altName w:val="Times New Roman"/>
    <w:charset w:val="00"/>
    <w:family w:val="auto"/>
    <w:pitch w:val="default"/>
  </w:font>
  <w:font w:name="Roboto Condense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0E1" w:rsidRDefault="005230E1" w:rsidP="003556EA">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63420"/>
      <w:docPartObj>
        <w:docPartGallery w:val="Page Numbers (Bottom of Page)"/>
        <w:docPartUnique/>
      </w:docPartObj>
    </w:sdtPr>
    <w:sdtContent>
      <w:p w:rsidR="005230E1" w:rsidRDefault="005230E1" w:rsidP="003556EA">
        <w:pPr>
          <w:pStyle w:val="Zpat"/>
          <w:jc w:val="center"/>
        </w:pPr>
        <w:r>
          <w:fldChar w:fldCharType="begin"/>
        </w:r>
        <w:r>
          <w:instrText>PAGE   \* MERGEFORMAT</w:instrText>
        </w:r>
        <w:r>
          <w:fldChar w:fldCharType="separate"/>
        </w:r>
        <w:r w:rsidR="005A1C12">
          <w:rPr>
            <w:noProof/>
          </w:rPr>
          <w:t>73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71E" w:rsidRDefault="00C0671E" w:rsidP="00E219F9">
      <w:pPr>
        <w:spacing w:line="240" w:lineRule="auto"/>
        <w:ind w:firstLine="0"/>
      </w:pPr>
      <w:r>
        <w:separator/>
      </w:r>
    </w:p>
  </w:footnote>
  <w:footnote w:type="continuationSeparator" w:id="0">
    <w:p w:rsidR="00C0671E" w:rsidRDefault="00C0671E" w:rsidP="00623063">
      <w:pPr>
        <w:spacing w:line="240" w:lineRule="auto"/>
      </w:pPr>
      <w:r>
        <w:continuationSeparator/>
      </w:r>
    </w:p>
  </w:footnote>
  <w:footnote w:type="continuationNotice" w:id="1">
    <w:p w:rsidR="00C0671E" w:rsidRDefault="00C0671E">
      <w:pPr>
        <w:spacing w:line="240" w:lineRule="auto"/>
      </w:pPr>
    </w:p>
  </w:footnote>
  <w:footnote w:id="2">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ÚZ číslo: 1357. </w:t>
      </w:r>
      <w:r w:rsidRPr="00F930E6">
        <w:rPr>
          <w:rFonts w:ascii="Times New Roman" w:hAnsi="Times New Roman"/>
          <w:i/>
        </w:rPr>
        <w:t>Rozpočet a financování: obce, kraje, hl. město Praha, organizační složky státu, příspěvkové organizace, svazky obcí</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5-6. </w:t>
      </w:r>
    </w:p>
  </w:footnote>
  <w:footnote w:id="3">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Srov. ÚZ číslo: 1357. </w:t>
      </w:r>
      <w:r w:rsidRPr="00F930E6">
        <w:rPr>
          <w:rFonts w:ascii="Times New Roman" w:hAnsi="Times New Roman"/>
          <w:i/>
        </w:rPr>
        <w:t>Rozpočet a financování: obce, kraje, hl. město Praha, organizační složky státu, příspěvkové organizace, svazky obcí</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6.</w:t>
      </w:r>
    </w:p>
  </w:footnote>
  <w:footnote w:id="4">
    <w:p w:rsidR="005230E1" w:rsidRPr="00F930E6" w:rsidRDefault="005230E1" w:rsidP="00F930E6">
      <w:pPr>
        <w:pStyle w:val="Textpoznpodarou"/>
        <w:jc w:val="both"/>
        <w:rPr>
          <w:rFonts w:ascii="Times New Roman" w:hAnsi="Times New Roman"/>
          <w:color w:val="000000" w:themeColor="text1"/>
        </w:rPr>
      </w:pPr>
      <w:r w:rsidRPr="00F930E6">
        <w:rPr>
          <w:rStyle w:val="Znakapoznpodarou"/>
          <w:rFonts w:ascii="Times New Roman" w:hAnsi="Times New Roman"/>
          <w:color w:val="000000" w:themeColor="text1"/>
        </w:rPr>
        <w:footnoteRef/>
      </w:r>
      <w:r w:rsidRPr="00F930E6">
        <w:rPr>
          <w:rFonts w:ascii="Times New Roman" w:hAnsi="Times New Roman"/>
          <w:color w:val="000000" w:themeColor="text1"/>
        </w:rPr>
        <w:t xml:space="preserve"> </w:t>
      </w:r>
      <w:r w:rsidRPr="00F930E6">
        <w:rPr>
          <w:rFonts w:ascii="Times New Roman" w:hAnsi="Times New Roman"/>
        </w:rPr>
        <w:t xml:space="preserve">Ministerstvo pro místní rozvoj ČR. </w:t>
      </w:r>
      <w:proofErr w:type="spellStart"/>
      <w:r w:rsidRPr="00F930E6">
        <w:rPr>
          <w:rFonts w:ascii="Times New Roman" w:hAnsi="Times New Roman"/>
          <w:i/>
        </w:rPr>
        <w:t>DotaceEU</w:t>
      </w:r>
      <w:proofErr w:type="spellEnd"/>
      <w:r w:rsidRPr="00F930E6">
        <w:rPr>
          <w:rFonts w:ascii="Times New Roman" w:hAnsi="Times New Roman"/>
          <w:i/>
        </w:rPr>
        <w:t xml:space="preserve"> - Informace o fondech. </w:t>
      </w:r>
      <w:r w:rsidRPr="00F930E6">
        <w:rPr>
          <w:rFonts w:ascii="Times New Roman" w:hAnsi="Times New Roman"/>
        </w:rPr>
        <w:t xml:space="preserve">[online]. 2020. [cit. </w:t>
      </w:r>
      <w:proofErr w:type="gramStart"/>
      <w:r w:rsidRPr="00F930E6">
        <w:rPr>
          <w:rFonts w:ascii="Times New Roman" w:hAnsi="Times New Roman"/>
        </w:rPr>
        <w:t>04.02.2020</w:t>
      </w:r>
      <w:proofErr w:type="gramEnd"/>
      <w:r w:rsidRPr="00F930E6">
        <w:rPr>
          <w:rFonts w:ascii="Times New Roman" w:hAnsi="Times New Roman"/>
        </w:rPr>
        <w:t xml:space="preserve">]. Dostupné z: </w:t>
      </w:r>
      <w:r w:rsidRPr="00F930E6">
        <w:rPr>
          <w:rStyle w:val="Hypertextovodkaz"/>
          <w:rFonts w:ascii="Times New Roman" w:hAnsi="Times New Roman"/>
          <w:color w:val="000000" w:themeColor="text1"/>
          <w:u w:val="none"/>
        </w:rPr>
        <w:t>https://www.dotaceeu.cz/cs/Evropske-fondy-v-CR/Informace-o-fondech.</w:t>
      </w:r>
    </w:p>
  </w:footnote>
  <w:footnote w:id="5">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Srov. TAUER, Vladimír, Helena ZEMÁNKOVÁ a Jana ŠUBRTOVÁ. </w:t>
      </w:r>
      <w:r w:rsidRPr="00F930E6">
        <w:rPr>
          <w:rFonts w:ascii="Times New Roman" w:hAnsi="Times New Roman"/>
          <w:i/>
        </w:rPr>
        <w:t>Získejte dotace z fondů EU</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18.</w:t>
      </w:r>
    </w:p>
  </w:footnote>
  <w:footnote w:id="6">
    <w:p w:rsidR="005230E1" w:rsidRPr="00F930E6" w:rsidRDefault="005230E1" w:rsidP="00F930E6">
      <w:pPr>
        <w:pStyle w:val="Textpoznpodarou"/>
        <w:jc w:val="both"/>
        <w:rPr>
          <w:rFonts w:ascii="Times New Roman" w:hAnsi="Times New Roman"/>
          <w:color w:val="000000" w:themeColor="text1"/>
        </w:rPr>
      </w:pPr>
      <w:r w:rsidRPr="00F930E6">
        <w:rPr>
          <w:rStyle w:val="Znakapoznpodarou"/>
          <w:rFonts w:ascii="Times New Roman" w:hAnsi="Times New Roman"/>
          <w:color w:val="000000" w:themeColor="text1"/>
        </w:rPr>
        <w:footnoteRef/>
      </w:r>
      <w:r w:rsidRPr="00F930E6">
        <w:rPr>
          <w:rFonts w:ascii="Times New Roman" w:hAnsi="Times New Roman"/>
          <w:color w:val="000000" w:themeColor="text1"/>
        </w:rPr>
        <w:t xml:space="preserve"> EUROSKOP.CZ. </w:t>
      </w:r>
      <w:r w:rsidRPr="00F930E6">
        <w:rPr>
          <w:rFonts w:ascii="Times New Roman" w:hAnsi="Times New Roman"/>
          <w:i/>
          <w:color w:val="000000" w:themeColor="text1"/>
        </w:rPr>
        <w:t>Přehled fondů</w:t>
      </w:r>
      <w:r w:rsidRPr="00F930E6">
        <w:rPr>
          <w:rFonts w:ascii="Times New Roman" w:hAnsi="Times New Roman"/>
          <w:color w:val="000000" w:themeColor="text1"/>
        </w:rPr>
        <w:t xml:space="preserve">. [online]. 2020. [cit. </w:t>
      </w:r>
      <w:proofErr w:type="gramStart"/>
      <w:r w:rsidRPr="00F930E6">
        <w:rPr>
          <w:rFonts w:ascii="Times New Roman" w:hAnsi="Times New Roman"/>
          <w:color w:val="000000" w:themeColor="text1"/>
        </w:rPr>
        <w:t>04.02.2020</w:t>
      </w:r>
      <w:proofErr w:type="gramEnd"/>
      <w:r w:rsidRPr="00F930E6">
        <w:rPr>
          <w:rFonts w:ascii="Times New Roman" w:hAnsi="Times New Roman"/>
          <w:color w:val="000000" w:themeColor="text1"/>
        </w:rPr>
        <w:t>]. Dostupné z: https://www.euroskop.cz/9035/sekce/prehled-fondu-eu/.</w:t>
      </w:r>
      <w:hyperlink r:id="rId1" w:history="1"/>
    </w:p>
  </w:footnote>
  <w:footnote w:id="7">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Srov. TAUER, Vladimír, Helena ZEMÁNKOVÁ a Jana ŠUBRTOVÁ. </w:t>
      </w:r>
      <w:r w:rsidRPr="00F930E6">
        <w:rPr>
          <w:rFonts w:ascii="Times New Roman" w:hAnsi="Times New Roman"/>
          <w:i/>
        </w:rPr>
        <w:t>Získejte dotace z fondů EU</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18.</w:t>
      </w:r>
    </w:p>
  </w:footnote>
  <w:footnote w:id="8">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r>
        <w:rPr>
          <w:rFonts w:ascii="Times New Roman" w:hAnsi="Times New Roman"/>
        </w:rPr>
        <w:t>Tamtéž.</w:t>
      </w:r>
    </w:p>
  </w:footnote>
  <w:footnote w:id="9">
    <w:p w:rsidR="005230E1" w:rsidRPr="00F930E6" w:rsidRDefault="005230E1" w:rsidP="00F930E6">
      <w:pPr>
        <w:pStyle w:val="Textpoznpodarou"/>
        <w:jc w:val="both"/>
        <w:rPr>
          <w:rFonts w:ascii="Times New Roman" w:hAnsi="Times New Roman"/>
          <w:color w:val="000000" w:themeColor="text1"/>
        </w:rPr>
      </w:pPr>
      <w:r w:rsidRPr="00F930E6">
        <w:rPr>
          <w:rStyle w:val="Znakapoznpodarou"/>
          <w:rFonts w:ascii="Times New Roman" w:hAnsi="Times New Roman"/>
          <w:color w:val="000000" w:themeColor="text1"/>
        </w:rPr>
        <w:footnoteRef/>
      </w:r>
      <w:r w:rsidRPr="00F930E6">
        <w:rPr>
          <w:rFonts w:ascii="Times New Roman" w:hAnsi="Times New Roman"/>
          <w:color w:val="000000" w:themeColor="text1"/>
        </w:rPr>
        <w:t xml:space="preserve"> Evropská komise. </w:t>
      </w:r>
      <w:r w:rsidRPr="00F930E6">
        <w:rPr>
          <w:rFonts w:ascii="Times New Roman" w:hAnsi="Times New Roman"/>
          <w:i/>
          <w:color w:val="000000" w:themeColor="text1"/>
        </w:rPr>
        <w:t xml:space="preserve">Slovníček – Evropský zemědělský fond pro rozvoj venkova (EZFRV) </w:t>
      </w:r>
      <w:r w:rsidRPr="00F930E6">
        <w:rPr>
          <w:rFonts w:ascii="Times New Roman" w:hAnsi="Times New Roman"/>
          <w:color w:val="000000" w:themeColor="text1"/>
        </w:rPr>
        <w:t xml:space="preserve">[online]. 2020. [cit. </w:t>
      </w:r>
      <w:proofErr w:type="gramStart"/>
      <w:r w:rsidRPr="00F930E6">
        <w:rPr>
          <w:rFonts w:ascii="Times New Roman" w:hAnsi="Times New Roman"/>
          <w:color w:val="000000" w:themeColor="text1"/>
        </w:rPr>
        <w:t>04.02.2020</w:t>
      </w:r>
      <w:proofErr w:type="gramEnd"/>
      <w:r w:rsidRPr="00F930E6">
        <w:rPr>
          <w:rFonts w:ascii="Times New Roman" w:hAnsi="Times New Roman"/>
          <w:color w:val="000000" w:themeColor="text1"/>
        </w:rPr>
        <w:t xml:space="preserve">]. Dostupné z: </w:t>
      </w:r>
      <w:r w:rsidRPr="00F930E6">
        <w:rPr>
          <w:rStyle w:val="Hypertextovodkaz"/>
          <w:rFonts w:ascii="Times New Roman" w:hAnsi="Times New Roman"/>
          <w:color w:val="000000" w:themeColor="text1"/>
          <w:u w:val="none"/>
        </w:rPr>
        <w:t xml:space="preserve">https://ec.europa.eu/regional_policy/cs/policy/what/glossary/e/european-agricultural-fund-for-rural-development. </w:t>
      </w:r>
    </w:p>
  </w:footnote>
  <w:footnote w:id="10">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Evropská komise. </w:t>
      </w:r>
      <w:r w:rsidRPr="00F930E6">
        <w:rPr>
          <w:rFonts w:ascii="Times New Roman" w:hAnsi="Times New Roman"/>
          <w:i/>
        </w:rPr>
        <w:t xml:space="preserve">Evropský námořní a rybářský fond (ENRF). </w:t>
      </w:r>
      <w:r w:rsidRPr="00F930E6">
        <w:rPr>
          <w:rFonts w:ascii="Times New Roman" w:hAnsi="Times New Roman"/>
          <w:color w:val="000000" w:themeColor="text1"/>
        </w:rPr>
        <w:t xml:space="preserve">[online]. 2020. [cit. </w:t>
      </w:r>
      <w:proofErr w:type="gramStart"/>
      <w:r w:rsidRPr="00F930E6">
        <w:rPr>
          <w:rFonts w:ascii="Times New Roman" w:hAnsi="Times New Roman"/>
          <w:color w:val="000000" w:themeColor="text1"/>
        </w:rPr>
        <w:t>04.02.2020</w:t>
      </w:r>
      <w:proofErr w:type="gramEnd"/>
      <w:r w:rsidRPr="00F930E6">
        <w:rPr>
          <w:rFonts w:ascii="Times New Roman" w:hAnsi="Times New Roman"/>
          <w:color w:val="000000" w:themeColor="text1"/>
        </w:rPr>
        <w:t xml:space="preserve">]. Dostupné z: </w:t>
      </w:r>
      <w:r w:rsidRPr="00F930E6">
        <w:rPr>
          <w:rFonts w:ascii="Times New Roman" w:hAnsi="Times New Roman"/>
        </w:rPr>
        <w:t>https://ec.europa.eu/fisheries/cfp/emff_cs.</w:t>
      </w:r>
    </w:p>
  </w:footnote>
  <w:footnote w:id="11">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Evropská rada a Rada EU. </w:t>
      </w:r>
      <w:r w:rsidRPr="00F930E6">
        <w:rPr>
          <w:rFonts w:ascii="Times New Roman" w:hAnsi="Times New Roman"/>
          <w:i/>
        </w:rPr>
        <w:t>Evropský fond pro strategické investice</w:t>
      </w:r>
      <w:r w:rsidRPr="00F930E6">
        <w:rPr>
          <w:rFonts w:ascii="Times New Roman" w:hAnsi="Times New Roman"/>
        </w:rPr>
        <w:t xml:space="preserve">. </w:t>
      </w:r>
      <w:r w:rsidRPr="00F930E6">
        <w:rPr>
          <w:rFonts w:ascii="Times New Roman" w:hAnsi="Times New Roman"/>
          <w:color w:val="000000" w:themeColor="text1"/>
        </w:rPr>
        <w:t xml:space="preserve">[online]. 2020. [cit. </w:t>
      </w:r>
      <w:proofErr w:type="gramStart"/>
      <w:r w:rsidRPr="00F930E6">
        <w:rPr>
          <w:rFonts w:ascii="Times New Roman" w:hAnsi="Times New Roman"/>
          <w:color w:val="000000" w:themeColor="text1"/>
        </w:rPr>
        <w:t>04.02.2020</w:t>
      </w:r>
      <w:proofErr w:type="gramEnd"/>
      <w:r w:rsidRPr="00F930E6">
        <w:rPr>
          <w:rFonts w:ascii="Times New Roman" w:hAnsi="Times New Roman"/>
          <w:color w:val="000000" w:themeColor="text1"/>
        </w:rPr>
        <w:t xml:space="preserve">]. Dostupné z: </w:t>
      </w:r>
      <w:r w:rsidRPr="00F930E6">
        <w:rPr>
          <w:rFonts w:ascii="Times New Roman" w:hAnsi="Times New Roman"/>
        </w:rPr>
        <w:t>https://www.consilium.europa.eu/cs/policies/investment-plan/strategic-investments-fund/.</w:t>
      </w:r>
    </w:p>
  </w:footnote>
  <w:footnote w:id="12">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Ministerstvo vnitra České republiky. </w:t>
      </w:r>
      <w:r w:rsidRPr="00F930E6">
        <w:rPr>
          <w:rFonts w:ascii="Times New Roman" w:hAnsi="Times New Roman"/>
          <w:i/>
        </w:rPr>
        <w:t>Obecné informace.</w:t>
      </w:r>
      <w:r w:rsidRPr="00F930E6">
        <w:rPr>
          <w:rFonts w:ascii="Times New Roman" w:hAnsi="Times New Roman"/>
        </w:rPr>
        <w:t xml:space="preserve"> </w:t>
      </w:r>
      <w:r w:rsidRPr="00F930E6">
        <w:rPr>
          <w:rFonts w:ascii="Times New Roman" w:hAnsi="Times New Roman"/>
          <w:color w:val="000000" w:themeColor="text1"/>
        </w:rPr>
        <w:t xml:space="preserve">[online]. 2020. [cit. </w:t>
      </w:r>
      <w:proofErr w:type="gramStart"/>
      <w:r w:rsidRPr="00F930E6">
        <w:rPr>
          <w:rFonts w:ascii="Times New Roman" w:hAnsi="Times New Roman"/>
          <w:color w:val="000000" w:themeColor="text1"/>
        </w:rPr>
        <w:t>04.02.2020</w:t>
      </w:r>
      <w:proofErr w:type="gramEnd"/>
      <w:r w:rsidRPr="00F930E6">
        <w:rPr>
          <w:rFonts w:ascii="Times New Roman" w:hAnsi="Times New Roman"/>
          <w:color w:val="000000" w:themeColor="text1"/>
        </w:rPr>
        <w:t xml:space="preserve">]. Dostupné z: </w:t>
      </w:r>
      <w:r w:rsidRPr="00F930E6">
        <w:rPr>
          <w:rFonts w:ascii="Times New Roman" w:hAnsi="Times New Roman"/>
        </w:rPr>
        <w:t>https://www.mvcr.cz/clanek/fondy-eu-v-oblasti-vnitrnich-veci-obecne-informace.aspx?q=Y2hudW09Mg%3D%3D.</w:t>
      </w:r>
    </w:p>
  </w:footnote>
  <w:footnote w:id="13">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Evropská komise. </w:t>
      </w:r>
      <w:r w:rsidRPr="00F930E6">
        <w:rPr>
          <w:rFonts w:ascii="Times New Roman" w:hAnsi="Times New Roman"/>
          <w:i/>
        </w:rPr>
        <w:t>Fond solidarity EU.</w:t>
      </w:r>
      <w:r w:rsidRPr="00F930E6">
        <w:rPr>
          <w:rFonts w:ascii="Times New Roman" w:hAnsi="Times New Roman"/>
        </w:rPr>
        <w:t xml:space="preserve"> </w:t>
      </w:r>
      <w:r w:rsidRPr="00F930E6">
        <w:rPr>
          <w:rFonts w:ascii="Times New Roman" w:hAnsi="Times New Roman"/>
          <w:color w:val="000000" w:themeColor="text1"/>
        </w:rPr>
        <w:t xml:space="preserve">[online]. 2020. [cit. </w:t>
      </w:r>
      <w:proofErr w:type="gramStart"/>
      <w:r w:rsidRPr="00F930E6">
        <w:rPr>
          <w:rFonts w:ascii="Times New Roman" w:hAnsi="Times New Roman"/>
          <w:color w:val="000000" w:themeColor="text1"/>
        </w:rPr>
        <w:t>04.02.2020</w:t>
      </w:r>
      <w:proofErr w:type="gramEnd"/>
      <w:r w:rsidRPr="00F930E6">
        <w:rPr>
          <w:rFonts w:ascii="Times New Roman" w:hAnsi="Times New Roman"/>
          <w:color w:val="000000" w:themeColor="text1"/>
        </w:rPr>
        <w:t xml:space="preserve">]. Dostupné z: </w:t>
      </w:r>
      <w:r w:rsidRPr="00F930E6">
        <w:rPr>
          <w:rFonts w:ascii="Times New Roman" w:hAnsi="Times New Roman"/>
        </w:rPr>
        <w:t>https://ec.europa.eu/regional_policy/cs/funding/solidarity-fund/.</w:t>
      </w:r>
    </w:p>
  </w:footnote>
  <w:footnote w:id="14">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Srov. BAJER, Petr a Jiří MATYÁŠ. </w:t>
      </w:r>
      <w:r w:rsidRPr="00F930E6">
        <w:rPr>
          <w:rFonts w:ascii="Times New Roman" w:hAnsi="Times New Roman"/>
          <w:i/>
          <w:iCs/>
        </w:rPr>
        <w:t>Praktický průvodce dotacemi z fondů Evropské unie</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8.</w:t>
      </w:r>
    </w:p>
  </w:footnote>
  <w:footnote w:id="15">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proofErr w:type="spellStart"/>
      <w:r w:rsidRPr="00F930E6">
        <w:rPr>
          <w:rFonts w:ascii="Times New Roman" w:hAnsi="Times New Roman"/>
        </w:rPr>
        <w:t>DotaceEU</w:t>
      </w:r>
      <w:proofErr w:type="spellEnd"/>
      <w:r w:rsidRPr="00F930E6">
        <w:rPr>
          <w:rFonts w:ascii="Times New Roman" w:hAnsi="Times New Roman"/>
        </w:rPr>
        <w:t xml:space="preserve">. </w:t>
      </w:r>
      <w:r w:rsidRPr="00F930E6">
        <w:rPr>
          <w:rFonts w:ascii="Times New Roman" w:hAnsi="Times New Roman"/>
          <w:i/>
        </w:rPr>
        <w:t xml:space="preserve">Dohoda o partnerství. </w:t>
      </w:r>
      <w:r w:rsidRPr="00F930E6">
        <w:rPr>
          <w:rFonts w:ascii="Times New Roman" w:hAnsi="Times New Roman"/>
        </w:rPr>
        <w:t xml:space="preserve">[online]. 2020. [cit. </w:t>
      </w:r>
      <w:proofErr w:type="gramStart"/>
      <w:r w:rsidRPr="00F930E6">
        <w:rPr>
          <w:rFonts w:ascii="Times New Roman" w:hAnsi="Times New Roman"/>
        </w:rPr>
        <w:t>08.02.2020</w:t>
      </w:r>
      <w:proofErr w:type="gramEnd"/>
      <w:r w:rsidRPr="00F930E6">
        <w:rPr>
          <w:rFonts w:ascii="Times New Roman" w:hAnsi="Times New Roman"/>
        </w:rPr>
        <w:t xml:space="preserve">]. Dostupné z: </w:t>
      </w:r>
      <w:hyperlink r:id="rId2" w:history="1">
        <w:r w:rsidRPr="00F930E6">
          <w:rPr>
            <w:rStyle w:val="Hypertextovodkaz"/>
            <w:rFonts w:ascii="Times New Roman" w:hAnsi="Times New Roman"/>
            <w:color w:val="auto"/>
            <w:u w:val="none"/>
          </w:rPr>
          <w:t>https://www.dotaceeu.cz/cs/evropske-fondy-v-cr/2014-2020/dohoda-o-partnerstvi</w:t>
        </w:r>
      </w:hyperlink>
      <w:r w:rsidRPr="00F930E6">
        <w:rPr>
          <w:rFonts w:ascii="Times New Roman" w:hAnsi="Times New Roman"/>
        </w:rPr>
        <w:t>.</w:t>
      </w:r>
    </w:p>
  </w:footnote>
  <w:footnote w:id="16">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r w:rsidRPr="00F930E6">
        <w:rPr>
          <w:rFonts w:ascii="Times New Roman" w:hAnsi="Times New Roman"/>
          <w:bCs/>
        </w:rPr>
        <w:t>Ministerstvo financí ČR, odbor 55 - Národní fond</w:t>
      </w:r>
      <w:r w:rsidRPr="00F930E6">
        <w:rPr>
          <w:rFonts w:ascii="Times New Roman" w:hAnsi="Times New Roman"/>
        </w:rPr>
        <w:t>.</w:t>
      </w:r>
      <w:r w:rsidRPr="00F930E6">
        <w:rPr>
          <w:rFonts w:ascii="Times New Roman" w:hAnsi="Times New Roman"/>
          <w:b/>
        </w:rPr>
        <w:t xml:space="preserve"> </w:t>
      </w:r>
      <w:r w:rsidRPr="00F930E6">
        <w:rPr>
          <w:rFonts w:ascii="Times New Roman" w:hAnsi="Times New Roman"/>
          <w:i/>
        </w:rPr>
        <w:t>Metodický pokyn finančních toků programů spolufinancovaných z Evropských strukturálních fondů, Fondu soudržnosti a Evropského námořního a rybářského fondu na programové období 2014 - 2020 s účinností od 1. 11. 2014</w:t>
      </w:r>
      <w:r w:rsidRPr="00F930E6">
        <w:rPr>
          <w:rFonts w:ascii="Times New Roman" w:hAnsi="Times New Roman"/>
        </w:rPr>
        <w:t xml:space="preserve">. [online]. 2014. [cit. </w:t>
      </w:r>
      <w:proofErr w:type="gramStart"/>
      <w:r w:rsidRPr="00F930E6">
        <w:rPr>
          <w:rFonts w:ascii="Times New Roman" w:hAnsi="Times New Roman"/>
        </w:rPr>
        <w:t>13.11.2019</w:t>
      </w:r>
      <w:proofErr w:type="gramEnd"/>
      <w:r w:rsidRPr="00F930E6">
        <w:rPr>
          <w:rFonts w:ascii="Times New Roman" w:hAnsi="Times New Roman"/>
        </w:rPr>
        <w:t>]. Dostupné z: https://www.mfcr.cz/cs/legislativa/metodiky/2014/metodicky-pokyn-financnich-toku-programu-19506.</w:t>
      </w:r>
    </w:p>
  </w:footnote>
  <w:footnote w:id="17">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od roku 2016 převzala tuto činnosti Agentura pro podnikání a inovace (API).</w:t>
      </w:r>
    </w:p>
  </w:footnote>
  <w:footnote w:id="18">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proofErr w:type="spellStart"/>
      <w:r w:rsidRPr="00F930E6">
        <w:rPr>
          <w:rFonts w:ascii="Times New Roman" w:hAnsi="Times New Roman"/>
        </w:rPr>
        <w:t>DotaceEU</w:t>
      </w:r>
      <w:proofErr w:type="spellEnd"/>
      <w:r w:rsidRPr="00F930E6">
        <w:rPr>
          <w:rFonts w:ascii="Times New Roman" w:hAnsi="Times New Roman"/>
        </w:rPr>
        <w:t xml:space="preserve">. </w:t>
      </w:r>
      <w:r w:rsidRPr="00F930E6">
        <w:rPr>
          <w:rFonts w:ascii="Times New Roman" w:hAnsi="Times New Roman"/>
          <w:i/>
        </w:rPr>
        <w:t>Programy</w:t>
      </w:r>
      <w:r w:rsidRPr="00F930E6">
        <w:rPr>
          <w:rFonts w:ascii="Times New Roman" w:hAnsi="Times New Roman"/>
        </w:rPr>
        <w:t xml:space="preserve">. [online]. 2020. [cit. </w:t>
      </w:r>
      <w:proofErr w:type="gramStart"/>
      <w:r w:rsidRPr="00F930E6">
        <w:rPr>
          <w:rFonts w:ascii="Times New Roman" w:hAnsi="Times New Roman"/>
        </w:rPr>
        <w:t>08.02.2020</w:t>
      </w:r>
      <w:proofErr w:type="gramEnd"/>
      <w:r w:rsidRPr="00F930E6">
        <w:rPr>
          <w:rFonts w:ascii="Times New Roman" w:hAnsi="Times New Roman"/>
        </w:rPr>
        <w:t>]. Dostupné z: https://dotaceeu.cz/cs/evropske-fondy-v-cr/2014-2020/operacni-programy.</w:t>
      </w:r>
    </w:p>
  </w:footnote>
  <w:footnote w:id="19">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r w:rsidRPr="00F930E6">
        <w:rPr>
          <w:rFonts w:ascii="Times New Roman" w:hAnsi="Times New Roman"/>
          <w:color w:val="000000" w:themeColor="text1"/>
        </w:rPr>
        <w:t xml:space="preserve">Evropská komise. </w:t>
      </w:r>
      <w:r w:rsidRPr="00F930E6">
        <w:rPr>
          <w:rFonts w:ascii="Times New Roman" w:hAnsi="Times New Roman"/>
          <w:i/>
          <w:color w:val="000000" w:themeColor="text1"/>
        </w:rPr>
        <w:t xml:space="preserve">Erasmus+  </w:t>
      </w:r>
      <w:r w:rsidRPr="00F930E6">
        <w:rPr>
          <w:rFonts w:ascii="Times New Roman" w:hAnsi="Times New Roman"/>
          <w:color w:val="000000" w:themeColor="text1"/>
        </w:rPr>
        <w:t xml:space="preserve">[online]. 2020. [cit. </w:t>
      </w:r>
      <w:proofErr w:type="gramStart"/>
      <w:r w:rsidRPr="00F930E6">
        <w:rPr>
          <w:rFonts w:ascii="Times New Roman" w:hAnsi="Times New Roman"/>
          <w:color w:val="000000" w:themeColor="text1"/>
        </w:rPr>
        <w:t>04.02.2020</w:t>
      </w:r>
      <w:proofErr w:type="gramEnd"/>
      <w:r w:rsidRPr="00F930E6">
        <w:rPr>
          <w:rFonts w:ascii="Times New Roman" w:hAnsi="Times New Roman"/>
          <w:color w:val="000000" w:themeColor="text1"/>
        </w:rPr>
        <w:t xml:space="preserve">]. Dostupné z: </w:t>
      </w:r>
      <w:r w:rsidRPr="00F930E6">
        <w:rPr>
          <w:rFonts w:ascii="Times New Roman" w:hAnsi="Times New Roman"/>
        </w:rPr>
        <w:t>https://ec.europa.eu/programmes/erasmus-plus/.</w:t>
      </w:r>
    </w:p>
  </w:footnote>
  <w:footnote w:id="20">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color w:val="000000" w:themeColor="text1"/>
        </w:rPr>
        <w:footnoteRef/>
      </w:r>
      <w:r w:rsidRPr="00F930E6">
        <w:rPr>
          <w:rFonts w:ascii="Times New Roman" w:hAnsi="Times New Roman"/>
          <w:color w:val="000000" w:themeColor="text1"/>
        </w:rPr>
        <w:t xml:space="preserve"> </w:t>
      </w:r>
      <w:proofErr w:type="spellStart"/>
      <w:r w:rsidRPr="00F930E6">
        <w:rPr>
          <w:rFonts w:ascii="Times New Roman" w:hAnsi="Times New Roman"/>
        </w:rPr>
        <w:t>DotaceEU</w:t>
      </w:r>
      <w:proofErr w:type="spellEnd"/>
      <w:r w:rsidRPr="00F930E6">
        <w:rPr>
          <w:rFonts w:ascii="Times New Roman" w:hAnsi="Times New Roman"/>
        </w:rPr>
        <w:t xml:space="preserve">. </w:t>
      </w:r>
      <w:r w:rsidRPr="00F930E6">
        <w:rPr>
          <w:rFonts w:ascii="Times New Roman" w:hAnsi="Times New Roman"/>
          <w:i/>
        </w:rPr>
        <w:t xml:space="preserve">Evropské fondy v ČR. </w:t>
      </w:r>
      <w:r w:rsidRPr="00F930E6">
        <w:rPr>
          <w:rFonts w:ascii="Times New Roman" w:hAnsi="Times New Roman"/>
        </w:rPr>
        <w:t xml:space="preserve">[online]. 2020. [cit. </w:t>
      </w:r>
      <w:proofErr w:type="gramStart"/>
      <w:r w:rsidRPr="00F930E6">
        <w:rPr>
          <w:rFonts w:ascii="Times New Roman" w:hAnsi="Times New Roman"/>
        </w:rPr>
        <w:t>08.02.2020</w:t>
      </w:r>
      <w:proofErr w:type="gramEnd"/>
      <w:r w:rsidRPr="00F930E6">
        <w:rPr>
          <w:rFonts w:ascii="Times New Roman" w:hAnsi="Times New Roman"/>
        </w:rPr>
        <w:t xml:space="preserve">]. Dostupné z: </w:t>
      </w:r>
      <w:hyperlink r:id="rId3" w:history="1">
        <w:r w:rsidRPr="00F930E6">
          <w:rPr>
            <w:rStyle w:val="Hypertextovodkaz"/>
            <w:rFonts w:ascii="Times New Roman" w:hAnsi="Times New Roman"/>
            <w:color w:val="000000" w:themeColor="text1"/>
            <w:u w:val="none"/>
          </w:rPr>
          <w:t>https://www.dotaceeu.cz/cs/Evropske-fondy-v-CR</w:t>
        </w:r>
      </w:hyperlink>
      <w:r w:rsidRPr="00F930E6">
        <w:rPr>
          <w:rStyle w:val="Hypertextovodkaz"/>
          <w:rFonts w:ascii="Times New Roman" w:hAnsi="Times New Roman"/>
          <w:color w:val="000000" w:themeColor="text1"/>
          <w:u w:val="none"/>
        </w:rPr>
        <w:t>.</w:t>
      </w:r>
    </w:p>
  </w:footnote>
  <w:footnote w:id="21">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proofErr w:type="spellStart"/>
      <w:r w:rsidRPr="00F930E6">
        <w:rPr>
          <w:rFonts w:ascii="Times New Roman" w:hAnsi="Times New Roman"/>
        </w:rPr>
        <w:t>DotaceEU</w:t>
      </w:r>
      <w:proofErr w:type="spellEnd"/>
      <w:r w:rsidRPr="00F930E6">
        <w:rPr>
          <w:rFonts w:ascii="Times New Roman" w:hAnsi="Times New Roman"/>
        </w:rPr>
        <w:t xml:space="preserve">. </w:t>
      </w:r>
      <w:r w:rsidRPr="00F930E6">
        <w:rPr>
          <w:rFonts w:ascii="Times New Roman" w:hAnsi="Times New Roman"/>
          <w:i/>
        </w:rPr>
        <w:t xml:space="preserve">Programové období 2021-2027. </w:t>
      </w:r>
      <w:r w:rsidRPr="00F930E6">
        <w:rPr>
          <w:rFonts w:ascii="Times New Roman" w:hAnsi="Times New Roman"/>
        </w:rPr>
        <w:t xml:space="preserve">[online]. 2020. [cit. </w:t>
      </w:r>
      <w:proofErr w:type="gramStart"/>
      <w:r w:rsidRPr="00F930E6">
        <w:rPr>
          <w:rFonts w:ascii="Times New Roman" w:hAnsi="Times New Roman"/>
        </w:rPr>
        <w:t>08.02.2020</w:t>
      </w:r>
      <w:proofErr w:type="gramEnd"/>
      <w:r w:rsidRPr="00F930E6">
        <w:rPr>
          <w:rFonts w:ascii="Times New Roman" w:hAnsi="Times New Roman"/>
        </w:rPr>
        <w:t>]. Dostupné z: https://www.dotaceeu.cz/cs/evropske-fondy-v-cr/kohezni-politika-po-roce-2020.</w:t>
      </w:r>
    </w:p>
  </w:footnote>
  <w:footnote w:id="22">
    <w:p w:rsidR="005230E1" w:rsidRPr="00F930E6" w:rsidRDefault="005230E1" w:rsidP="00F930E6">
      <w:pPr>
        <w:pStyle w:val="Textpoznpodarou"/>
        <w:jc w:val="both"/>
        <w:rPr>
          <w:rFonts w:ascii="Times New Roman" w:hAnsi="Times New Roman"/>
          <w:b/>
        </w:rPr>
      </w:pPr>
      <w:r w:rsidRPr="00F930E6">
        <w:rPr>
          <w:rStyle w:val="Znakapoznpodarou"/>
          <w:rFonts w:ascii="Times New Roman" w:hAnsi="Times New Roman"/>
        </w:rPr>
        <w:footnoteRef/>
      </w:r>
      <w:r w:rsidRPr="00F930E6">
        <w:rPr>
          <w:rFonts w:ascii="Times New Roman" w:hAnsi="Times New Roman"/>
        </w:rPr>
        <w:t xml:space="preserve"> Ministerstvo pro místní rozvoj ČR, Národní orgán pro koordinaci a řízení, Odbor řízení a koordinace fondů EU. </w:t>
      </w:r>
      <w:r w:rsidRPr="00F930E6">
        <w:rPr>
          <w:rFonts w:ascii="Times New Roman" w:hAnsi="Times New Roman"/>
          <w:i/>
        </w:rPr>
        <w:t>Čtvrtletní zpráva o implementaci ESI fondů v České republice v programovém období 2014–2020, IV. čtvrtletí 2019</w:t>
      </w:r>
      <w:r w:rsidRPr="00F930E6">
        <w:rPr>
          <w:rFonts w:ascii="Times New Roman" w:hAnsi="Times New Roman"/>
        </w:rPr>
        <w:t xml:space="preserve">. s. 9. [online]. 2020. [cit. </w:t>
      </w:r>
      <w:proofErr w:type="gramStart"/>
      <w:r w:rsidRPr="00F930E6">
        <w:rPr>
          <w:rFonts w:ascii="Times New Roman" w:hAnsi="Times New Roman"/>
        </w:rPr>
        <w:t>09.03.2020</w:t>
      </w:r>
      <w:proofErr w:type="gramEnd"/>
      <w:r w:rsidRPr="00F930E6">
        <w:rPr>
          <w:rFonts w:ascii="Times New Roman" w:hAnsi="Times New Roman"/>
        </w:rPr>
        <w:t>]. Dostupné z: https://www.dotaceeu.cz/cs/statistiky-a-analyzy/cerpani-v-obdobi-2014-2020.</w:t>
      </w:r>
    </w:p>
  </w:footnote>
  <w:footnote w:id="23">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Ministerstvo pro místní rozvoj ČR, Národní orgán pro koordinaci a řízení, Odbor řízení a koordinace fondů EU. </w:t>
      </w:r>
      <w:r w:rsidRPr="00F930E6">
        <w:rPr>
          <w:rFonts w:ascii="Times New Roman" w:hAnsi="Times New Roman"/>
          <w:i/>
        </w:rPr>
        <w:t>Čtvrtletní zpráva o implementaci ESI fondů v České republice v programovém období 2014–2020, IV. čtvrtletí 2019</w:t>
      </w:r>
      <w:r w:rsidRPr="00F930E6">
        <w:rPr>
          <w:rFonts w:ascii="Times New Roman" w:hAnsi="Times New Roman"/>
        </w:rPr>
        <w:t xml:space="preserve">. s. 17-18. [online]. 2020. [cit. </w:t>
      </w:r>
      <w:proofErr w:type="gramStart"/>
      <w:r w:rsidRPr="00F930E6">
        <w:rPr>
          <w:rFonts w:ascii="Times New Roman" w:hAnsi="Times New Roman"/>
        </w:rPr>
        <w:t>09.03.2020</w:t>
      </w:r>
      <w:proofErr w:type="gramEnd"/>
      <w:r w:rsidRPr="00F930E6">
        <w:rPr>
          <w:rFonts w:ascii="Times New Roman" w:hAnsi="Times New Roman"/>
        </w:rPr>
        <w:t>]. Dostupné z: https://www.dotaceeu.cz/cs/statistiky-a-analyzy/cerpani-v-obdobi-2014-2020.</w:t>
      </w:r>
    </w:p>
  </w:footnote>
  <w:footnote w:id="24">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color w:val="000000" w:themeColor="text1"/>
        </w:rPr>
        <w:t xml:space="preserve"> </w:t>
      </w:r>
      <w:proofErr w:type="spellStart"/>
      <w:r w:rsidRPr="00F930E6">
        <w:rPr>
          <w:rFonts w:ascii="Times New Roman" w:hAnsi="Times New Roman"/>
        </w:rPr>
        <w:t>DotaceEU</w:t>
      </w:r>
      <w:proofErr w:type="spellEnd"/>
      <w:r w:rsidRPr="00F930E6">
        <w:rPr>
          <w:rFonts w:ascii="Times New Roman" w:hAnsi="Times New Roman"/>
        </w:rPr>
        <w:t xml:space="preserve">. </w:t>
      </w:r>
      <w:r w:rsidRPr="00F930E6">
        <w:rPr>
          <w:rFonts w:ascii="Times New Roman" w:hAnsi="Times New Roman"/>
          <w:i/>
        </w:rPr>
        <w:t>Národní orgán pro koordinaci.</w:t>
      </w:r>
      <w:r w:rsidRPr="00F930E6">
        <w:rPr>
          <w:rFonts w:ascii="Times New Roman" w:hAnsi="Times New Roman"/>
        </w:rPr>
        <w:t xml:space="preserve"> [online]. 2020. [cit. </w:t>
      </w:r>
      <w:proofErr w:type="gramStart"/>
      <w:r w:rsidRPr="00F930E6">
        <w:rPr>
          <w:rFonts w:ascii="Times New Roman" w:hAnsi="Times New Roman"/>
        </w:rPr>
        <w:t>08.02.2020</w:t>
      </w:r>
      <w:proofErr w:type="gramEnd"/>
      <w:r w:rsidRPr="00F930E6">
        <w:rPr>
          <w:rFonts w:ascii="Times New Roman" w:hAnsi="Times New Roman"/>
        </w:rPr>
        <w:t xml:space="preserve">]. Dostupné z: </w:t>
      </w:r>
      <w:hyperlink r:id="rId4" w:history="1">
        <w:r w:rsidRPr="00F930E6">
          <w:rPr>
            <w:rStyle w:val="Hypertextovodkaz"/>
            <w:rFonts w:ascii="Times New Roman" w:hAnsi="Times New Roman"/>
            <w:color w:val="000000" w:themeColor="text1"/>
            <w:u w:val="none"/>
          </w:rPr>
          <w:t>https://www.dotaceeu.cz/cs/Evropske-fondy-v-CR/Narodni-organ-pro-koordinaci</w:t>
        </w:r>
      </w:hyperlink>
      <w:r w:rsidRPr="00F930E6">
        <w:rPr>
          <w:rStyle w:val="Hypertextovodkaz"/>
          <w:rFonts w:ascii="Times New Roman" w:hAnsi="Times New Roman"/>
          <w:color w:val="000000" w:themeColor="text1"/>
          <w:u w:val="none"/>
        </w:rPr>
        <w:t>.</w:t>
      </w:r>
    </w:p>
  </w:footnote>
  <w:footnote w:id="25">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r w:rsidRPr="00F930E6">
        <w:rPr>
          <w:rFonts w:ascii="Times New Roman" w:hAnsi="Times New Roman"/>
          <w:bCs/>
        </w:rPr>
        <w:t>Ministerstvo pro místní rozvoj ČR,</w:t>
      </w:r>
      <w:r w:rsidRPr="00F930E6">
        <w:rPr>
          <w:rFonts w:ascii="Times New Roman" w:hAnsi="Times New Roman"/>
          <w:b/>
        </w:rPr>
        <w:t xml:space="preserve"> </w:t>
      </w:r>
      <w:r w:rsidRPr="00F930E6">
        <w:rPr>
          <w:rFonts w:ascii="Times New Roman" w:hAnsi="Times New Roman"/>
          <w:i/>
        </w:rPr>
        <w:t>DOHODA O PARTNERSTVÍ PRO PROGRAMOVÉ OBDOBÍ 2014–2020 ČESKÁ REPUBLIKA z 26. srpna 2014</w:t>
      </w:r>
      <w:r w:rsidRPr="00F930E6">
        <w:rPr>
          <w:rFonts w:ascii="Times New Roman" w:hAnsi="Times New Roman"/>
        </w:rPr>
        <w:t xml:space="preserve">. </w:t>
      </w:r>
      <w:r w:rsidRPr="00F930E6">
        <w:rPr>
          <w:rStyle w:val="Hypertextovodkaz"/>
          <w:rFonts w:ascii="Times New Roman" w:hAnsi="Times New Roman"/>
          <w:color w:val="auto"/>
          <w:u w:val="none"/>
        </w:rPr>
        <w:t xml:space="preserve">s. 176. </w:t>
      </w:r>
      <w:r w:rsidRPr="00F930E6">
        <w:rPr>
          <w:rFonts w:ascii="Times New Roman" w:hAnsi="Times New Roman"/>
        </w:rPr>
        <w:t xml:space="preserve">[online]. 2014. [cit. </w:t>
      </w:r>
      <w:proofErr w:type="gramStart"/>
      <w:r w:rsidRPr="00F930E6">
        <w:rPr>
          <w:rFonts w:ascii="Times New Roman" w:hAnsi="Times New Roman"/>
        </w:rPr>
        <w:t>13.01.2020</w:t>
      </w:r>
      <w:proofErr w:type="gramEnd"/>
      <w:r w:rsidRPr="00F930E6">
        <w:rPr>
          <w:rFonts w:ascii="Times New Roman" w:hAnsi="Times New Roman"/>
        </w:rPr>
        <w:t xml:space="preserve">]. Dostupné z: </w:t>
      </w:r>
      <w:hyperlink r:id="rId5" w:history="1">
        <w:r w:rsidRPr="00F930E6">
          <w:rPr>
            <w:rStyle w:val="Hypertextovodkaz"/>
            <w:rFonts w:ascii="Times New Roman" w:hAnsi="Times New Roman"/>
            <w:color w:val="auto"/>
            <w:u w:val="none"/>
          </w:rPr>
          <w:t>https://www.dotaceeu.cz/cs/evropske-fondy-v-cr/2014-2020/dohoda-o-partnerstvi</w:t>
        </w:r>
      </w:hyperlink>
      <w:r w:rsidRPr="00F930E6">
        <w:rPr>
          <w:rFonts w:ascii="Times New Roman" w:hAnsi="Times New Roman"/>
        </w:rPr>
        <w:t>.</w:t>
      </w:r>
    </w:p>
  </w:footnote>
  <w:footnote w:id="26">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r w:rsidRPr="00F930E6">
        <w:rPr>
          <w:rFonts w:ascii="Times New Roman" w:hAnsi="Times New Roman"/>
          <w:bCs/>
        </w:rPr>
        <w:t>Ministerstvo pro místní rozvoj ČR,</w:t>
      </w:r>
      <w:r w:rsidRPr="00F930E6">
        <w:rPr>
          <w:rFonts w:ascii="Times New Roman" w:hAnsi="Times New Roman"/>
          <w:b/>
        </w:rPr>
        <w:t xml:space="preserve"> </w:t>
      </w:r>
      <w:r w:rsidRPr="00F930E6">
        <w:rPr>
          <w:rFonts w:ascii="Times New Roman" w:hAnsi="Times New Roman"/>
          <w:i/>
        </w:rPr>
        <w:t>DOHODA O PARTNERSTVÍ PRO PROGRAMOVÉ OBDOBÍ 2014–2020 ČESKÁ REPUBLIKA z 26. srpna 2014</w:t>
      </w:r>
      <w:r w:rsidRPr="00F930E6">
        <w:rPr>
          <w:rFonts w:ascii="Times New Roman" w:hAnsi="Times New Roman"/>
        </w:rPr>
        <w:t xml:space="preserve">. s. 192, 213-214. [online]. 2014. [cit. </w:t>
      </w:r>
      <w:proofErr w:type="gramStart"/>
      <w:r w:rsidRPr="00F930E6">
        <w:rPr>
          <w:rFonts w:ascii="Times New Roman" w:hAnsi="Times New Roman"/>
        </w:rPr>
        <w:t>13.01.2020</w:t>
      </w:r>
      <w:proofErr w:type="gramEnd"/>
      <w:r w:rsidRPr="00F930E6">
        <w:rPr>
          <w:rFonts w:ascii="Times New Roman" w:hAnsi="Times New Roman"/>
        </w:rPr>
        <w:t>]. Dostupné z: https://www.dotaceeu.cz/cs/evropske-fondy-v-cr/2014-2020/dohoda-o-partnerstvi.</w:t>
      </w:r>
    </w:p>
  </w:footnote>
  <w:footnote w:id="27">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Ministerstvo financí ČR. </w:t>
      </w:r>
      <w:proofErr w:type="gramStart"/>
      <w:r w:rsidRPr="00F930E6">
        <w:rPr>
          <w:rFonts w:ascii="Times New Roman" w:hAnsi="Times New Roman"/>
          <w:i/>
        </w:rPr>
        <w:t>odbor</w:t>
      </w:r>
      <w:proofErr w:type="gramEnd"/>
      <w:r w:rsidRPr="00F930E6">
        <w:rPr>
          <w:rFonts w:ascii="Times New Roman" w:hAnsi="Times New Roman"/>
          <w:i/>
        </w:rPr>
        <w:t xml:space="preserve"> 52 – Auditní orgán.</w:t>
      </w:r>
      <w:r w:rsidRPr="00F930E6">
        <w:rPr>
          <w:rFonts w:ascii="Times New Roman" w:hAnsi="Times New Roman"/>
        </w:rPr>
        <w:t xml:space="preserve"> [online]. 2005. [cit. </w:t>
      </w:r>
      <w:proofErr w:type="gramStart"/>
      <w:r w:rsidRPr="00F930E6">
        <w:rPr>
          <w:rFonts w:ascii="Times New Roman" w:hAnsi="Times New Roman"/>
        </w:rPr>
        <w:t>08.02.2020</w:t>
      </w:r>
      <w:proofErr w:type="gramEnd"/>
      <w:r w:rsidRPr="00F930E6">
        <w:rPr>
          <w:rFonts w:ascii="Times New Roman" w:hAnsi="Times New Roman"/>
        </w:rPr>
        <w:t>]. Dostupné z: https://www.mfcr.cz/cs/o-ministerstvu/zakladni-informace/organizacni-struktura/sekce-04/odbor-52-auditni-organ.</w:t>
      </w:r>
    </w:p>
  </w:footnote>
  <w:footnote w:id="28">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Ministerstvo financí ČR. </w:t>
      </w:r>
      <w:proofErr w:type="gramStart"/>
      <w:r w:rsidRPr="00F930E6">
        <w:rPr>
          <w:rFonts w:ascii="Times New Roman" w:hAnsi="Times New Roman"/>
          <w:i/>
        </w:rPr>
        <w:t>odbor</w:t>
      </w:r>
      <w:proofErr w:type="gramEnd"/>
      <w:r w:rsidRPr="00F930E6">
        <w:rPr>
          <w:rFonts w:ascii="Times New Roman" w:hAnsi="Times New Roman"/>
          <w:i/>
        </w:rPr>
        <w:t xml:space="preserve"> 55 – Národní fond.</w:t>
      </w:r>
      <w:r w:rsidRPr="00F930E6">
        <w:rPr>
          <w:rFonts w:ascii="Times New Roman" w:hAnsi="Times New Roman"/>
        </w:rPr>
        <w:t xml:space="preserve"> [online]. 2005. [cit. </w:t>
      </w:r>
      <w:proofErr w:type="gramStart"/>
      <w:r w:rsidRPr="00F930E6">
        <w:rPr>
          <w:rFonts w:ascii="Times New Roman" w:hAnsi="Times New Roman"/>
        </w:rPr>
        <w:t>08.02.2020</w:t>
      </w:r>
      <w:proofErr w:type="gramEnd"/>
      <w:r w:rsidRPr="00F930E6">
        <w:rPr>
          <w:rFonts w:ascii="Times New Roman" w:hAnsi="Times New Roman"/>
        </w:rPr>
        <w:t>]. Dostupné z: https://www.mfcr.cz/cs/o-ministerstvu/zakladni-informace/organizacni-struktura/sekce-06/odbor-55-narodni-fond.</w:t>
      </w:r>
    </w:p>
  </w:footnote>
  <w:footnote w:id="29">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Srov. TAUER, Vladimír, Helena ZEMÁNKOVÁ a Jana ŠUBRTOVÁ. </w:t>
      </w:r>
      <w:r w:rsidRPr="00F930E6">
        <w:rPr>
          <w:rFonts w:ascii="Times New Roman" w:hAnsi="Times New Roman"/>
          <w:i/>
        </w:rPr>
        <w:t>Získejte dotace z fondů EU</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22.</w:t>
      </w:r>
    </w:p>
  </w:footnote>
  <w:footnote w:id="30">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r w:rsidRPr="00F930E6">
        <w:rPr>
          <w:rFonts w:ascii="Times New Roman" w:hAnsi="Times New Roman"/>
          <w:bCs/>
        </w:rPr>
        <w:t>Ministerstvo pro místní rozvoj ČR,</w:t>
      </w:r>
      <w:r w:rsidRPr="00F930E6">
        <w:rPr>
          <w:rFonts w:ascii="Times New Roman" w:hAnsi="Times New Roman"/>
          <w:b/>
        </w:rPr>
        <w:t xml:space="preserve"> </w:t>
      </w:r>
      <w:r w:rsidRPr="00F930E6">
        <w:rPr>
          <w:rFonts w:ascii="Times New Roman" w:hAnsi="Times New Roman"/>
          <w:i/>
        </w:rPr>
        <w:t>DOHODA O PARTNERSTVÍ PRO PROGRAMOVÉ OBDOBÍ 2014–2020 ČESKÁ REPUBLIKA z 26. srpna 2014</w:t>
      </w:r>
      <w:r w:rsidRPr="00F930E6">
        <w:rPr>
          <w:rFonts w:ascii="Times New Roman" w:hAnsi="Times New Roman"/>
        </w:rPr>
        <w:t xml:space="preserve">. </w:t>
      </w:r>
      <w:r w:rsidRPr="00F930E6">
        <w:rPr>
          <w:rStyle w:val="Hypertextovodkaz"/>
          <w:rFonts w:ascii="Times New Roman" w:hAnsi="Times New Roman"/>
          <w:color w:val="auto"/>
          <w:u w:val="none"/>
        </w:rPr>
        <w:t xml:space="preserve">s. 176. </w:t>
      </w:r>
      <w:r w:rsidRPr="00F930E6">
        <w:rPr>
          <w:rFonts w:ascii="Times New Roman" w:hAnsi="Times New Roman"/>
        </w:rPr>
        <w:t xml:space="preserve">[online]. 2014. [cit. </w:t>
      </w:r>
      <w:proofErr w:type="gramStart"/>
      <w:r w:rsidRPr="00F930E6">
        <w:rPr>
          <w:rFonts w:ascii="Times New Roman" w:hAnsi="Times New Roman"/>
        </w:rPr>
        <w:t>13.01.2020</w:t>
      </w:r>
      <w:proofErr w:type="gramEnd"/>
      <w:r w:rsidRPr="00F930E6">
        <w:rPr>
          <w:rFonts w:ascii="Times New Roman" w:hAnsi="Times New Roman"/>
        </w:rPr>
        <w:t xml:space="preserve">]. Dostupné z: </w:t>
      </w:r>
      <w:hyperlink r:id="rId6" w:history="1">
        <w:r w:rsidRPr="00F930E6">
          <w:rPr>
            <w:rStyle w:val="Hypertextovodkaz"/>
            <w:rFonts w:ascii="Times New Roman" w:hAnsi="Times New Roman"/>
            <w:color w:val="auto"/>
            <w:u w:val="none"/>
          </w:rPr>
          <w:t>https://www.dotaceeu.cz/cs/evropske-fondy-v-cr/2014-2020/dohoda-o-partnerstvi</w:t>
        </w:r>
      </w:hyperlink>
      <w:r w:rsidRPr="00F930E6">
        <w:rPr>
          <w:rFonts w:ascii="Times New Roman" w:hAnsi="Times New Roman"/>
        </w:rPr>
        <w:t>.</w:t>
      </w:r>
    </w:p>
  </w:footnote>
  <w:footnote w:id="31">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Srov. TAUER, Vladimír, Helena ZEMÁNKOVÁ a Jana ŠUBRTOVÁ. </w:t>
      </w:r>
      <w:r w:rsidRPr="00F930E6">
        <w:rPr>
          <w:rFonts w:ascii="Times New Roman" w:hAnsi="Times New Roman"/>
          <w:i/>
        </w:rPr>
        <w:t>Získejte dotace z fondů EU</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23.</w:t>
      </w:r>
    </w:p>
  </w:footnote>
  <w:footnote w:id="32">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SFDI. </w:t>
      </w:r>
      <w:r w:rsidRPr="00F930E6">
        <w:rPr>
          <w:rFonts w:ascii="Times New Roman" w:hAnsi="Times New Roman"/>
          <w:i/>
        </w:rPr>
        <w:t>Zákon o SFDI</w:t>
      </w:r>
      <w:r w:rsidRPr="00F930E6">
        <w:rPr>
          <w:rFonts w:ascii="Times New Roman" w:hAnsi="Times New Roman"/>
        </w:rPr>
        <w:t xml:space="preserve">. [online]. 2020. [cit. </w:t>
      </w:r>
      <w:proofErr w:type="gramStart"/>
      <w:r w:rsidRPr="00F930E6">
        <w:rPr>
          <w:rFonts w:ascii="Times New Roman" w:hAnsi="Times New Roman"/>
        </w:rPr>
        <w:t>10.02.2020</w:t>
      </w:r>
      <w:proofErr w:type="gramEnd"/>
      <w:r w:rsidRPr="00F930E6">
        <w:rPr>
          <w:rFonts w:ascii="Times New Roman" w:hAnsi="Times New Roman"/>
        </w:rPr>
        <w:t>]. Dostupné z: https://www.sfdi.cz/zakladni-informace/zakon-o-sfdi/.</w:t>
      </w:r>
    </w:p>
  </w:footnote>
  <w:footnote w:id="33">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Státní fond životního prostředí ČR. </w:t>
      </w:r>
      <w:r w:rsidRPr="00F930E6">
        <w:rPr>
          <w:rFonts w:ascii="Times New Roman" w:hAnsi="Times New Roman"/>
          <w:i/>
        </w:rPr>
        <w:t>Hospodaření Fondu</w:t>
      </w:r>
      <w:r w:rsidRPr="00F930E6">
        <w:rPr>
          <w:rFonts w:ascii="Times New Roman" w:hAnsi="Times New Roman"/>
        </w:rPr>
        <w:t xml:space="preserve">. [online]. 2020. [cit. </w:t>
      </w:r>
      <w:proofErr w:type="gramStart"/>
      <w:r w:rsidRPr="00F930E6">
        <w:rPr>
          <w:rFonts w:ascii="Times New Roman" w:hAnsi="Times New Roman"/>
        </w:rPr>
        <w:t>10.02.2020</w:t>
      </w:r>
      <w:proofErr w:type="gramEnd"/>
      <w:r w:rsidRPr="00F930E6">
        <w:rPr>
          <w:rFonts w:ascii="Times New Roman" w:hAnsi="Times New Roman"/>
        </w:rPr>
        <w:t>]. Dostupné z: https://www.sfzp.cz/o-sfzp-cr/o-nas/hospodareni-fondu/.</w:t>
      </w:r>
    </w:p>
  </w:footnote>
  <w:footnote w:id="34">
    <w:p w:rsidR="005230E1" w:rsidRPr="00F930E6" w:rsidRDefault="005230E1" w:rsidP="00F930E6">
      <w:pPr>
        <w:pStyle w:val="Citt1"/>
        <w:spacing w:before="0" w:beforeAutospacing="0" w:after="0" w:afterAutospacing="0"/>
        <w:jc w:val="both"/>
        <w:rPr>
          <w:sz w:val="20"/>
        </w:rPr>
      </w:pPr>
      <w:r w:rsidRPr="00F930E6">
        <w:rPr>
          <w:rStyle w:val="Znakapoznpodarou"/>
          <w:sz w:val="20"/>
        </w:rPr>
        <w:footnoteRef/>
      </w:r>
      <w:r w:rsidRPr="00F930E6">
        <w:rPr>
          <w:sz w:val="20"/>
        </w:rPr>
        <w:t xml:space="preserve"> Státní zemědělský intervenční fond. </w:t>
      </w:r>
      <w:r w:rsidRPr="00F930E6">
        <w:rPr>
          <w:i/>
          <w:sz w:val="20"/>
        </w:rPr>
        <w:t>O nás.</w:t>
      </w:r>
      <w:r w:rsidRPr="00F930E6">
        <w:rPr>
          <w:sz w:val="20"/>
        </w:rPr>
        <w:t xml:space="preserve"> [online]. 2013. [cit. </w:t>
      </w:r>
      <w:proofErr w:type="gramStart"/>
      <w:r w:rsidRPr="00F930E6">
        <w:rPr>
          <w:sz w:val="20"/>
        </w:rPr>
        <w:t>17.03.2020</w:t>
      </w:r>
      <w:proofErr w:type="gramEnd"/>
      <w:r w:rsidRPr="00F930E6">
        <w:rPr>
          <w:sz w:val="20"/>
        </w:rPr>
        <w:t xml:space="preserve">]. Dostupné z: </w:t>
      </w:r>
      <w:r w:rsidRPr="00F930E6">
        <w:rPr>
          <w:rFonts w:eastAsia="Calibri"/>
          <w:sz w:val="20"/>
        </w:rPr>
        <w:t>https://www.szif.cz/cs/o-nas.</w:t>
      </w:r>
    </w:p>
  </w:footnote>
  <w:footnote w:id="35">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Agentura pro podnikání a inovace. </w:t>
      </w:r>
      <w:r w:rsidRPr="00F930E6">
        <w:rPr>
          <w:rFonts w:ascii="Times New Roman" w:hAnsi="Times New Roman"/>
          <w:i/>
        </w:rPr>
        <w:t>O API.</w:t>
      </w:r>
      <w:r w:rsidRPr="00F930E6">
        <w:rPr>
          <w:rFonts w:ascii="Times New Roman" w:hAnsi="Times New Roman"/>
        </w:rPr>
        <w:t xml:space="preserve"> [online]. 2020. [cit. </w:t>
      </w:r>
      <w:proofErr w:type="gramStart"/>
      <w:r w:rsidRPr="00F930E6">
        <w:rPr>
          <w:rFonts w:ascii="Times New Roman" w:hAnsi="Times New Roman"/>
        </w:rPr>
        <w:t>10.02.2020</w:t>
      </w:r>
      <w:proofErr w:type="gramEnd"/>
      <w:r w:rsidRPr="00F930E6">
        <w:rPr>
          <w:rFonts w:ascii="Times New Roman" w:hAnsi="Times New Roman"/>
        </w:rPr>
        <w:t>]. Dostupné z: https://www.agentura-api.org/cs/o-api/.</w:t>
      </w:r>
    </w:p>
  </w:footnote>
  <w:footnote w:id="36">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proofErr w:type="spellStart"/>
      <w:r w:rsidRPr="00F930E6">
        <w:rPr>
          <w:rFonts w:ascii="Times New Roman" w:hAnsi="Times New Roman"/>
        </w:rPr>
        <w:t>CzechInvest</w:t>
      </w:r>
      <w:proofErr w:type="spellEnd"/>
      <w:r w:rsidRPr="00F930E6">
        <w:rPr>
          <w:rFonts w:ascii="Times New Roman" w:hAnsi="Times New Roman"/>
        </w:rPr>
        <w:t xml:space="preserve">. </w:t>
      </w:r>
      <w:r w:rsidRPr="00F930E6">
        <w:rPr>
          <w:rFonts w:ascii="Times New Roman" w:hAnsi="Times New Roman"/>
          <w:i/>
        </w:rPr>
        <w:t>Historie.</w:t>
      </w:r>
      <w:r w:rsidRPr="00F930E6">
        <w:rPr>
          <w:rFonts w:ascii="Times New Roman" w:hAnsi="Times New Roman"/>
        </w:rPr>
        <w:t xml:space="preserve"> [online]. 2020. [cit. </w:t>
      </w:r>
      <w:proofErr w:type="gramStart"/>
      <w:r w:rsidRPr="00F930E6">
        <w:rPr>
          <w:rFonts w:ascii="Times New Roman" w:hAnsi="Times New Roman"/>
        </w:rPr>
        <w:t>10.02.2020</w:t>
      </w:r>
      <w:proofErr w:type="gramEnd"/>
      <w:r w:rsidRPr="00F930E6">
        <w:rPr>
          <w:rFonts w:ascii="Times New Roman" w:hAnsi="Times New Roman"/>
        </w:rPr>
        <w:t>]. Dostupné z: https://www.czechinvest.org/cz/O-CzechInvestu/Historie.</w:t>
      </w:r>
    </w:p>
  </w:footnote>
  <w:footnote w:id="37">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r w:rsidRPr="00F930E6">
        <w:rPr>
          <w:rFonts w:ascii="Times New Roman" w:hAnsi="Times New Roman"/>
          <w:color w:val="000000" w:themeColor="text1"/>
        </w:rPr>
        <w:t xml:space="preserve">Evropská komise. </w:t>
      </w:r>
      <w:r w:rsidRPr="00F930E6">
        <w:rPr>
          <w:rFonts w:ascii="Times New Roman" w:hAnsi="Times New Roman"/>
          <w:i/>
          <w:color w:val="000000" w:themeColor="text1"/>
        </w:rPr>
        <w:t xml:space="preserve">Politická strategie EU. </w:t>
      </w:r>
      <w:r w:rsidRPr="00F930E6">
        <w:rPr>
          <w:rFonts w:ascii="Times New Roman" w:hAnsi="Times New Roman"/>
          <w:color w:val="000000" w:themeColor="text1"/>
        </w:rPr>
        <w:t xml:space="preserve">[online]. 2020. [cit. </w:t>
      </w:r>
      <w:proofErr w:type="gramStart"/>
      <w:r w:rsidRPr="00F930E6">
        <w:rPr>
          <w:rFonts w:ascii="Times New Roman" w:hAnsi="Times New Roman"/>
          <w:color w:val="000000" w:themeColor="text1"/>
        </w:rPr>
        <w:t>04.02.2020</w:t>
      </w:r>
      <w:proofErr w:type="gramEnd"/>
      <w:r w:rsidRPr="00F930E6">
        <w:rPr>
          <w:rFonts w:ascii="Times New Roman" w:hAnsi="Times New Roman"/>
          <w:color w:val="000000" w:themeColor="text1"/>
        </w:rPr>
        <w:t xml:space="preserve">]. Dostupné z: </w:t>
      </w:r>
      <w:r w:rsidRPr="00F930E6">
        <w:rPr>
          <w:rFonts w:ascii="Times New Roman" w:hAnsi="Times New Roman"/>
        </w:rPr>
        <w:t xml:space="preserve"> https://ec.europa.eu/info/strategy_cs.</w:t>
      </w:r>
    </w:p>
  </w:footnote>
  <w:footnote w:id="38">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r w:rsidRPr="00F930E6">
        <w:rPr>
          <w:rFonts w:ascii="Times New Roman" w:hAnsi="Times New Roman"/>
          <w:color w:val="000000" w:themeColor="text1"/>
        </w:rPr>
        <w:t xml:space="preserve">Evropská komise. </w:t>
      </w:r>
      <w:r w:rsidRPr="00F930E6">
        <w:rPr>
          <w:rFonts w:ascii="Times New Roman" w:hAnsi="Times New Roman"/>
          <w:i/>
          <w:color w:val="000000" w:themeColor="text1"/>
        </w:rPr>
        <w:t xml:space="preserve">Evropský úřad pro boj proti podvodům. </w:t>
      </w:r>
      <w:r w:rsidRPr="00F930E6">
        <w:rPr>
          <w:rFonts w:ascii="Times New Roman" w:hAnsi="Times New Roman"/>
          <w:color w:val="000000" w:themeColor="text1"/>
        </w:rPr>
        <w:t xml:space="preserve">[online]. 2020. [cit. </w:t>
      </w:r>
      <w:proofErr w:type="gramStart"/>
      <w:r w:rsidRPr="00F930E6">
        <w:rPr>
          <w:rFonts w:ascii="Times New Roman" w:hAnsi="Times New Roman"/>
          <w:color w:val="000000" w:themeColor="text1"/>
        </w:rPr>
        <w:t>04.02.2020</w:t>
      </w:r>
      <w:proofErr w:type="gramEnd"/>
      <w:r w:rsidRPr="00F930E6">
        <w:rPr>
          <w:rFonts w:ascii="Times New Roman" w:hAnsi="Times New Roman"/>
          <w:color w:val="000000" w:themeColor="text1"/>
        </w:rPr>
        <w:t xml:space="preserve">]. Dostupné z: </w:t>
      </w:r>
      <w:r w:rsidRPr="00F930E6">
        <w:rPr>
          <w:rFonts w:ascii="Times New Roman" w:hAnsi="Times New Roman"/>
        </w:rPr>
        <w:t>https://ec.europa.eu/anti-fraud/about-us_cs.</w:t>
      </w:r>
    </w:p>
  </w:footnote>
  <w:footnote w:id="39">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EVROPSKÝ ÚČETNÍ DVŮR. </w:t>
      </w:r>
      <w:r w:rsidRPr="00F930E6">
        <w:rPr>
          <w:rFonts w:ascii="Times New Roman" w:hAnsi="Times New Roman"/>
          <w:i/>
        </w:rPr>
        <w:t>Poslání a úloha.</w:t>
      </w:r>
      <w:r w:rsidRPr="00F930E6">
        <w:rPr>
          <w:rFonts w:ascii="Times New Roman" w:hAnsi="Times New Roman"/>
        </w:rPr>
        <w:t xml:space="preserve"> </w:t>
      </w:r>
      <w:r w:rsidRPr="00F930E6">
        <w:rPr>
          <w:rFonts w:ascii="Times New Roman" w:hAnsi="Times New Roman"/>
          <w:color w:val="000000" w:themeColor="text1"/>
        </w:rPr>
        <w:t xml:space="preserve">[online]. 2020. [cit. </w:t>
      </w:r>
      <w:proofErr w:type="gramStart"/>
      <w:r w:rsidRPr="00F930E6">
        <w:rPr>
          <w:rFonts w:ascii="Times New Roman" w:hAnsi="Times New Roman"/>
          <w:color w:val="000000" w:themeColor="text1"/>
        </w:rPr>
        <w:t>04.02.2020</w:t>
      </w:r>
      <w:proofErr w:type="gramEnd"/>
      <w:r w:rsidRPr="00F930E6">
        <w:rPr>
          <w:rFonts w:ascii="Times New Roman" w:hAnsi="Times New Roman"/>
          <w:color w:val="000000" w:themeColor="text1"/>
        </w:rPr>
        <w:t xml:space="preserve">]. Dostupné z: </w:t>
      </w:r>
      <w:r w:rsidRPr="00F930E6">
        <w:rPr>
          <w:rFonts w:ascii="Times New Roman" w:hAnsi="Times New Roman"/>
        </w:rPr>
        <w:t>https://www.eca.europa.eu/cs/Pages/MissionAndRole.aspx.</w:t>
      </w:r>
    </w:p>
  </w:footnote>
  <w:footnote w:id="40">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Srov. STRNADOVÁ, Zuzana. </w:t>
      </w:r>
      <w:r w:rsidRPr="00F930E6">
        <w:rPr>
          <w:rFonts w:ascii="Times New Roman" w:hAnsi="Times New Roman"/>
          <w:i/>
        </w:rPr>
        <w:t>Co by měl vědět příjemce dotace</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9.</w:t>
      </w:r>
    </w:p>
  </w:footnote>
  <w:footnote w:id="41">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Srov. BAKEŠ, Milan, </w:t>
      </w:r>
      <w:r w:rsidRPr="00F930E6">
        <w:rPr>
          <w:rFonts w:ascii="Times New Roman" w:hAnsi="Times New Roman"/>
          <w:i/>
        </w:rPr>
        <w:t>Finanční právo</w:t>
      </w:r>
      <w:r w:rsidRPr="00F930E6">
        <w:rPr>
          <w:rFonts w:ascii="Times New Roman" w:hAnsi="Times New Roman"/>
        </w:rPr>
        <w:t>, s. 43.</w:t>
      </w:r>
    </w:p>
  </w:footnote>
  <w:footnote w:id="42">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Nejvyšší kontrolní úřad. </w:t>
      </w:r>
      <w:r w:rsidRPr="00F930E6">
        <w:rPr>
          <w:rFonts w:ascii="Times New Roman" w:hAnsi="Times New Roman"/>
          <w:i/>
        </w:rPr>
        <w:t xml:space="preserve">Statistika. </w:t>
      </w:r>
      <w:r w:rsidRPr="00F930E6">
        <w:rPr>
          <w:rFonts w:ascii="Times New Roman" w:hAnsi="Times New Roman"/>
        </w:rPr>
        <w:t xml:space="preserve">[online]. 2020. [cit. </w:t>
      </w:r>
      <w:proofErr w:type="gramStart"/>
      <w:r w:rsidRPr="00F930E6">
        <w:rPr>
          <w:rFonts w:ascii="Times New Roman" w:hAnsi="Times New Roman"/>
        </w:rPr>
        <w:t>10.02.2020</w:t>
      </w:r>
      <w:proofErr w:type="gramEnd"/>
      <w:r w:rsidRPr="00F930E6">
        <w:rPr>
          <w:rFonts w:ascii="Times New Roman" w:hAnsi="Times New Roman"/>
        </w:rPr>
        <w:t>]. Dostupné z:</w:t>
      </w:r>
      <w:r w:rsidRPr="00F930E6">
        <w:rPr>
          <w:rFonts w:ascii="Times New Roman" w:hAnsi="Times New Roman"/>
          <w:i/>
        </w:rPr>
        <w:t xml:space="preserve"> </w:t>
      </w:r>
      <w:r w:rsidRPr="00F930E6">
        <w:rPr>
          <w:rFonts w:ascii="Times New Roman" w:hAnsi="Times New Roman"/>
        </w:rPr>
        <w:t>https://www.nku.cz/cz/kontrola/statistiky/.</w:t>
      </w:r>
    </w:p>
  </w:footnote>
  <w:footnote w:id="43">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Oživení.cz. </w:t>
      </w:r>
      <w:r w:rsidRPr="00F930E6">
        <w:rPr>
          <w:rFonts w:ascii="Times New Roman" w:hAnsi="Times New Roman"/>
          <w:i/>
        </w:rPr>
        <w:t>Dotace.</w:t>
      </w:r>
      <w:r w:rsidRPr="00F930E6">
        <w:rPr>
          <w:rFonts w:ascii="Times New Roman" w:hAnsi="Times New Roman"/>
        </w:rPr>
        <w:t xml:space="preserve"> [online]. 2020. [cit. </w:t>
      </w:r>
      <w:proofErr w:type="gramStart"/>
      <w:r w:rsidRPr="00F930E6">
        <w:rPr>
          <w:rFonts w:ascii="Times New Roman" w:hAnsi="Times New Roman"/>
        </w:rPr>
        <w:t>11.02.2020</w:t>
      </w:r>
      <w:proofErr w:type="gramEnd"/>
      <w:r w:rsidRPr="00F930E6">
        <w:rPr>
          <w:rFonts w:ascii="Times New Roman" w:hAnsi="Times New Roman"/>
        </w:rPr>
        <w:t>]. Dostupné z:</w:t>
      </w:r>
      <w:r w:rsidRPr="00F930E6">
        <w:rPr>
          <w:rFonts w:ascii="Times New Roman" w:hAnsi="Times New Roman"/>
          <w:i/>
        </w:rPr>
        <w:t xml:space="preserve">  </w:t>
      </w:r>
      <w:r w:rsidRPr="00F930E6">
        <w:rPr>
          <w:rFonts w:ascii="Times New Roman" w:hAnsi="Times New Roman"/>
        </w:rPr>
        <w:t>https://www.oziveni.cz/faqs/category/pravni-poradna-dotace/.</w:t>
      </w:r>
    </w:p>
  </w:footnote>
  <w:footnote w:id="44">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Zákon č. 531/1990 Sb., o územních finančních orgánech.</w:t>
      </w:r>
    </w:p>
  </w:footnote>
  <w:footnote w:id="45">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Zákon č. 456/2011 Sb., o Finanční správě České republiky.</w:t>
      </w:r>
    </w:p>
  </w:footnote>
  <w:footnote w:id="46">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Zákon č. 280/2009 Sb., daňový řád.</w:t>
      </w:r>
    </w:p>
  </w:footnote>
  <w:footnote w:id="47">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Srov. STRNADOVÁ, Zuzana. </w:t>
      </w:r>
      <w:r w:rsidRPr="00F930E6">
        <w:rPr>
          <w:rFonts w:ascii="Times New Roman" w:hAnsi="Times New Roman"/>
          <w:i/>
        </w:rPr>
        <w:t>Co by měl vědět příjemce dotace</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122.</w:t>
      </w:r>
    </w:p>
  </w:footnote>
  <w:footnote w:id="48">
    <w:p w:rsidR="005230E1" w:rsidRPr="00F930E6" w:rsidRDefault="005230E1" w:rsidP="00F930E6">
      <w:pPr>
        <w:pStyle w:val="Textpoznpodarou"/>
        <w:jc w:val="both"/>
        <w:rPr>
          <w:rFonts w:ascii="Times New Roman" w:hAnsi="Times New Roman"/>
          <w:b/>
        </w:rPr>
      </w:pPr>
      <w:r w:rsidRPr="00F930E6">
        <w:rPr>
          <w:rStyle w:val="Znakapoznpodarou"/>
          <w:rFonts w:ascii="Times New Roman" w:hAnsi="Times New Roman"/>
        </w:rPr>
        <w:footnoteRef/>
      </w:r>
      <w:r w:rsidRPr="00F930E6">
        <w:rPr>
          <w:rFonts w:ascii="Times New Roman" w:hAnsi="Times New Roman"/>
        </w:rPr>
        <w:t xml:space="preserve"> Srov. STRNADOVÁ, Zuzana. </w:t>
      </w:r>
      <w:r w:rsidRPr="00F930E6">
        <w:rPr>
          <w:rFonts w:ascii="Times New Roman" w:hAnsi="Times New Roman"/>
          <w:i/>
        </w:rPr>
        <w:t>Co by měl vědět příjemce dotace</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124-125.</w:t>
      </w:r>
    </w:p>
  </w:footnote>
  <w:footnote w:id="49">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Rada Evropské unie, </w:t>
      </w:r>
      <w:r w:rsidRPr="00F930E6">
        <w:rPr>
          <w:rFonts w:ascii="Times New Roman" w:hAnsi="Times New Roman"/>
          <w:bCs/>
          <w:i/>
        </w:rPr>
        <w:t>NAŘÍZENÍ RADY (ES) č. 1083/2006 ze dne 11. července 2006 o obecných ustanoveních o Evropském fondu pro regionální rozvoj, Evropském sociálním fondu a Fondu soudržnosti a o zrušení nařízení (ES) č. 1260/1999.</w:t>
      </w:r>
      <w:r w:rsidRPr="00F930E6">
        <w:rPr>
          <w:rFonts w:ascii="Times New Roman" w:hAnsi="Times New Roman"/>
          <w:bCs/>
        </w:rPr>
        <w:t xml:space="preserve"> s. 21. </w:t>
      </w:r>
      <w:r w:rsidRPr="00F930E6">
        <w:rPr>
          <w:rFonts w:ascii="Times New Roman" w:hAnsi="Times New Roman"/>
        </w:rPr>
        <w:t xml:space="preserve">[online]. 2006. [cit. </w:t>
      </w:r>
      <w:proofErr w:type="gramStart"/>
      <w:r w:rsidRPr="00F930E6">
        <w:rPr>
          <w:rFonts w:ascii="Times New Roman" w:hAnsi="Times New Roman"/>
        </w:rPr>
        <w:t>27.02.2020</w:t>
      </w:r>
      <w:proofErr w:type="gramEnd"/>
      <w:r w:rsidRPr="00F930E6">
        <w:rPr>
          <w:rFonts w:ascii="Times New Roman" w:hAnsi="Times New Roman"/>
        </w:rPr>
        <w:t xml:space="preserve">]. Dostupné z: </w:t>
      </w:r>
      <w:r w:rsidRPr="00F930E6">
        <w:rPr>
          <w:rFonts w:ascii="Times New Roman" w:hAnsi="Times New Roman"/>
          <w:bCs/>
        </w:rPr>
        <w:t>https://eur-lex.europa.eu/legal-content/cs/TXT/?uri=CELEX%3A32006R1083.</w:t>
      </w:r>
    </w:p>
  </w:footnote>
  <w:footnote w:id="50">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r w:rsidRPr="00F930E6">
        <w:rPr>
          <w:rFonts w:ascii="Times New Roman" w:hAnsi="Times New Roman"/>
          <w:bCs/>
        </w:rPr>
        <w:t>Ministerstvo financí ČR, odbor 55 - Národní fond</w:t>
      </w:r>
      <w:r w:rsidRPr="00F930E6">
        <w:rPr>
          <w:rFonts w:ascii="Times New Roman" w:hAnsi="Times New Roman"/>
        </w:rPr>
        <w:t>.</w:t>
      </w:r>
      <w:r w:rsidRPr="00F930E6">
        <w:rPr>
          <w:rFonts w:ascii="Times New Roman" w:hAnsi="Times New Roman"/>
          <w:b/>
        </w:rPr>
        <w:t xml:space="preserve"> </w:t>
      </w:r>
      <w:r w:rsidRPr="00F930E6">
        <w:rPr>
          <w:rFonts w:ascii="Times New Roman" w:hAnsi="Times New Roman"/>
          <w:i/>
        </w:rPr>
        <w:t>Metodický pokyn finančních toků programů spolufinancovaných z Evropských strukturálních fondů, Fondu soudržnosti a Evropského námořního a rybářského fondu na programové období 2007 - 2013 s účinností od 1. 9. 2013</w:t>
      </w:r>
      <w:r w:rsidRPr="00F930E6">
        <w:rPr>
          <w:rFonts w:ascii="Times New Roman" w:hAnsi="Times New Roman"/>
        </w:rPr>
        <w:t xml:space="preserve">. s. 3. [online]. 2013. [cit. </w:t>
      </w:r>
      <w:proofErr w:type="gramStart"/>
      <w:r w:rsidRPr="00F930E6">
        <w:rPr>
          <w:rFonts w:ascii="Times New Roman" w:hAnsi="Times New Roman"/>
        </w:rPr>
        <w:t>13.11.2019</w:t>
      </w:r>
      <w:proofErr w:type="gramEnd"/>
      <w:r w:rsidRPr="00F930E6">
        <w:rPr>
          <w:rFonts w:ascii="Times New Roman" w:hAnsi="Times New Roman"/>
        </w:rPr>
        <w:t>]. Dostupné z: https://www.mfcr.cz/cs/legislativa/metodiky/2013/metodika-financnich-toku-a-kontroly-prog-13734.</w:t>
      </w:r>
    </w:p>
  </w:footnote>
  <w:footnote w:id="51">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r w:rsidRPr="00F930E6">
        <w:rPr>
          <w:rFonts w:ascii="Times New Roman" w:hAnsi="Times New Roman"/>
          <w:bCs/>
        </w:rPr>
        <w:t>Ministerstvo financí ČR, odbor 55 - Národní fond</w:t>
      </w:r>
      <w:r w:rsidRPr="00F930E6">
        <w:rPr>
          <w:rFonts w:ascii="Times New Roman" w:hAnsi="Times New Roman"/>
        </w:rPr>
        <w:t>.</w:t>
      </w:r>
      <w:r w:rsidRPr="00F930E6">
        <w:rPr>
          <w:rFonts w:ascii="Times New Roman" w:hAnsi="Times New Roman"/>
          <w:b/>
        </w:rPr>
        <w:t xml:space="preserve"> </w:t>
      </w:r>
      <w:r w:rsidRPr="00F930E6">
        <w:rPr>
          <w:rFonts w:ascii="Times New Roman" w:hAnsi="Times New Roman"/>
          <w:i/>
        </w:rPr>
        <w:t>Metodický pokyn finančních toků programů spolufinancovaných z Evropských strukturálních fondů, Fondu soudržnosti a Evropského námořního a rybářského fondu na programové období 2014 - 2020 s účinností od 1. 11. 2014</w:t>
      </w:r>
      <w:r w:rsidRPr="00F930E6">
        <w:rPr>
          <w:rFonts w:ascii="Times New Roman" w:hAnsi="Times New Roman"/>
        </w:rPr>
        <w:t xml:space="preserve">. s. 40-41. [online]. 2014. [cit. </w:t>
      </w:r>
      <w:proofErr w:type="gramStart"/>
      <w:r w:rsidRPr="00F930E6">
        <w:rPr>
          <w:rFonts w:ascii="Times New Roman" w:hAnsi="Times New Roman"/>
        </w:rPr>
        <w:t>13.11.2019</w:t>
      </w:r>
      <w:proofErr w:type="gramEnd"/>
      <w:r w:rsidRPr="00F930E6">
        <w:rPr>
          <w:rFonts w:ascii="Times New Roman" w:hAnsi="Times New Roman"/>
        </w:rPr>
        <w:t>]. Dostupné z: https://www.mfcr.cz/cs/legislativa/metodiky/2014/metodicky-pokyn-financnich-toku-programu-19506.</w:t>
      </w:r>
    </w:p>
  </w:footnote>
  <w:footnote w:id="52">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STRNADOVÁ, Zuzana. </w:t>
      </w:r>
      <w:r w:rsidRPr="00F930E6">
        <w:rPr>
          <w:rFonts w:ascii="Times New Roman" w:hAnsi="Times New Roman"/>
          <w:i/>
        </w:rPr>
        <w:t>Co by měl vědět příjemce dotace</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51.</w:t>
      </w:r>
    </w:p>
  </w:footnote>
  <w:footnote w:id="53">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ÚZ číslo: 1357. </w:t>
      </w:r>
      <w:r w:rsidRPr="00F930E6">
        <w:rPr>
          <w:rFonts w:ascii="Times New Roman" w:hAnsi="Times New Roman"/>
          <w:i/>
        </w:rPr>
        <w:t>Rozpočet a financování: obce, kraje, hl. město Praha, organizační složky státu, příspěvkové organizace, svazky obcí</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5-6. </w:t>
      </w:r>
    </w:p>
  </w:footnote>
  <w:footnote w:id="54">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ÚZ číslo: 1357. </w:t>
      </w:r>
      <w:r w:rsidRPr="00F930E6">
        <w:rPr>
          <w:rFonts w:ascii="Times New Roman" w:hAnsi="Times New Roman"/>
          <w:i/>
        </w:rPr>
        <w:t>Rozpočet a financování: obce, kraje, hl. město Praha, organizační složky státu, příspěvkové organizace, svazky obcí</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6.</w:t>
      </w:r>
    </w:p>
  </w:footnote>
  <w:footnote w:id="55">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Srov. ÚZ číslo: 1357. </w:t>
      </w:r>
      <w:r w:rsidRPr="00F930E6">
        <w:rPr>
          <w:rFonts w:ascii="Times New Roman" w:hAnsi="Times New Roman"/>
          <w:i/>
        </w:rPr>
        <w:t>Rozpočet a financování: obce, kraje, hl. město Praha, organizační složky státu, příspěvkové organizace, svazky obcí</w:t>
      </w:r>
      <w:r w:rsidRPr="00F930E6">
        <w:rPr>
          <w:rFonts w:ascii="Times New Roman" w:hAnsi="Times New Roman"/>
        </w:rPr>
        <w:t xml:space="preserve">. </w:t>
      </w:r>
      <w:proofErr w:type="gramStart"/>
      <w:r w:rsidRPr="00F930E6">
        <w:rPr>
          <w:rFonts w:ascii="Times New Roman" w:hAnsi="Times New Roman"/>
        </w:rPr>
        <w:t>s.</w:t>
      </w:r>
      <w:proofErr w:type="gramEnd"/>
      <w:r w:rsidRPr="00F930E6">
        <w:rPr>
          <w:rFonts w:ascii="Times New Roman" w:hAnsi="Times New Roman"/>
        </w:rPr>
        <w:t xml:space="preserve"> 14.</w:t>
      </w:r>
    </w:p>
  </w:footnote>
  <w:footnote w:id="56">
    <w:p w:rsidR="005230E1" w:rsidRPr="00F930E6" w:rsidRDefault="005230E1" w:rsidP="00F930E6">
      <w:pPr>
        <w:spacing w:line="240" w:lineRule="auto"/>
        <w:ind w:firstLine="0"/>
        <w:rPr>
          <w:color w:val="000000" w:themeColor="text1"/>
          <w:sz w:val="20"/>
          <w:szCs w:val="20"/>
        </w:rPr>
      </w:pPr>
      <w:r w:rsidRPr="00F930E6">
        <w:rPr>
          <w:rStyle w:val="Znakapoznpodarou"/>
          <w:sz w:val="20"/>
          <w:szCs w:val="20"/>
        </w:rPr>
        <w:footnoteRef/>
      </w:r>
      <w:r w:rsidRPr="00F930E6">
        <w:rPr>
          <w:sz w:val="20"/>
          <w:szCs w:val="20"/>
        </w:rPr>
        <w:t xml:space="preserve"> </w:t>
      </w:r>
      <w:r w:rsidRPr="00F930E6">
        <w:rPr>
          <w:color w:val="000000" w:themeColor="text1"/>
          <w:sz w:val="20"/>
          <w:szCs w:val="20"/>
          <w:shd w:val="clear" w:color="auto" w:fill="FFFFFF"/>
          <w:lang w:eastAsia="zh-CN"/>
        </w:rPr>
        <w:t>Srov. DISMAN, Miroslav. </w:t>
      </w:r>
      <w:r w:rsidRPr="00F930E6">
        <w:rPr>
          <w:i/>
          <w:iCs/>
          <w:color w:val="000000" w:themeColor="text1"/>
          <w:sz w:val="20"/>
          <w:szCs w:val="20"/>
          <w:lang w:eastAsia="zh-CN"/>
        </w:rPr>
        <w:t>Jak se vyrábí sociologická znalost: příručka pro uživatele</w:t>
      </w:r>
      <w:r w:rsidRPr="00082654">
        <w:rPr>
          <w:iCs/>
          <w:color w:val="000000" w:themeColor="text1"/>
          <w:sz w:val="20"/>
          <w:szCs w:val="20"/>
          <w:lang w:eastAsia="zh-CN"/>
        </w:rPr>
        <w:t xml:space="preserve">. </w:t>
      </w:r>
      <w:proofErr w:type="gramStart"/>
      <w:r w:rsidRPr="00082654">
        <w:rPr>
          <w:iCs/>
          <w:color w:val="000000" w:themeColor="text1"/>
          <w:sz w:val="20"/>
          <w:szCs w:val="20"/>
          <w:lang w:eastAsia="zh-CN"/>
        </w:rPr>
        <w:t>s.</w:t>
      </w:r>
      <w:proofErr w:type="gramEnd"/>
      <w:r w:rsidRPr="00082654">
        <w:rPr>
          <w:iCs/>
          <w:color w:val="000000" w:themeColor="text1"/>
          <w:sz w:val="20"/>
          <w:szCs w:val="20"/>
          <w:lang w:eastAsia="zh-CN"/>
        </w:rPr>
        <w:t xml:space="preserve"> 131, 168-169</w:t>
      </w:r>
      <w:r w:rsidRPr="00F930E6">
        <w:rPr>
          <w:i/>
          <w:iCs/>
          <w:color w:val="000000" w:themeColor="text1"/>
          <w:sz w:val="20"/>
          <w:szCs w:val="20"/>
          <w:lang w:eastAsia="zh-CN"/>
        </w:rPr>
        <w:t>.</w:t>
      </w:r>
    </w:p>
  </w:footnote>
  <w:footnote w:id="57">
    <w:p w:rsidR="005230E1" w:rsidRDefault="005230E1" w:rsidP="00F930E6">
      <w:pPr>
        <w:pStyle w:val="Textpoznpodarou"/>
        <w:jc w:val="both"/>
        <w:rPr>
          <w:rFonts w:ascii="Times New Roman" w:hAnsi="Times New Roman"/>
          <w:color w:val="000000" w:themeColor="text1"/>
        </w:rPr>
      </w:pPr>
      <w:r w:rsidRPr="00F930E6">
        <w:rPr>
          <w:rStyle w:val="Znakapoznpodarou"/>
          <w:rFonts w:ascii="Times New Roman" w:hAnsi="Times New Roman"/>
          <w:color w:val="000000" w:themeColor="text1"/>
        </w:rPr>
        <w:footnoteRef/>
      </w:r>
      <w:r w:rsidRPr="00F930E6">
        <w:rPr>
          <w:rFonts w:ascii="Times New Roman" w:hAnsi="Times New Roman"/>
          <w:color w:val="000000" w:themeColor="text1"/>
        </w:rPr>
        <w:t xml:space="preserve"> </w:t>
      </w:r>
      <w:r w:rsidRPr="00F930E6">
        <w:rPr>
          <w:rFonts w:ascii="Times New Roman" w:hAnsi="Times New Roman"/>
          <w:color w:val="000000" w:themeColor="text1"/>
          <w:shd w:val="clear" w:color="auto" w:fill="FFFFFF"/>
          <w:lang w:eastAsia="zh-CN"/>
        </w:rPr>
        <w:t>Srov. LINDEROVÁ, Ivica, Petr SCHOLZ a Michal MUNDUCH. </w:t>
      </w:r>
      <w:r w:rsidRPr="00F930E6">
        <w:rPr>
          <w:rFonts w:ascii="Times New Roman" w:hAnsi="Times New Roman"/>
          <w:i/>
          <w:iCs/>
          <w:color w:val="000000" w:themeColor="text1"/>
          <w:lang w:eastAsia="zh-CN"/>
        </w:rPr>
        <w:t>Úvod do metodiky výzkumu</w:t>
      </w:r>
      <w:r w:rsidRPr="00F930E6">
        <w:rPr>
          <w:rFonts w:ascii="Times New Roman" w:hAnsi="Times New Roman"/>
          <w:color w:val="000000" w:themeColor="text1"/>
          <w:shd w:val="clear" w:color="auto" w:fill="FFFFFF"/>
          <w:lang w:eastAsia="zh-CN"/>
        </w:rPr>
        <w:t xml:space="preserve">. </w:t>
      </w:r>
      <w:proofErr w:type="gramStart"/>
      <w:r w:rsidRPr="00F930E6">
        <w:rPr>
          <w:rFonts w:ascii="Times New Roman" w:hAnsi="Times New Roman"/>
          <w:color w:val="000000" w:themeColor="text1"/>
          <w:shd w:val="clear" w:color="auto" w:fill="FFFFFF"/>
          <w:lang w:eastAsia="zh-CN"/>
        </w:rPr>
        <w:t>s.</w:t>
      </w:r>
      <w:proofErr w:type="gramEnd"/>
      <w:r w:rsidRPr="00F930E6">
        <w:rPr>
          <w:rFonts w:ascii="Times New Roman" w:hAnsi="Times New Roman"/>
          <w:color w:val="000000" w:themeColor="text1"/>
          <w:shd w:val="clear" w:color="auto" w:fill="FFFFFF"/>
          <w:lang w:eastAsia="zh-CN"/>
        </w:rPr>
        <w:t xml:space="preserve"> 55-56. </w:t>
      </w:r>
      <w:r w:rsidRPr="00F930E6">
        <w:rPr>
          <w:rFonts w:ascii="Times New Roman" w:hAnsi="Times New Roman"/>
          <w:color w:val="000000" w:themeColor="text1"/>
        </w:rPr>
        <w:t xml:space="preserve">[online]. 2016. [cit. </w:t>
      </w:r>
      <w:proofErr w:type="gramStart"/>
      <w:r w:rsidRPr="00F930E6">
        <w:rPr>
          <w:rFonts w:ascii="Times New Roman" w:hAnsi="Times New Roman"/>
          <w:color w:val="000000" w:themeColor="text1"/>
        </w:rPr>
        <w:t>13.01.2020</w:t>
      </w:r>
      <w:proofErr w:type="gramEnd"/>
      <w:r w:rsidRPr="00F930E6">
        <w:rPr>
          <w:rFonts w:ascii="Times New Roman" w:hAnsi="Times New Roman"/>
          <w:color w:val="000000" w:themeColor="text1"/>
        </w:rPr>
        <w:t>]. Dostupné z:</w:t>
      </w:r>
    </w:p>
    <w:p w:rsidR="005230E1" w:rsidRPr="00F930E6" w:rsidRDefault="005230E1" w:rsidP="00F930E6">
      <w:pPr>
        <w:pStyle w:val="Textpoznpodarou"/>
        <w:jc w:val="both"/>
        <w:rPr>
          <w:rFonts w:ascii="Times New Roman" w:hAnsi="Times New Roman"/>
        </w:rPr>
      </w:pPr>
      <w:r w:rsidRPr="00F930E6">
        <w:rPr>
          <w:rFonts w:ascii="Times New Roman" w:hAnsi="Times New Roman"/>
          <w:color w:val="000000" w:themeColor="text1"/>
          <w:shd w:val="clear" w:color="auto" w:fill="FFFFFF"/>
          <w:lang w:eastAsia="zh-CN"/>
        </w:rPr>
        <w:t>https://www.vspj.cz/ISBN/Skripta%20-%20VŠPJ/Úvod%20do%20metodiky%20výzkumu%20-%20Linderová,%</w:t>
      </w:r>
      <w:proofErr w:type="gramStart"/>
      <w:r w:rsidRPr="00F930E6">
        <w:rPr>
          <w:rFonts w:ascii="Times New Roman" w:hAnsi="Times New Roman"/>
          <w:color w:val="000000" w:themeColor="text1"/>
          <w:shd w:val="clear" w:color="auto" w:fill="FFFFFF"/>
          <w:lang w:eastAsia="zh-CN"/>
        </w:rPr>
        <w:t>20Scholz,%20Munduch</w:t>
      </w:r>
      <w:proofErr w:type="gramEnd"/>
      <w:r w:rsidRPr="00F930E6">
        <w:rPr>
          <w:rFonts w:ascii="Times New Roman" w:hAnsi="Times New Roman"/>
          <w:color w:val="000000" w:themeColor="text1"/>
          <w:shd w:val="clear" w:color="auto" w:fill="FFFFFF"/>
          <w:lang w:eastAsia="zh-CN"/>
        </w:rPr>
        <w:t>.pdf.</w:t>
      </w:r>
    </w:p>
  </w:footnote>
  <w:footnote w:id="58">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Zákon č. 479/2003 Sb., kterým se mění zákon č. 218/2000 Sb., o rozpočtových pravidlech a o změně některých souvisejících zákonů (rozpočtová pravidla), ve znění pozdějších předpisů, zákon č. 337/1992 Sb., o správě daní a poplatků, ve znění pozdějších předpisů, a zákon č. 353/2003 Sb., o spotřebních daních.</w:t>
      </w:r>
    </w:p>
  </w:footnote>
  <w:footnote w:id="59">
    <w:p w:rsidR="005230E1" w:rsidRPr="00F930E6" w:rsidRDefault="005230E1" w:rsidP="00F930E6">
      <w:pPr>
        <w:spacing w:line="240" w:lineRule="auto"/>
        <w:ind w:firstLine="0"/>
        <w:rPr>
          <w:rFonts w:eastAsia="Calibri"/>
          <w:sz w:val="20"/>
          <w:szCs w:val="20"/>
          <w:lang w:eastAsia="en-US"/>
        </w:rPr>
      </w:pPr>
      <w:r w:rsidRPr="00F930E6">
        <w:rPr>
          <w:rStyle w:val="Znakapoznpodarou"/>
          <w:sz w:val="20"/>
          <w:szCs w:val="20"/>
        </w:rPr>
        <w:footnoteRef/>
      </w:r>
      <w:r w:rsidRPr="00F930E6">
        <w:rPr>
          <w:sz w:val="20"/>
          <w:szCs w:val="20"/>
        </w:rPr>
        <w:t xml:space="preserve"> </w:t>
      </w:r>
      <w:r w:rsidRPr="00F930E6">
        <w:rPr>
          <w:rFonts w:eastAsia="Calibri"/>
          <w:sz w:val="20"/>
          <w:szCs w:val="20"/>
          <w:lang w:eastAsia="en-US"/>
        </w:rPr>
        <w:t>Zákon č. 482/2004 Sb., kterým se mění zákon č. 218/2000 Sb., o rozpočtových pravidlech a o změně některých souvisejících zákonů (rozpočtová pravidla), ve znění pozdějších předpisů, a některé další zákony.</w:t>
      </w:r>
    </w:p>
  </w:footnote>
  <w:footnote w:id="60">
    <w:p w:rsidR="005230E1" w:rsidRPr="00F930E6" w:rsidRDefault="005230E1" w:rsidP="00F930E6">
      <w:pPr>
        <w:pStyle w:val="Textpoznpodarou"/>
        <w:jc w:val="both"/>
        <w:rPr>
          <w:rFonts w:ascii="Times New Roman" w:hAnsi="Times New Roman"/>
        </w:rPr>
      </w:pPr>
      <w:r w:rsidRPr="00F930E6">
        <w:rPr>
          <w:rFonts w:ascii="Times New Roman" w:hAnsi="Times New Roman"/>
          <w:i/>
          <w:vertAlign w:val="superscript"/>
        </w:rPr>
        <w:footnoteRef/>
      </w:r>
      <w:r w:rsidRPr="00F930E6">
        <w:rPr>
          <w:rFonts w:ascii="Times New Roman" w:hAnsi="Times New Roman"/>
          <w:i/>
        </w:rPr>
        <w:t xml:space="preserve"> </w:t>
      </w:r>
      <w:r w:rsidRPr="00F930E6">
        <w:rPr>
          <w:rFonts w:ascii="Times New Roman" w:hAnsi="Times New Roman"/>
        </w:rPr>
        <w:t>Zákon č. 26/2008 Sb., kterým se mění zákon č. 218/2000 Sb., o rozpočtových pravidlech a o změně některých souvisejících zákonů (rozpočtová pravidla), ve znění pozdějších předpisů, a další související zákony.</w:t>
      </w:r>
    </w:p>
  </w:footnote>
  <w:footnote w:id="61">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r w:rsidRPr="00F930E6">
        <w:rPr>
          <w:rFonts w:ascii="Times New Roman" w:hAnsi="Times New Roman"/>
          <w:bCs/>
        </w:rPr>
        <w:t>Ministerstvo pro místní rozvoj, Odbor rámce podpory společenství</w:t>
      </w:r>
      <w:r w:rsidRPr="00F930E6">
        <w:rPr>
          <w:rFonts w:ascii="Times New Roman" w:hAnsi="Times New Roman"/>
        </w:rPr>
        <w:t>.</w:t>
      </w:r>
      <w:r w:rsidRPr="00F930E6">
        <w:rPr>
          <w:rFonts w:ascii="Times New Roman" w:hAnsi="Times New Roman"/>
          <w:b/>
        </w:rPr>
        <w:t xml:space="preserve"> </w:t>
      </w:r>
      <w:r w:rsidRPr="00F930E6">
        <w:rPr>
          <w:rFonts w:ascii="Times New Roman" w:hAnsi="Times New Roman"/>
          <w:i/>
        </w:rPr>
        <w:t>Pravidla způsobilých výdajů pro programy spolufinancované ze strukturálních fondů a Fondu soudržnosti na programové období 2007-2013 platnost od 1. ledna 2007</w:t>
      </w:r>
      <w:r w:rsidRPr="00F930E6">
        <w:rPr>
          <w:rFonts w:ascii="Times New Roman" w:hAnsi="Times New Roman"/>
        </w:rPr>
        <w:t xml:space="preserve">. s. 25 [online]. 2007. [cit. </w:t>
      </w:r>
      <w:proofErr w:type="gramStart"/>
      <w:r w:rsidRPr="00F930E6">
        <w:rPr>
          <w:rFonts w:ascii="Times New Roman" w:hAnsi="Times New Roman"/>
        </w:rPr>
        <w:t>27.02.2020</w:t>
      </w:r>
      <w:proofErr w:type="gramEnd"/>
      <w:r w:rsidRPr="00F930E6">
        <w:rPr>
          <w:rFonts w:ascii="Times New Roman" w:hAnsi="Times New Roman"/>
        </w:rPr>
        <w:t>]. Dostupné z: https://dotaceeu.cz/cs/evropske-fondy-v-cr/programove-obdobi-2007-2013/metodicke-rizeni-nsrr.</w:t>
      </w:r>
    </w:p>
  </w:footnote>
  <w:footnote w:id="62">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Zákon č. 465/2011 Sb., kterým se mění zákon č. 218/2000 Sb., o rozpočtových pravidlech a o změně některých souvisejících zákonů (rozpočtová pravidla), ve znění pozdějších předpisů, a některé další zákony.</w:t>
      </w:r>
    </w:p>
  </w:footnote>
  <w:footnote w:id="63">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Zákon č. 25/2015 Sb.,</w:t>
      </w:r>
      <w:r w:rsidRPr="00F930E6">
        <w:rPr>
          <w:rFonts w:ascii="Times New Roman" w:eastAsia="Times New Roman" w:hAnsi="Times New Roman"/>
          <w:lang w:eastAsia="cs-CZ"/>
        </w:rPr>
        <w:t xml:space="preserve"> </w:t>
      </w:r>
      <w:r w:rsidRPr="00F930E6">
        <w:rPr>
          <w:rFonts w:ascii="Times New Roman" w:hAnsi="Times New Roman"/>
        </w:rPr>
        <w:t>kterým se mění zákon č. 218/2000 Sb., o rozpočtových pravidlech a o změně některých souvisejících zákonů (rozpočtová pravidla), ve znění pozdějších předpisů.</w:t>
      </w:r>
    </w:p>
  </w:footnote>
  <w:footnote w:id="64">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Zákon č. 128/2016 Sb., kterým se mění zákon č. 218/2000 Sb., o rozpočtových pravidlech a o změně některých souvisejících zákonů (rozpočtová pravidla), ve znění pozdějších předpisů, a některé další zákony.</w:t>
      </w:r>
    </w:p>
  </w:footnote>
  <w:footnote w:id="65">
    <w:p w:rsidR="005230E1" w:rsidRPr="00F930E6" w:rsidRDefault="005230E1" w:rsidP="00F930E6">
      <w:pPr>
        <w:spacing w:line="240" w:lineRule="auto"/>
        <w:ind w:firstLine="0"/>
        <w:rPr>
          <w:rFonts w:eastAsia="Calibri"/>
          <w:i/>
          <w:sz w:val="20"/>
          <w:szCs w:val="20"/>
          <w:lang w:eastAsia="en-US"/>
        </w:rPr>
      </w:pPr>
      <w:r w:rsidRPr="00F930E6">
        <w:rPr>
          <w:rStyle w:val="Znakapoznpodarou"/>
          <w:sz w:val="20"/>
          <w:szCs w:val="20"/>
        </w:rPr>
        <w:footnoteRef/>
      </w:r>
      <w:r w:rsidRPr="00F930E6">
        <w:rPr>
          <w:sz w:val="20"/>
          <w:szCs w:val="20"/>
        </w:rPr>
        <w:t xml:space="preserve"> </w:t>
      </w:r>
      <w:r w:rsidRPr="00F930E6">
        <w:rPr>
          <w:rFonts w:eastAsia="Calibri"/>
          <w:sz w:val="20"/>
          <w:szCs w:val="20"/>
          <w:lang w:eastAsia="en-US"/>
        </w:rPr>
        <w:t>Zákon č. 367/2017 Sb., kterým se mění zákon č. 218/2000 Sb., o rozpočtových pravidlech a o změně některých souvisejících zákonů (rozpočtová pravidla), ve znění pozdějších předpisů, a další související zákony.</w:t>
      </w:r>
    </w:p>
  </w:footnote>
  <w:footnote w:id="66">
    <w:p w:rsidR="005230E1" w:rsidRPr="00F930E6" w:rsidRDefault="005230E1" w:rsidP="00082654">
      <w:pPr>
        <w:autoSpaceDE w:val="0"/>
        <w:autoSpaceDN w:val="0"/>
        <w:adjustRightInd w:val="0"/>
        <w:spacing w:line="240" w:lineRule="auto"/>
        <w:ind w:firstLine="0"/>
        <w:jc w:val="left"/>
        <w:rPr>
          <w:sz w:val="20"/>
          <w:szCs w:val="20"/>
          <w:highlight w:val="yellow"/>
        </w:rPr>
      </w:pPr>
      <w:r w:rsidRPr="00F930E6">
        <w:rPr>
          <w:rStyle w:val="Znakapoznpodarou"/>
          <w:sz w:val="20"/>
          <w:szCs w:val="20"/>
        </w:rPr>
        <w:footnoteRef/>
      </w:r>
      <w:r w:rsidRPr="00F930E6">
        <w:rPr>
          <w:sz w:val="20"/>
          <w:szCs w:val="20"/>
        </w:rPr>
        <w:t xml:space="preserve"> Např. </w:t>
      </w:r>
      <w:r w:rsidRPr="00F930E6">
        <w:rPr>
          <w:rFonts w:eastAsiaTheme="minorHAnsi"/>
          <w:color w:val="000000"/>
          <w:sz w:val="20"/>
          <w:szCs w:val="20"/>
          <w:lang w:eastAsia="en-US"/>
        </w:rPr>
        <w:t xml:space="preserve">rozsudky Nejvyššího správního soudu ze dne 11. 6. 2009, č. j. 7 </w:t>
      </w:r>
      <w:proofErr w:type="spellStart"/>
      <w:r w:rsidRPr="00F930E6">
        <w:rPr>
          <w:rFonts w:eastAsiaTheme="minorHAnsi"/>
          <w:color w:val="000000"/>
          <w:sz w:val="20"/>
          <w:szCs w:val="20"/>
          <w:lang w:eastAsia="en-US"/>
        </w:rPr>
        <w:t>Afs</w:t>
      </w:r>
      <w:proofErr w:type="spellEnd"/>
      <w:r w:rsidRPr="00F930E6">
        <w:rPr>
          <w:rFonts w:eastAsiaTheme="minorHAnsi"/>
          <w:color w:val="000000"/>
          <w:sz w:val="20"/>
          <w:szCs w:val="20"/>
          <w:lang w:eastAsia="en-US"/>
        </w:rPr>
        <w:t xml:space="preserve"> 107/2008 – 100, ze dne 31. 3. 2015, č. j. 5 As 95/2014 – 46 nebo ze dne 5. 12. 2014, č. j. 4 As 215/2014 – 40. </w:t>
      </w:r>
    </w:p>
  </w:footnote>
  <w:footnote w:id="67">
    <w:p w:rsidR="005230E1" w:rsidRPr="00F930E6" w:rsidRDefault="005230E1" w:rsidP="00F930E6">
      <w:pPr>
        <w:pStyle w:val="Textpoznpodarou"/>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Nejvyšší správní soud v usnesení rozšířeného senátu ze dne 18. 4. 2017, č. j. 6 </w:t>
      </w:r>
      <w:proofErr w:type="spellStart"/>
      <w:r w:rsidRPr="00F930E6">
        <w:rPr>
          <w:rFonts w:ascii="Times New Roman" w:hAnsi="Times New Roman"/>
        </w:rPr>
        <w:t>Afs</w:t>
      </w:r>
      <w:proofErr w:type="spellEnd"/>
      <w:r w:rsidRPr="00F930E6">
        <w:rPr>
          <w:rFonts w:ascii="Times New Roman" w:hAnsi="Times New Roman"/>
        </w:rPr>
        <w:t xml:space="preserve"> 270/2015 – 48.</w:t>
      </w:r>
    </w:p>
  </w:footnote>
  <w:footnote w:id="68">
    <w:p w:rsidR="005230E1" w:rsidRPr="00F930E6" w:rsidRDefault="005230E1" w:rsidP="00F930E6">
      <w:pPr>
        <w:pStyle w:val="Textpoznpodarou"/>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Nález Ústavního soudu </w:t>
      </w:r>
      <w:proofErr w:type="spellStart"/>
      <w:r w:rsidRPr="00F930E6">
        <w:rPr>
          <w:rFonts w:ascii="Times New Roman" w:hAnsi="Times New Roman"/>
        </w:rPr>
        <w:t>sp</w:t>
      </w:r>
      <w:proofErr w:type="spellEnd"/>
      <w:r w:rsidRPr="00F930E6">
        <w:rPr>
          <w:rFonts w:ascii="Times New Roman" w:hAnsi="Times New Roman"/>
        </w:rPr>
        <w:t xml:space="preserve">. zn. </w:t>
      </w:r>
      <w:proofErr w:type="spellStart"/>
      <w:r w:rsidRPr="00F930E6">
        <w:rPr>
          <w:rFonts w:ascii="Times New Roman" w:hAnsi="Times New Roman"/>
        </w:rPr>
        <w:t>Pl</w:t>
      </w:r>
      <w:proofErr w:type="spellEnd"/>
      <w:r w:rsidRPr="00F930E6">
        <w:rPr>
          <w:rFonts w:ascii="Times New Roman" w:hAnsi="Times New Roman"/>
        </w:rPr>
        <w:t xml:space="preserve">. ÚS 12/14 ze dne 16. 6. 2015 (N 109/77 </w:t>
      </w:r>
      <w:proofErr w:type="spellStart"/>
      <w:r w:rsidRPr="00F930E6">
        <w:rPr>
          <w:rFonts w:ascii="Times New Roman" w:hAnsi="Times New Roman"/>
        </w:rPr>
        <w:t>SbNU</w:t>
      </w:r>
      <w:proofErr w:type="spellEnd"/>
      <w:r w:rsidRPr="00F930E6">
        <w:rPr>
          <w:rFonts w:ascii="Times New Roman" w:hAnsi="Times New Roman"/>
        </w:rPr>
        <w:t xml:space="preserve"> 577; 177/2015 Sb.</w:t>
      </w:r>
    </w:p>
  </w:footnote>
  <w:footnote w:id="69">
    <w:p w:rsidR="005230E1" w:rsidRPr="00F930E6" w:rsidRDefault="005230E1" w:rsidP="00F930E6">
      <w:pPr>
        <w:pStyle w:val="Textpoznpodarou"/>
        <w:jc w:val="both"/>
        <w:rPr>
          <w:rFonts w:ascii="Times New Roman" w:hAnsi="Times New Roman"/>
        </w:rPr>
      </w:pPr>
      <w:r w:rsidRPr="00F930E6">
        <w:rPr>
          <w:rStyle w:val="Znakapoznpodarou"/>
          <w:rFonts w:ascii="Times New Roman" w:hAnsi="Times New Roman"/>
        </w:rPr>
        <w:footnoteRef/>
      </w:r>
      <w:r w:rsidRPr="00F930E6">
        <w:rPr>
          <w:rFonts w:ascii="Times New Roman" w:hAnsi="Times New Roman"/>
        </w:rPr>
        <w:t xml:space="preserve"> </w:t>
      </w:r>
      <w:r w:rsidRPr="00F930E6">
        <w:rPr>
          <w:rFonts w:ascii="Times New Roman" w:eastAsiaTheme="minorHAnsi" w:hAnsi="Times New Roman"/>
          <w:szCs w:val="22"/>
        </w:rPr>
        <w:t>GFŘ vydalo v návaznosti na judikaturu soudů interní metodický pokyn č. j. 18064/15/7000-70470 ze dne 24. 3. 2015, kterým se musely finanční úřady řídit při stanovení výše odvodu. V dalším roce byl již vydán veřejný pokyn GFŘ-D-27 ze dne 1. 4. 2016, který určoval postupy pro stanovení výše odvodu za využití proporcionality. Nejnověji se této problematice věnuje Pokyn č. GFŘ-D-38, který nahradil předchozí a dále upřesnil pravidla pro stanovení výše odvodu na základě praxe z daňových řízení.</w:t>
      </w:r>
    </w:p>
  </w:footnote>
  <w:footnote w:id="70">
    <w:p w:rsidR="00F23359" w:rsidRPr="00DA4AE4" w:rsidRDefault="00F23359" w:rsidP="00F23359">
      <w:pPr>
        <w:pStyle w:val="Textpoznpodarou"/>
        <w:jc w:val="both"/>
        <w:rPr>
          <w:rFonts w:ascii="Times New Roman" w:hAnsi="Times New Roman"/>
        </w:rPr>
      </w:pPr>
      <w:r w:rsidRPr="00DA4AE4">
        <w:rPr>
          <w:rStyle w:val="Znakapoznpodarou"/>
          <w:rFonts w:ascii="Times New Roman" w:hAnsi="Times New Roman"/>
        </w:rPr>
        <w:footnoteRef/>
      </w:r>
      <w:r w:rsidRPr="00DA4AE4">
        <w:rPr>
          <w:rFonts w:ascii="Times New Roman" w:hAnsi="Times New Roman"/>
        </w:rPr>
        <w:t xml:space="preserve"> Evropská komise. </w:t>
      </w:r>
      <w:r w:rsidRPr="00DA4AE4">
        <w:rPr>
          <w:rFonts w:ascii="Times New Roman" w:hAnsi="Times New Roman"/>
          <w:i/>
        </w:rPr>
        <w:t>Přehled opatření</w:t>
      </w:r>
      <w:r w:rsidRPr="00DA4AE4">
        <w:rPr>
          <w:rFonts w:ascii="Times New Roman" w:hAnsi="Times New Roman"/>
        </w:rPr>
        <w:t xml:space="preserve"> Komise. [online]. 2020. [cit. </w:t>
      </w:r>
      <w:proofErr w:type="gramStart"/>
      <w:r w:rsidRPr="00DA4AE4">
        <w:rPr>
          <w:rFonts w:ascii="Times New Roman" w:hAnsi="Times New Roman"/>
        </w:rPr>
        <w:t>1</w:t>
      </w:r>
      <w:r>
        <w:rPr>
          <w:rFonts w:ascii="Times New Roman" w:hAnsi="Times New Roman"/>
        </w:rPr>
        <w:t>0</w:t>
      </w:r>
      <w:r w:rsidRPr="00DA4AE4">
        <w:rPr>
          <w:rFonts w:ascii="Times New Roman" w:hAnsi="Times New Roman"/>
        </w:rPr>
        <w:t>.04.2020</w:t>
      </w:r>
      <w:proofErr w:type="gramEnd"/>
      <w:r w:rsidRPr="00DA4AE4">
        <w:rPr>
          <w:rFonts w:ascii="Times New Roman" w:hAnsi="Times New Roman"/>
        </w:rPr>
        <w:t>]. Dostupné z: https://ec.europa.eu/info/live-work-travel-eu/health/coronavirus-response/overview-commissions-response_cs.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839CA"/>
    <w:multiLevelType w:val="hybridMultilevel"/>
    <w:tmpl w:val="98FA1A34"/>
    <w:lvl w:ilvl="0" w:tplc="3094F162">
      <w:start w:val="1"/>
      <w:numFmt w:val="bullet"/>
      <w:lvlText w:val="-"/>
      <w:lvlJc w:val="left"/>
      <w:pPr>
        <w:ind w:left="1230" w:hanging="360"/>
      </w:pPr>
      <w:rPr>
        <w:rFonts w:ascii="Symbol" w:hAnsi="Symbol"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1" w15:restartNumberingAfterBreak="0">
    <w:nsid w:val="14DE4730"/>
    <w:multiLevelType w:val="hybridMultilevel"/>
    <w:tmpl w:val="7F1CBC94"/>
    <w:lvl w:ilvl="0" w:tplc="3094F162">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2" w15:restartNumberingAfterBreak="0">
    <w:nsid w:val="18E30021"/>
    <w:multiLevelType w:val="hybridMultilevel"/>
    <w:tmpl w:val="5D5AA614"/>
    <w:lvl w:ilvl="0" w:tplc="DB0E509E">
      <w:start w:val="8"/>
      <w:numFmt w:val="lowerLetter"/>
      <w:lvlText w:val="%1)"/>
      <w:lvlJc w:val="left"/>
      <w:pPr>
        <w:ind w:left="117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714FF5"/>
    <w:multiLevelType w:val="hybridMultilevel"/>
    <w:tmpl w:val="EE4A2984"/>
    <w:lvl w:ilvl="0" w:tplc="0809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4" w15:restartNumberingAfterBreak="0">
    <w:nsid w:val="1FDE4C9C"/>
    <w:multiLevelType w:val="hybridMultilevel"/>
    <w:tmpl w:val="3BDCC6E0"/>
    <w:lvl w:ilvl="0" w:tplc="3CF27888">
      <w:start w:val="1"/>
      <w:numFmt w:val="bullet"/>
      <w:lvlText w:val="-"/>
      <w:lvlJc w:val="left"/>
      <w:pPr>
        <w:ind w:left="786" w:hanging="360"/>
      </w:pPr>
      <w:rPr>
        <w:rFonts w:ascii="Symbol" w:hAnsi="Symbol" w:hint="default"/>
        <w:b w:val="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69C661A"/>
    <w:multiLevelType w:val="hybridMultilevel"/>
    <w:tmpl w:val="2D94FD40"/>
    <w:lvl w:ilvl="0" w:tplc="2BBC2B32">
      <w:start w:val="1"/>
      <w:numFmt w:val="decimal"/>
      <w:lvlText w:val="%1."/>
      <w:lvlJc w:val="left"/>
      <w:pPr>
        <w:ind w:left="1174" w:hanging="360"/>
      </w:pPr>
      <w:rPr>
        <w:b/>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6" w15:restartNumberingAfterBreak="0">
    <w:nsid w:val="2A497A78"/>
    <w:multiLevelType w:val="hybridMultilevel"/>
    <w:tmpl w:val="3590297C"/>
    <w:lvl w:ilvl="0" w:tplc="730647FE">
      <w:start w:val="1"/>
      <w:numFmt w:val="lowerLetter"/>
      <w:lvlText w:val="%1)"/>
      <w:lvlJc w:val="left"/>
      <w:pPr>
        <w:ind w:left="2138"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38630D"/>
    <w:multiLevelType w:val="hybridMultilevel"/>
    <w:tmpl w:val="AE0CA3B4"/>
    <w:lvl w:ilvl="0" w:tplc="C310F2D8">
      <w:start w:val="1"/>
      <w:numFmt w:val="lowerLetter"/>
      <w:lvlText w:val="%1)"/>
      <w:lvlJc w:val="left"/>
      <w:pPr>
        <w:ind w:left="644" w:hanging="360"/>
      </w:pPr>
      <w:rPr>
        <w:b/>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8" w15:restartNumberingAfterBreak="0">
    <w:nsid w:val="34CF2F46"/>
    <w:multiLevelType w:val="hybridMultilevel"/>
    <w:tmpl w:val="8ABA816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3CAA05CF"/>
    <w:multiLevelType w:val="hybridMultilevel"/>
    <w:tmpl w:val="06F8C130"/>
    <w:lvl w:ilvl="0" w:tplc="04050017">
      <w:start w:val="1"/>
      <w:numFmt w:val="lowerLetter"/>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0" w15:restartNumberingAfterBreak="0">
    <w:nsid w:val="3D680258"/>
    <w:multiLevelType w:val="hybridMultilevel"/>
    <w:tmpl w:val="33C472BE"/>
    <w:lvl w:ilvl="0" w:tplc="3094F162">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1" w15:restartNumberingAfterBreak="0">
    <w:nsid w:val="4C495913"/>
    <w:multiLevelType w:val="hybridMultilevel"/>
    <w:tmpl w:val="2D94FD40"/>
    <w:lvl w:ilvl="0" w:tplc="2BBC2B32">
      <w:start w:val="1"/>
      <w:numFmt w:val="decimal"/>
      <w:lvlText w:val="%1."/>
      <w:lvlJc w:val="left"/>
      <w:pPr>
        <w:ind w:left="1174" w:hanging="360"/>
      </w:pPr>
      <w:rPr>
        <w:b/>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2" w15:restartNumberingAfterBreak="0">
    <w:nsid w:val="56E71E2B"/>
    <w:multiLevelType w:val="hybridMultilevel"/>
    <w:tmpl w:val="3F2CD5D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3" w15:restartNumberingAfterBreak="0">
    <w:nsid w:val="572B5B07"/>
    <w:multiLevelType w:val="hybridMultilevel"/>
    <w:tmpl w:val="B72CA24E"/>
    <w:lvl w:ilvl="0" w:tplc="0405000F">
      <w:start w:val="1"/>
      <w:numFmt w:val="decimal"/>
      <w:lvlText w:val="%1."/>
      <w:lvlJc w:val="left"/>
      <w:pPr>
        <w:ind w:left="1174" w:hanging="360"/>
      </w:p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4" w15:restartNumberingAfterBreak="0">
    <w:nsid w:val="5D460F0D"/>
    <w:multiLevelType w:val="hybridMultilevel"/>
    <w:tmpl w:val="3DD0E4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630E6B47"/>
    <w:multiLevelType w:val="multilevel"/>
    <w:tmpl w:val="FBD24B54"/>
    <w:lvl w:ilvl="0">
      <w:start w:val="1"/>
      <w:numFmt w:val="decimal"/>
      <w:pStyle w:val="Tomk"/>
      <w:lvlText w:val="%1"/>
      <w:lvlJc w:val="left"/>
      <w:pPr>
        <w:ind w:left="360" w:hanging="360"/>
      </w:pPr>
      <w:rPr>
        <w:rFonts w:ascii="Times New Roman" w:hAnsi="Times New Roman" w:cs="Times New Roman" w:hint="default"/>
        <w:b/>
        <w:sz w:val="32"/>
      </w:rPr>
    </w:lvl>
    <w:lvl w:ilvl="1">
      <w:start w:val="1"/>
      <w:numFmt w:val="decimal"/>
      <w:pStyle w:val="Tomk2"/>
      <w:lvlText w:val="%1.%2"/>
      <w:lvlJc w:val="left"/>
      <w:pPr>
        <w:ind w:left="1142" w:hanging="432"/>
      </w:pPr>
      <w:rPr>
        <w:rFonts w:ascii="Times New Roman" w:hAnsi="Times New Roman" w:hint="default"/>
        <w:sz w:val="28"/>
      </w:rPr>
    </w:lvl>
    <w:lvl w:ilvl="2">
      <w:start w:val="1"/>
      <w:numFmt w:val="decimal"/>
      <w:lvlText w:val="%1.%2.%3"/>
      <w:lvlJc w:val="left"/>
      <w:pPr>
        <w:ind w:left="1497"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4"/>
  </w:num>
  <w:num w:numId="3">
    <w:abstractNumId w:val="13"/>
  </w:num>
  <w:num w:numId="4">
    <w:abstractNumId w:val="8"/>
  </w:num>
  <w:num w:numId="5">
    <w:abstractNumId w:val="12"/>
  </w:num>
  <w:num w:numId="6">
    <w:abstractNumId w:val="3"/>
  </w:num>
  <w:num w:numId="7">
    <w:abstractNumId w:val="2"/>
  </w:num>
  <w:num w:numId="8">
    <w:abstractNumId w:val="6"/>
  </w:num>
  <w:num w:numId="9">
    <w:abstractNumId w:val="0"/>
  </w:num>
  <w:num w:numId="10">
    <w:abstractNumId w:val="1"/>
  </w:num>
  <w:num w:numId="11">
    <w:abstractNumId w:val="11"/>
  </w:num>
  <w:num w:numId="12">
    <w:abstractNumId w:val="5"/>
  </w:num>
  <w:num w:numId="13">
    <w:abstractNumId w:val="14"/>
  </w:num>
  <w:num w:numId="14">
    <w:abstractNumId w:val="7"/>
  </w:num>
  <w:num w:numId="15">
    <w:abstractNumId w:val="10"/>
  </w:num>
  <w:num w:numId="1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63"/>
    <w:rsid w:val="00002E1F"/>
    <w:rsid w:val="00003B60"/>
    <w:rsid w:val="000053EC"/>
    <w:rsid w:val="0001019F"/>
    <w:rsid w:val="00010982"/>
    <w:rsid w:val="000148C3"/>
    <w:rsid w:val="0001630C"/>
    <w:rsid w:val="00016BBE"/>
    <w:rsid w:val="000208CE"/>
    <w:rsid w:val="00021E78"/>
    <w:rsid w:val="00023681"/>
    <w:rsid w:val="000236AC"/>
    <w:rsid w:val="00024800"/>
    <w:rsid w:val="00025C47"/>
    <w:rsid w:val="00026FFE"/>
    <w:rsid w:val="00027E5E"/>
    <w:rsid w:val="000312A3"/>
    <w:rsid w:val="00032A58"/>
    <w:rsid w:val="00034283"/>
    <w:rsid w:val="000344AF"/>
    <w:rsid w:val="00034782"/>
    <w:rsid w:val="00034F60"/>
    <w:rsid w:val="00035B7E"/>
    <w:rsid w:val="00040FDF"/>
    <w:rsid w:val="000413D7"/>
    <w:rsid w:val="000452E3"/>
    <w:rsid w:val="0004603F"/>
    <w:rsid w:val="000472F0"/>
    <w:rsid w:val="000524A1"/>
    <w:rsid w:val="00052FB7"/>
    <w:rsid w:val="00057C4D"/>
    <w:rsid w:val="00057D9D"/>
    <w:rsid w:val="00060A5A"/>
    <w:rsid w:val="00060E49"/>
    <w:rsid w:val="00060FED"/>
    <w:rsid w:val="000666F5"/>
    <w:rsid w:val="00067556"/>
    <w:rsid w:val="000679B2"/>
    <w:rsid w:val="00070D0E"/>
    <w:rsid w:val="00072873"/>
    <w:rsid w:val="000740FB"/>
    <w:rsid w:val="000744E8"/>
    <w:rsid w:val="00074ADC"/>
    <w:rsid w:val="00075551"/>
    <w:rsid w:val="0007693B"/>
    <w:rsid w:val="0007787C"/>
    <w:rsid w:val="00080ACD"/>
    <w:rsid w:val="00081601"/>
    <w:rsid w:val="00081878"/>
    <w:rsid w:val="00082063"/>
    <w:rsid w:val="00082654"/>
    <w:rsid w:val="0008364D"/>
    <w:rsid w:val="00083A1B"/>
    <w:rsid w:val="00091650"/>
    <w:rsid w:val="00091912"/>
    <w:rsid w:val="00093B56"/>
    <w:rsid w:val="0009700D"/>
    <w:rsid w:val="00097A2E"/>
    <w:rsid w:val="00097DFB"/>
    <w:rsid w:val="000A0A73"/>
    <w:rsid w:val="000A1C4D"/>
    <w:rsid w:val="000A2CEC"/>
    <w:rsid w:val="000A40E3"/>
    <w:rsid w:val="000A4608"/>
    <w:rsid w:val="000A51F0"/>
    <w:rsid w:val="000A58B4"/>
    <w:rsid w:val="000A5F58"/>
    <w:rsid w:val="000A6CA9"/>
    <w:rsid w:val="000B1805"/>
    <w:rsid w:val="000B1E29"/>
    <w:rsid w:val="000B268D"/>
    <w:rsid w:val="000B3402"/>
    <w:rsid w:val="000B5EFE"/>
    <w:rsid w:val="000B6ED8"/>
    <w:rsid w:val="000B76C6"/>
    <w:rsid w:val="000B7DB5"/>
    <w:rsid w:val="000C2520"/>
    <w:rsid w:val="000C4104"/>
    <w:rsid w:val="000C50C1"/>
    <w:rsid w:val="000C5CBA"/>
    <w:rsid w:val="000C7585"/>
    <w:rsid w:val="000D07AE"/>
    <w:rsid w:val="000D1CA1"/>
    <w:rsid w:val="000D1F8B"/>
    <w:rsid w:val="000D389D"/>
    <w:rsid w:val="000D54F7"/>
    <w:rsid w:val="000E1137"/>
    <w:rsid w:val="000E2784"/>
    <w:rsid w:val="000E47C4"/>
    <w:rsid w:val="000E55A7"/>
    <w:rsid w:val="000E7374"/>
    <w:rsid w:val="000E7698"/>
    <w:rsid w:val="000F2456"/>
    <w:rsid w:val="000F3ACA"/>
    <w:rsid w:val="000F4C2B"/>
    <w:rsid w:val="000F565B"/>
    <w:rsid w:val="000F6064"/>
    <w:rsid w:val="000F7182"/>
    <w:rsid w:val="000F74A9"/>
    <w:rsid w:val="000F7D66"/>
    <w:rsid w:val="00100891"/>
    <w:rsid w:val="00100CEA"/>
    <w:rsid w:val="00101453"/>
    <w:rsid w:val="001017CD"/>
    <w:rsid w:val="00102FE3"/>
    <w:rsid w:val="00106EB6"/>
    <w:rsid w:val="00113288"/>
    <w:rsid w:val="00114C7B"/>
    <w:rsid w:val="00115467"/>
    <w:rsid w:val="0011549D"/>
    <w:rsid w:val="00117EE2"/>
    <w:rsid w:val="00120D6A"/>
    <w:rsid w:val="00120DF8"/>
    <w:rsid w:val="001210BE"/>
    <w:rsid w:val="001211D3"/>
    <w:rsid w:val="001228CA"/>
    <w:rsid w:val="00123014"/>
    <w:rsid w:val="00123198"/>
    <w:rsid w:val="00124223"/>
    <w:rsid w:val="00124692"/>
    <w:rsid w:val="00126496"/>
    <w:rsid w:val="0012768A"/>
    <w:rsid w:val="001307A2"/>
    <w:rsid w:val="001318B9"/>
    <w:rsid w:val="00131E23"/>
    <w:rsid w:val="001327FB"/>
    <w:rsid w:val="00133E3F"/>
    <w:rsid w:val="00135E41"/>
    <w:rsid w:val="00136444"/>
    <w:rsid w:val="00136CB2"/>
    <w:rsid w:val="001408C3"/>
    <w:rsid w:val="00140951"/>
    <w:rsid w:val="00143040"/>
    <w:rsid w:val="00143DF7"/>
    <w:rsid w:val="00144238"/>
    <w:rsid w:val="001461BC"/>
    <w:rsid w:val="00146C61"/>
    <w:rsid w:val="001470ED"/>
    <w:rsid w:val="00147B5D"/>
    <w:rsid w:val="001502B5"/>
    <w:rsid w:val="00152A64"/>
    <w:rsid w:val="00152D8F"/>
    <w:rsid w:val="001548A8"/>
    <w:rsid w:val="00154E6A"/>
    <w:rsid w:val="00155F34"/>
    <w:rsid w:val="00156343"/>
    <w:rsid w:val="00157C49"/>
    <w:rsid w:val="00160BA0"/>
    <w:rsid w:val="00160D57"/>
    <w:rsid w:val="00161B01"/>
    <w:rsid w:val="00162B4A"/>
    <w:rsid w:val="001630F0"/>
    <w:rsid w:val="001636E7"/>
    <w:rsid w:val="00163819"/>
    <w:rsid w:val="00163ABD"/>
    <w:rsid w:val="00164EC8"/>
    <w:rsid w:val="00166664"/>
    <w:rsid w:val="00166D1F"/>
    <w:rsid w:val="00172ACE"/>
    <w:rsid w:val="00172CD1"/>
    <w:rsid w:val="0017371A"/>
    <w:rsid w:val="00175B44"/>
    <w:rsid w:val="00177CB9"/>
    <w:rsid w:val="0018138F"/>
    <w:rsid w:val="001839BD"/>
    <w:rsid w:val="00184086"/>
    <w:rsid w:val="00187416"/>
    <w:rsid w:val="0018753E"/>
    <w:rsid w:val="0018796B"/>
    <w:rsid w:val="00190002"/>
    <w:rsid w:val="00191A9B"/>
    <w:rsid w:val="00192569"/>
    <w:rsid w:val="00193E67"/>
    <w:rsid w:val="00195364"/>
    <w:rsid w:val="001963FE"/>
    <w:rsid w:val="0019713D"/>
    <w:rsid w:val="0019799C"/>
    <w:rsid w:val="001A1529"/>
    <w:rsid w:val="001A2956"/>
    <w:rsid w:val="001A5B0F"/>
    <w:rsid w:val="001B4BBB"/>
    <w:rsid w:val="001B4D81"/>
    <w:rsid w:val="001B67D1"/>
    <w:rsid w:val="001B684F"/>
    <w:rsid w:val="001B6B58"/>
    <w:rsid w:val="001B77AE"/>
    <w:rsid w:val="001C0277"/>
    <w:rsid w:val="001C1E46"/>
    <w:rsid w:val="001C4E4D"/>
    <w:rsid w:val="001C4FCD"/>
    <w:rsid w:val="001C51E9"/>
    <w:rsid w:val="001C6822"/>
    <w:rsid w:val="001C6A2A"/>
    <w:rsid w:val="001D251F"/>
    <w:rsid w:val="001D2611"/>
    <w:rsid w:val="001D2B82"/>
    <w:rsid w:val="001D682D"/>
    <w:rsid w:val="001E0221"/>
    <w:rsid w:val="001E12AB"/>
    <w:rsid w:val="001E1EFD"/>
    <w:rsid w:val="001E2378"/>
    <w:rsid w:val="001E39F3"/>
    <w:rsid w:val="001E4196"/>
    <w:rsid w:val="001E58B4"/>
    <w:rsid w:val="001E62C4"/>
    <w:rsid w:val="001E7DE3"/>
    <w:rsid w:val="001F2145"/>
    <w:rsid w:val="001F21D8"/>
    <w:rsid w:val="001F2665"/>
    <w:rsid w:val="001F28E6"/>
    <w:rsid w:val="001F39F8"/>
    <w:rsid w:val="001F3AA2"/>
    <w:rsid w:val="001F41AA"/>
    <w:rsid w:val="001F6334"/>
    <w:rsid w:val="001F7EAC"/>
    <w:rsid w:val="0020039E"/>
    <w:rsid w:val="00200D81"/>
    <w:rsid w:val="00201648"/>
    <w:rsid w:val="00201D7B"/>
    <w:rsid w:val="00204C19"/>
    <w:rsid w:val="00212578"/>
    <w:rsid w:val="00215A34"/>
    <w:rsid w:val="00216535"/>
    <w:rsid w:val="002172D3"/>
    <w:rsid w:val="00217A17"/>
    <w:rsid w:val="00217C8C"/>
    <w:rsid w:val="00217D2F"/>
    <w:rsid w:val="00221081"/>
    <w:rsid w:val="00221211"/>
    <w:rsid w:val="00221D47"/>
    <w:rsid w:val="00222BEF"/>
    <w:rsid w:val="00222D1B"/>
    <w:rsid w:val="002235D5"/>
    <w:rsid w:val="00223628"/>
    <w:rsid w:val="00231FBC"/>
    <w:rsid w:val="00233E67"/>
    <w:rsid w:val="002343AB"/>
    <w:rsid w:val="002345CC"/>
    <w:rsid w:val="002346F7"/>
    <w:rsid w:val="00236248"/>
    <w:rsid w:val="00236316"/>
    <w:rsid w:val="00236D9A"/>
    <w:rsid w:val="00241B00"/>
    <w:rsid w:val="00242007"/>
    <w:rsid w:val="0024590B"/>
    <w:rsid w:val="00245C4A"/>
    <w:rsid w:val="00245C98"/>
    <w:rsid w:val="002463AC"/>
    <w:rsid w:val="00246439"/>
    <w:rsid w:val="00250507"/>
    <w:rsid w:val="0025200B"/>
    <w:rsid w:val="0025213F"/>
    <w:rsid w:val="002525A4"/>
    <w:rsid w:val="00252B2F"/>
    <w:rsid w:val="00255A3F"/>
    <w:rsid w:val="00257224"/>
    <w:rsid w:val="00257707"/>
    <w:rsid w:val="002601D7"/>
    <w:rsid w:val="00261538"/>
    <w:rsid w:val="00261D04"/>
    <w:rsid w:val="0026279E"/>
    <w:rsid w:val="0026555D"/>
    <w:rsid w:val="00265D55"/>
    <w:rsid w:val="002675B4"/>
    <w:rsid w:val="00267F2E"/>
    <w:rsid w:val="00272C77"/>
    <w:rsid w:val="002746A5"/>
    <w:rsid w:val="00274F95"/>
    <w:rsid w:val="00275A2C"/>
    <w:rsid w:val="002761D6"/>
    <w:rsid w:val="00277498"/>
    <w:rsid w:val="00277DC7"/>
    <w:rsid w:val="00277ED7"/>
    <w:rsid w:val="00280F4C"/>
    <w:rsid w:val="002810FF"/>
    <w:rsid w:val="002820D5"/>
    <w:rsid w:val="00282888"/>
    <w:rsid w:val="00283CC7"/>
    <w:rsid w:val="002847D2"/>
    <w:rsid w:val="00290968"/>
    <w:rsid w:val="002936F0"/>
    <w:rsid w:val="002941D5"/>
    <w:rsid w:val="00294F01"/>
    <w:rsid w:val="002961AE"/>
    <w:rsid w:val="00296EC8"/>
    <w:rsid w:val="00296F21"/>
    <w:rsid w:val="002A0462"/>
    <w:rsid w:val="002A12CF"/>
    <w:rsid w:val="002A1A6D"/>
    <w:rsid w:val="002A369E"/>
    <w:rsid w:val="002A38C7"/>
    <w:rsid w:val="002A45FF"/>
    <w:rsid w:val="002A64A5"/>
    <w:rsid w:val="002A7609"/>
    <w:rsid w:val="002B05AF"/>
    <w:rsid w:val="002B078A"/>
    <w:rsid w:val="002B55E1"/>
    <w:rsid w:val="002B73BB"/>
    <w:rsid w:val="002B78A9"/>
    <w:rsid w:val="002B7F35"/>
    <w:rsid w:val="002C0228"/>
    <w:rsid w:val="002C0AA0"/>
    <w:rsid w:val="002C1F48"/>
    <w:rsid w:val="002C2B4C"/>
    <w:rsid w:val="002C4630"/>
    <w:rsid w:val="002C5873"/>
    <w:rsid w:val="002C6963"/>
    <w:rsid w:val="002C6DC0"/>
    <w:rsid w:val="002C7909"/>
    <w:rsid w:val="002D036A"/>
    <w:rsid w:val="002D2032"/>
    <w:rsid w:val="002D722B"/>
    <w:rsid w:val="002E014E"/>
    <w:rsid w:val="002E10AB"/>
    <w:rsid w:val="002E149C"/>
    <w:rsid w:val="002E21E0"/>
    <w:rsid w:val="002E32B2"/>
    <w:rsid w:val="002E35D3"/>
    <w:rsid w:val="002E3BC3"/>
    <w:rsid w:val="002E3CFE"/>
    <w:rsid w:val="002E59C9"/>
    <w:rsid w:val="002E63FD"/>
    <w:rsid w:val="002E7795"/>
    <w:rsid w:val="002F0E35"/>
    <w:rsid w:val="002F1D72"/>
    <w:rsid w:val="002F2702"/>
    <w:rsid w:val="002F2880"/>
    <w:rsid w:val="002F3B37"/>
    <w:rsid w:val="002F422F"/>
    <w:rsid w:val="002F4A15"/>
    <w:rsid w:val="002F5438"/>
    <w:rsid w:val="002F677A"/>
    <w:rsid w:val="002F7A59"/>
    <w:rsid w:val="002F7FAE"/>
    <w:rsid w:val="00300143"/>
    <w:rsid w:val="00300B16"/>
    <w:rsid w:val="00302CD2"/>
    <w:rsid w:val="003044E9"/>
    <w:rsid w:val="00305EEE"/>
    <w:rsid w:val="00306DC0"/>
    <w:rsid w:val="00310017"/>
    <w:rsid w:val="00310637"/>
    <w:rsid w:val="00310F5B"/>
    <w:rsid w:val="00311D43"/>
    <w:rsid w:val="00311FFF"/>
    <w:rsid w:val="00314CCC"/>
    <w:rsid w:val="003174A2"/>
    <w:rsid w:val="00322470"/>
    <w:rsid w:val="00323359"/>
    <w:rsid w:val="00327593"/>
    <w:rsid w:val="00327CD2"/>
    <w:rsid w:val="00330F2D"/>
    <w:rsid w:val="003321EE"/>
    <w:rsid w:val="00333150"/>
    <w:rsid w:val="0033539D"/>
    <w:rsid w:val="00335F35"/>
    <w:rsid w:val="003365A7"/>
    <w:rsid w:val="00336FF1"/>
    <w:rsid w:val="003373F0"/>
    <w:rsid w:val="00342E45"/>
    <w:rsid w:val="00343113"/>
    <w:rsid w:val="003455E4"/>
    <w:rsid w:val="00347412"/>
    <w:rsid w:val="00347735"/>
    <w:rsid w:val="00350FD1"/>
    <w:rsid w:val="00351D22"/>
    <w:rsid w:val="00353C69"/>
    <w:rsid w:val="003553DD"/>
    <w:rsid w:val="003556EA"/>
    <w:rsid w:val="00356CEF"/>
    <w:rsid w:val="003571E7"/>
    <w:rsid w:val="0036010B"/>
    <w:rsid w:val="00362AF4"/>
    <w:rsid w:val="00362D19"/>
    <w:rsid w:val="0036415E"/>
    <w:rsid w:val="003657ED"/>
    <w:rsid w:val="00367A98"/>
    <w:rsid w:val="0037144F"/>
    <w:rsid w:val="00371E2E"/>
    <w:rsid w:val="00373225"/>
    <w:rsid w:val="00374D02"/>
    <w:rsid w:val="003770E6"/>
    <w:rsid w:val="003776AB"/>
    <w:rsid w:val="00377712"/>
    <w:rsid w:val="00380357"/>
    <w:rsid w:val="0038259A"/>
    <w:rsid w:val="0038450B"/>
    <w:rsid w:val="00384549"/>
    <w:rsid w:val="003845E2"/>
    <w:rsid w:val="00385E9F"/>
    <w:rsid w:val="003861AA"/>
    <w:rsid w:val="003864D9"/>
    <w:rsid w:val="00387656"/>
    <w:rsid w:val="00387BE4"/>
    <w:rsid w:val="00387BFA"/>
    <w:rsid w:val="003901E6"/>
    <w:rsid w:val="00392344"/>
    <w:rsid w:val="00392B65"/>
    <w:rsid w:val="00393382"/>
    <w:rsid w:val="0039591A"/>
    <w:rsid w:val="003965C1"/>
    <w:rsid w:val="003A0A89"/>
    <w:rsid w:val="003A1BA1"/>
    <w:rsid w:val="003A33BC"/>
    <w:rsid w:val="003A3B8A"/>
    <w:rsid w:val="003A4146"/>
    <w:rsid w:val="003A576E"/>
    <w:rsid w:val="003A68CD"/>
    <w:rsid w:val="003A6C53"/>
    <w:rsid w:val="003B1355"/>
    <w:rsid w:val="003B17F6"/>
    <w:rsid w:val="003B1831"/>
    <w:rsid w:val="003B1E79"/>
    <w:rsid w:val="003B2CEC"/>
    <w:rsid w:val="003B6114"/>
    <w:rsid w:val="003C1F19"/>
    <w:rsid w:val="003C2CD3"/>
    <w:rsid w:val="003C3DD3"/>
    <w:rsid w:val="003C649A"/>
    <w:rsid w:val="003C79B3"/>
    <w:rsid w:val="003D2933"/>
    <w:rsid w:val="003D553E"/>
    <w:rsid w:val="003D582E"/>
    <w:rsid w:val="003D5FC9"/>
    <w:rsid w:val="003D6D64"/>
    <w:rsid w:val="003D7D2A"/>
    <w:rsid w:val="003E05E4"/>
    <w:rsid w:val="003E0F26"/>
    <w:rsid w:val="003E1174"/>
    <w:rsid w:val="003E3B57"/>
    <w:rsid w:val="003E4E35"/>
    <w:rsid w:val="003E4E4C"/>
    <w:rsid w:val="003E5385"/>
    <w:rsid w:val="003E606D"/>
    <w:rsid w:val="003E624C"/>
    <w:rsid w:val="003E7CF8"/>
    <w:rsid w:val="003F1B1D"/>
    <w:rsid w:val="003F1BBA"/>
    <w:rsid w:val="003F28A8"/>
    <w:rsid w:val="003F3998"/>
    <w:rsid w:val="003F3B01"/>
    <w:rsid w:val="003F4948"/>
    <w:rsid w:val="003F6B1D"/>
    <w:rsid w:val="0040125F"/>
    <w:rsid w:val="00401B27"/>
    <w:rsid w:val="00403392"/>
    <w:rsid w:val="004047CD"/>
    <w:rsid w:val="00404D08"/>
    <w:rsid w:val="00405364"/>
    <w:rsid w:val="00412D65"/>
    <w:rsid w:val="00414BD6"/>
    <w:rsid w:val="00415F4E"/>
    <w:rsid w:val="004160E1"/>
    <w:rsid w:val="00416B19"/>
    <w:rsid w:val="00417A0E"/>
    <w:rsid w:val="004230D3"/>
    <w:rsid w:val="00423A1A"/>
    <w:rsid w:val="0042742E"/>
    <w:rsid w:val="004276D7"/>
    <w:rsid w:val="00427D24"/>
    <w:rsid w:val="0043029F"/>
    <w:rsid w:val="004305C7"/>
    <w:rsid w:val="004307E4"/>
    <w:rsid w:val="00430C17"/>
    <w:rsid w:val="00431012"/>
    <w:rsid w:val="00433628"/>
    <w:rsid w:val="00433A95"/>
    <w:rsid w:val="00435E43"/>
    <w:rsid w:val="00437B83"/>
    <w:rsid w:val="00437B8F"/>
    <w:rsid w:val="00441D52"/>
    <w:rsid w:val="00444E22"/>
    <w:rsid w:val="00446B3F"/>
    <w:rsid w:val="00452E50"/>
    <w:rsid w:val="00454795"/>
    <w:rsid w:val="0045486F"/>
    <w:rsid w:val="0045525B"/>
    <w:rsid w:val="00456A7C"/>
    <w:rsid w:val="00456D6D"/>
    <w:rsid w:val="00456DC7"/>
    <w:rsid w:val="004577A9"/>
    <w:rsid w:val="004614BB"/>
    <w:rsid w:val="00461D7C"/>
    <w:rsid w:val="00467530"/>
    <w:rsid w:val="00472B72"/>
    <w:rsid w:val="00473259"/>
    <w:rsid w:val="004750A9"/>
    <w:rsid w:val="004757B8"/>
    <w:rsid w:val="00482CFC"/>
    <w:rsid w:val="00484144"/>
    <w:rsid w:val="0048530C"/>
    <w:rsid w:val="004857A6"/>
    <w:rsid w:val="00486FFE"/>
    <w:rsid w:val="00487F0F"/>
    <w:rsid w:val="004903DC"/>
    <w:rsid w:val="00490AF7"/>
    <w:rsid w:val="00491D39"/>
    <w:rsid w:val="00491DFF"/>
    <w:rsid w:val="00492EAD"/>
    <w:rsid w:val="00493286"/>
    <w:rsid w:val="004935C7"/>
    <w:rsid w:val="00495679"/>
    <w:rsid w:val="0049651B"/>
    <w:rsid w:val="00496BA0"/>
    <w:rsid w:val="004A0F50"/>
    <w:rsid w:val="004A1770"/>
    <w:rsid w:val="004A347A"/>
    <w:rsid w:val="004A44F8"/>
    <w:rsid w:val="004A5B89"/>
    <w:rsid w:val="004A6EC9"/>
    <w:rsid w:val="004A7D38"/>
    <w:rsid w:val="004B1698"/>
    <w:rsid w:val="004B2617"/>
    <w:rsid w:val="004B26D2"/>
    <w:rsid w:val="004B3D7C"/>
    <w:rsid w:val="004B5051"/>
    <w:rsid w:val="004B5123"/>
    <w:rsid w:val="004B64E2"/>
    <w:rsid w:val="004B6AFA"/>
    <w:rsid w:val="004B6CA5"/>
    <w:rsid w:val="004C0D61"/>
    <w:rsid w:val="004C440A"/>
    <w:rsid w:val="004C68E1"/>
    <w:rsid w:val="004D0273"/>
    <w:rsid w:val="004D212B"/>
    <w:rsid w:val="004D316D"/>
    <w:rsid w:val="004D3D1C"/>
    <w:rsid w:val="004D72D4"/>
    <w:rsid w:val="004E04F7"/>
    <w:rsid w:val="004E074C"/>
    <w:rsid w:val="004E3DB7"/>
    <w:rsid w:val="004E7A9B"/>
    <w:rsid w:val="004F21C2"/>
    <w:rsid w:val="004F2AFD"/>
    <w:rsid w:val="004F4178"/>
    <w:rsid w:val="004F5FB1"/>
    <w:rsid w:val="004F7D95"/>
    <w:rsid w:val="005021DB"/>
    <w:rsid w:val="00502800"/>
    <w:rsid w:val="0050312C"/>
    <w:rsid w:val="005038A9"/>
    <w:rsid w:val="00503E7D"/>
    <w:rsid w:val="005066AB"/>
    <w:rsid w:val="00507C78"/>
    <w:rsid w:val="0051230C"/>
    <w:rsid w:val="00513642"/>
    <w:rsid w:val="005137EC"/>
    <w:rsid w:val="00514813"/>
    <w:rsid w:val="0051496E"/>
    <w:rsid w:val="0051507E"/>
    <w:rsid w:val="00520ECF"/>
    <w:rsid w:val="00522210"/>
    <w:rsid w:val="00522D4C"/>
    <w:rsid w:val="005230E1"/>
    <w:rsid w:val="0052768A"/>
    <w:rsid w:val="0053472D"/>
    <w:rsid w:val="00534F7B"/>
    <w:rsid w:val="00536925"/>
    <w:rsid w:val="005375B8"/>
    <w:rsid w:val="005403E3"/>
    <w:rsid w:val="00540F94"/>
    <w:rsid w:val="00541D7D"/>
    <w:rsid w:val="005427AB"/>
    <w:rsid w:val="00543702"/>
    <w:rsid w:val="00543A9B"/>
    <w:rsid w:val="00544912"/>
    <w:rsid w:val="005474C1"/>
    <w:rsid w:val="00547F2E"/>
    <w:rsid w:val="00552A40"/>
    <w:rsid w:val="00555873"/>
    <w:rsid w:val="00555FD4"/>
    <w:rsid w:val="00557E41"/>
    <w:rsid w:val="00560A01"/>
    <w:rsid w:val="0056494C"/>
    <w:rsid w:val="005649D1"/>
    <w:rsid w:val="00566C82"/>
    <w:rsid w:val="00566E93"/>
    <w:rsid w:val="00567148"/>
    <w:rsid w:val="005671B1"/>
    <w:rsid w:val="005708E6"/>
    <w:rsid w:val="00570D99"/>
    <w:rsid w:val="0057294E"/>
    <w:rsid w:val="005753E3"/>
    <w:rsid w:val="0057717F"/>
    <w:rsid w:val="00581140"/>
    <w:rsid w:val="00582099"/>
    <w:rsid w:val="005838F7"/>
    <w:rsid w:val="00586F1F"/>
    <w:rsid w:val="00587F71"/>
    <w:rsid w:val="005901B8"/>
    <w:rsid w:val="00591B80"/>
    <w:rsid w:val="00591EC7"/>
    <w:rsid w:val="00593A52"/>
    <w:rsid w:val="0059470A"/>
    <w:rsid w:val="00595DC9"/>
    <w:rsid w:val="0059615D"/>
    <w:rsid w:val="005966F4"/>
    <w:rsid w:val="005A1C12"/>
    <w:rsid w:val="005A50B2"/>
    <w:rsid w:val="005A50EF"/>
    <w:rsid w:val="005A76E6"/>
    <w:rsid w:val="005B2099"/>
    <w:rsid w:val="005B23B6"/>
    <w:rsid w:val="005B290B"/>
    <w:rsid w:val="005B3232"/>
    <w:rsid w:val="005B46EF"/>
    <w:rsid w:val="005B5B6D"/>
    <w:rsid w:val="005B5F4E"/>
    <w:rsid w:val="005B6AA9"/>
    <w:rsid w:val="005B6F24"/>
    <w:rsid w:val="005B771E"/>
    <w:rsid w:val="005C009B"/>
    <w:rsid w:val="005C07AB"/>
    <w:rsid w:val="005C16AC"/>
    <w:rsid w:val="005C1D89"/>
    <w:rsid w:val="005C2509"/>
    <w:rsid w:val="005C50DF"/>
    <w:rsid w:val="005C6CA9"/>
    <w:rsid w:val="005C7651"/>
    <w:rsid w:val="005D0751"/>
    <w:rsid w:val="005D6412"/>
    <w:rsid w:val="005E15D7"/>
    <w:rsid w:val="005E190C"/>
    <w:rsid w:val="005E253E"/>
    <w:rsid w:val="005E3179"/>
    <w:rsid w:val="005E33D2"/>
    <w:rsid w:val="005E381E"/>
    <w:rsid w:val="005E4E2D"/>
    <w:rsid w:val="005E5464"/>
    <w:rsid w:val="005E699D"/>
    <w:rsid w:val="005E7F15"/>
    <w:rsid w:val="005F043A"/>
    <w:rsid w:val="005F3D83"/>
    <w:rsid w:val="005F6006"/>
    <w:rsid w:val="00600587"/>
    <w:rsid w:val="0060166D"/>
    <w:rsid w:val="00602516"/>
    <w:rsid w:val="00602735"/>
    <w:rsid w:val="00606B31"/>
    <w:rsid w:val="00610124"/>
    <w:rsid w:val="00613B0B"/>
    <w:rsid w:val="00622045"/>
    <w:rsid w:val="00623024"/>
    <w:rsid w:val="00623063"/>
    <w:rsid w:val="00626B48"/>
    <w:rsid w:val="00630A13"/>
    <w:rsid w:val="00631F8C"/>
    <w:rsid w:val="006343A9"/>
    <w:rsid w:val="0063544B"/>
    <w:rsid w:val="00636E3F"/>
    <w:rsid w:val="0064021B"/>
    <w:rsid w:val="006456DA"/>
    <w:rsid w:val="00645EB3"/>
    <w:rsid w:val="00646069"/>
    <w:rsid w:val="0064724F"/>
    <w:rsid w:val="00647339"/>
    <w:rsid w:val="006503EC"/>
    <w:rsid w:val="00650DA0"/>
    <w:rsid w:val="0065202C"/>
    <w:rsid w:val="006539BA"/>
    <w:rsid w:val="00654159"/>
    <w:rsid w:val="00655FC8"/>
    <w:rsid w:val="006560D0"/>
    <w:rsid w:val="00660315"/>
    <w:rsid w:val="006623DF"/>
    <w:rsid w:val="00663115"/>
    <w:rsid w:val="00664FE4"/>
    <w:rsid w:val="006662B0"/>
    <w:rsid w:val="00666591"/>
    <w:rsid w:val="00666C73"/>
    <w:rsid w:val="00667C7D"/>
    <w:rsid w:val="00672A80"/>
    <w:rsid w:val="0067486B"/>
    <w:rsid w:val="00675B54"/>
    <w:rsid w:val="0067701C"/>
    <w:rsid w:val="00682C37"/>
    <w:rsid w:val="0068655F"/>
    <w:rsid w:val="006928F3"/>
    <w:rsid w:val="00692C84"/>
    <w:rsid w:val="006948CC"/>
    <w:rsid w:val="00694D64"/>
    <w:rsid w:val="00695978"/>
    <w:rsid w:val="006959DD"/>
    <w:rsid w:val="006A0DAB"/>
    <w:rsid w:val="006A10A4"/>
    <w:rsid w:val="006A1752"/>
    <w:rsid w:val="006A20B2"/>
    <w:rsid w:val="006A43B7"/>
    <w:rsid w:val="006A5AD1"/>
    <w:rsid w:val="006A5FF0"/>
    <w:rsid w:val="006A798C"/>
    <w:rsid w:val="006B063F"/>
    <w:rsid w:val="006B1461"/>
    <w:rsid w:val="006B1C83"/>
    <w:rsid w:val="006B20E6"/>
    <w:rsid w:val="006B4A67"/>
    <w:rsid w:val="006B6614"/>
    <w:rsid w:val="006B7113"/>
    <w:rsid w:val="006C03E1"/>
    <w:rsid w:val="006C22BD"/>
    <w:rsid w:val="006C3A0F"/>
    <w:rsid w:val="006C3E08"/>
    <w:rsid w:val="006C50A8"/>
    <w:rsid w:val="006C53F2"/>
    <w:rsid w:val="006D5373"/>
    <w:rsid w:val="006D716C"/>
    <w:rsid w:val="006E2808"/>
    <w:rsid w:val="006E388E"/>
    <w:rsid w:val="006E3AF1"/>
    <w:rsid w:val="006E4A2E"/>
    <w:rsid w:val="006E4BE5"/>
    <w:rsid w:val="006E4F01"/>
    <w:rsid w:val="006E5308"/>
    <w:rsid w:val="006E673B"/>
    <w:rsid w:val="006E702F"/>
    <w:rsid w:val="006F4BC2"/>
    <w:rsid w:val="006F55B8"/>
    <w:rsid w:val="006F5B1E"/>
    <w:rsid w:val="006F777C"/>
    <w:rsid w:val="006F7C2E"/>
    <w:rsid w:val="00700674"/>
    <w:rsid w:val="00701420"/>
    <w:rsid w:val="00704D2D"/>
    <w:rsid w:val="00705EB3"/>
    <w:rsid w:val="00705F1A"/>
    <w:rsid w:val="00706556"/>
    <w:rsid w:val="0071015E"/>
    <w:rsid w:val="00712BFA"/>
    <w:rsid w:val="007137C2"/>
    <w:rsid w:val="00713A2F"/>
    <w:rsid w:val="00716FBA"/>
    <w:rsid w:val="00717168"/>
    <w:rsid w:val="00720048"/>
    <w:rsid w:val="00720130"/>
    <w:rsid w:val="00720244"/>
    <w:rsid w:val="007207CA"/>
    <w:rsid w:val="007212D6"/>
    <w:rsid w:val="007216D7"/>
    <w:rsid w:val="00722E86"/>
    <w:rsid w:val="007239F6"/>
    <w:rsid w:val="007251A2"/>
    <w:rsid w:val="00726998"/>
    <w:rsid w:val="00727B87"/>
    <w:rsid w:val="00727D44"/>
    <w:rsid w:val="00730727"/>
    <w:rsid w:val="0073326F"/>
    <w:rsid w:val="00735769"/>
    <w:rsid w:val="007409E6"/>
    <w:rsid w:val="00740A05"/>
    <w:rsid w:val="00743E3C"/>
    <w:rsid w:val="00743F7C"/>
    <w:rsid w:val="00744C9F"/>
    <w:rsid w:val="00745C32"/>
    <w:rsid w:val="0074778C"/>
    <w:rsid w:val="00750058"/>
    <w:rsid w:val="00751742"/>
    <w:rsid w:val="00752E33"/>
    <w:rsid w:val="00752EB6"/>
    <w:rsid w:val="007548D1"/>
    <w:rsid w:val="00755FEA"/>
    <w:rsid w:val="00756999"/>
    <w:rsid w:val="00756C6A"/>
    <w:rsid w:val="00762BCD"/>
    <w:rsid w:val="007638D5"/>
    <w:rsid w:val="007652E9"/>
    <w:rsid w:val="00766D2B"/>
    <w:rsid w:val="00767EDA"/>
    <w:rsid w:val="0077458D"/>
    <w:rsid w:val="0077493E"/>
    <w:rsid w:val="007753A5"/>
    <w:rsid w:val="00781040"/>
    <w:rsid w:val="0078245F"/>
    <w:rsid w:val="00783BB4"/>
    <w:rsid w:val="007846D1"/>
    <w:rsid w:val="00785291"/>
    <w:rsid w:val="0078672D"/>
    <w:rsid w:val="00790B00"/>
    <w:rsid w:val="007931CB"/>
    <w:rsid w:val="007956BE"/>
    <w:rsid w:val="007973EA"/>
    <w:rsid w:val="007A0756"/>
    <w:rsid w:val="007A125A"/>
    <w:rsid w:val="007A154C"/>
    <w:rsid w:val="007A38DF"/>
    <w:rsid w:val="007A4B35"/>
    <w:rsid w:val="007A5DAA"/>
    <w:rsid w:val="007A5EFC"/>
    <w:rsid w:val="007A6625"/>
    <w:rsid w:val="007A697D"/>
    <w:rsid w:val="007B0043"/>
    <w:rsid w:val="007B00C4"/>
    <w:rsid w:val="007B129C"/>
    <w:rsid w:val="007B1603"/>
    <w:rsid w:val="007B184E"/>
    <w:rsid w:val="007B195F"/>
    <w:rsid w:val="007B322B"/>
    <w:rsid w:val="007B3EBA"/>
    <w:rsid w:val="007B4585"/>
    <w:rsid w:val="007B57DC"/>
    <w:rsid w:val="007B6E70"/>
    <w:rsid w:val="007C1377"/>
    <w:rsid w:val="007C1424"/>
    <w:rsid w:val="007C2F4D"/>
    <w:rsid w:val="007C3BF1"/>
    <w:rsid w:val="007C41F0"/>
    <w:rsid w:val="007C693C"/>
    <w:rsid w:val="007C6BB3"/>
    <w:rsid w:val="007D1394"/>
    <w:rsid w:val="007D1B5F"/>
    <w:rsid w:val="007D2817"/>
    <w:rsid w:val="007D51C6"/>
    <w:rsid w:val="007D5254"/>
    <w:rsid w:val="007D5EDB"/>
    <w:rsid w:val="007E1875"/>
    <w:rsid w:val="007E3511"/>
    <w:rsid w:val="007E35A5"/>
    <w:rsid w:val="007E3F6B"/>
    <w:rsid w:val="007E4CC9"/>
    <w:rsid w:val="007E5D8E"/>
    <w:rsid w:val="007E64B9"/>
    <w:rsid w:val="007F1697"/>
    <w:rsid w:val="007F1F1D"/>
    <w:rsid w:val="007F5B1F"/>
    <w:rsid w:val="007F6F79"/>
    <w:rsid w:val="007F77AF"/>
    <w:rsid w:val="00802A3A"/>
    <w:rsid w:val="0080331F"/>
    <w:rsid w:val="00803DFB"/>
    <w:rsid w:val="00804F64"/>
    <w:rsid w:val="00806CB3"/>
    <w:rsid w:val="00807FF3"/>
    <w:rsid w:val="00810A32"/>
    <w:rsid w:val="008113FA"/>
    <w:rsid w:val="008117F5"/>
    <w:rsid w:val="008130BE"/>
    <w:rsid w:val="00813A1B"/>
    <w:rsid w:val="008144F0"/>
    <w:rsid w:val="0081453B"/>
    <w:rsid w:val="00815089"/>
    <w:rsid w:val="008152CB"/>
    <w:rsid w:val="0081637D"/>
    <w:rsid w:val="00816EB8"/>
    <w:rsid w:val="0082206C"/>
    <w:rsid w:val="00822A8D"/>
    <w:rsid w:val="0082361C"/>
    <w:rsid w:val="008271C3"/>
    <w:rsid w:val="00827AF6"/>
    <w:rsid w:val="008323AD"/>
    <w:rsid w:val="00833208"/>
    <w:rsid w:val="00834D35"/>
    <w:rsid w:val="00835ACF"/>
    <w:rsid w:val="0083654A"/>
    <w:rsid w:val="008374DF"/>
    <w:rsid w:val="00843442"/>
    <w:rsid w:val="008443A5"/>
    <w:rsid w:val="00846032"/>
    <w:rsid w:val="008474C7"/>
    <w:rsid w:val="0084766A"/>
    <w:rsid w:val="00853CA5"/>
    <w:rsid w:val="00853CD4"/>
    <w:rsid w:val="00853EB3"/>
    <w:rsid w:val="00857BC8"/>
    <w:rsid w:val="008608F3"/>
    <w:rsid w:val="00861067"/>
    <w:rsid w:val="00862575"/>
    <w:rsid w:val="00864667"/>
    <w:rsid w:val="00864EBA"/>
    <w:rsid w:val="0086577D"/>
    <w:rsid w:val="00866C44"/>
    <w:rsid w:val="00866EC8"/>
    <w:rsid w:val="0086764A"/>
    <w:rsid w:val="00873911"/>
    <w:rsid w:val="00873A3C"/>
    <w:rsid w:val="00873EF0"/>
    <w:rsid w:val="00875301"/>
    <w:rsid w:val="00880641"/>
    <w:rsid w:val="00881EF1"/>
    <w:rsid w:val="008846F3"/>
    <w:rsid w:val="008865F8"/>
    <w:rsid w:val="00886637"/>
    <w:rsid w:val="00887E18"/>
    <w:rsid w:val="00891373"/>
    <w:rsid w:val="00891B44"/>
    <w:rsid w:val="008920D0"/>
    <w:rsid w:val="00892188"/>
    <w:rsid w:val="00892C3F"/>
    <w:rsid w:val="00893636"/>
    <w:rsid w:val="008954F0"/>
    <w:rsid w:val="008A0CC8"/>
    <w:rsid w:val="008A599B"/>
    <w:rsid w:val="008A5AE6"/>
    <w:rsid w:val="008A5FA6"/>
    <w:rsid w:val="008A62AD"/>
    <w:rsid w:val="008A6CF4"/>
    <w:rsid w:val="008A7AEF"/>
    <w:rsid w:val="008B6143"/>
    <w:rsid w:val="008C0027"/>
    <w:rsid w:val="008C14EA"/>
    <w:rsid w:val="008C28D8"/>
    <w:rsid w:val="008C42D4"/>
    <w:rsid w:val="008C68B0"/>
    <w:rsid w:val="008C701D"/>
    <w:rsid w:val="008C7FE1"/>
    <w:rsid w:val="008D064B"/>
    <w:rsid w:val="008D18D8"/>
    <w:rsid w:val="008D3EE0"/>
    <w:rsid w:val="008D4B5C"/>
    <w:rsid w:val="008D7E0B"/>
    <w:rsid w:val="008E0C40"/>
    <w:rsid w:val="008E14A8"/>
    <w:rsid w:val="008E22C0"/>
    <w:rsid w:val="008E6886"/>
    <w:rsid w:val="008E69D2"/>
    <w:rsid w:val="008E6B2E"/>
    <w:rsid w:val="008F2C5C"/>
    <w:rsid w:val="008F3762"/>
    <w:rsid w:val="008F765B"/>
    <w:rsid w:val="00900A66"/>
    <w:rsid w:val="00900C62"/>
    <w:rsid w:val="00901403"/>
    <w:rsid w:val="00904936"/>
    <w:rsid w:val="00904D7E"/>
    <w:rsid w:val="00904FC7"/>
    <w:rsid w:val="0090602C"/>
    <w:rsid w:val="00911DD1"/>
    <w:rsid w:val="00912C92"/>
    <w:rsid w:val="009179BB"/>
    <w:rsid w:val="009203F6"/>
    <w:rsid w:val="009208D7"/>
    <w:rsid w:val="00920ED8"/>
    <w:rsid w:val="00921089"/>
    <w:rsid w:val="00921F23"/>
    <w:rsid w:val="009220A0"/>
    <w:rsid w:val="0092277B"/>
    <w:rsid w:val="00926FBD"/>
    <w:rsid w:val="00927550"/>
    <w:rsid w:val="009337F8"/>
    <w:rsid w:val="00934C8D"/>
    <w:rsid w:val="009355D7"/>
    <w:rsid w:val="009359CD"/>
    <w:rsid w:val="00935E78"/>
    <w:rsid w:val="009378C4"/>
    <w:rsid w:val="00946142"/>
    <w:rsid w:val="0095213F"/>
    <w:rsid w:val="00952508"/>
    <w:rsid w:val="0095254F"/>
    <w:rsid w:val="00952C75"/>
    <w:rsid w:val="00952F1E"/>
    <w:rsid w:val="0095327F"/>
    <w:rsid w:val="009541C4"/>
    <w:rsid w:val="0095529E"/>
    <w:rsid w:val="00955C39"/>
    <w:rsid w:val="00957C38"/>
    <w:rsid w:val="00961233"/>
    <w:rsid w:val="00965078"/>
    <w:rsid w:val="009658BF"/>
    <w:rsid w:val="00966B30"/>
    <w:rsid w:val="00967977"/>
    <w:rsid w:val="00971A4C"/>
    <w:rsid w:val="009743D7"/>
    <w:rsid w:val="00975B24"/>
    <w:rsid w:val="009767BF"/>
    <w:rsid w:val="00976879"/>
    <w:rsid w:val="0098198C"/>
    <w:rsid w:val="00982C7A"/>
    <w:rsid w:val="00982EDB"/>
    <w:rsid w:val="00986C6D"/>
    <w:rsid w:val="0099055F"/>
    <w:rsid w:val="00990626"/>
    <w:rsid w:val="0099108B"/>
    <w:rsid w:val="0099176C"/>
    <w:rsid w:val="0099213A"/>
    <w:rsid w:val="00992162"/>
    <w:rsid w:val="0099285F"/>
    <w:rsid w:val="009943C9"/>
    <w:rsid w:val="00994F72"/>
    <w:rsid w:val="009966FB"/>
    <w:rsid w:val="0099711C"/>
    <w:rsid w:val="009A22A1"/>
    <w:rsid w:val="009A3B0A"/>
    <w:rsid w:val="009A3CB1"/>
    <w:rsid w:val="009A498C"/>
    <w:rsid w:val="009A5F66"/>
    <w:rsid w:val="009B06F4"/>
    <w:rsid w:val="009B2CF3"/>
    <w:rsid w:val="009B5D8C"/>
    <w:rsid w:val="009B6A08"/>
    <w:rsid w:val="009C003B"/>
    <w:rsid w:val="009C2236"/>
    <w:rsid w:val="009C25E1"/>
    <w:rsid w:val="009C3C4A"/>
    <w:rsid w:val="009C5966"/>
    <w:rsid w:val="009C5F34"/>
    <w:rsid w:val="009C6737"/>
    <w:rsid w:val="009C6DDE"/>
    <w:rsid w:val="009C722E"/>
    <w:rsid w:val="009C73DD"/>
    <w:rsid w:val="009D0733"/>
    <w:rsid w:val="009D1ADE"/>
    <w:rsid w:val="009D1D04"/>
    <w:rsid w:val="009D376E"/>
    <w:rsid w:val="009D380A"/>
    <w:rsid w:val="009D3ADC"/>
    <w:rsid w:val="009D7A75"/>
    <w:rsid w:val="009E08CE"/>
    <w:rsid w:val="009E27F5"/>
    <w:rsid w:val="009E3C55"/>
    <w:rsid w:val="009E44D8"/>
    <w:rsid w:val="009E6415"/>
    <w:rsid w:val="009E7494"/>
    <w:rsid w:val="009F1B21"/>
    <w:rsid w:val="00A00429"/>
    <w:rsid w:val="00A01CDA"/>
    <w:rsid w:val="00A020BB"/>
    <w:rsid w:val="00A035A7"/>
    <w:rsid w:val="00A04D83"/>
    <w:rsid w:val="00A06966"/>
    <w:rsid w:val="00A07F6F"/>
    <w:rsid w:val="00A107CF"/>
    <w:rsid w:val="00A10E49"/>
    <w:rsid w:val="00A112F8"/>
    <w:rsid w:val="00A12754"/>
    <w:rsid w:val="00A144C3"/>
    <w:rsid w:val="00A14E8A"/>
    <w:rsid w:val="00A15337"/>
    <w:rsid w:val="00A1779B"/>
    <w:rsid w:val="00A205C9"/>
    <w:rsid w:val="00A20C2D"/>
    <w:rsid w:val="00A21968"/>
    <w:rsid w:val="00A22AB1"/>
    <w:rsid w:val="00A22FBC"/>
    <w:rsid w:val="00A26120"/>
    <w:rsid w:val="00A26AD9"/>
    <w:rsid w:val="00A314CD"/>
    <w:rsid w:val="00A34703"/>
    <w:rsid w:val="00A3514A"/>
    <w:rsid w:val="00A35391"/>
    <w:rsid w:val="00A35445"/>
    <w:rsid w:val="00A378D1"/>
    <w:rsid w:val="00A410F9"/>
    <w:rsid w:val="00A45E15"/>
    <w:rsid w:val="00A46802"/>
    <w:rsid w:val="00A50D39"/>
    <w:rsid w:val="00A51E47"/>
    <w:rsid w:val="00A52546"/>
    <w:rsid w:val="00A53869"/>
    <w:rsid w:val="00A56C81"/>
    <w:rsid w:val="00A60814"/>
    <w:rsid w:val="00A67905"/>
    <w:rsid w:val="00A706D1"/>
    <w:rsid w:val="00A70F45"/>
    <w:rsid w:val="00A7112F"/>
    <w:rsid w:val="00A71521"/>
    <w:rsid w:val="00A71B7B"/>
    <w:rsid w:val="00A7221C"/>
    <w:rsid w:val="00A72643"/>
    <w:rsid w:val="00A739C6"/>
    <w:rsid w:val="00A7470A"/>
    <w:rsid w:val="00A76373"/>
    <w:rsid w:val="00A774AB"/>
    <w:rsid w:val="00A778E1"/>
    <w:rsid w:val="00A8271F"/>
    <w:rsid w:val="00A83655"/>
    <w:rsid w:val="00A84494"/>
    <w:rsid w:val="00A859E6"/>
    <w:rsid w:val="00A85CAC"/>
    <w:rsid w:val="00A86986"/>
    <w:rsid w:val="00A86E97"/>
    <w:rsid w:val="00A901DF"/>
    <w:rsid w:val="00A911C9"/>
    <w:rsid w:val="00A96295"/>
    <w:rsid w:val="00A97EF1"/>
    <w:rsid w:val="00AA31BE"/>
    <w:rsid w:val="00AA371C"/>
    <w:rsid w:val="00AA49C7"/>
    <w:rsid w:val="00AA71AD"/>
    <w:rsid w:val="00AA7301"/>
    <w:rsid w:val="00AB2090"/>
    <w:rsid w:val="00AB3218"/>
    <w:rsid w:val="00AB670B"/>
    <w:rsid w:val="00AB685E"/>
    <w:rsid w:val="00AC0303"/>
    <w:rsid w:val="00AC0873"/>
    <w:rsid w:val="00AC0CBD"/>
    <w:rsid w:val="00AC3691"/>
    <w:rsid w:val="00AC4316"/>
    <w:rsid w:val="00AC5593"/>
    <w:rsid w:val="00AC76BA"/>
    <w:rsid w:val="00AD15EA"/>
    <w:rsid w:val="00AD2922"/>
    <w:rsid w:val="00AD2934"/>
    <w:rsid w:val="00AD2F34"/>
    <w:rsid w:val="00AD3545"/>
    <w:rsid w:val="00AD3C50"/>
    <w:rsid w:val="00AD42D6"/>
    <w:rsid w:val="00AD52E3"/>
    <w:rsid w:val="00AD565D"/>
    <w:rsid w:val="00AE0A0A"/>
    <w:rsid w:val="00AE0FB2"/>
    <w:rsid w:val="00AE1BC6"/>
    <w:rsid w:val="00AE2A59"/>
    <w:rsid w:val="00AE395B"/>
    <w:rsid w:val="00AE3983"/>
    <w:rsid w:val="00AE3BA7"/>
    <w:rsid w:val="00AE3D1D"/>
    <w:rsid w:val="00AE4EE7"/>
    <w:rsid w:val="00AE6D9E"/>
    <w:rsid w:val="00AE7702"/>
    <w:rsid w:val="00AE7B32"/>
    <w:rsid w:val="00AF0DB2"/>
    <w:rsid w:val="00AF27A7"/>
    <w:rsid w:val="00AF29C1"/>
    <w:rsid w:val="00AF36A5"/>
    <w:rsid w:val="00AF4310"/>
    <w:rsid w:val="00AF7D66"/>
    <w:rsid w:val="00B008D8"/>
    <w:rsid w:val="00B01D87"/>
    <w:rsid w:val="00B03F06"/>
    <w:rsid w:val="00B04AC7"/>
    <w:rsid w:val="00B0586C"/>
    <w:rsid w:val="00B05C55"/>
    <w:rsid w:val="00B069EC"/>
    <w:rsid w:val="00B071C2"/>
    <w:rsid w:val="00B10064"/>
    <w:rsid w:val="00B10C9C"/>
    <w:rsid w:val="00B11D72"/>
    <w:rsid w:val="00B124B1"/>
    <w:rsid w:val="00B148D3"/>
    <w:rsid w:val="00B15AC9"/>
    <w:rsid w:val="00B179A7"/>
    <w:rsid w:val="00B20491"/>
    <w:rsid w:val="00B225F6"/>
    <w:rsid w:val="00B24033"/>
    <w:rsid w:val="00B25D5F"/>
    <w:rsid w:val="00B27F90"/>
    <w:rsid w:val="00B31044"/>
    <w:rsid w:val="00B31ECD"/>
    <w:rsid w:val="00B32880"/>
    <w:rsid w:val="00B34F5C"/>
    <w:rsid w:val="00B37A27"/>
    <w:rsid w:val="00B37F98"/>
    <w:rsid w:val="00B40710"/>
    <w:rsid w:val="00B41625"/>
    <w:rsid w:val="00B41A8D"/>
    <w:rsid w:val="00B41E01"/>
    <w:rsid w:val="00B428E9"/>
    <w:rsid w:val="00B44475"/>
    <w:rsid w:val="00B46776"/>
    <w:rsid w:val="00B51084"/>
    <w:rsid w:val="00B5238C"/>
    <w:rsid w:val="00B543A6"/>
    <w:rsid w:val="00B54F65"/>
    <w:rsid w:val="00B575A5"/>
    <w:rsid w:val="00B57FA2"/>
    <w:rsid w:val="00B60149"/>
    <w:rsid w:val="00B60446"/>
    <w:rsid w:val="00B60734"/>
    <w:rsid w:val="00B61BAF"/>
    <w:rsid w:val="00B61E17"/>
    <w:rsid w:val="00B63315"/>
    <w:rsid w:val="00B65638"/>
    <w:rsid w:val="00B656C4"/>
    <w:rsid w:val="00B66C16"/>
    <w:rsid w:val="00B66CA3"/>
    <w:rsid w:val="00B67057"/>
    <w:rsid w:val="00B67B70"/>
    <w:rsid w:val="00B70C0E"/>
    <w:rsid w:val="00B71B4E"/>
    <w:rsid w:val="00B73523"/>
    <w:rsid w:val="00B739F0"/>
    <w:rsid w:val="00B752BB"/>
    <w:rsid w:val="00B77B10"/>
    <w:rsid w:val="00B812D5"/>
    <w:rsid w:val="00B815BE"/>
    <w:rsid w:val="00B829A4"/>
    <w:rsid w:val="00B82E47"/>
    <w:rsid w:val="00B84C7A"/>
    <w:rsid w:val="00B932B6"/>
    <w:rsid w:val="00B93928"/>
    <w:rsid w:val="00B93B57"/>
    <w:rsid w:val="00B93C38"/>
    <w:rsid w:val="00B94D92"/>
    <w:rsid w:val="00B967CB"/>
    <w:rsid w:val="00B96B03"/>
    <w:rsid w:val="00BA2AD6"/>
    <w:rsid w:val="00BA470A"/>
    <w:rsid w:val="00BA4B41"/>
    <w:rsid w:val="00BA546C"/>
    <w:rsid w:val="00BA5F69"/>
    <w:rsid w:val="00BA6B14"/>
    <w:rsid w:val="00BA7023"/>
    <w:rsid w:val="00BB0EA1"/>
    <w:rsid w:val="00BB1C13"/>
    <w:rsid w:val="00BB6412"/>
    <w:rsid w:val="00BB74AF"/>
    <w:rsid w:val="00BC283F"/>
    <w:rsid w:val="00BC42F1"/>
    <w:rsid w:val="00BC43F8"/>
    <w:rsid w:val="00BC6126"/>
    <w:rsid w:val="00BC7BD6"/>
    <w:rsid w:val="00BD0550"/>
    <w:rsid w:val="00BD1EEC"/>
    <w:rsid w:val="00BD4F75"/>
    <w:rsid w:val="00BD6917"/>
    <w:rsid w:val="00BE0B8F"/>
    <w:rsid w:val="00BE469A"/>
    <w:rsid w:val="00BE55E4"/>
    <w:rsid w:val="00BE57AE"/>
    <w:rsid w:val="00BE6138"/>
    <w:rsid w:val="00BE6789"/>
    <w:rsid w:val="00BF07C9"/>
    <w:rsid w:val="00BF07E5"/>
    <w:rsid w:val="00BF336A"/>
    <w:rsid w:val="00BF390E"/>
    <w:rsid w:val="00BF423C"/>
    <w:rsid w:val="00BF45E6"/>
    <w:rsid w:val="00BF5AE1"/>
    <w:rsid w:val="00BF5D72"/>
    <w:rsid w:val="00BF5DAA"/>
    <w:rsid w:val="00BF67A9"/>
    <w:rsid w:val="00BF7C80"/>
    <w:rsid w:val="00C02A58"/>
    <w:rsid w:val="00C033DD"/>
    <w:rsid w:val="00C037C8"/>
    <w:rsid w:val="00C03FDD"/>
    <w:rsid w:val="00C05D45"/>
    <w:rsid w:val="00C0671E"/>
    <w:rsid w:val="00C07E7C"/>
    <w:rsid w:val="00C10572"/>
    <w:rsid w:val="00C13217"/>
    <w:rsid w:val="00C1368A"/>
    <w:rsid w:val="00C14FF9"/>
    <w:rsid w:val="00C1791B"/>
    <w:rsid w:val="00C24930"/>
    <w:rsid w:val="00C30E6E"/>
    <w:rsid w:val="00C35092"/>
    <w:rsid w:val="00C37A65"/>
    <w:rsid w:val="00C37E82"/>
    <w:rsid w:val="00C42E84"/>
    <w:rsid w:val="00C4388E"/>
    <w:rsid w:val="00C443EB"/>
    <w:rsid w:val="00C45119"/>
    <w:rsid w:val="00C4669E"/>
    <w:rsid w:val="00C50260"/>
    <w:rsid w:val="00C51C0D"/>
    <w:rsid w:val="00C52226"/>
    <w:rsid w:val="00C52BF5"/>
    <w:rsid w:val="00C532CA"/>
    <w:rsid w:val="00C5427A"/>
    <w:rsid w:val="00C54370"/>
    <w:rsid w:val="00C56579"/>
    <w:rsid w:val="00C6086A"/>
    <w:rsid w:val="00C61080"/>
    <w:rsid w:val="00C61CF6"/>
    <w:rsid w:val="00C627B8"/>
    <w:rsid w:val="00C629F5"/>
    <w:rsid w:val="00C6444C"/>
    <w:rsid w:val="00C66691"/>
    <w:rsid w:val="00C67144"/>
    <w:rsid w:val="00C71BA9"/>
    <w:rsid w:val="00C720B4"/>
    <w:rsid w:val="00C741AB"/>
    <w:rsid w:val="00C7499D"/>
    <w:rsid w:val="00C76BB7"/>
    <w:rsid w:val="00C77398"/>
    <w:rsid w:val="00C77C55"/>
    <w:rsid w:val="00C821AD"/>
    <w:rsid w:val="00C84999"/>
    <w:rsid w:val="00C85AC0"/>
    <w:rsid w:val="00C87C4E"/>
    <w:rsid w:val="00C935B3"/>
    <w:rsid w:val="00C9422A"/>
    <w:rsid w:val="00C94932"/>
    <w:rsid w:val="00C94B0F"/>
    <w:rsid w:val="00C95949"/>
    <w:rsid w:val="00C95E7B"/>
    <w:rsid w:val="00C96D36"/>
    <w:rsid w:val="00C97495"/>
    <w:rsid w:val="00CA03B3"/>
    <w:rsid w:val="00CA0400"/>
    <w:rsid w:val="00CA0E5B"/>
    <w:rsid w:val="00CA224D"/>
    <w:rsid w:val="00CA2512"/>
    <w:rsid w:val="00CA3C14"/>
    <w:rsid w:val="00CA5835"/>
    <w:rsid w:val="00CA6441"/>
    <w:rsid w:val="00CB18D7"/>
    <w:rsid w:val="00CB28D5"/>
    <w:rsid w:val="00CB5700"/>
    <w:rsid w:val="00CB6EE6"/>
    <w:rsid w:val="00CC0AAD"/>
    <w:rsid w:val="00CC2036"/>
    <w:rsid w:val="00CC4097"/>
    <w:rsid w:val="00CC5252"/>
    <w:rsid w:val="00CD162D"/>
    <w:rsid w:val="00CD1CA6"/>
    <w:rsid w:val="00CD3DFE"/>
    <w:rsid w:val="00CD68CA"/>
    <w:rsid w:val="00CE1A74"/>
    <w:rsid w:val="00CE30B6"/>
    <w:rsid w:val="00CE4BB1"/>
    <w:rsid w:val="00CE66B0"/>
    <w:rsid w:val="00CF0201"/>
    <w:rsid w:val="00CF241E"/>
    <w:rsid w:val="00CF2EC9"/>
    <w:rsid w:val="00CF352E"/>
    <w:rsid w:val="00CF5B6E"/>
    <w:rsid w:val="00CF5DE7"/>
    <w:rsid w:val="00D01874"/>
    <w:rsid w:val="00D03C40"/>
    <w:rsid w:val="00D04FBB"/>
    <w:rsid w:val="00D050B6"/>
    <w:rsid w:val="00D0566D"/>
    <w:rsid w:val="00D077DD"/>
    <w:rsid w:val="00D12194"/>
    <w:rsid w:val="00D125E8"/>
    <w:rsid w:val="00D2017E"/>
    <w:rsid w:val="00D213C1"/>
    <w:rsid w:val="00D2203F"/>
    <w:rsid w:val="00D2236A"/>
    <w:rsid w:val="00D25A54"/>
    <w:rsid w:val="00D26A64"/>
    <w:rsid w:val="00D271D1"/>
    <w:rsid w:val="00D27447"/>
    <w:rsid w:val="00D30123"/>
    <w:rsid w:val="00D3043B"/>
    <w:rsid w:val="00D3089D"/>
    <w:rsid w:val="00D3373C"/>
    <w:rsid w:val="00D363DA"/>
    <w:rsid w:val="00D366B6"/>
    <w:rsid w:val="00D444A2"/>
    <w:rsid w:val="00D520F4"/>
    <w:rsid w:val="00D52376"/>
    <w:rsid w:val="00D54A81"/>
    <w:rsid w:val="00D54CAD"/>
    <w:rsid w:val="00D55395"/>
    <w:rsid w:val="00D55933"/>
    <w:rsid w:val="00D55A94"/>
    <w:rsid w:val="00D56F79"/>
    <w:rsid w:val="00D57A4C"/>
    <w:rsid w:val="00D57C10"/>
    <w:rsid w:val="00D637F9"/>
    <w:rsid w:val="00D643F0"/>
    <w:rsid w:val="00D64C53"/>
    <w:rsid w:val="00D6517C"/>
    <w:rsid w:val="00D65D09"/>
    <w:rsid w:val="00D70456"/>
    <w:rsid w:val="00D7133C"/>
    <w:rsid w:val="00D74571"/>
    <w:rsid w:val="00D74C25"/>
    <w:rsid w:val="00D74FE8"/>
    <w:rsid w:val="00D75046"/>
    <w:rsid w:val="00D75101"/>
    <w:rsid w:val="00D77AF3"/>
    <w:rsid w:val="00D77F20"/>
    <w:rsid w:val="00D80192"/>
    <w:rsid w:val="00D8137C"/>
    <w:rsid w:val="00D8231E"/>
    <w:rsid w:val="00D830D7"/>
    <w:rsid w:val="00D8402C"/>
    <w:rsid w:val="00D84108"/>
    <w:rsid w:val="00D84913"/>
    <w:rsid w:val="00D86EF7"/>
    <w:rsid w:val="00D870C6"/>
    <w:rsid w:val="00D9113D"/>
    <w:rsid w:val="00D91E88"/>
    <w:rsid w:val="00D91EFC"/>
    <w:rsid w:val="00D920BE"/>
    <w:rsid w:val="00D979DC"/>
    <w:rsid w:val="00DA182C"/>
    <w:rsid w:val="00DA2156"/>
    <w:rsid w:val="00DA4880"/>
    <w:rsid w:val="00DA5385"/>
    <w:rsid w:val="00DA5EA7"/>
    <w:rsid w:val="00DA7789"/>
    <w:rsid w:val="00DB20B5"/>
    <w:rsid w:val="00DB31B9"/>
    <w:rsid w:val="00DC1ED9"/>
    <w:rsid w:val="00DC4677"/>
    <w:rsid w:val="00DD44C5"/>
    <w:rsid w:val="00DD474F"/>
    <w:rsid w:val="00DD5AA1"/>
    <w:rsid w:val="00DD6E70"/>
    <w:rsid w:val="00DD70AD"/>
    <w:rsid w:val="00DE1899"/>
    <w:rsid w:val="00DE60C6"/>
    <w:rsid w:val="00DE67B9"/>
    <w:rsid w:val="00DF06D6"/>
    <w:rsid w:val="00DF08D9"/>
    <w:rsid w:val="00DF11E0"/>
    <w:rsid w:val="00DF133B"/>
    <w:rsid w:val="00DF1898"/>
    <w:rsid w:val="00DF23B7"/>
    <w:rsid w:val="00DF3EFC"/>
    <w:rsid w:val="00DF4DDE"/>
    <w:rsid w:val="00DF553E"/>
    <w:rsid w:val="00DF6607"/>
    <w:rsid w:val="00DF76F8"/>
    <w:rsid w:val="00E01431"/>
    <w:rsid w:val="00E03623"/>
    <w:rsid w:val="00E03BD1"/>
    <w:rsid w:val="00E056B0"/>
    <w:rsid w:val="00E0747B"/>
    <w:rsid w:val="00E07C12"/>
    <w:rsid w:val="00E11259"/>
    <w:rsid w:val="00E16028"/>
    <w:rsid w:val="00E21868"/>
    <w:rsid w:val="00E219F9"/>
    <w:rsid w:val="00E231CB"/>
    <w:rsid w:val="00E25BC9"/>
    <w:rsid w:val="00E30244"/>
    <w:rsid w:val="00E30E69"/>
    <w:rsid w:val="00E32EFC"/>
    <w:rsid w:val="00E40B6C"/>
    <w:rsid w:val="00E422AF"/>
    <w:rsid w:val="00E476E1"/>
    <w:rsid w:val="00E5075E"/>
    <w:rsid w:val="00E5168F"/>
    <w:rsid w:val="00E53898"/>
    <w:rsid w:val="00E54CC8"/>
    <w:rsid w:val="00E556F6"/>
    <w:rsid w:val="00E5684D"/>
    <w:rsid w:val="00E57E6F"/>
    <w:rsid w:val="00E60BA7"/>
    <w:rsid w:val="00E6114C"/>
    <w:rsid w:val="00E624BC"/>
    <w:rsid w:val="00E62813"/>
    <w:rsid w:val="00E63C81"/>
    <w:rsid w:val="00E65B83"/>
    <w:rsid w:val="00E66424"/>
    <w:rsid w:val="00E6673F"/>
    <w:rsid w:val="00E672EB"/>
    <w:rsid w:val="00E67AFD"/>
    <w:rsid w:val="00E70193"/>
    <w:rsid w:val="00E72D03"/>
    <w:rsid w:val="00E733CA"/>
    <w:rsid w:val="00E746A8"/>
    <w:rsid w:val="00E753BB"/>
    <w:rsid w:val="00E762D1"/>
    <w:rsid w:val="00E76D11"/>
    <w:rsid w:val="00E77759"/>
    <w:rsid w:val="00E804DD"/>
    <w:rsid w:val="00E836EC"/>
    <w:rsid w:val="00E84A13"/>
    <w:rsid w:val="00E84BE8"/>
    <w:rsid w:val="00E853AB"/>
    <w:rsid w:val="00E87E1C"/>
    <w:rsid w:val="00E927E9"/>
    <w:rsid w:val="00E92ABC"/>
    <w:rsid w:val="00E94667"/>
    <w:rsid w:val="00E94936"/>
    <w:rsid w:val="00E94C85"/>
    <w:rsid w:val="00E94F48"/>
    <w:rsid w:val="00E9590E"/>
    <w:rsid w:val="00E963D0"/>
    <w:rsid w:val="00E970CC"/>
    <w:rsid w:val="00E97BF4"/>
    <w:rsid w:val="00EA2005"/>
    <w:rsid w:val="00EA57F5"/>
    <w:rsid w:val="00EA67D4"/>
    <w:rsid w:val="00EA7180"/>
    <w:rsid w:val="00EB0AE2"/>
    <w:rsid w:val="00EB0CF3"/>
    <w:rsid w:val="00EB0DD8"/>
    <w:rsid w:val="00EB205D"/>
    <w:rsid w:val="00EB3FFE"/>
    <w:rsid w:val="00EB53AB"/>
    <w:rsid w:val="00EB72EB"/>
    <w:rsid w:val="00EB7C94"/>
    <w:rsid w:val="00EC26CB"/>
    <w:rsid w:val="00EC3BC0"/>
    <w:rsid w:val="00EC3FD6"/>
    <w:rsid w:val="00EC7342"/>
    <w:rsid w:val="00ED151A"/>
    <w:rsid w:val="00ED1610"/>
    <w:rsid w:val="00ED2C31"/>
    <w:rsid w:val="00ED4B26"/>
    <w:rsid w:val="00ED4ED9"/>
    <w:rsid w:val="00ED5B48"/>
    <w:rsid w:val="00ED64E4"/>
    <w:rsid w:val="00ED69B6"/>
    <w:rsid w:val="00ED6EF2"/>
    <w:rsid w:val="00EE2711"/>
    <w:rsid w:val="00EE3F63"/>
    <w:rsid w:val="00EF2132"/>
    <w:rsid w:val="00EF7AE9"/>
    <w:rsid w:val="00F04517"/>
    <w:rsid w:val="00F0663F"/>
    <w:rsid w:val="00F07BD7"/>
    <w:rsid w:val="00F10B38"/>
    <w:rsid w:val="00F151CE"/>
    <w:rsid w:val="00F23359"/>
    <w:rsid w:val="00F23A23"/>
    <w:rsid w:val="00F246B1"/>
    <w:rsid w:val="00F25CED"/>
    <w:rsid w:val="00F262A6"/>
    <w:rsid w:val="00F26319"/>
    <w:rsid w:val="00F264A9"/>
    <w:rsid w:val="00F2698D"/>
    <w:rsid w:val="00F26D3B"/>
    <w:rsid w:val="00F26FD2"/>
    <w:rsid w:val="00F27442"/>
    <w:rsid w:val="00F27E34"/>
    <w:rsid w:val="00F30581"/>
    <w:rsid w:val="00F31B7D"/>
    <w:rsid w:val="00F32178"/>
    <w:rsid w:val="00F33E00"/>
    <w:rsid w:val="00F34084"/>
    <w:rsid w:val="00F34785"/>
    <w:rsid w:val="00F34F76"/>
    <w:rsid w:val="00F35162"/>
    <w:rsid w:val="00F3588F"/>
    <w:rsid w:val="00F36F42"/>
    <w:rsid w:val="00F37772"/>
    <w:rsid w:val="00F42962"/>
    <w:rsid w:val="00F45A52"/>
    <w:rsid w:val="00F45C7C"/>
    <w:rsid w:val="00F45DAE"/>
    <w:rsid w:val="00F46298"/>
    <w:rsid w:val="00F477AC"/>
    <w:rsid w:val="00F47B7F"/>
    <w:rsid w:val="00F526D8"/>
    <w:rsid w:val="00F53A0A"/>
    <w:rsid w:val="00F542AF"/>
    <w:rsid w:val="00F54AE6"/>
    <w:rsid w:val="00F55BAA"/>
    <w:rsid w:val="00F56662"/>
    <w:rsid w:val="00F611D9"/>
    <w:rsid w:val="00F63F2B"/>
    <w:rsid w:val="00F645F1"/>
    <w:rsid w:val="00F6519C"/>
    <w:rsid w:val="00F65882"/>
    <w:rsid w:val="00F66CD6"/>
    <w:rsid w:val="00F67A5F"/>
    <w:rsid w:val="00F735A1"/>
    <w:rsid w:val="00F738E8"/>
    <w:rsid w:val="00F74AF8"/>
    <w:rsid w:val="00F760D8"/>
    <w:rsid w:val="00F76DE3"/>
    <w:rsid w:val="00F802A3"/>
    <w:rsid w:val="00F80DA6"/>
    <w:rsid w:val="00F825A9"/>
    <w:rsid w:val="00F83522"/>
    <w:rsid w:val="00F83CB0"/>
    <w:rsid w:val="00F845ED"/>
    <w:rsid w:val="00F85292"/>
    <w:rsid w:val="00F86CFC"/>
    <w:rsid w:val="00F87FBF"/>
    <w:rsid w:val="00F91D25"/>
    <w:rsid w:val="00F930E6"/>
    <w:rsid w:val="00F931B1"/>
    <w:rsid w:val="00F936D7"/>
    <w:rsid w:val="00F93709"/>
    <w:rsid w:val="00F939B4"/>
    <w:rsid w:val="00F93A50"/>
    <w:rsid w:val="00F93C97"/>
    <w:rsid w:val="00F972B8"/>
    <w:rsid w:val="00FA4A47"/>
    <w:rsid w:val="00FA5ADE"/>
    <w:rsid w:val="00FA66EB"/>
    <w:rsid w:val="00FA7316"/>
    <w:rsid w:val="00FB0756"/>
    <w:rsid w:val="00FB0BA7"/>
    <w:rsid w:val="00FB165B"/>
    <w:rsid w:val="00FB1DFE"/>
    <w:rsid w:val="00FB342A"/>
    <w:rsid w:val="00FB3982"/>
    <w:rsid w:val="00FB58F3"/>
    <w:rsid w:val="00FB5E7D"/>
    <w:rsid w:val="00FB767C"/>
    <w:rsid w:val="00FC4289"/>
    <w:rsid w:val="00FC4E79"/>
    <w:rsid w:val="00FC788A"/>
    <w:rsid w:val="00FD1A25"/>
    <w:rsid w:val="00FD35CE"/>
    <w:rsid w:val="00FD35F8"/>
    <w:rsid w:val="00FD3641"/>
    <w:rsid w:val="00FD4415"/>
    <w:rsid w:val="00FD4F9C"/>
    <w:rsid w:val="00FD5458"/>
    <w:rsid w:val="00FD5590"/>
    <w:rsid w:val="00FD6296"/>
    <w:rsid w:val="00FE0B4E"/>
    <w:rsid w:val="00FE0F6D"/>
    <w:rsid w:val="00FE1FFE"/>
    <w:rsid w:val="00FE2A7D"/>
    <w:rsid w:val="00FE358E"/>
    <w:rsid w:val="00FE4773"/>
    <w:rsid w:val="00FE6338"/>
    <w:rsid w:val="00FE7933"/>
    <w:rsid w:val="00FF2358"/>
    <w:rsid w:val="00FF23B3"/>
    <w:rsid w:val="00FF4521"/>
    <w:rsid w:val="00FF68E6"/>
    <w:rsid w:val="00FF6FFB"/>
    <w:rsid w:val="00FF7D4C"/>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C5A410-3394-45E5-B486-17F6776D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7CF8"/>
    <w:pPr>
      <w:spacing w:after="0" w:line="360" w:lineRule="auto"/>
      <w:ind w:firstLine="454"/>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D1A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A50E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623063"/>
    <w:pPr>
      <w:spacing w:line="240" w:lineRule="auto"/>
      <w:ind w:firstLine="0"/>
      <w:jc w:val="left"/>
    </w:pPr>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rsid w:val="00623063"/>
    <w:rPr>
      <w:rFonts w:ascii="Calibri" w:eastAsia="Calibri" w:hAnsi="Calibri" w:cs="Times New Roman"/>
      <w:sz w:val="20"/>
      <w:szCs w:val="20"/>
    </w:rPr>
  </w:style>
  <w:style w:type="character" w:styleId="Znakapoznpodarou">
    <w:name w:val="footnote reference"/>
    <w:uiPriority w:val="99"/>
    <w:semiHidden/>
    <w:unhideWhenUsed/>
    <w:rsid w:val="00623063"/>
    <w:rPr>
      <w:vertAlign w:val="superscript"/>
    </w:rPr>
  </w:style>
  <w:style w:type="paragraph" w:styleId="Odstavecseseznamem">
    <w:name w:val="List Paragraph"/>
    <w:basedOn w:val="Normln"/>
    <w:link w:val="OdstavecseseznamemChar"/>
    <w:uiPriority w:val="34"/>
    <w:qFormat/>
    <w:rsid w:val="00623063"/>
    <w:pPr>
      <w:ind w:left="720"/>
      <w:contextualSpacing/>
    </w:pPr>
  </w:style>
  <w:style w:type="character" w:customStyle="1" w:styleId="Nadpis1Char">
    <w:name w:val="Nadpis 1 Char"/>
    <w:basedOn w:val="Standardnpsmoodstavce"/>
    <w:link w:val="Nadpis1"/>
    <w:uiPriority w:val="9"/>
    <w:rsid w:val="009D1ADE"/>
    <w:rPr>
      <w:rFonts w:asciiTheme="majorHAnsi" w:eastAsiaTheme="majorEastAsia" w:hAnsiTheme="majorHAnsi" w:cstheme="majorBidi"/>
      <w:b/>
      <w:bCs/>
      <w:color w:val="365F91" w:themeColor="accent1" w:themeShade="BF"/>
      <w:sz w:val="28"/>
      <w:szCs w:val="28"/>
      <w:lang w:eastAsia="cs-CZ"/>
    </w:rPr>
  </w:style>
  <w:style w:type="paragraph" w:styleId="Obsah1">
    <w:name w:val="toc 1"/>
    <w:basedOn w:val="Normln"/>
    <w:next w:val="Normln"/>
    <w:autoRedefine/>
    <w:uiPriority w:val="39"/>
    <w:unhideWhenUsed/>
    <w:qFormat/>
    <w:rsid w:val="005A50EF"/>
    <w:pPr>
      <w:tabs>
        <w:tab w:val="right" w:leader="dot" w:pos="9062"/>
      </w:tabs>
      <w:ind w:firstLine="0"/>
    </w:pPr>
    <w:rPr>
      <w:bCs/>
      <w:noProof/>
    </w:rPr>
  </w:style>
  <w:style w:type="paragraph" w:styleId="Nadpisobsahu">
    <w:name w:val="TOC Heading"/>
    <w:basedOn w:val="Nadpis1"/>
    <w:next w:val="Normln"/>
    <w:uiPriority w:val="39"/>
    <w:unhideWhenUsed/>
    <w:qFormat/>
    <w:rsid w:val="009D1ADE"/>
    <w:pPr>
      <w:spacing w:line="276" w:lineRule="auto"/>
      <w:ind w:firstLine="0"/>
      <w:jc w:val="left"/>
      <w:outlineLvl w:val="9"/>
    </w:pPr>
  </w:style>
  <w:style w:type="paragraph" w:styleId="Textbubliny">
    <w:name w:val="Balloon Text"/>
    <w:basedOn w:val="Normln"/>
    <w:link w:val="TextbublinyChar"/>
    <w:uiPriority w:val="99"/>
    <w:semiHidden/>
    <w:unhideWhenUsed/>
    <w:rsid w:val="009D1AD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D1ADE"/>
    <w:rPr>
      <w:rFonts w:ascii="Tahoma" w:eastAsia="Times New Roman" w:hAnsi="Tahoma" w:cs="Tahoma"/>
      <w:sz w:val="16"/>
      <w:szCs w:val="16"/>
      <w:lang w:eastAsia="cs-CZ"/>
    </w:rPr>
  </w:style>
  <w:style w:type="paragraph" w:styleId="Obsah2">
    <w:name w:val="toc 2"/>
    <w:basedOn w:val="Normln"/>
    <w:next w:val="Normln"/>
    <w:autoRedefine/>
    <w:uiPriority w:val="39"/>
    <w:unhideWhenUsed/>
    <w:qFormat/>
    <w:rsid w:val="00347412"/>
    <w:pPr>
      <w:tabs>
        <w:tab w:val="right" w:leader="dot" w:pos="9062"/>
      </w:tabs>
      <w:spacing w:after="100" w:line="276" w:lineRule="auto"/>
      <w:ind w:left="709" w:hanging="709"/>
      <w:jc w:val="left"/>
    </w:pPr>
    <w:rPr>
      <w:rFonts w:eastAsiaTheme="minorEastAsia"/>
      <w:b/>
      <w:noProof/>
    </w:rPr>
  </w:style>
  <w:style w:type="paragraph" w:styleId="Obsah3">
    <w:name w:val="toc 3"/>
    <w:basedOn w:val="Normln"/>
    <w:next w:val="Normln"/>
    <w:autoRedefine/>
    <w:uiPriority w:val="39"/>
    <w:unhideWhenUsed/>
    <w:qFormat/>
    <w:rsid w:val="005230E1"/>
    <w:pPr>
      <w:tabs>
        <w:tab w:val="left" w:pos="709"/>
        <w:tab w:val="right" w:leader="dot" w:pos="9062"/>
      </w:tabs>
      <w:spacing w:after="100" w:line="276" w:lineRule="auto"/>
      <w:ind w:left="709" w:hanging="709"/>
    </w:pPr>
    <w:rPr>
      <w:rFonts w:eastAsiaTheme="minorEastAsia" w:cstheme="minorBidi"/>
      <w:szCs w:val="22"/>
    </w:rPr>
  </w:style>
  <w:style w:type="character" w:styleId="Hypertextovodkaz">
    <w:name w:val="Hyperlink"/>
    <w:basedOn w:val="Standardnpsmoodstavce"/>
    <w:uiPriority w:val="99"/>
    <w:unhideWhenUsed/>
    <w:rsid w:val="009D1ADE"/>
    <w:rPr>
      <w:color w:val="0000FF" w:themeColor="hyperlink"/>
      <w:u w:val="single"/>
    </w:rPr>
  </w:style>
  <w:style w:type="paragraph" w:customStyle="1" w:styleId="Tomk">
    <w:name w:val="Tomík"/>
    <w:basedOn w:val="Odstavecseseznamem"/>
    <w:link w:val="TomkChar"/>
    <w:qFormat/>
    <w:rsid w:val="003E7CF8"/>
    <w:pPr>
      <w:pageBreakBefore/>
      <w:numPr>
        <w:numId w:val="1"/>
      </w:numPr>
      <w:spacing w:before="100" w:beforeAutospacing="1" w:after="100" w:afterAutospacing="1"/>
    </w:pPr>
    <w:rPr>
      <w:rFonts w:cs="Arial"/>
      <w:b/>
      <w:sz w:val="32"/>
      <w:szCs w:val="22"/>
    </w:rPr>
  </w:style>
  <w:style w:type="paragraph" w:customStyle="1" w:styleId="Tomk2">
    <w:name w:val="Tomík 2"/>
    <w:basedOn w:val="Odstavecseseznamem"/>
    <w:link w:val="Tomk2Char"/>
    <w:qFormat/>
    <w:rsid w:val="0025200B"/>
    <w:pPr>
      <w:numPr>
        <w:ilvl w:val="1"/>
        <w:numId w:val="1"/>
      </w:numPr>
      <w:spacing w:before="360" w:after="120"/>
      <w:ind w:left="1140" w:hanging="431"/>
    </w:pPr>
    <w:rPr>
      <w:rFonts w:cs="Arial"/>
      <w:b/>
      <w:sz w:val="28"/>
      <w:szCs w:val="22"/>
    </w:rPr>
  </w:style>
  <w:style w:type="character" w:customStyle="1" w:styleId="OdstavecseseznamemChar">
    <w:name w:val="Odstavec se seznamem Char"/>
    <w:basedOn w:val="Standardnpsmoodstavce"/>
    <w:link w:val="Odstavecseseznamem"/>
    <w:uiPriority w:val="34"/>
    <w:rsid w:val="009D1ADE"/>
    <w:rPr>
      <w:rFonts w:ascii="Times New Roman" w:eastAsia="Times New Roman" w:hAnsi="Times New Roman" w:cs="Times New Roman"/>
      <w:sz w:val="26"/>
      <w:szCs w:val="24"/>
      <w:lang w:eastAsia="cs-CZ"/>
    </w:rPr>
  </w:style>
  <w:style w:type="character" w:customStyle="1" w:styleId="TomkChar">
    <w:name w:val="Tomík Char"/>
    <w:basedOn w:val="OdstavecseseznamemChar"/>
    <w:link w:val="Tomk"/>
    <w:rsid w:val="003E7CF8"/>
    <w:rPr>
      <w:rFonts w:ascii="Times New Roman" w:eastAsia="Times New Roman" w:hAnsi="Times New Roman" w:cs="Arial"/>
      <w:b/>
      <w:sz w:val="32"/>
      <w:szCs w:val="24"/>
      <w:lang w:eastAsia="cs-CZ"/>
    </w:rPr>
  </w:style>
  <w:style w:type="character" w:customStyle="1" w:styleId="Tomk2Char">
    <w:name w:val="Tomík 2 Char"/>
    <w:basedOn w:val="OdstavecseseznamemChar"/>
    <w:link w:val="Tomk2"/>
    <w:rsid w:val="0025200B"/>
    <w:rPr>
      <w:rFonts w:ascii="Times New Roman" w:eastAsia="Times New Roman" w:hAnsi="Times New Roman" w:cs="Arial"/>
      <w:b/>
      <w:sz w:val="28"/>
      <w:szCs w:val="24"/>
      <w:lang w:eastAsia="cs-CZ"/>
    </w:rPr>
  </w:style>
  <w:style w:type="paragraph" w:styleId="Zhlav">
    <w:name w:val="header"/>
    <w:basedOn w:val="Normln"/>
    <w:link w:val="ZhlavChar"/>
    <w:uiPriority w:val="99"/>
    <w:unhideWhenUsed/>
    <w:rsid w:val="00C10572"/>
    <w:pPr>
      <w:tabs>
        <w:tab w:val="center" w:pos="4536"/>
        <w:tab w:val="right" w:pos="9072"/>
      </w:tabs>
      <w:spacing w:line="240" w:lineRule="auto"/>
    </w:pPr>
  </w:style>
  <w:style w:type="character" w:customStyle="1" w:styleId="ZhlavChar">
    <w:name w:val="Záhlaví Char"/>
    <w:basedOn w:val="Standardnpsmoodstavce"/>
    <w:link w:val="Zhlav"/>
    <w:uiPriority w:val="99"/>
    <w:rsid w:val="00C10572"/>
    <w:rPr>
      <w:rFonts w:ascii="Times New Roman" w:eastAsia="Times New Roman" w:hAnsi="Times New Roman" w:cs="Times New Roman"/>
      <w:sz w:val="26"/>
      <w:szCs w:val="24"/>
      <w:lang w:eastAsia="cs-CZ"/>
    </w:rPr>
  </w:style>
  <w:style w:type="paragraph" w:styleId="Zpat">
    <w:name w:val="footer"/>
    <w:basedOn w:val="Normln"/>
    <w:link w:val="ZpatChar"/>
    <w:uiPriority w:val="99"/>
    <w:unhideWhenUsed/>
    <w:rsid w:val="00C10572"/>
    <w:pPr>
      <w:tabs>
        <w:tab w:val="center" w:pos="4536"/>
        <w:tab w:val="right" w:pos="9072"/>
      </w:tabs>
      <w:spacing w:line="240" w:lineRule="auto"/>
    </w:pPr>
  </w:style>
  <w:style w:type="character" w:customStyle="1" w:styleId="ZpatChar">
    <w:name w:val="Zápatí Char"/>
    <w:basedOn w:val="Standardnpsmoodstavce"/>
    <w:link w:val="Zpat"/>
    <w:uiPriority w:val="99"/>
    <w:rsid w:val="00C10572"/>
    <w:rPr>
      <w:rFonts w:ascii="Times New Roman" w:eastAsia="Times New Roman" w:hAnsi="Times New Roman" w:cs="Times New Roman"/>
      <w:sz w:val="26"/>
      <w:szCs w:val="24"/>
      <w:lang w:eastAsia="cs-CZ"/>
    </w:rPr>
  </w:style>
  <w:style w:type="paragraph" w:customStyle="1" w:styleId="Tomik3">
    <w:name w:val="Tomik 3"/>
    <w:basedOn w:val="Tomk2"/>
    <w:link w:val="Tomik3Char"/>
    <w:qFormat/>
    <w:rsid w:val="0025200B"/>
    <w:pPr>
      <w:numPr>
        <w:ilvl w:val="2"/>
        <w:numId w:val="0"/>
      </w:numPr>
    </w:pPr>
    <w:rPr>
      <w:rFonts w:cs="Times New Roman"/>
      <w:sz w:val="24"/>
    </w:rPr>
  </w:style>
  <w:style w:type="character" w:customStyle="1" w:styleId="Tomik3Char">
    <w:name w:val="Tomik 3 Char"/>
    <w:basedOn w:val="Tomk2Char"/>
    <w:link w:val="Tomik3"/>
    <w:rsid w:val="0025200B"/>
    <w:rPr>
      <w:rFonts w:ascii="Times New Roman" w:eastAsia="Times New Roman" w:hAnsi="Times New Roman" w:cs="Times New Roman"/>
      <w:b/>
      <w:sz w:val="24"/>
      <w:szCs w:val="24"/>
      <w:lang w:eastAsia="cs-CZ"/>
    </w:rPr>
  </w:style>
  <w:style w:type="character" w:customStyle="1" w:styleId="Nadpis2Char">
    <w:name w:val="Nadpis 2 Char"/>
    <w:basedOn w:val="Standardnpsmoodstavce"/>
    <w:link w:val="Nadpis2"/>
    <w:uiPriority w:val="9"/>
    <w:semiHidden/>
    <w:rsid w:val="005A50EF"/>
    <w:rPr>
      <w:rFonts w:asciiTheme="majorHAnsi" w:eastAsiaTheme="majorEastAsia" w:hAnsiTheme="majorHAnsi" w:cstheme="majorBidi"/>
      <w:color w:val="365F91" w:themeColor="accent1" w:themeShade="BF"/>
      <w:sz w:val="26"/>
      <w:szCs w:val="26"/>
      <w:lang w:eastAsia="cs-CZ"/>
    </w:rPr>
  </w:style>
  <w:style w:type="paragraph" w:styleId="Obsah4">
    <w:name w:val="toc 4"/>
    <w:basedOn w:val="Normln"/>
    <w:next w:val="Normln"/>
    <w:autoRedefine/>
    <w:uiPriority w:val="39"/>
    <w:unhideWhenUsed/>
    <w:rsid w:val="00347412"/>
    <w:pPr>
      <w:tabs>
        <w:tab w:val="left" w:pos="709"/>
        <w:tab w:val="right" w:leader="dot" w:pos="9062"/>
      </w:tabs>
      <w:spacing w:after="100"/>
      <w:ind w:left="709" w:hanging="709"/>
    </w:pPr>
  </w:style>
  <w:style w:type="character" w:styleId="Siln">
    <w:name w:val="Strong"/>
    <w:basedOn w:val="Standardnpsmoodstavce"/>
    <w:uiPriority w:val="22"/>
    <w:qFormat/>
    <w:rsid w:val="00720048"/>
    <w:rPr>
      <w:b/>
      <w:bCs/>
    </w:rPr>
  </w:style>
  <w:style w:type="paragraph" w:styleId="Normlnweb">
    <w:name w:val="Normal (Web)"/>
    <w:basedOn w:val="Normln"/>
    <w:uiPriority w:val="99"/>
    <w:unhideWhenUsed/>
    <w:rsid w:val="006343A9"/>
    <w:pPr>
      <w:spacing w:before="100" w:beforeAutospacing="1" w:after="100" w:afterAutospacing="1" w:line="240" w:lineRule="auto"/>
      <w:ind w:firstLine="0"/>
      <w:jc w:val="left"/>
    </w:pPr>
  </w:style>
  <w:style w:type="character" w:customStyle="1" w:styleId="highlightdictwords">
    <w:name w:val="highlight_dict_words"/>
    <w:basedOn w:val="Standardnpsmoodstavce"/>
    <w:rsid w:val="00E804DD"/>
  </w:style>
  <w:style w:type="character" w:customStyle="1" w:styleId="hword">
    <w:name w:val="h_word"/>
    <w:basedOn w:val="Standardnpsmoodstavce"/>
    <w:rsid w:val="00E804DD"/>
  </w:style>
  <w:style w:type="character" w:customStyle="1" w:styleId="dictdescription">
    <w:name w:val="dict_description"/>
    <w:basedOn w:val="Standardnpsmoodstavce"/>
    <w:rsid w:val="00E804DD"/>
  </w:style>
  <w:style w:type="character" w:styleId="Zdraznn">
    <w:name w:val="Emphasis"/>
    <w:basedOn w:val="Standardnpsmoodstavce"/>
    <w:uiPriority w:val="20"/>
    <w:qFormat/>
    <w:rsid w:val="00717168"/>
    <w:rPr>
      <w:b/>
      <w:bCs/>
      <w:i w:val="0"/>
      <w:iCs w:val="0"/>
    </w:rPr>
  </w:style>
  <w:style w:type="character" w:customStyle="1" w:styleId="st1">
    <w:name w:val="st1"/>
    <w:basedOn w:val="Standardnpsmoodstavce"/>
    <w:rsid w:val="00717168"/>
  </w:style>
  <w:style w:type="paragraph" w:customStyle="1" w:styleId="Default">
    <w:name w:val="Default"/>
    <w:rsid w:val="005B6AA9"/>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981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CF3"/>
    <w:rPr>
      <w:sz w:val="16"/>
      <w:szCs w:val="16"/>
    </w:rPr>
  </w:style>
  <w:style w:type="paragraph" w:styleId="Textkomente">
    <w:name w:val="annotation text"/>
    <w:basedOn w:val="Normln"/>
    <w:link w:val="TextkomenteChar"/>
    <w:uiPriority w:val="99"/>
    <w:semiHidden/>
    <w:unhideWhenUsed/>
    <w:rsid w:val="009B2CF3"/>
    <w:pPr>
      <w:spacing w:line="240" w:lineRule="auto"/>
    </w:pPr>
    <w:rPr>
      <w:sz w:val="20"/>
      <w:szCs w:val="20"/>
    </w:rPr>
  </w:style>
  <w:style w:type="character" w:customStyle="1" w:styleId="TextkomenteChar">
    <w:name w:val="Text komentáře Char"/>
    <w:basedOn w:val="Standardnpsmoodstavce"/>
    <w:link w:val="Textkomente"/>
    <w:uiPriority w:val="99"/>
    <w:semiHidden/>
    <w:rsid w:val="009B2CF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CF3"/>
    <w:rPr>
      <w:b/>
      <w:bCs/>
    </w:rPr>
  </w:style>
  <w:style w:type="character" w:customStyle="1" w:styleId="PedmtkomenteChar">
    <w:name w:val="Předmět komentáře Char"/>
    <w:basedOn w:val="TextkomenteChar"/>
    <w:link w:val="Pedmtkomente"/>
    <w:uiPriority w:val="99"/>
    <w:semiHidden/>
    <w:rsid w:val="009B2CF3"/>
    <w:rPr>
      <w:rFonts w:ascii="Times New Roman" w:eastAsia="Times New Roman" w:hAnsi="Times New Roman" w:cs="Times New Roman"/>
      <w:b/>
      <w:bCs/>
      <w:sz w:val="20"/>
      <w:szCs w:val="20"/>
      <w:lang w:eastAsia="cs-CZ"/>
    </w:rPr>
  </w:style>
  <w:style w:type="paragraph" w:styleId="Titulek">
    <w:name w:val="caption"/>
    <w:basedOn w:val="Normln"/>
    <w:next w:val="Normln"/>
    <w:uiPriority w:val="35"/>
    <w:unhideWhenUsed/>
    <w:qFormat/>
    <w:rsid w:val="008323AD"/>
    <w:pPr>
      <w:spacing w:after="200" w:line="240" w:lineRule="auto"/>
    </w:pPr>
    <w:rPr>
      <w:i/>
      <w:iCs/>
      <w:color w:val="1F497D" w:themeColor="text2"/>
      <w:sz w:val="18"/>
      <w:szCs w:val="18"/>
    </w:rPr>
  </w:style>
  <w:style w:type="paragraph" w:styleId="Seznamobrzk">
    <w:name w:val="table of figures"/>
    <w:basedOn w:val="Normln"/>
    <w:next w:val="Normln"/>
    <w:uiPriority w:val="99"/>
    <w:unhideWhenUsed/>
    <w:rsid w:val="00D520F4"/>
  </w:style>
  <w:style w:type="paragraph" w:styleId="Rejstk1">
    <w:name w:val="index 1"/>
    <w:basedOn w:val="Normln"/>
    <w:next w:val="Normln"/>
    <w:autoRedefine/>
    <w:uiPriority w:val="99"/>
    <w:semiHidden/>
    <w:unhideWhenUsed/>
    <w:rsid w:val="005474C1"/>
    <w:pPr>
      <w:spacing w:line="240" w:lineRule="auto"/>
      <w:ind w:left="240" w:hanging="240"/>
    </w:pPr>
  </w:style>
  <w:style w:type="character" w:customStyle="1" w:styleId="UnresolvedMention1">
    <w:name w:val="Unresolved Mention1"/>
    <w:basedOn w:val="Standardnpsmoodstavce"/>
    <w:uiPriority w:val="99"/>
    <w:semiHidden/>
    <w:unhideWhenUsed/>
    <w:rsid w:val="0051507E"/>
    <w:rPr>
      <w:color w:val="605E5C"/>
      <w:shd w:val="clear" w:color="auto" w:fill="E1DFDD"/>
    </w:rPr>
  </w:style>
  <w:style w:type="character" w:customStyle="1" w:styleId="apple-converted-space">
    <w:name w:val="apple-converted-space"/>
    <w:basedOn w:val="Standardnpsmoodstavce"/>
    <w:rsid w:val="000740FB"/>
  </w:style>
  <w:style w:type="character" w:styleId="Sledovanodkaz">
    <w:name w:val="FollowedHyperlink"/>
    <w:basedOn w:val="Standardnpsmoodstavce"/>
    <w:uiPriority w:val="99"/>
    <w:semiHidden/>
    <w:unhideWhenUsed/>
    <w:rsid w:val="004614BB"/>
    <w:rPr>
      <w:color w:val="800080" w:themeColor="followedHyperlink"/>
      <w:u w:val="single"/>
    </w:rPr>
  </w:style>
  <w:style w:type="paragraph" w:customStyle="1" w:styleId="Citt1">
    <w:name w:val="Citát1"/>
    <w:basedOn w:val="Normln"/>
    <w:rsid w:val="000F7182"/>
    <w:pPr>
      <w:spacing w:before="100" w:beforeAutospacing="1" w:after="100" w:afterAutospacing="1"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627">
      <w:bodyDiv w:val="1"/>
      <w:marLeft w:val="0"/>
      <w:marRight w:val="0"/>
      <w:marTop w:val="0"/>
      <w:marBottom w:val="0"/>
      <w:divBdr>
        <w:top w:val="none" w:sz="0" w:space="0" w:color="auto"/>
        <w:left w:val="none" w:sz="0" w:space="0" w:color="auto"/>
        <w:bottom w:val="none" w:sz="0" w:space="0" w:color="auto"/>
        <w:right w:val="none" w:sz="0" w:space="0" w:color="auto"/>
      </w:divBdr>
    </w:div>
    <w:div w:id="16853587">
      <w:bodyDiv w:val="1"/>
      <w:marLeft w:val="0"/>
      <w:marRight w:val="0"/>
      <w:marTop w:val="0"/>
      <w:marBottom w:val="0"/>
      <w:divBdr>
        <w:top w:val="none" w:sz="0" w:space="0" w:color="auto"/>
        <w:left w:val="none" w:sz="0" w:space="0" w:color="auto"/>
        <w:bottom w:val="none" w:sz="0" w:space="0" w:color="auto"/>
        <w:right w:val="none" w:sz="0" w:space="0" w:color="auto"/>
      </w:divBdr>
      <w:divsChild>
        <w:div w:id="1218588770">
          <w:marLeft w:val="432"/>
          <w:marRight w:val="0"/>
          <w:marTop w:val="125"/>
          <w:marBottom w:val="0"/>
          <w:divBdr>
            <w:top w:val="none" w:sz="0" w:space="0" w:color="auto"/>
            <w:left w:val="none" w:sz="0" w:space="0" w:color="auto"/>
            <w:bottom w:val="none" w:sz="0" w:space="0" w:color="auto"/>
            <w:right w:val="none" w:sz="0" w:space="0" w:color="auto"/>
          </w:divBdr>
        </w:div>
        <w:div w:id="47925225">
          <w:marLeft w:val="432"/>
          <w:marRight w:val="0"/>
          <w:marTop w:val="125"/>
          <w:marBottom w:val="0"/>
          <w:divBdr>
            <w:top w:val="none" w:sz="0" w:space="0" w:color="auto"/>
            <w:left w:val="none" w:sz="0" w:space="0" w:color="auto"/>
            <w:bottom w:val="none" w:sz="0" w:space="0" w:color="auto"/>
            <w:right w:val="none" w:sz="0" w:space="0" w:color="auto"/>
          </w:divBdr>
        </w:div>
        <w:div w:id="1248611102">
          <w:marLeft w:val="432"/>
          <w:marRight w:val="0"/>
          <w:marTop w:val="125"/>
          <w:marBottom w:val="0"/>
          <w:divBdr>
            <w:top w:val="none" w:sz="0" w:space="0" w:color="auto"/>
            <w:left w:val="none" w:sz="0" w:space="0" w:color="auto"/>
            <w:bottom w:val="none" w:sz="0" w:space="0" w:color="auto"/>
            <w:right w:val="none" w:sz="0" w:space="0" w:color="auto"/>
          </w:divBdr>
        </w:div>
        <w:div w:id="2025160593">
          <w:marLeft w:val="432"/>
          <w:marRight w:val="0"/>
          <w:marTop w:val="125"/>
          <w:marBottom w:val="0"/>
          <w:divBdr>
            <w:top w:val="none" w:sz="0" w:space="0" w:color="auto"/>
            <w:left w:val="none" w:sz="0" w:space="0" w:color="auto"/>
            <w:bottom w:val="none" w:sz="0" w:space="0" w:color="auto"/>
            <w:right w:val="none" w:sz="0" w:space="0" w:color="auto"/>
          </w:divBdr>
        </w:div>
      </w:divsChild>
    </w:div>
    <w:div w:id="39212455">
      <w:bodyDiv w:val="1"/>
      <w:marLeft w:val="0"/>
      <w:marRight w:val="0"/>
      <w:marTop w:val="0"/>
      <w:marBottom w:val="0"/>
      <w:divBdr>
        <w:top w:val="none" w:sz="0" w:space="0" w:color="auto"/>
        <w:left w:val="none" w:sz="0" w:space="0" w:color="auto"/>
        <w:bottom w:val="none" w:sz="0" w:space="0" w:color="auto"/>
        <w:right w:val="none" w:sz="0" w:space="0" w:color="auto"/>
      </w:divBdr>
      <w:divsChild>
        <w:div w:id="109054269">
          <w:marLeft w:val="965"/>
          <w:marRight w:val="0"/>
          <w:marTop w:val="96"/>
          <w:marBottom w:val="0"/>
          <w:divBdr>
            <w:top w:val="none" w:sz="0" w:space="0" w:color="auto"/>
            <w:left w:val="none" w:sz="0" w:space="0" w:color="auto"/>
            <w:bottom w:val="none" w:sz="0" w:space="0" w:color="auto"/>
            <w:right w:val="none" w:sz="0" w:space="0" w:color="auto"/>
          </w:divBdr>
        </w:div>
      </w:divsChild>
    </w:div>
    <w:div w:id="132908925">
      <w:bodyDiv w:val="1"/>
      <w:marLeft w:val="0"/>
      <w:marRight w:val="0"/>
      <w:marTop w:val="0"/>
      <w:marBottom w:val="0"/>
      <w:divBdr>
        <w:top w:val="none" w:sz="0" w:space="0" w:color="auto"/>
        <w:left w:val="none" w:sz="0" w:space="0" w:color="auto"/>
        <w:bottom w:val="none" w:sz="0" w:space="0" w:color="auto"/>
        <w:right w:val="none" w:sz="0" w:space="0" w:color="auto"/>
      </w:divBdr>
      <w:divsChild>
        <w:div w:id="46531875">
          <w:marLeft w:val="0"/>
          <w:marRight w:val="0"/>
          <w:marTop w:val="0"/>
          <w:marBottom w:val="0"/>
          <w:divBdr>
            <w:top w:val="single" w:sz="6" w:space="0" w:color="9F9F9F"/>
            <w:left w:val="single" w:sz="6" w:space="0" w:color="9F9F9F"/>
            <w:bottom w:val="single" w:sz="6" w:space="0" w:color="9F9F9F"/>
            <w:right w:val="single" w:sz="6" w:space="0" w:color="9F9F9F"/>
          </w:divBdr>
          <w:divsChild>
            <w:div w:id="4067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270">
      <w:bodyDiv w:val="1"/>
      <w:marLeft w:val="0"/>
      <w:marRight w:val="0"/>
      <w:marTop w:val="0"/>
      <w:marBottom w:val="0"/>
      <w:divBdr>
        <w:top w:val="none" w:sz="0" w:space="0" w:color="auto"/>
        <w:left w:val="none" w:sz="0" w:space="0" w:color="auto"/>
        <w:bottom w:val="none" w:sz="0" w:space="0" w:color="auto"/>
        <w:right w:val="none" w:sz="0" w:space="0" w:color="auto"/>
      </w:divBdr>
      <w:divsChild>
        <w:div w:id="663513677">
          <w:marLeft w:val="432"/>
          <w:marRight w:val="0"/>
          <w:marTop w:val="125"/>
          <w:marBottom w:val="0"/>
          <w:divBdr>
            <w:top w:val="none" w:sz="0" w:space="0" w:color="auto"/>
            <w:left w:val="none" w:sz="0" w:space="0" w:color="auto"/>
            <w:bottom w:val="none" w:sz="0" w:space="0" w:color="auto"/>
            <w:right w:val="none" w:sz="0" w:space="0" w:color="auto"/>
          </w:divBdr>
        </w:div>
        <w:div w:id="50421162">
          <w:marLeft w:val="806"/>
          <w:marRight w:val="0"/>
          <w:marTop w:val="125"/>
          <w:marBottom w:val="0"/>
          <w:divBdr>
            <w:top w:val="none" w:sz="0" w:space="0" w:color="auto"/>
            <w:left w:val="none" w:sz="0" w:space="0" w:color="auto"/>
            <w:bottom w:val="none" w:sz="0" w:space="0" w:color="auto"/>
            <w:right w:val="none" w:sz="0" w:space="0" w:color="auto"/>
          </w:divBdr>
        </w:div>
        <w:div w:id="1159661023">
          <w:marLeft w:val="1008"/>
          <w:marRight w:val="0"/>
          <w:marTop w:val="115"/>
          <w:marBottom w:val="0"/>
          <w:divBdr>
            <w:top w:val="none" w:sz="0" w:space="0" w:color="auto"/>
            <w:left w:val="none" w:sz="0" w:space="0" w:color="auto"/>
            <w:bottom w:val="none" w:sz="0" w:space="0" w:color="auto"/>
            <w:right w:val="none" w:sz="0" w:space="0" w:color="auto"/>
          </w:divBdr>
        </w:div>
        <w:div w:id="734935684">
          <w:marLeft w:val="1008"/>
          <w:marRight w:val="0"/>
          <w:marTop w:val="115"/>
          <w:marBottom w:val="0"/>
          <w:divBdr>
            <w:top w:val="none" w:sz="0" w:space="0" w:color="auto"/>
            <w:left w:val="none" w:sz="0" w:space="0" w:color="auto"/>
            <w:bottom w:val="none" w:sz="0" w:space="0" w:color="auto"/>
            <w:right w:val="none" w:sz="0" w:space="0" w:color="auto"/>
          </w:divBdr>
        </w:div>
        <w:div w:id="908348949">
          <w:marLeft w:val="907"/>
          <w:marRight w:val="0"/>
          <w:marTop w:val="125"/>
          <w:marBottom w:val="0"/>
          <w:divBdr>
            <w:top w:val="none" w:sz="0" w:space="0" w:color="auto"/>
            <w:left w:val="none" w:sz="0" w:space="0" w:color="auto"/>
            <w:bottom w:val="none" w:sz="0" w:space="0" w:color="auto"/>
            <w:right w:val="none" w:sz="0" w:space="0" w:color="auto"/>
          </w:divBdr>
        </w:div>
        <w:div w:id="733968205">
          <w:marLeft w:val="1008"/>
          <w:marRight w:val="0"/>
          <w:marTop w:val="115"/>
          <w:marBottom w:val="0"/>
          <w:divBdr>
            <w:top w:val="none" w:sz="0" w:space="0" w:color="auto"/>
            <w:left w:val="none" w:sz="0" w:space="0" w:color="auto"/>
            <w:bottom w:val="none" w:sz="0" w:space="0" w:color="auto"/>
            <w:right w:val="none" w:sz="0" w:space="0" w:color="auto"/>
          </w:divBdr>
        </w:div>
        <w:div w:id="187262575">
          <w:marLeft w:val="1008"/>
          <w:marRight w:val="0"/>
          <w:marTop w:val="115"/>
          <w:marBottom w:val="0"/>
          <w:divBdr>
            <w:top w:val="none" w:sz="0" w:space="0" w:color="auto"/>
            <w:left w:val="none" w:sz="0" w:space="0" w:color="auto"/>
            <w:bottom w:val="none" w:sz="0" w:space="0" w:color="auto"/>
            <w:right w:val="none" w:sz="0" w:space="0" w:color="auto"/>
          </w:divBdr>
        </w:div>
        <w:div w:id="1797479024">
          <w:marLeft w:val="1008"/>
          <w:marRight w:val="0"/>
          <w:marTop w:val="115"/>
          <w:marBottom w:val="0"/>
          <w:divBdr>
            <w:top w:val="none" w:sz="0" w:space="0" w:color="auto"/>
            <w:left w:val="none" w:sz="0" w:space="0" w:color="auto"/>
            <w:bottom w:val="none" w:sz="0" w:space="0" w:color="auto"/>
            <w:right w:val="none" w:sz="0" w:space="0" w:color="auto"/>
          </w:divBdr>
        </w:div>
        <w:div w:id="1719746461">
          <w:marLeft w:val="1008"/>
          <w:marRight w:val="0"/>
          <w:marTop w:val="115"/>
          <w:marBottom w:val="0"/>
          <w:divBdr>
            <w:top w:val="none" w:sz="0" w:space="0" w:color="auto"/>
            <w:left w:val="none" w:sz="0" w:space="0" w:color="auto"/>
            <w:bottom w:val="none" w:sz="0" w:space="0" w:color="auto"/>
            <w:right w:val="none" w:sz="0" w:space="0" w:color="auto"/>
          </w:divBdr>
        </w:div>
        <w:div w:id="1535267132">
          <w:marLeft w:val="1008"/>
          <w:marRight w:val="0"/>
          <w:marTop w:val="115"/>
          <w:marBottom w:val="0"/>
          <w:divBdr>
            <w:top w:val="none" w:sz="0" w:space="0" w:color="auto"/>
            <w:left w:val="none" w:sz="0" w:space="0" w:color="auto"/>
            <w:bottom w:val="none" w:sz="0" w:space="0" w:color="auto"/>
            <w:right w:val="none" w:sz="0" w:space="0" w:color="auto"/>
          </w:divBdr>
        </w:div>
      </w:divsChild>
    </w:div>
    <w:div w:id="165167667">
      <w:bodyDiv w:val="1"/>
      <w:marLeft w:val="0"/>
      <w:marRight w:val="0"/>
      <w:marTop w:val="0"/>
      <w:marBottom w:val="0"/>
      <w:divBdr>
        <w:top w:val="none" w:sz="0" w:space="0" w:color="auto"/>
        <w:left w:val="none" w:sz="0" w:space="0" w:color="auto"/>
        <w:bottom w:val="none" w:sz="0" w:space="0" w:color="auto"/>
        <w:right w:val="none" w:sz="0" w:space="0" w:color="auto"/>
      </w:divBdr>
      <w:divsChild>
        <w:div w:id="1786388186">
          <w:marLeft w:val="432"/>
          <w:marRight w:val="0"/>
          <w:marTop w:val="125"/>
          <w:marBottom w:val="0"/>
          <w:divBdr>
            <w:top w:val="none" w:sz="0" w:space="0" w:color="auto"/>
            <w:left w:val="none" w:sz="0" w:space="0" w:color="auto"/>
            <w:bottom w:val="none" w:sz="0" w:space="0" w:color="auto"/>
            <w:right w:val="none" w:sz="0" w:space="0" w:color="auto"/>
          </w:divBdr>
        </w:div>
        <w:div w:id="1772435315">
          <w:marLeft w:val="432"/>
          <w:marRight w:val="0"/>
          <w:marTop w:val="125"/>
          <w:marBottom w:val="0"/>
          <w:divBdr>
            <w:top w:val="none" w:sz="0" w:space="0" w:color="auto"/>
            <w:left w:val="none" w:sz="0" w:space="0" w:color="auto"/>
            <w:bottom w:val="none" w:sz="0" w:space="0" w:color="auto"/>
            <w:right w:val="none" w:sz="0" w:space="0" w:color="auto"/>
          </w:divBdr>
        </w:div>
        <w:div w:id="1970044661">
          <w:marLeft w:val="432"/>
          <w:marRight w:val="0"/>
          <w:marTop w:val="125"/>
          <w:marBottom w:val="0"/>
          <w:divBdr>
            <w:top w:val="none" w:sz="0" w:space="0" w:color="auto"/>
            <w:left w:val="none" w:sz="0" w:space="0" w:color="auto"/>
            <w:bottom w:val="none" w:sz="0" w:space="0" w:color="auto"/>
            <w:right w:val="none" w:sz="0" w:space="0" w:color="auto"/>
          </w:divBdr>
        </w:div>
        <w:div w:id="793868710">
          <w:marLeft w:val="432"/>
          <w:marRight w:val="0"/>
          <w:marTop w:val="125"/>
          <w:marBottom w:val="0"/>
          <w:divBdr>
            <w:top w:val="none" w:sz="0" w:space="0" w:color="auto"/>
            <w:left w:val="none" w:sz="0" w:space="0" w:color="auto"/>
            <w:bottom w:val="none" w:sz="0" w:space="0" w:color="auto"/>
            <w:right w:val="none" w:sz="0" w:space="0" w:color="auto"/>
          </w:divBdr>
        </w:div>
        <w:div w:id="1921867058">
          <w:marLeft w:val="432"/>
          <w:marRight w:val="0"/>
          <w:marTop w:val="125"/>
          <w:marBottom w:val="0"/>
          <w:divBdr>
            <w:top w:val="none" w:sz="0" w:space="0" w:color="auto"/>
            <w:left w:val="none" w:sz="0" w:space="0" w:color="auto"/>
            <w:bottom w:val="none" w:sz="0" w:space="0" w:color="auto"/>
            <w:right w:val="none" w:sz="0" w:space="0" w:color="auto"/>
          </w:divBdr>
        </w:div>
        <w:div w:id="1823620224">
          <w:marLeft w:val="432"/>
          <w:marRight w:val="0"/>
          <w:marTop w:val="125"/>
          <w:marBottom w:val="0"/>
          <w:divBdr>
            <w:top w:val="none" w:sz="0" w:space="0" w:color="auto"/>
            <w:left w:val="none" w:sz="0" w:space="0" w:color="auto"/>
            <w:bottom w:val="none" w:sz="0" w:space="0" w:color="auto"/>
            <w:right w:val="none" w:sz="0" w:space="0" w:color="auto"/>
          </w:divBdr>
        </w:div>
      </w:divsChild>
    </w:div>
    <w:div w:id="173081645">
      <w:bodyDiv w:val="1"/>
      <w:marLeft w:val="0"/>
      <w:marRight w:val="0"/>
      <w:marTop w:val="0"/>
      <w:marBottom w:val="0"/>
      <w:divBdr>
        <w:top w:val="none" w:sz="0" w:space="0" w:color="auto"/>
        <w:left w:val="none" w:sz="0" w:space="0" w:color="auto"/>
        <w:bottom w:val="none" w:sz="0" w:space="0" w:color="auto"/>
        <w:right w:val="none" w:sz="0" w:space="0" w:color="auto"/>
      </w:divBdr>
      <w:divsChild>
        <w:div w:id="248121682">
          <w:marLeft w:val="432"/>
          <w:marRight w:val="0"/>
          <w:marTop w:val="125"/>
          <w:marBottom w:val="0"/>
          <w:divBdr>
            <w:top w:val="none" w:sz="0" w:space="0" w:color="auto"/>
            <w:left w:val="none" w:sz="0" w:space="0" w:color="auto"/>
            <w:bottom w:val="none" w:sz="0" w:space="0" w:color="auto"/>
            <w:right w:val="none" w:sz="0" w:space="0" w:color="auto"/>
          </w:divBdr>
        </w:div>
        <w:div w:id="1419592263">
          <w:marLeft w:val="432"/>
          <w:marRight w:val="0"/>
          <w:marTop w:val="125"/>
          <w:marBottom w:val="0"/>
          <w:divBdr>
            <w:top w:val="none" w:sz="0" w:space="0" w:color="auto"/>
            <w:left w:val="none" w:sz="0" w:space="0" w:color="auto"/>
            <w:bottom w:val="none" w:sz="0" w:space="0" w:color="auto"/>
            <w:right w:val="none" w:sz="0" w:space="0" w:color="auto"/>
          </w:divBdr>
        </w:div>
        <w:div w:id="534543476">
          <w:marLeft w:val="432"/>
          <w:marRight w:val="0"/>
          <w:marTop w:val="125"/>
          <w:marBottom w:val="0"/>
          <w:divBdr>
            <w:top w:val="none" w:sz="0" w:space="0" w:color="auto"/>
            <w:left w:val="none" w:sz="0" w:space="0" w:color="auto"/>
            <w:bottom w:val="none" w:sz="0" w:space="0" w:color="auto"/>
            <w:right w:val="none" w:sz="0" w:space="0" w:color="auto"/>
          </w:divBdr>
        </w:div>
        <w:div w:id="106433773">
          <w:marLeft w:val="432"/>
          <w:marRight w:val="0"/>
          <w:marTop w:val="125"/>
          <w:marBottom w:val="0"/>
          <w:divBdr>
            <w:top w:val="none" w:sz="0" w:space="0" w:color="auto"/>
            <w:left w:val="none" w:sz="0" w:space="0" w:color="auto"/>
            <w:bottom w:val="none" w:sz="0" w:space="0" w:color="auto"/>
            <w:right w:val="none" w:sz="0" w:space="0" w:color="auto"/>
          </w:divBdr>
        </w:div>
        <w:div w:id="517894819">
          <w:marLeft w:val="432"/>
          <w:marRight w:val="0"/>
          <w:marTop w:val="125"/>
          <w:marBottom w:val="0"/>
          <w:divBdr>
            <w:top w:val="none" w:sz="0" w:space="0" w:color="auto"/>
            <w:left w:val="none" w:sz="0" w:space="0" w:color="auto"/>
            <w:bottom w:val="none" w:sz="0" w:space="0" w:color="auto"/>
            <w:right w:val="none" w:sz="0" w:space="0" w:color="auto"/>
          </w:divBdr>
        </w:div>
      </w:divsChild>
    </w:div>
    <w:div w:id="242882835">
      <w:bodyDiv w:val="1"/>
      <w:marLeft w:val="0"/>
      <w:marRight w:val="0"/>
      <w:marTop w:val="0"/>
      <w:marBottom w:val="0"/>
      <w:divBdr>
        <w:top w:val="none" w:sz="0" w:space="0" w:color="auto"/>
        <w:left w:val="none" w:sz="0" w:space="0" w:color="auto"/>
        <w:bottom w:val="none" w:sz="0" w:space="0" w:color="auto"/>
        <w:right w:val="none" w:sz="0" w:space="0" w:color="auto"/>
      </w:divBdr>
      <w:divsChild>
        <w:div w:id="448939158">
          <w:marLeft w:val="706"/>
          <w:marRight w:val="0"/>
          <w:marTop w:val="134"/>
          <w:marBottom w:val="0"/>
          <w:divBdr>
            <w:top w:val="none" w:sz="0" w:space="0" w:color="auto"/>
            <w:left w:val="none" w:sz="0" w:space="0" w:color="auto"/>
            <w:bottom w:val="none" w:sz="0" w:space="0" w:color="auto"/>
            <w:right w:val="none" w:sz="0" w:space="0" w:color="auto"/>
          </w:divBdr>
        </w:div>
        <w:div w:id="1049769641">
          <w:marLeft w:val="706"/>
          <w:marRight w:val="0"/>
          <w:marTop w:val="134"/>
          <w:marBottom w:val="0"/>
          <w:divBdr>
            <w:top w:val="none" w:sz="0" w:space="0" w:color="auto"/>
            <w:left w:val="none" w:sz="0" w:space="0" w:color="auto"/>
            <w:bottom w:val="none" w:sz="0" w:space="0" w:color="auto"/>
            <w:right w:val="none" w:sz="0" w:space="0" w:color="auto"/>
          </w:divBdr>
        </w:div>
      </w:divsChild>
    </w:div>
    <w:div w:id="247888192">
      <w:bodyDiv w:val="1"/>
      <w:marLeft w:val="0"/>
      <w:marRight w:val="0"/>
      <w:marTop w:val="0"/>
      <w:marBottom w:val="0"/>
      <w:divBdr>
        <w:top w:val="none" w:sz="0" w:space="0" w:color="auto"/>
        <w:left w:val="none" w:sz="0" w:space="0" w:color="auto"/>
        <w:bottom w:val="none" w:sz="0" w:space="0" w:color="auto"/>
        <w:right w:val="none" w:sz="0" w:space="0" w:color="auto"/>
      </w:divBdr>
    </w:div>
    <w:div w:id="283855266">
      <w:bodyDiv w:val="1"/>
      <w:marLeft w:val="0"/>
      <w:marRight w:val="0"/>
      <w:marTop w:val="0"/>
      <w:marBottom w:val="0"/>
      <w:divBdr>
        <w:top w:val="none" w:sz="0" w:space="0" w:color="auto"/>
        <w:left w:val="none" w:sz="0" w:space="0" w:color="auto"/>
        <w:bottom w:val="none" w:sz="0" w:space="0" w:color="auto"/>
        <w:right w:val="none" w:sz="0" w:space="0" w:color="auto"/>
      </w:divBdr>
      <w:divsChild>
        <w:div w:id="577441327">
          <w:marLeft w:val="432"/>
          <w:marRight w:val="0"/>
          <w:marTop w:val="125"/>
          <w:marBottom w:val="0"/>
          <w:divBdr>
            <w:top w:val="none" w:sz="0" w:space="0" w:color="auto"/>
            <w:left w:val="none" w:sz="0" w:space="0" w:color="auto"/>
            <w:bottom w:val="none" w:sz="0" w:space="0" w:color="auto"/>
            <w:right w:val="none" w:sz="0" w:space="0" w:color="auto"/>
          </w:divBdr>
        </w:div>
        <w:div w:id="416757461">
          <w:marLeft w:val="432"/>
          <w:marRight w:val="0"/>
          <w:marTop w:val="125"/>
          <w:marBottom w:val="0"/>
          <w:divBdr>
            <w:top w:val="none" w:sz="0" w:space="0" w:color="auto"/>
            <w:left w:val="none" w:sz="0" w:space="0" w:color="auto"/>
            <w:bottom w:val="none" w:sz="0" w:space="0" w:color="auto"/>
            <w:right w:val="none" w:sz="0" w:space="0" w:color="auto"/>
          </w:divBdr>
        </w:div>
        <w:div w:id="1763867303">
          <w:marLeft w:val="432"/>
          <w:marRight w:val="0"/>
          <w:marTop w:val="125"/>
          <w:marBottom w:val="0"/>
          <w:divBdr>
            <w:top w:val="none" w:sz="0" w:space="0" w:color="auto"/>
            <w:left w:val="none" w:sz="0" w:space="0" w:color="auto"/>
            <w:bottom w:val="none" w:sz="0" w:space="0" w:color="auto"/>
            <w:right w:val="none" w:sz="0" w:space="0" w:color="auto"/>
          </w:divBdr>
        </w:div>
      </w:divsChild>
    </w:div>
    <w:div w:id="298262964">
      <w:bodyDiv w:val="1"/>
      <w:marLeft w:val="0"/>
      <w:marRight w:val="0"/>
      <w:marTop w:val="0"/>
      <w:marBottom w:val="0"/>
      <w:divBdr>
        <w:top w:val="none" w:sz="0" w:space="0" w:color="auto"/>
        <w:left w:val="none" w:sz="0" w:space="0" w:color="auto"/>
        <w:bottom w:val="none" w:sz="0" w:space="0" w:color="auto"/>
        <w:right w:val="none" w:sz="0" w:space="0" w:color="auto"/>
      </w:divBdr>
    </w:div>
    <w:div w:id="307788234">
      <w:bodyDiv w:val="1"/>
      <w:marLeft w:val="0"/>
      <w:marRight w:val="0"/>
      <w:marTop w:val="0"/>
      <w:marBottom w:val="0"/>
      <w:divBdr>
        <w:top w:val="none" w:sz="0" w:space="0" w:color="auto"/>
        <w:left w:val="none" w:sz="0" w:space="0" w:color="auto"/>
        <w:bottom w:val="none" w:sz="0" w:space="0" w:color="auto"/>
        <w:right w:val="none" w:sz="0" w:space="0" w:color="auto"/>
      </w:divBdr>
    </w:div>
    <w:div w:id="318969803">
      <w:bodyDiv w:val="1"/>
      <w:marLeft w:val="0"/>
      <w:marRight w:val="0"/>
      <w:marTop w:val="0"/>
      <w:marBottom w:val="0"/>
      <w:divBdr>
        <w:top w:val="none" w:sz="0" w:space="0" w:color="auto"/>
        <w:left w:val="none" w:sz="0" w:space="0" w:color="auto"/>
        <w:bottom w:val="none" w:sz="0" w:space="0" w:color="auto"/>
        <w:right w:val="none" w:sz="0" w:space="0" w:color="auto"/>
      </w:divBdr>
    </w:div>
    <w:div w:id="346641908">
      <w:bodyDiv w:val="1"/>
      <w:marLeft w:val="0"/>
      <w:marRight w:val="0"/>
      <w:marTop w:val="0"/>
      <w:marBottom w:val="0"/>
      <w:divBdr>
        <w:top w:val="none" w:sz="0" w:space="0" w:color="auto"/>
        <w:left w:val="none" w:sz="0" w:space="0" w:color="auto"/>
        <w:bottom w:val="none" w:sz="0" w:space="0" w:color="auto"/>
        <w:right w:val="none" w:sz="0" w:space="0" w:color="auto"/>
      </w:divBdr>
      <w:divsChild>
        <w:div w:id="1205479958">
          <w:marLeft w:val="0"/>
          <w:marRight w:val="0"/>
          <w:marTop w:val="0"/>
          <w:marBottom w:val="0"/>
          <w:divBdr>
            <w:top w:val="single" w:sz="6" w:space="0" w:color="9F9F9F"/>
            <w:left w:val="single" w:sz="6" w:space="0" w:color="9F9F9F"/>
            <w:bottom w:val="single" w:sz="6" w:space="0" w:color="9F9F9F"/>
            <w:right w:val="single" w:sz="6" w:space="0" w:color="9F9F9F"/>
          </w:divBdr>
          <w:divsChild>
            <w:div w:id="7933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39588">
      <w:bodyDiv w:val="1"/>
      <w:marLeft w:val="0"/>
      <w:marRight w:val="0"/>
      <w:marTop w:val="0"/>
      <w:marBottom w:val="0"/>
      <w:divBdr>
        <w:top w:val="none" w:sz="0" w:space="0" w:color="auto"/>
        <w:left w:val="none" w:sz="0" w:space="0" w:color="auto"/>
        <w:bottom w:val="none" w:sz="0" w:space="0" w:color="auto"/>
        <w:right w:val="none" w:sz="0" w:space="0" w:color="auto"/>
      </w:divBdr>
    </w:div>
    <w:div w:id="351879995">
      <w:bodyDiv w:val="1"/>
      <w:marLeft w:val="0"/>
      <w:marRight w:val="0"/>
      <w:marTop w:val="0"/>
      <w:marBottom w:val="0"/>
      <w:divBdr>
        <w:top w:val="none" w:sz="0" w:space="0" w:color="auto"/>
        <w:left w:val="none" w:sz="0" w:space="0" w:color="auto"/>
        <w:bottom w:val="none" w:sz="0" w:space="0" w:color="auto"/>
        <w:right w:val="none" w:sz="0" w:space="0" w:color="auto"/>
      </w:divBdr>
    </w:div>
    <w:div w:id="354229899">
      <w:bodyDiv w:val="1"/>
      <w:marLeft w:val="0"/>
      <w:marRight w:val="0"/>
      <w:marTop w:val="0"/>
      <w:marBottom w:val="0"/>
      <w:divBdr>
        <w:top w:val="none" w:sz="0" w:space="0" w:color="auto"/>
        <w:left w:val="none" w:sz="0" w:space="0" w:color="auto"/>
        <w:bottom w:val="none" w:sz="0" w:space="0" w:color="auto"/>
        <w:right w:val="none" w:sz="0" w:space="0" w:color="auto"/>
      </w:divBdr>
      <w:divsChild>
        <w:div w:id="1016427282">
          <w:marLeft w:val="432"/>
          <w:marRight w:val="0"/>
          <w:marTop w:val="134"/>
          <w:marBottom w:val="0"/>
          <w:divBdr>
            <w:top w:val="none" w:sz="0" w:space="0" w:color="auto"/>
            <w:left w:val="none" w:sz="0" w:space="0" w:color="auto"/>
            <w:bottom w:val="none" w:sz="0" w:space="0" w:color="auto"/>
            <w:right w:val="none" w:sz="0" w:space="0" w:color="auto"/>
          </w:divBdr>
        </w:div>
        <w:div w:id="489056128">
          <w:marLeft w:val="1008"/>
          <w:marRight w:val="0"/>
          <w:marTop w:val="115"/>
          <w:marBottom w:val="0"/>
          <w:divBdr>
            <w:top w:val="none" w:sz="0" w:space="0" w:color="auto"/>
            <w:left w:val="none" w:sz="0" w:space="0" w:color="auto"/>
            <w:bottom w:val="none" w:sz="0" w:space="0" w:color="auto"/>
            <w:right w:val="none" w:sz="0" w:space="0" w:color="auto"/>
          </w:divBdr>
        </w:div>
        <w:div w:id="1658531323">
          <w:marLeft w:val="1008"/>
          <w:marRight w:val="0"/>
          <w:marTop w:val="115"/>
          <w:marBottom w:val="0"/>
          <w:divBdr>
            <w:top w:val="none" w:sz="0" w:space="0" w:color="auto"/>
            <w:left w:val="none" w:sz="0" w:space="0" w:color="auto"/>
            <w:bottom w:val="none" w:sz="0" w:space="0" w:color="auto"/>
            <w:right w:val="none" w:sz="0" w:space="0" w:color="auto"/>
          </w:divBdr>
        </w:div>
        <w:div w:id="194006817">
          <w:marLeft w:val="1008"/>
          <w:marRight w:val="0"/>
          <w:marTop w:val="115"/>
          <w:marBottom w:val="0"/>
          <w:divBdr>
            <w:top w:val="none" w:sz="0" w:space="0" w:color="auto"/>
            <w:left w:val="none" w:sz="0" w:space="0" w:color="auto"/>
            <w:bottom w:val="none" w:sz="0" w:space="0" w:color="auto"/>
            <w:right w:val="none" w:sz="0" w:space="0" w:color="auto"/>
          </w:divBdr>
        </w:div>
        <w:div w:id="1123307356">
          <w:marLeft w:val="1008"/>
          <w:marRight w:val="0"/>
          <w:marTop w:val="115"/>
          <w:marBottom w:val="0"/>
          <w:divBdr>
            <w:top w:val="none" w:sz="0" w:space="0" w:color="auto"/>
            <w:left w:val="none" w:sz="0" w:space="0" w:color="auto"/>
            <w:bottom w:val="none" w:sz="0" w:space="0" w:color="auto"/>
            <w:right w:val="none" w:sz="0" w:space="0" w:color="auto"/>
          </w:divBdr>
        </w:div>
        <w:div w:id="1336809504">
          <w:marLeft w:val="1008"/>
          <w:marRight w:val="0"/>
          <w:marTop w:val="115"/>
          <w:marBottom w:val="0"/>
          <w:divBdr>
            <w:top w:val="none" w:sz="0" w:space="0" w:color="auto"/>
            <w:left w:val="none" w:sz="0" w:space="0" w:color="auto"/>
            <w:bottom w:val="none" w:sz="0" w:space="0" w:color="auto"/>
            <w:right w:val="none" w:sz="0" w:space="0" w:color="auto"/>
          </w:divBdr>
        </w:div>
        <w:div w:id="366298918">
          <w:marLeft w:val="1440"/>
          <w:marRight w:val="0"/>
          <w:marTop w:val="96"/>
          <w:marBottom w:val="0"/>
          <w:divBdr>
            <w:top w:val="none" w:sz="0" w:space="0" w:color="auto"/>
            <w:left w:val="none" w:sz="0" w:space="0" w:color="auto"/>
            <w:bottom w:val="none" w:sz="0" w:space="0" w:color="auto"/>
            <w:right w:val="none" w:sz="0" w:space="0" w:color="auto"/>
          </w:divBdr>
        </w:div>
        <w:div w:id="1238982550">
          <w:marLeft w:val="1008"/>
          <w:marRight w:val="0"/>
          <w:marTop w:val="115"/>
          <w:marBottom w:val="0"/>
          <w:divBdr>
            <w:top w:val="none" w:sz="0" w:space="0" w:color="auto"/>
            <w:left w:val="none" w:sz="0" w:space="0" w:color="auto"/>
            <w:bottom w:val="none" w:sz="0" w:space="0" w:color="auto"/>
            <w:right w:val="none" w:sz="0" w:space="0" w:color="auto"/>
          </w:divBdr>
        </w:div>
      </w:divsChild>
    </w:div>
    <w:div w:id="376901467">
      <w:bodyDiv w:val="1"/>
      <w:marLeft w:val="0"/>
      <w:marRight w:val="0"/>
      <w:marTop w:val="0"/>
      <w:marBottom w:val="0"/>
      <w:divBdr>
        <w:top w:val="none" w:sz="0" w:space="0" w:color="auto"/>
        <w:left w:val="none" w:sz="0" w:space="0" w:color="auto"/>
        <w:bottom w:val="none" w:sz="0" w:space="0" w:color="auto"/>
        <w:right w:val="none" w:sz="0" w:space="0" w:color="auto"/>
      </w:divBdr>
    </w:div>
    <w:div w:id="379747845">
      <w:bodyDiv w:val="1"/>
      <w:marLeft w:val="0"/>
      <w:marRight w:val="0"/>
      <w:marTop w:val="0"/>
      <w:marBottom w:val="0"/>
      <w:divBdr>
        <w:top w:val="none" w:sz="0" w:space="0" w:color="auto"/>
        <w:left w:val="none" w:sz="0" w:space="0" w:color="auto"/>
        <w:bottom w:val="none" w:sz="0" w:space="0" w:color="auto"/>
        <w:right w:val="none" w:sz="0" w:space="0" w:color="auto"/>
      </w:divBdr>
      <w:divsChild>
        <w:div w:id="306596471">
          <w:marLeft w:val="1008"/>
          <w:marRight w:val="0"/>
          <w:marTop w:val="106"/>
          <w:marBottom w:val="0"/>
          <w:divBdr>
            <w:top w:val="none" w:sz="0" w:space="0" w:color="auto"/>
            <w:left w:val="none" w:sz="0" w:space="0" w:color="auto"/>
            <w:bottom w:val="none" w:sz="0" w:space="0" w:color="auto"/>
            <w:right w:val="none" w:sz="0" w:space="0" w:color="auto"/>
          </w:divBdr>
        </w:div>
        <w:div w:id="2066876278">
          <w:marLeft w:val="1008"/>
          <w:marRight w:val="0"/>
          <w:marTop w:val="106"/>
          <w:marBottom w:val="0"/>
          <w:divBdr>
            <w:top w:val="none" w:sz="0" w:space="0" w:color="auto"/>
            <w:left w:val="none" w:sz="0" w:space="0" w:color="auto"/>
            <w:bottom w:val="none" w:sz="0" w:space="0" w:color="auto"/>
            <w:right w:val="none" w:sz="0" w:space="0" w:color="auto"/>
          </w:divBdr>
        </w:div>
        <w:div w:id="1599487062">
          <w:marLeft w:val="1008"/>
          <w:marRight w:val="0"/>
          <w:marTop w:val="106"/>
          <w:marBottom w:val="0"/>
          <w:divBdr>
            <w:top w:val="none" w:sz="0" w:space="0" w:color="auto"/>
            <w:left w:val="none" w:sz="0" w:space="0" w:color="auto"/>
            <w:bottom w:val="none" w:sz="0" w:space="0" w:color="auto"/>
            <w:right w:val="none" w:sz="0" w:space="0" w:color="auto"/>
          </w:divBdr>
        </w:div>
        <w:div w:id="1192260507">
          <w:marLeft w:val="1008"/>
          <w:marRight w:val="0"/>
          <w:marTop w:val="106"/>
          <w:marBottom w:val="0"/>
          <w:divBdr>
            <w:top w:val="none" w:sz="0" w:space="0" w:color="auto"/>
            <w:left w:val="none" w:sz="0" w:space="0" w:color="auto"/>
            <w:bottom w:val="none" w:sz="0" w:space="0" w:color="auto"/>
            <w:right w:val="none" w:sz="0" w:space="0" w:color="auto"/>
          </w:divBdr>
        </w:div>
        <w:div w:id="1295601711">
          <w:marLeft w:val="1008"/>
          <w:marRight w:val="0"/>
          <w:marTop w:val="106"/>
          <w:marBottom w:val="0"/>
          <w:divBdr>
            <w:top w:val="none" w:sz="0" w:space="0" w:color="auto"/>
            <w:left w:val="none" w:sz="0" w:space="0" w:color="auto"/>
            <w:bottom w:val="none" w:sz="0" w:space="0" w:color="auto"/>
            <w:right w:val="none" w:sz="0" w:space="0" w:color="auto"/>
          </w:divBdr>
        </w:div>
        <w:div w:id="1991789596">
          <w:marLeft w:val="1008"/>
          <w:marRight w:val="0"/>
          <w:marTop w:val="106"/>
          <w:marBottom w:val="0"/>
          <w:divBdr>
            <w:top w:val="none" w:sz="0" w:space="0" w:color="auto"/>
            <w:left w:val="none" w:sz="0" w:space="0" w:color="auto"/>
            <w:bottom w:val="none" w:sz="0" w:space="0" w:color="auto"/>
            <w:right w:val="none" w:sz="0" w:space="0" w:color="auto"/>
          </w:divBdr>
        </w:div>
        <w:div w:id="1683238639">
          <w:marLeft w:val="1008"/>
          <w:marRight w:val="0"/>
          <w:marTop w:val="106"/>
          <w:marBottom w:val="0"/>
          <w:divBdr>
            <w:top w:val="none" w:sz="0" w:space="0" w:color="auto"/>
            <w:left w:val="none" w:sz="0" w:space="0" w:color="auto"/>
            <w:bottom w:val="none" w:sz="0" w:space="0" w:color="auto"/>
            <w:right w:val="none" w:sz="0" w:space="0" w:color="auto"/>
          </w:divBdr>
        </w:div>
        <w:div w:id="208494023">
          <w:marLeft w:val="1008"/>
          <w:marRight w:val="0"/>
          <w:marTop w:val="106"/>
          <w:marBottom w:val="0"/>
          <w:divBdr>
            <w:top w:val="none" w:sz="0" w:space="0" w:color="auto"/>
            <w:left w:val="none" w:sz="0" w:space="0" w:color="auto"/>
            <w:bottom w:val="none" w:sz="0" w:space="0" w:color="auto"/>
            <w:right w:val="none" w:sz="0" w:space="0" w:color="auto"/>
          </w:divBdr>
        </w:div>
        <w:div w:id="814377321">
          <w:marLeft w:val="1008"/>
          <w:marRight w:val="0"/>
          <w:marTop w:val="106"/>
          <w:marBottom w:val="0"/>
          <w:divBdr>
            <w:top w:val="none" w:sz="0" w:space="0" w:color="auto"/>
            <w:left w:val="none" w:sz="0" w:space="0" w:color="auto"/>
            <w:bottom w:val="none" w:sz="0" w:space="0" w:color="auto"/>
            <w:right w:val="none" w:sz="0" w:space="0" w:color="auto"/>
          </w:divBdr>
        </w:div>
      </w:divsChild>
    </w:div>
    <w:div w:id="545340428">
      <w:bodyDiv w:val="1"/>
      <w:marLeft w:val="0"/>
      <w:marRight w:val="0"/>
      <w:marTop w:val="0"/>
      <w:marBottom w:val="0"/>
      <w:divBdr>
        <w:top w:val="none" w:sz="0" w:space="0" w:color="auto"/>
        <w:left w:val="none" w:sz="0" w:space="0" w:color="auto"/>
        <w:bottom w:val="none" w:sz="0" w:space="0" w:color="auto"/>
        <w:right w:val="none" w:sz="0" w:space="0" w:color="auto"/>
      </w:divBdr>
      <w:divsChild>
        <w:div w:id="1712652686">
          <w:marLeft w:val="0"/>
          <w:marRight w:val="0"/>
          <w:marTop w:val="0"/>
          <w:marBottom w:val="0"/>
          <w:divBdr>
            <w:top w:val="none" w:sz="0" w:space="0" w:color="auto"/>
            <w:left w:val="none" w:sz="0" w:space="0" w:color="auto"/>
            <w:bottom w:val="none" w:sz="0" w:space="0" w:color="auto"/>
            <w:right w:val="none" w:sz="0" w:space="0" w:color="auto"/>
          </w:divBdr>
          <w:divsChild>
            <w:div w:id="2017688227">
              <w:marLeft w:val="0"/>
              <w:marRight w:val="0"/>
              <w:marTop w:val="0"/>
              <w:marBottom w:val="0"/>
              <w:divBdr>
                <w:top w:val="none" w:sz="0" w:space="0" w:color="auto"/>
                <w:left w:val="none" w:sz="0" w:space="0" w:color="auto"/>
                <w:bottom w:val="none" w:sz="0" w:space="0" w:color="auto"/>
                <w:right w:val="none" w:sz="0" w:space="0" w:color="auto"/>
              </w:divBdr>
              <w:divsChild>
                <w:div w:id="1557282600">
                  <w:marLeft w:val="-225"/>
                  <w:marRight w:val="-225"/>
                  <w:marTop w:val="0"/>
                  <w:marBottom w:val="0"/>
                  <w:divBdr>
                    <w:top w:val="none" w:sz="0" w:space="0" w:color="auto"/>
                    <w:left w:val="none" w:sz="0" w:space="0" w:color="auto"/>
                    <w:bottom w:val="none" w:sz="0" w:space="0" w:color="auto"/>
                    <w:right w:val="none" w:sz="0" w:space="0" w:color="auto"/>
                  </w:divBdr>
                  <w:divsChild>
                    <w:div w:id="1306548589">
                      <w:marLeft w:val="0"/>
                      <w:marRight w:val="0"/>
                      <w:marTop w:val="0"/>
                      <w:marBottom w:val="0"/>
                      <w:divBdr>
                        <w:top w:val="none" w:sz="0" w:space="0" w:color="auto"/>
                        <w:left w:val="none" w:sz="0" w:space="0" w:color="auto"/>
                        <w:bottom w:val="none" w:sz="0" w:space="0" w:color="auto"/>
                        <w:right w:val="none" w:sz="0" w:space="0" w:color="auto"/>
                      </w:divBdr>
                      <w:divsChild>
                        <w:div w:id="77988539">
                          <w:marLeft w:val="0"/>
                          <w:marRight w:val="0"/>
                          <w:marTop w:val="0"/>
                          <w:marBottom w:val="0"/>
                          <w:divBdr>
                            <w:top w:val="none" w:sz="0" w:space="0" w:color="auto"/>
                            <w:left w:val="none" w:sz="0" w:space="0" w:color="auto"/>
                            <w:bottom w:val="none" w:sz="0" w:space="0" w:color="auto"/>
                            <w:right w:val="none" w:sz="0" w:space="0" w:color="auto"/>
                          </w:divBdr>
                          <w:divsChild>
                            <w:div w:id="1790247496">
                              <w:marLeft w:val="0"/>
                              <w:marRight w:val="0"/>
                              <w:marTop w:val="0"/>
                              <w:marBottom w:val="0"/>
                              <w:divBdr>
                                <w:top w:val="none" w:sz="0" w:space="0" w:color="auto"/>
                                <w:left w:val="none" w:sz="0" w:space="0" w:color="auto"/>
                                <w:bottom w:val="none" w:sz="0" w:space="0" w:color="auto"/>
                                <w:right w:val="none" w:sz="0" w:space="0" w:color="auto"/>
                              </w:divBdr>
                              <w:divsChild>
                                <w:div w:id="848064019">
                                  <w:marLeft w:val="0"/>
                                  <w:marRight w:val="0"/>
                                  <w:marTop w:val="0"/>
                                  <w:marBottom w:val="0"/>
                                  <w:divBdr>
                                    <w:top w:val="none" w:sz="0" w:space="0" w:color="auto"/>
                                    <w:left w:val="none" w:sz="0" w:space="0" w:color="auto"/>
                                    <w:bottom w:val="none" w:sz="0" w:space="0" w:color="auto"/>
                                    <w:right w:val="none" w:sz="0" w:space="0" w:color="auto"/>
                                  </w:divBdr>
                                  <w:divsChild>
                                    <w:div w:id="1038287063">
                                      <w:marLeft w:val="0"/>
                                      <w:marRight w:val="0"/>
                                      <w:marTop w:val="0"/>
                                      <w:marBottom w:val="0"/>
                                      <w:divBdr>
                                        <w:top w:val="none" w:sz="0" w:space="0" w:color="auto"/>
                                        <w:left w:val="none" w:sz="0" w:space="0" w:color="auto"/>
                                        <w:bottom w:val="none" w:sz="0" w:space="0" w:color="auto"/>
                                        <w:right w:val="none" w:sz="0" w:space="0" w:color="auto"/>
                                      </w:divBdr>
                                      <w:divsChild>
                                        <w:div w:id="110901350">
                                          <w:marLeft w:val="0"/>
                                          <w:marRight w:val="0"/>
                                          <w:marTop w:val="0"/>
                                          <w:marBottom w:val="0"/>
                                          <w:divBdr>
                                            <w:top w:val="none" w:sz="0" w:space="0" w:color="auto"/>
                                            <w:left w:val="none" w:sz="0" w:space="0" w:color="auto"/>
                                            <w:bottom w:val="none" w:sz="0" w:space="0" w:color="auto"/>
                                            <w:right w:val="none" w:sz="0" w:space="0" w:color="auto"/>
                                          </w:divBdr>
                                          <w:divsChild>
                                            <w:div w:id="1125804997">
                                              <w:marLeft w:val="0"/>
                                              <w:marRight w:val="0"/>
                                              <w:marTop w:val="120"/>
                                              <w:marBottom w:val="0"/>
                                              <w:divBdr>
                                                <w:top w:val="none" w:sz="0" w:space="0" w:color="auto"/>
                                                <w:left w:val="none" w:sz="0" w:space="0" w:color="auto"/>
                                                <w:bottom w:val="none" w:sz="0" w:space="0" w:color="auto"/>
                                                <w:right w:val="none" w:sz="0" w:space="0" w:color="auto"/>
                                              </w:divBdr>
                                              <w:divsChild>
                                                <w:div w:id="660960763">
                                                  <w:marLeft w:val="567"/>
                                                  <w:marRight w:val="567"/>
                                                  <w:marTop w:val="300"/>
                                                  <w:marBottom w:val="0"/>
                                                  <w:divBdr>
                                                    <w:top w:val="none" w:sz="0" w:space="0" w:color="auto"/>
                                                    <w:left w:val="none" w:sz="0" w:space="0" w:color="auto"/>
                                                    <w:bottom w:val="none" w:sz="0" w:space="0" w:color="auto"/>
                                                    <w:right w:val="none" w:sz="0" w:space="0" w:color="auto"/>
                                                  </w:divBdr>
                                                </w:div>
                                                <w:div w:id="1054038800">
                                                  <w:marLeft w:val="567"/>
                                                  <w:marRight w:val="567"/>
                                                  <w:marTop w:val="200"/>
                                                  <w:marBottom w:val="200"/>
                                                  <w:divBdr>
                                                    <w:top w:val="none" w:sz="0" w:space="0" w:color="auto"/>
                                                    <w:left w:val="none" w:sz="0" w:space="0" w:color="auto"/>
                                                    <w:bottom w:val="none" w:sz="0" w:space="0" w:color="auto"/>
                                                    <w:right w:val="none" w:sz="0" w:space="0" w:color="auto"/>
                                                  </w:divBdr>
                                                </w:div>
                                                <w:div w:id="174538538">
                                                  <w:marLeft w:val="567"/>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427147">
      <w:bodyDiv w:val="1"/>
      <w:marLeft w:val="0"/>
      <w:marRight w:val="0"/>
      <w:marTop w:val="0"/>
      <w:marBottom w:val="0"/>
      <w:divBdr>
        <w:top w:val="none" w:sz="0" w:space="0" w:color="auto"/>
        <w:left w:val="none" w:sz="0" w:space="0" w:color="auto"/>
        <w:bottom w:val="none" w:sz="0" w:space="0" w:color="auto"/>
        <w:right w:val="none" w:sz="0" w:space="0" w:color="auto"/>
      </w:divBdr>
    </w:div>
    <w:div w:id="552280249">
      <w:bodyDiv w:val="1"/>
      <w:marLeft w:val="0"/>
      <w:marRight w:val="0"/>
      <w:marTop w:val="0"/>
      <w:marBottom w:val="0"/>
      <w:divBdr>
        <w:top w:val="none" w:sz="0" w:space="0" w:color="auto"/>
        <w:left w:val="none" w:sz="0" w:space="0" w:color="auto"/>
        <w:bottom w:val="none" w:sz="0" w:space="0" w:color="auto"/>
        <w:right w:val="none" w:sz="0" w:space="0" w:color="auto"/>
      </w:divBdr>
    </w:div>
    <w:div w:id="562058458">
      <w:bodyDiv w:val="1"/>
      <w:marLeft w:val="0"/>
      <w:marRight w:val="0"/>
      <w:marTop w:val="0"/>
      <w:marBottom w:val="0"/>
      <w:divBdr>
        <w:top w:val="none" w:sz="0" w:space="0" w:color="auto"/>
        <w:left w:val="none" w:sz="0" w:space="0" w:color="auto"/>
        <w:bottom w:val="none" w:sz="0" w:space="0" w:color="auto"/>
        <w:right w:val="none" w:sz="0" w:space="0" w:color="auto"/>
      </w:divBdr>
      <w:divsChild>
        <w:div w:id="1947345449">
          <w:marLeft w:val="0"/>
          <w:marRight w:val="0"/>
          <w:marTop w:val="150"/>
          <w:marBottom w:val="0"/>
          <w:divBdr>
            <w:top w:val="none" w:sz="0" w:space="0" w:color="auto"/>
            <w:left w:val="none" w:sz="0" w:space="0" w:color="auto"/>
            <w:bottom w:val="none" w:sz="0" w:space="0" w:color="auto"/>
            <w:right w:val="none" w:sz="0" w:space="0" w:color="auto"/>
          </w:divBdr>
          <w:divsChild>
            <w:div w:id="2006203022">
              <w:marLeft w:val="300"/>
              <w:marRight w:val="0"/>
              <w:marTop w:val="0"/>
              <w:marBottom w:val="0"/>
              <w:divBdr>
                <w:top w:val="none" w:sz="0" w:space="0" w:color="auto"/>
                <w:left w:val="none" w:sz="0" w:space="0" w:color="auto"/>
                <w:bottom w:val="none" w:sz="0" w:space="0" w:color="auto"/>
                <w:right w:val="none" w:sz="0" w:space="0" w:color="auto"/>
              </w:divBdr>
              <w:divsChild>
                <w:div w:id="1508014749">
                  <w:marLeft w:val="0"/>
                  <w:marRight w:val="0"/>
                  <w:marTop w:val="0"/>
                  <w:marBottom w:val="0"/>
                  <w:divBdr>
                    <w:top w:val="none" w:sz="0" w:space="0" w:color="auto"/>
                    <w:left w:val="none" w:sz="0" w:space="0" w:color="auto"/>
                    <w:bottom w:val="none" w:sz="0" w:space="0" w:color="auto"/>
                    <w:right w:val="none" w:sz="0" w:space="0" w:color="auto"/>
                  </w:divBdr>
                  <w:divsChild>
                    <w:div w:id="1571192750">
                      <w:marLeft w:val="0"/>
                      <w:marRight w:val="0"/>
                      <w:marTop w:val="0"/>
                      <w:marBottom w:val="0"/>
                      <w:divBdr>
                        <w:top w:val="none" w:sz="0" w:space="0" w:color="auto"/>
                        <w:left w:val="none" w:sz="0" w:space="0" w:color="auto"/>
                        <w:bottom w:val="none" w:sz="0" w:space="0" w:color="auto"/>
                        <w:right w:val="none" w:sz="0" w:space="0" w:color="auto"/>
                      </w:divBdr>
                      <w:divsChild>
                        <w:div w:id="1139154435">
                          <w:marLeft w:val="0"/>
                          <w:marRight w:val="0"/>
                          <w:marTop w:val="0"/>
                          <w:marBottom w:val="0"/>
                          <w:divBdr>
                            <w:top w:val="none" w:sz="0" w:space="0" w:color="auto"/>
                            <w:left w:val="none" w:sz="0" w:space="0" w:color="auto"/>
                            <w:bottom w:val="none" w:sz="0" w:space="0" w:color="auto"/>
                            <w:right w:val="none" w:sz="0" w:space="0" w:color="auto"/>
                          </w:divBdr>
                          <w:divsChild>
                            <w:div w:id="944117536">
                              <w:marLeft w:val="0"/>
                              <w:marRight w:val="0"/>
                              <w:marTop w:val="0"/>
                              <w:marBottom w:val="0"/>
                              <w:divBdr>
                                <w:top w:val="none" w:sz="0" w:space="0" w:color="auto"/>
                                <w:left w:val="none" w:sz="0" w:space="0" w:color="auto"/>
                                <w:bottom w:val="none" w:sz="0" w:space="0" w:color="auto"/>
                                <w:right w:val="none" w:sz="0" w:space="0" w:color="auto"/>
                              </w:divBdr>
                              <w:divsChild>
                                <w:div w:id="150030459">
                                  <w:marLeft w:val="0"/>
                                  <w:marRight w:val="0"/>
                                  <w:marTop w:val="0"/>
                                  <w:marBottom w:val="0"/>
                                  <w:divBdr>
                                    <w:top w:val="none" w:sz="0" w:space="0" w:color="auto"/>
                                    <w:left w:val="none" w:sz="0" w:space="0" w:color="auto"/>
                                    <w:bottom w:val="none" w:sz="0" w:space="0" w:color="auto"/>
                                    <w:right w:val="none" w:sz="0" w:space="0" w:color="auto"/>
                                  </w:divBdr>
                                  <w:divsChild>
                                    <w:div w:id="10217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372475">
      <w:bodyDiv w:val="1"/>
      <w:marLeft w:val="0"/>
      <w:marRight w:val="0"/>
      <w:marTop w:val="0"/>
      <w:marBottom w:val="0"/>
      <w:divBdr>
        <w:top w:val="none" w:sz="0" w:space="0" w:color="auto"/>
        <w:left w:val="none" w:sz="0" w:space="0" w:color="auto"/>
        <w:bottom w:val="none" w:sz="0" w:space="0" w:color="auto"/>
        <w:right w:val="none" w:sz="0" w:space="0" w:color="auto"/>
      </w:divBdr>
      <w:divsChild>
        <w:div w:id="1011881005">
          <w:marLeft w:val="1008"/>
          <w:marRight w:val="0"/>
          <w:marTop w:val="115"/>
          <w:marBottom w:val="0"/>
          <w:divBdr>
            <w:top w:val="none" w:sz="0" w:space="0" w:color="auto"/>
            <w:left w:val="none" w:sz="0" w:space="0" w:color="auto"/>
            <w:bottom w:val="none" w:sz="0" w:space="0" w:color="auto"/>
            <w:right w:val="none" w:sz="0" w:space="0" w:color="auto"/>
          </w:divBdr>
        </w:div>
        <w:div w:id="438838842">
          <w:marLeft w:val="1008"/>
          <w:marRight w:val="0"/>
          <w:marTop w:val="115"/>
          <w:marBottom w:val="0"/>
          <w:divBdr>
            <w:top w:val="none" w:sz="0" w:space="0" w:color="auto"/>
            <w:left w:val="none" w:sz="0" w:space="0" w:color="auto"/>
            <w:bottom w:val="none" w:sz="0" w:space="0" w:color="auto"/>
            <w:right w:val="none" w:sz="0" w:space="0" w:color="auto"/>
          </w:divBdr>
        </w:div>
        <w:div w:id="1549486076">
          <w:marLeft w:val="1008"/>
          <w:marRight w:val="0"/>
          <w:marTop w:val="115"/>
          <w:marBottom w:val="0"/>
          <w:divBdr>
            <w:top w:val="none" w:sz="0" w:space="0" w:color="auto"/>
            <w:left w:val="none" w:sz="0" w:space="0" w:color="auto"/>
            <w:bottom w:val="none" w:sz="0" w:space="0" w:color="auto"/>
            <w:right w:val="none" w:sz="0" w:space="0" w:color="auto"/>
          </w:divBdr>
        </w:div>
        <w:div w:id="1892763450">
          <w:marLeft w:val="1008"/>
          <w:marRight w:val="0"/>
          <w:marTop w:val="115"/>
          <w:marBottom w:val="0"/>
          <w:divBdr>
            <w:top w:val="none" w:sz="0" w:space="0" w:color="auto"/>
            <w:left w:val="none" w:sz="0" w:space="0" w:color="auto"/>
            <w:bottom w:val="none" w:sz="0" w:space="0" w:color="auto"/>
            <w:right w:val="none" w:sz="0" w:space="0" w:color="auto"/>
          </w:divBdr>
        </w:div>
      </w:divsChild>
    </w:div>
    <w:div w:id="591167167">
      <w:bodyDiv w:val="1"/>
      <w:marLeft w:val="0"/>
      <w:marRight w:val="0"/>
      <w:marTop w:val="0"/>
      <w:marBottom w:val="0"/>
      <w:divBdr>
        <w:top w:val="none" w:sz="0" w:space="0" w:color="auto"/>
        <w:left w:val="none" w:sz="0" w:space="0" w:color="auto"/>
        <w:bottom w:val="none" w:sz="0" w:space="0" w:color="auto"/>
        <w:right w:val="none" w:sz="0" w:space="0" w:color="auto"/>
      </w:divBdr>
      <w:divsChild>
        <w:div w:id="854424552">
          <w:marLeft w:val="432"/>
          <w:marRight w:val="0"/>
          <w:marTop w:val="134"/>
          <w:marBottom w:val="0"/>
          <w:divBdr>
            <w:top w:val="none" w:sz="0" w:space="0" w:color="auto"/>
            <w:left w:val="none" w:sz="0" w:space="0" w:color="auto"/>
            <w:bottom w:val="none" w:sz="0" w:space="0" w:color="auto"/>
            <w:right w:val="none" w:sz="0" w:space="0" w:color="auto"/>
          </w:divBdr>
        </w:div>
        <w:div w:id="1066076935">
          <w:marLeft w:val="1008"/>
          <w:marRight w:val="0"/>
          <w:marTop w:val="115"/>
          <w:marBottom w:val="0"/>
          <w:divBdr>
            <w:top w:val="none" w:sz="0" w:space="0" w:color="auto"/>
            <w:left w:val="none" w:sz="0" w:space="0" w:color="auto"/>
            <w:bottom w:val="none" w:sz="0" w:space="0" w:color="auto"/>
            <w:right w:val="none" w:sz="0" w:space="0" w:color="auto"/>
          </w:divBdr>
        </w:div>
      </w:divsChild>
    </w:div>
    <w:div w:id="613288176">
      <w:bodyDiv w:val="1"/>
      <w:marLeft w:val="0"/>
      <w:marRight w:val="0"/>
      <w:marTop w:val="0"/>
      <w:marBottom w:val="0"/>
      <w:divBdr>
        <w:top w:val="none" w:sz="0" w:space="0" w:color="auto"/>
        <w:left w:val="none" w:sz="0" w:space="0" w:color="auto"/>
        <w:bottom w:val="none" w:sz="0" w:space="0" w:color="auto"/>
        <w:right w:val="none" w:sz="0" w:space="0" w:color="auto"/>
      </w:divBdr>
    </w:div>
    <w:div w:id="630600734">
      <w:bodyDiv w:val="1"/>
      <w:marLeft w:val="0"/>
      <w:marRight w:val="0"/>
      <w:marTop w:val="0"/>
      <w:marBottom w:val="0"/>
      <w:divBdr>
        <w:top w:val="none" w:sz="0" w:space="0" w:color="auto"/>
        <w:left w:val="none" w:sz="0" w:space="0" w:color="auto"/>
        <w:bottom w:val="none" w:sz="0" w:space="0" w:color="auto"/>
        <w:right w:val="none" w:sz="0" w:space="0" w:color="auto"/>
      </w:divBdr>
      <w:divsChild>
        <w:div w:id="799955208">
          <w:marLeft w:val="0"/>
          <w:marRight w:val="0"/>
          <w:marTop w:val="0"/>
          <w:marBottom w:val="0"/>
          <w:divBdr>
            <w:top w:val="single" w:sz="6" w:space="0" w:color="9F9F9F"/>
            <w:left w:val="single" w:sz="6" w:space="0" w:color="9F9F9F"/>
            <w:bottom w:val="single" w:sz="6" w:space="0" w:color="9F9F9F"/>
            <w:right w:val="single" w:sz="6" w:space="0" w:color="9F9F9F"/>
          </w:divBdr>
          <w:divsChild>
            <w:div w:id="3819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8880">
      <w:bodyDiv w:val="1"/>
      <w:marLeft w:val="0"/>
      <w:marRight w:val="0"/>
      <w:marTop w:val="0"/>
      <w:marBottom w:val="0"/>
      <w:divBdr>
        <w:top w:val="none" w:sz="0" w:space="0" w:color="auto"/>
        <w:left w:val="none" w:sz="0" w:space="0" w:color="auto"/>
        <w:bottom w:val="none" w:sz="0" w:space="0" w:color="auto"/>
        <w:right w:val="none" w:sz="0" w:space="0" w:color="auto"/>
      </w:divBdr>
    </w:div>
    <w:div w:id="644117549">
      <w:bodyDiv w:val="1"/>
      <w:marLeft w:val="0"/>
      <w:marRight w:val="0"/>
      <w:marTop w:val="0"/>
      <w:marBottom w:val="0"/>
      <w:divBdr>
        <w:top w:val="none" w:sz="0" w:space="0" w:color="auto"/>
        <w:left w:val="none" w:sz="0" w:space="0" w:color="auto"/>
        <w:bottom w:val="none" w:sz="0" w:space="0" w:color="auto"/>
        <w:right w:val="none" w:sz="0" w:space="0" w:color="auto"/>
      </w:divBdr>
      <w:divsChild>
        <w:div w:id="646978540">
          <w:marLeft w:val="1008"/>
          <w:marRight w:val="0"/>
          <w:marTop w:val="154"/>
          <w:marBottom w:val="0"/>
          <w:divBdr>
            <w:top w:val="none" w:sz="0" w:space="0" w:color="auto"/>
            <w:left w:val="none" w:sz="0" w:space="0" w:color="auto"/>
            <w:bottom w:val="none" w:sz="0" w:space="0" w:color="auto"/>
            <w:right w:val="none" w:sz="0" w:space="0" w:color="auto"/>
          </w:divBdr>
        </w:div>
        <w:div w:id="1165975840">
          <w:marLeft w:val="1008"/>
          <w:marRight w:val="0"/>
          <w:marTop w:val="154"/>
          <w:marBottom w:val="0"/>
          <w:divBdr>
            <w:top w:val="none" w:sz="0" w:space="0" w:color="auto"/>
            <w:left w:val="none" w:sz="0" w:space="0" w:color="auto"/>
            <w:bottom w:val="none" w:sz="0" w:space="0" w:color="auto"/>
            <w:right w:val="none" w:sz="0" w:space="0" w:color="auto"/>
          </w:divBdr>
        </w:div>
        <w:div w:id="957487881">
          <w:marLeft w:val="1008"/>
          <w:marRight w:val="0"/>
          <w:marTop w:val="154"/>
          <w:marBottom w:val="0"/>
          <w:divBdr>
            <w:top w:val="none" w:sz="0" w:space="0" w:color="auto"/>
            <w:left w:val="none" w:sz="0" w:space="0" w:color="auto"/>
            <w:bottom w:val="none" w:sz="0" w:space="0" w:color="auto"/>
            <w:right w:val="none" w:sz="0" w:space="0" w:color="auto"/>
          </w:divBdr>
        </w:div>
      </w:divsChild>
    </w:div>
    <w:div w:id="677584560">
      <w:bodyDiv w:val="1"/>
      <w:marLeft w:val="0"/>
      <w:marRight w:val="0"/>
      <w:marTop w:val="0"/>
      <w:marBottom w:val="0"/>
      <w:divBdr>
        <w:top w:val="none" w:sz="0" w:space="0" w:color="auto"/>
        <w:left w:val="none" w:sz="0" w:space="0" w:color="auto"/>
        <w:bottom w:val="none" w:sz="0" w:space="0" w:color="auto"/>
        <w:right w:val="none" w:sz="0" w:space="0" w:color="auto"/>
      </w:divBdr>
      <w:divsChild>
        <w:div w:id="1996371663">
          <w:marLeft w:val="0"/>
          <w:marRight w:val="0"/>
          <w:marTop w:val="0"/>
          <w:marBottom w:val="0"/>
          <w:divBdr>
            <w:top w:val="none" w:sz="0" w:space="0" w:color="auto"/>
            <w:left w:val="none" w:sz="0" w:space="0" w:color="auto"/>
            <w:bottom w:val="none" w:sz="0" w:space="0" w:color="auto"/>
            <w:right w:val="none" w:sz="0" w:space="0" w:color="auto"/>
          </w:divBdr>
          <w:divsChild>
            <w:div w:id="1766656077">
              <w:marLeft w:val="0"/>
              <w:marRight w:val="0"/>
              <w:marTop w:val="0"/>
              <w:marBottom w:val="0"/>
              <w:divBdr>
                <w:top w:val="none" w:sz="0" w:space="0" w:color="auto"/>
                <w:left w:val="none" w:sz="0" w:space="0" w:color="auto"/>
                <w:bottom w:val="none" w:sz="0" w:space="0" w:color="auto"/>
                <w:right w:val="none" w:sz="0" w:space="0" w:color="auto"/>
              </w:divBdr>
              <w:divsChild>
                <w:div w:id="1456023551">
                  <w:marLeft w:val="0"/>
                  <w:marRight w:val="0"/>
                  <w:marTop w:val="0"/>
                  <w:marBottom w:val="0"/>
                  <w:divBdr>
                    <w:top w:val="none" w:sz="0" w:space="0" w:color="auto"/>
                    <w:left w:val="none" w:sz="0" w:space="0" w:color="auto"/>
                    <w:bottom w:val="none" w:sz="0" w:space="0" w:color="auto"/>
                    <w:right w:val="none" w:sz="0" w:space="0" w:color="auto"/>
                  </w:divBdr>
                  <w:divsChild>
                    <w:div w:id="151531732">
                      <w:marLeft w:val="0"/>
                      <w:marRight w:val="0"/>
                      <w:marTop w:val="300"/>
                      <w:marBottom w:val="375"/>
                      <w:divBdr>
                        <w:top w:val="none" w:sz="0" w:space="0" w:color="auto"/>
                        <w:left w:val="none" w:sz="0" w:space="0" w:color="auto"/>
                        <w:bottom w:val="none" w:sz="0" w:space="0" w:color="auto"/>
                        <w:right w:val="none" w:sz="0" w:space="0" w:color="auto"/>
                      </w:divBdr>
                      <w:divsChild>
                        <w:div w:id="1805390349">
                          <w:marLeft w:val="0"/>
                          <w:marRight w:val="0"/>
                          <w:marTop w:val="0"/>
                          <w:marBottom w:val="0"/>
                          <w:divBdr>
                            <w:top w:val="none" w:sz="0" w:space="0" w:color="auto"/>
                            <w:left w:val="none" w:sz="0" w:space="0" w:color="auto"/>
                            <w:bottom w:val="none" w:sz="0" w:space="0" w:color="auto"/>
                            <w:right w:val="none" w:sz="0" w:space="0" w:color="auto"/>
                          </w:divBdr>
                          <w:divsChild>
                            <w:div w:id="923223484">
                              <w:marLeft w:val="0"/>
                              <w:marRight w:val="0"/>
                              <w:marTop w:val="0"/>
                              <w:marBottom w:val="0"/>
                              <w:divBdr>
                                <w:top w:val="none" w:sz="0" w:space="0" w:color="auto"/>
                                <w:left w:val="none" w:sz="0" w:space="0" w:color="auto"/>
                                <w:bottom w:val="none" w:sz="0" w:space="0" w:color="auto"/>
                                <w:right w:val="none" w:sz="0" w:space="0" w:color="auto"/>
                              </w:divBdr>
                              <w:divsChild>
                                <w:div w:id="12039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237319">
      <w:bodyDiv w:val="1"/>
      <w:marLeft w:val="0"/>
      <w:marRight w:val="0"/>
      <w:marTop w:val="0"/>
      <w:marBottom w:val="0"/>
      <w:divBdr>
        <w:top w:val="none" w:sz="0" w:space="0" w:color="auto"/>
        <w:left w:val="none" w:sz="0" w:space="0" w:color="auto"/>
        <w:bottom w:val="none" w:sz="0" w:space="0" w:color="auto"/>
        <w:right w:val="none" w:sz="0" w:space="0" w:color="auto"/>
      </w:divBdr>
    </w:div>
    <w:div w:id="819034132">
      <w:bodyDiv w:val="1"/>
      <w:marLeft w:val="0"/>
      <w:marRight w:val="0"/>
      <w:marTop w:val="0"/>
      <w:marBottom w:val="0"/>
      <w:divBdr>
        <w:top w:val="none" w:sz="0" w:space="0" w:color="auto"/>
        <w:left w:val="none" w:sz="0" w:space="0" w:color="auto"/>
        <w:bottom w:val="none" w:sz="0" w:space="0" w:color="auto"/>
        <w:right w:val="none" w:sz="0" w:space="0" w:color="auto"/>
      </w:divBdr>
    </w:div>
    <w:div w:id="857543617">
      <w:bodyDiv w:val="1"/>
      <w:marLeft w:val="0"/>
      <w:marRight w:val="0"/>
      <w:marTop w:val="0"/>
      <w:marBottom w:val="0"/>
      <w:divBdr>
        <w:top w:val="none" w:sz="0" w:space="0" w:color="auto"/>
        <w:left w:val="none" w:sz="0" w:space="0" w:color="auto"/>
        <w:bottom w:val="none" w:sz="0" w:space="0" w:color="auto"/>
        <w:right w:val="none" w:sz="0" w:space="0" w:color="auto"/>
      </w:divBdr>
      <w:divsChild>
        <w:div w:id="480194034">
          <w:marLeft w:val="0"/>
          <w:marRight w:val="0"/>
          <w:marTop w:val="0"/>
          <w:marBottom w:val="0"/>
          <w:divBdr>
            <w:top w:val="none" w:sz="0" w:space="0" w:color="auto"/>
            <w:left w:val="none" w:sz="0" w:space="0" w:color="auto"/>
            <w:bottom w:val="none" w:sz="0" w:space="0" w:color="auto"/>
            <w:right w:val="none" w:sz="0" w:space="0" w:color="auto"/>
          </w:divBdr>
          <w:divsChild>
            <w:div w:id="297684608">
              <w:marLeft w:val="0"/>
              <w:marRight w:val="0"/>
              <w:marTop w:val="0"/>
              <w:marBottom w:val="0"/>
              <w:divBdr>
                <w:top w:val="none" w:sz="0" w:space="0" w:color="auto"/>
                <w:left w:val="none" w:sz="0" w:space="0" w:color="auto"/>
                <w:bottom w:val="none" w:sz="0" w:space="0" w:color="auto"/>
                <w:right w:val="none" w:sz="0" w:space="0" w:color="auto"/>
              </w:divBdr>
              <w:divsChild>
                <w:div w:id="654798723">
                  <w:marLeft w:val="0"/>
                  <w:marRight w:val="0"/>
                  <w:marTop w:val="0"/>
                  <w:marBottom w:val="0"/>
                  <w:divBdr>
                    <w:top w:val="none" w:sz="0" w:space="0" w:color="auto"/>
                    <w:left w:val="none" w:sz="0" w:space="0" w:color="auto"/>
                    <w:bottom w:val="none" w:sz="0" w:space="0" w:color="auto"/>
                    <w:right w:val="none" w:sz="0" w:space="0" w:color="auto"/>
                  </w:divBdr>
                  <w:divsChild>
                    <w:div w:id="76102027">
                      <w:marLeft w:val="0"/>
                      <w:marRight w:val="0"/>
                      <w:marTop w:val="0"/>
                      <w:marBottom w:val="0"/>
                      <w:divBdr>
                        <w:top w:val="none" w:sz="0" w:space="0" w:color="auto"/>
                        <w:left w:val="none" w:sz="0" w:space="0" w:color="auto"/>
                        <w:bottom w:val="none" w:sz="0" w:space="0" w:color="auto"/>
                        <w:right w:val="none" w:sz="0" w:space="0" w:color="auto"/>
                      </w:divBdr>
                      <w:divsChild>
                        <w:div w:id="2051878348">
                          <w:marLeft w:val="0"/>
                          <w:marRight w:val="0"/>
                          <w:marTop w:val="0"/>
                          <w:marBottom w:val="0"/>
                          <w:divBdr>
                            <w:top w:val="none" w:sz="0" w:space="0" w:color="auto"/>
                            <w:left w:val="none" w:sz="0" w:space="0" w:color="auto"/>
                            <w:bottom w:val="none" w:sz="0" w:space="0" w:color="auto"/>
                            <w:right w:val="none" w:sz="0" w:space="0" w:color="auto"/>
                          </w:divBdr>
                          <w:divsChild>
                            <w:div w:id="6771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450589">
      <w:bodyDiv w:val="1"/>
      <w:marLeft w:val="0"/>
      <w:marRight w:val="0"/>
      <w:marTop w:val="0"/>
      <w:marBottom w:val="0"/>
      <w:divBdr>
        <w:top w:val="none" w:sz="0" w:space="0" w:color="auto"/>
        <w:left w:val="none" w:sz="0" w:space="0" w:color="auto"/>
        <w:bottom w:val="none" w:sz="0" w:space="0" w:color="auto"/>
        <w:right w:val="none" w:sz="0" w:space="0" w:color="auto"/>
      </w:divBdr>
    </w:div>
    <w:div w:id="882599416">
      <w:bodyDiv w:val="1"/>
      <w:marLeft w:val="0"/>
      <w:marRight w:val="0"/>
      <w:marTop w:val="0"/>
      <w:marBottom w:val="0"/>
      <w:divBdr>
        <w:top w:val="none" w:sz="0" w:space="0" w:color="auto"/>
        <w:left w:val="none" w:sz="0" w:space="0" w:color="auto"/>
        <w:bottom w:val="none" w:sz="0" w:space="0" w:color="auto"/>
        <w:right w:val="none" w:sz="0" w:space="0" w:color="auto"/>
      </w:divBdr>
      <w:divsChild>
        <w:div w:id="2074354978">
          <w:marLeft w:val="432"/>
          <w:marRight w:val="0"/>
          <w:marTop w:val="125"/>
          <w:marBottom w:val="0"/>
          <w:divBdr>
            <w:top w:val="none" w:sz="0" w:space="0" w:color="auto"/>
            <w:left w:val="none" w:sz="0" w:space="0" w:color="auto"/>
            <w:bottom w:val="none" w:sz="0" w:space="0" w:color="auto"/>
            <w:right w:val="none" w:sz="0" w:space="0" w:color="auto"/>
          </w:divBdr>
        </w:div>
        <w:div w:id="796533587">
          <w:marLeft w:val="432"/>
          <w:marRight w:val="0"/>
          <w:marTop w:val="125"/>
          <w:marBottom w:val="0"/>
          <w:divBdr>
            <w:top w:val="none" w:sz="0" w:space="0" w:color="auto"/>
            <w:left w:val="none" w:sz="0" w:space="0" w:color="auto"/>
            <w:bottom w:val="none" w:sz="0" w:space="0" w:color="auto"/>
            <w:right w:val="none" w:sz="0" w:space="0" w:color="auto"/>
          </w:divBdr>
        </w:div>
        <w:div w:id="1725132940">
          <w:marLeft w:val="432"/>
          <w:marRight w:val="0"/>
          <w:marTop w:val="125"/>
          <w:marBottom w:val="0"/>
          <w:divBdr>
            <w:top w:val="none" w:sz="0" w:space="0" w:color="auto"/>
            <w:left w:val="none" w:sz="0" w:space="0" w:color="auto"/>
            <w:bottom w:val="none" w:sz="0" w:space="0" w:color="auto"/>
            <w:right w:val="none" w:sz="0" w:space="0" w:color="auto"/>
          </w:divBdr>
        </w:div>
        <w:div w:id="703141501">
          <w:marLeft w:val="432"/>
          <w:marRight w:val="0"/>
          <w:marTop w:val="125"/>
          <w:marBottom w:val="0"/>
          <w:divBdr>
            <w:top w:val="none" w:sz="0" w:space="0" w:color="auto"/>
            <w:left w:val="none" w:sz="0" w:space="0" w:color="auto"/>
            <w:bottom w:val="none" w:sz="0" w:space="0" w:color="auto"/>
            <w:right w:val="none" w:sz="0" w:space="0" w:color="auto"/>
          </w:divBdr>
        </w:div>
        <w:div w:id="1917590631">
          <w:marLeft w:val="432"/>
          <w:marRight w:val="0"/>
          <w:marTop w:val="125"/>
          <w:marBottom w:val="0"/>
          <w:divBdr>
            <w:top w:val="none" w:sz="0" w:space="0" w:color="auto"/>
            <w:left w:val="none" w:sz="0" w:space="0" w:color="auto"/>
            <w:bottom w:val="none" w:sz="0" w:space="0" w:color="auto"/>
            <w:right w:val="none" w:sz="0" w:space="0" w:color="auto"/>
          </w:divBdr>
        </w:div>
      </w:divsChild>
    </w:div>
    <w:div w:id="897472949">
      <w:bodyDiv w:val="1"/>
      <w:marLeft w:val="0"/>
      <w:marRight w:val="0"/>
      <w:marTop w:val="0"/>
      <w:marBottom w:val="0"/>
      <w:divBdr>
        <w:top w:val="none" w:sz="0" w:space="0" w:color="auto"/>
        <w:left w:val="none" w:sz="0" w:space="0" w:color="auto"/>
        <w:bottom w:val="none" w:sz="0" w:space="0" w:color="auto"/>
        <w:right w:val="none" w:sz="0" w:space="0" w:color="auto"/>
      </w:divBdr>
      <w:divsChild>
        <w:div w:id="1697536885">
          <w:marLeft w:val="965"/>
          <w:marRight w:val="0"/>
          <w:marTop w:val="96"/>
          <w:marBottom w:val="0"/>
          <w:divBdr>
            <w:top w:val="none" w:sz="0" w:space="0" w:color="auto"/>
            <w:left w:val="none" w:sz="0" w:space="0" w:color="auto"/>
            <w:bottom w:val="none" w:sz="0" w:space="0" w:color="auto"/>
            <w:right w:val="none" w:sz="0" w:space="0" w:color="auto"/>
          </w:divBdr>
        </w:div>
      </w:divsChild>
    </w:div>
    <w:div w:id="959455486">
      <w:bodyDiv w:val="1"/>
      <w:marLeft w:val="0"/>
      <w:marRight w:val="0"/>
      <w:marTop w:val="0"/>
      <w:marBottom w:val="0"/>
      <w:divBdr>
        <w:top w:val="none" w:sz="0" w:space="0" w:color="auto"/>
        <w:left w:val="none" w:sz="0" w:space="0" w:color="auto"/>
        <w:bottom w:val="none" w:sz="0" w:space="0" w:color="auto"/>
        <w:right w:val="none" w:sz="0" w:space="0" w:color="auto"/>
      </w:divBdr>
      <w:divsChild>
        <w:div w:id="2085029766">
          <w:marLeft w:val="432"/>
          <w:marRight w:val="0"/>
          <w:marTop w:val="125"/>
          <w:marBottom w:val="0"/>
          <w:divBdr>
            <w:top w:val="none" w:sz="0" w:space="0" w:color="auto"/>
            <w:left w:val="none" w:sz="0" w:space="0" w:color="auto"/>
            <w:bottom w:val="none" w:sz="0" w:space="0" w:color="auto"/>
            <w:right w:val="none" w:sz="0" w:space="0" w:color="auto"/>
          </w:divBdr>
        </w:div>
      </w:divsChild>
    </w:div>
    <w:div w:id="973172065">
      <w:bodyDiv w:val="1"/>
      <w:marLeft w:val="0"/>
      <w:marRight w:val="0"/>
      <w:marTop w:val="0"/>
      <w:marBottom w:val="0"/>
      <w:divBdr>
        <w:top w:val="none" w:sz="0" w:space="0" w:color="auto"/>
        <w:left w:val="none" w:sz="0" w:space="0" w:color="auto"/>
        <w:bottom w:val="none" w:sz="0" w:space="0" w:color="auto"/>
        <w:right w:val="none" w:sz="0" w:space="0" w:color="auto"/>
      </w:divBdr>
    </w:div>
    <w:div w:id="973288673">
      <w:bodyDiv w:val="1"/>
      <w:marLeft w:val="0"/>
      <w:marRight w:val="0"/>
      <w:marTop w:val="0"/>
      <w:marBottom w:val="0"/>
      <w:divBdr>
        <w:top w:val="none" w:sz="0" w:space="0" w:color="auto"/>
        <w:left w:val="none" w:sz="0" w:space="0" w:color="auto"/>
        <w:bottom w:val="none" w:sz="0" w:space="0" w:color="auto"/>
        <w:right w:val="none" w:sz="0" w:space="0" w:color="auto"/>
      </w:divBdr>
      <w:divsChild>
        <w:div w:id="1820681738">
          <w:marLeft w:val="432"/>
          <w:marRight w:val="0"/>
          <w:marTop w:val="115"/>
          <w:marBottom w:val="0"/>
          <w:divBdr>
            <w:top w:val="none" w:sz="0" w:space="0" w:color="auto"/>
            <w:left w:val="none" w:sz="0" w:space="0" w:color="auto"/>
            <w:bottom w:val="none" w:sz="0" w:space="0" w:color="auto"/>
            <w:right w:val="none" w:sz="0" w:space="0" w:color="auto"/>
          </w:divBdr>
        </w:div>
        <w:div w:id="1471896515">
          <w:marLeft w:val="1008"/>
          <w:marRight w:val="0"/>
          <w:marTop w:val="96"/>
          <w:marBottom w:val="0"/>
          <w:divBdr>
            <w:top w:val="none" w:sz="0" w:space="0" w:color="auto"/>
            <w:left w:val="none" w:sz="0" w:space="0" w:color="auto"/>
            <w:bottom w:val="none" w:sz="0" w:space="0" w:color="auto"/>
            <w:right w:val="none" w:sz="0" w:space="0" w:color="auto"/>
          </w:divBdr>
        </w:div>
        <w:div w:id="1473210574">
          <w:marLeft w:val="1008"/>
          <w:marRight w:val="0"/>
          <w:marTop w:val="96"/>
          <w:marBottom w:val="0"/>
          <w:divBdr>
            <w:top w:val="none" w:sz="0" w:space="0" w:color="auto"/>
            <w:left w:val="none" w:sz="0" w:space="0" w:color="auto"/>
            <w:bottom w:val="none" w:sz="0" w:space="0" w:color="auto"/>
            <w:right w:val="none" w:sz="0" w:space="0" w:color="auto"/>
          </w:divBdr>
        </w:div>
        <w:div w:id="1470660293">
          <w:marLeft w:val="1008"/>
          <w:marRight w:val="0"/>
          <w:marTop w:val="96"/>
          <w:marBottom w:val="0"/>
          <w:divBdr>
            <w:top w:val="none" w:sz="0" w:space="0" w:color="auto"/>
            <w:left w:val="none" w:sz="0" w:space="0" w:color="auto"/>
            <w:bottom w:val="none" w:sz="0" w:space="0" w:color="auto"/>
            <w:right w:val="none" w:sz="0" w:space="0" w:color="auto"/>
          </w:divBdr>
        </w:div>
        <w:div w:id="2117215586">
          <w:marLeft w:val="1008"/>
          <w:marRight w:val="0"/>
          <w:marTop w:val="96"/>
          <w:marBottom w:val="0"/>
          <w:divBdr>
            <w:top w:val="none" w:sz="0" w:space="0" w:color="auto"/>
            <w:left w:val="none" w:sz="0" w:space="0" w:color="auto"/>
            <w:bottom w:val="none" w:sz="0" w:space="0" w:color="auto"/>
            <w:right w:val="none" w:sz="0" w:space="0" w:color="auto"/>
          </w:divBdr>
        </w:div>
        <w:div w:id="686902844">
          <w:marLeft w:val="1008"/>
          <w:marRight w:val="0"/>
          <w:marTop w:val="96"/>
          <w:marBottom w:val="0"/>
          <w:divBdr>
            <w:top w:val="none" w:sz="0" w:space="0" w:color="auto"/>
            <w:left w:val="none" w:sz="0" w:space="0" w:color="auto"/>
            <w:bottom w:val="none" w:sz="0" w:space="0" w:color="auto"/>
            <w:right w:val="none" w:sz="0" w:space="0" w:color="auto"/>
          </w:divBdr>
        </w:div>
        <w:div w:id="1860854412">
          <w:marLeft w:val="1008"/>
          <w:marRight w:val="0"/>
          <w:marTop w:val="96"/>
          <w:marBottom w:val="0"/>
          <w:divBdr>
            <w:top w:val="none" w:sz="0" w:space="0" w:color="auto"/>
            <w:left w:val="none" w:sz="0" w:space="0" w:color="auto"/>
            <w:bottom w:val="none" w:sz="0" w:space="0" w:color="auto"/>
            <w:right w:val="none" w:sz="0" w:space="0" w:color="auto"/>
          </w:divBdr>
        </w:div>
        <w:div w:id="1191990213">
          <w:marLeft w:val="1008"/>
          <w:marRight w:val="0"/>
          <w:marTop w:val="96"/>
          <w:marBottom w:val="0"/>
          <w:divBdr>
            <w:top w:val="none" w:sz="0" w:space="0" w:color="auto"/>
            <w:left w:val="none" w:sz="0" w:space="0" w:color="auto"/>
            <w:bottom w:val="none" w:sz="0" w:space="0" w:color="auto"/>
            <w:right w:val="none" w:sz="0" w:space="0" w:color="auto"/>
          </w:divBdr>
        </w:div>
        <w:div w:id="733741406">
          <w:marLeft w:val="1440"/>
          <w:marRight w:val="0"/>
          <w:marTop w:val="86"/>
          <w:marBottom w:val="0"/>
          <w:divBdr>
            <w:top w:val="none" w:sz="0" w:space="0" w:color="auto"/>
            <w:left w:val="none" w:sz="0" w:space="0" w:color="auto"/>
            <w:bottom w:val="none" w:sz="0" w:space="0" w:color="auto"/>
            <w:right w:val="none" w:sz="0" w:space="0" w:color="auto"/>
          </w:divBdr>
        </w:div>
        <w:div w:id="433282897">
          <w:marLeft w:val="1008"/>
          <w:marRight w:val="0"/>
          <w:marTop w:val="96"/>
          <w:marBottom w:val="0"/>
          <w:divBdr>
            <w:top w:val="none" w:sz="0" w:space="0" w:color="auto"/>
            <w:left w:val="none" w:sz="0" w:space="0" w:color="auto"/>
            <w:bottom w:val="none" w:sz="0" w:space="0" w:color="auto"/>
            <w:right w:val="none" w:sz="0" w:space="0" w:color="auto"/>
          </w:divBdr>
        </w:div>
      </w:divsChild>
    </w:div>
    <w:div w:id="1013874646">
      <w:bodyDiv w:val="1"/>
      <w:marLeft w:val="0"/>
      <w:marRight w:val="0"/>
      <w:marTop w:val="0"/>
      <w:marBottom w:val="0"/>
      <w:divBdr>
        <w:top w:val="none" w:sz="0" w:space="0" w:color="auto"/>
        <w:left w:val="none" w:sz="0" w:space="0" w:color="auto"/>
        <w:bottom w:val="none" w:sz="0" w:space="0" w:color="auto"/>
        <w:right w:val="none" w:sz="0" w:space="0" w:color="auto"/>
      </w:divBdr>
      <w:divsChild>
        <w:div w:id="466361614">
          <w:marLeft w:val="1008"/>
          <w:marRight w:val="0"/>
          <w:marTop w:val="115"/>
          <w:marBottom w:val="0"/>
          <w:divBdr>
            <w:top w:val="none" w:sz="0" w:space="0" w:color="auto"/>
            <w:left w:val="none" w:sz="0" w:space="0" w:color="auto"/>
            <w:bottom w:val="none" w:sz="0" w:space="0" w:color="auto"/>
            <w:right w:val="none" w:sz="0" w:space="0" w:color="auto"/>
          </w:divBdr>
        </w:div>
        <w:div w:id="1091047598">
          <w:marLeft w:val="1008"/>
          <w:marRight w:val="0"/>
          <w:marTop w:val="115"/>
          <w:marBottom w:val="0"/>
          <w:divBdr>
            <w:top w:val="none" w:sz="0" w:space="0" w:color="auto"/>
            <w:left w:val="none" w:sz="0" w:space="0" w:color="auto"/>
            <w:bottom w:val="none" w:sz="0" w:space="0" w:color="auto"/>
            <w:right w:val="none" w:sz="0" w:space="0" w:color="auto"/>
          </w:divBdr>
        </w:div>
        <w:div w:id="867452117">
          <w:marLeft w:val="1008"/>
          <w:marRight w:val="0"/>
          <w:marTop w:val="115"/>
          <w:marBottom w:val="0"/>
          <w:divBdr>
            <w:top w:val="none" w:sz="0" w:space="0" w:color="auto"/>
            <w:left w:val="none" w:sz="0" w:space="0" w:color="auto"/>
            <w:bottom w:val="none" w:sz="0" w:space="0" w:color="auto"/>
            <w:right w:val="none" w:sz="0" w:space="0" w:color="auto"/>
          </w:divBdr>
        </w:div>
      </w:divsChild>
    </w:div>
    <w:div w:id="1014184661">
      <w:bodyDiv w:val="1"/>
      <w:marLeft w:val="0"/>
      <w:marRight w:val="0"/>
      <w:marTop w:val="0"/>
      <w:marBottom w:val="0"/>
      <w:divBdr>
        <w:top w:val="none" w:sz="0" w:space="0" w:color="auto"/>
        <w:left w:val="none" w:sz="0" w:space="0" w:color="auto"/>
        <w:bottom w:val="none" w:sz="0" w:space="0" w:color="auto"/>
        <w:right w:val="none" w:sz="0" w:space="0" w:color="auto"/>
      </w:divBdr>
      <w:divsChild>
        <w:div w:id="1958633056">
          <w:marLeft w:val="0"/>
          <w:marRight w:val="0"/>
          <w:marTop w:val="0"/>
          <w:marBottom w:val="0"/>
          <w:divBdr>
            <w:top w:val="none" w:sz="0" w:space="0" w:color="auto"/>
            <w:left w:val="none" w:sz="0" w:space="0" w:color="auto"/>
            <w:bottom w:val="none" w:sz="0" w:space="0" w:color="auto"/>
            <w:right w:val="none" w:sz="0" w:space="0" w:color="auto"/>
          </w:divBdr>
          <w:divsChild>
            <w:div w:id="39482963">
              <w:marLeft w:val="-225"/>
              <w:marRight w:val="-225"/>
              <w:marTop w:val="0"/>
              <w:marBottom w:val="0"/>
              <w:divBdr>
                <w:top w:val="none" w:sz="0" w:space="0" w:color="auto"/>
                <w:left w:val="none" w:sz="0" w:space="0" w:color="auto"/>
                <w:bottom w:val="none" w:sz="0" w:space="0" w:color="auto"/>
                <w:right w:val="none" w:sz="0" w:space="0" w:color="auto"/>
              </w:divBdr>
              <w:divsChild>
                <w:div w:id="2103068033">
                  <w:marLeft w:val="0"/>
                  <w:marRight w:val="0"/>
                  <w:marTop w:val="0"/>
                  <w:marBottom w:val="0"/>
                  <w:divBdr>
                    <w:top w:val="none" w:sz="0" w:space="0" w:color="auto"/>
                    <w:left w:val="none" w:sz="0" w:space="0" w:color="auto"/>
                    <w:bottom w:val="none" w:sz="0" w:space="0" w:color="auto"/>
                    <w:right w:val="none" w:sz="0" w:space="0" w:color="auto"/>
                  </w:divBdr>
                  <w:divsChild>
                    <w:div w:id="10165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1408">
      <w:bodyDiv w:val="1"/>
      <w:marLeft w:val="0"/>
      <w:marRight w:val="0"/>
      <w:marTop w:val="0"/>
      <w:marBottom w:val="0"/>
      <w:divBdr>
        <w:top w:val="none" w:sz="0" w:space="0" w:color="auto"/>
        <w:left w:val="none" w:sz="0" w:space="0" w:color="auto"/>
        <w:bottom w:val="none" w:sz="0" w:space="0" w:color="auto"/>
        <w:right w:val="none" w:sz="0" w:space="0" w:color="auto"/>
      </w:divBdr>
      <w:divsChild>
        <w:div w:id="1636909838">
          <w:marLeft w:val="1008"/>
          <w:marRight w:val="0"/>
          <w:marTop w:val="154"/>
          <w:marBottom w:val="0"/>
          <w:divBdr>
            <w:top w:val="none" w:sz="0" w:space="0" w:color="auto"/>
            <w:left w:val="none" w:sz="0" w:space="0" w:color="auto"/>
            <w:bottom w:val="none" w:sz="0" w:space="0" w:color="auto"/>
            <w:right w:val="none" w:sz="0" w:space="0" w:color="auto"/>
          </w:divBdr>
        </w:div>
        <w:div w:id="534199228">
          <w:marLeft w:val="1008"/>
          <w:marRight w:val="0"/>
          <w:marTop w:val="154"/>
          <w:marBottom w:val="0"/>
          <w:divBdr>
            <w:top w:val="none" w:sz="0" w:space="0" w:color="auto"/>
            <w:left w:val="none" w:sz="0" w:space="0" w:color="auto"/>
            <w:bottom w:val="none" w:sz="0" w:space="0" w:color="auto"/>
            <w:right w:val="none" w:sz="0" w:space="0" w:color="auto"/>
          </w:divBdr>
        </w:div>
      </w:divsChild>
    </w:div>
    <w:div w:id="1060405157">
      <w:bodyDiv w:val="1"/>
      <w:marLeft w:val="0"/>
      <w:marRight w:val="0"/>
      <w:marTop w:val="0"/>
      <w:marBottom w:val="0"/>
      <w:divBdr>
        <w:top w:val="none" w:sz="0" w:space="0" w:color="auto"/>
        <w:left w:val="none" w:sz="0" w:space="0" w:color="auto"/>
        <w:bottom w:val="none" w:sz="0" w:space="0" w:color="auto"/>
        <w:right w:val="none" w:sz="0" w:space="0" w:color="auto"/>
      </w:divBdr>
    </w:div>
    <w:div w:id="1065182538">
      <w:bodyDiv w:val="1"/>
      <w:marLeft w:val="0"/>
      <w:marRight w:val="0"/>
      <w:marTop w:val="0"/>
      <w:marBottom w:val="0"/>
      <w:divBdr>
        <w:top w:val="none" w:sz="0" w:space="0" w:color="auto"/>
        <w:left w:val="none" w:sz="0" w:space="0" w:color="auto"/>
        <w:bottom w:val="none" w:sz="0" w:space="0" w:color="auto"/>
        <w:right w:val="none" w:sz="0" w:space="0" w:color="auto"/>
      </w:divBdr>
    </w:div>
    <w:div w:id="1075274990">
      <w:bodyDiv w:val="1"/>
      <w:marLeft w:val="0"/>
      <w:marRight w:val="0"/>
      <w:marTop w:val="0"/>
      <w:marBottom w:val="0"/>
      <w:divBdr>
        <w:top w:val="none" w:sz="0" w:space="0" w:color="auto"/>
        <w:left w:val="none" w:sz="0" w:space="0" w:color="auto"/>
        <w:bottom w:val="none" w:sz="0" w:space="0" w:color="auto"/>
        <w:right w:val="none" w:sz="0" w:space="0" w:color="auto"/>
      </w:divBdr>
      <w:divsChild>
        <w:div w:id="1248803615">
          <w:marLeft w:val="965"/>
          <w:marRight w:val="0"/>
          <w:marTop w:val="96"/>
          <w:marBottom w:val="0"/>
          <w:divBdr>
            <w:top w:val="none" w:sz="0" w:space="0" w:color="auto"/>
            <w:left w:val="none" w:sz="0" w:space="0" w:color="auto"/>
            <w:bottom w:val="none" w:sz="0" w:space="0" w:color="auto"/>
            <w:right w:val="none" w:sz="0" w:space="0" w:color="auto"/>
          </w:divBdr>
        </w:div>
      </w:divsChild>
    </w:div>
    <w:div w:id="1091782435">
      <w:bodyDiv w:val="1"/>
      <w:marLeft w:val="0"/>
      <w:marRight w:val="0"/>
      <w:marTop w:val="0"/>
      <w:marBottom w:val="0"/>
      <w:divBdr>
        <w:top w:val="none" w:sz="0" w:space="0" w:color="auto"/>
        <w:left w:val="none" w:sz="0" w:space="0" w:color="auto"/>
        <w:bottom w:val="none" w:sz="0" w:space="0" w:color="auto"/>
        <w:right w:val="none" w:sz="0" w:space="0" w:color="auto"/>
      </w:divBdr>
    </w:div>
    <w:div w:id="1133986168">
      <w:bodyDiv w:val="1"/>
      <w:marLeft w:val="0"/>
      <w:marRight w:val="0"/>
      <w:marTop w:val="0"/>
      <w:marBottom w:val="0"/>
      <w:divBdr>
        <w:top w:val="none" w:sz="0" w:space="0" w:color="auto"/>
        <w:left w:val="none" w:sz="0" w:space="0" w:color="auto"/>
        <w:bottom w:val="none" w:sz="0" w:space="0" w:color="auto"/>
        <w:right w:val="none" w:sz="0" w:space="0" w:color="auto"/>
      </w:divBdr>
      <w:divsChild>
        <w:div w:id="1850826553">
          <w:marLeft w:val="1008"/>
          <w:marRight w:val="0"/>
          <w:marTop w:val="115"/>
          <w:marBottom w:val="0"/>
          <w:divBdr>
            <w:top w:val="none" w:sz="0" w:space="0" w:color="auto"/>
            <w:left w:val="none" w:sz="0" w:space="0" w:color="auto"/>
            <w:bottom w:val="none" w:sz="0" w:space="0" w:color="auto"/>
            <w:right w:val="none" w:sz="0" w:space="0" w:color="auto"/>
          </w:divBdr>
        </w:div>
      </w:divsChild>
    </w:div>
    <w:div w:id="1136727822">
      <w:bodyDiv w:val="1"/>
      <w:marLeft w:val="0"/>
      <w:marRight w:val="0"/>
      <w:marTop w:val="0"/>
      <w:marBottom w:val="0"/>
      <w:divBdr>
        <w:top w:val="none" w:sz="0" w:space="0" w:color="auto"/>
        <w:left w:val="none" w:sz="0" w:space="0" w:color="auto"/>
        <w:bottom w:val="none" w:sz="0" w:space="0" w:color="auto"/>
        <w:right w:val="none" w:sz="0" w:space="0" w:color="auto"/>
      </w:divBdr>
      <w:divsChild>
        <w:div w:id="1048647068">
          <w:marLeft w:val="432"/>
          <w:marRight w:val="0"/>
          <w:marTop w:val="134"/>
          <w:marBottom w:val="0"/>
          <w:divBdr>
            <w:top w:val="none" w:sz="0" w:space="0" w:color="auto"/>
            <w:left w:val="none" w:sz="0" w:space="0" w:color="auto"/>
            <w:bottom w:val="none" w:sz="0" w:space="0" w:color="auto"/>
            <w:right w:val="none" w:sz="0" w:space="0" w:color="auto"/>
          </w:divBdr>
        </w:div>
        <w:div w:id="483163420">
          <w:marLeft w:val="1008"/>
          <w:marRight w:val="0"/>
          <w:marTop w:val="115"/>
          <w:marBottom w:val="0"/>
          <w:divBdr>
            <w:top w:val="none" w:sz="0" w:space="0" w:color="auto"/>
            <w:left w:val="none" w:sz="0" w:space="0" w:color="auto"/>
            <w:bottom w:val="none" w:sz="0" w:space="0" w:color="auto"/>
            <w:right w:val="none" w:sz="0" w:space="0" w:color="auto"/>
          </w:divBdr>
        </w:div>
        <w:div w:id="2105950521">
          <w:marLeft w:val="1008"/>
          <w:marRight w:val="0"/>
          <w:marTop w:val="115"/>
          <w:marBottom w:val="0"/>
          <w:divBdr>
            <w:top w:val="none" w:sz="0" w:space="0" w:color="auto"/>
            <w:left w:val="none" w:sz="0" w:space="0" w:color="auto"/>
            <w:bottom w:val="none" w:sz="0" w:space="0" w:color="auto"/>
            <w:right w:val="none" w:sz="0" w:space="0" w:color="auto"/>
          </w:divBdr>
        </w:div>
        <w:div w:id="120391481">
          <w:marLeft w:val="1008"/>
          <w:marRight w:val="0"/>
          <w:marTop w:val="115"/>
          <w:marBottom w:val="0"/>
          <w:divBdr>
            <w:top w:val="none" w:sz="0" w:space="0" w:color="auto"/>
            <w:left w:val="none" w:sz="0" w:space="0" w:color="auto"/>
            <w:bottom w:val="none" w:sz="0" w:space="0" w:color="auto"/>
            <w:right w:val="none" w:sz="0" w:space="0" w:color="auto"/>
          </w:divBdr>
        </w:div>
        <w:div w:id="1325085653">
          <w:marLeft w:val="1008"/>
          <w:marRight w:val="0"/>
          <w:marTop w:val="115"/>
          <w:marBottom w:val="0"/>
          <w:divBdr>
            <w:top w:val="none" w:sz="0" w:space="0" w:color="auto"/>
            <w:left w:val="none" w:sz="0" w:space="0" w:color="auto"/>
            <w:bottom w:val="none" w:sz="0" w:space="0" w:color="auto"/>
            <w:right w:val="none" w:sz="0" w:space="0" w:color="auto"/>
          </w:divBdr>
        </w:div>
        <w:div w:id="920986241">
          <w:marLeft w:val="1008"/>
          <w:marRight w:val="0"/>
          <w:marTop w:val="115"/>
          <w:marBottom w:val="0"/>
          <w:divBdr>
            <w:top w:val="none" w:sz="0" w:space="0" w:color="auto"/>
            <w:left w:val="none" w:sz="0" w:space="0" w:color="auto"/>
            <w:bottom w:val="none" w:sz="0" w:space="0" w:color="auto"/>
            <w:right w:val="none" w:sz="0" w:space="0" w:color="auto"/>
          </w:divBdr>
        </w:div>
      </w:divsChild>
    </w:div>
    <w:div w:id="1139881443">
      <w:bodyDiv w:val="1"/>
      <w:marLeft w:val="0"/>
      <w:marRight w:val="0"/>
      <w:marTop w:val="0"/>
      <w:marBottom w:val="0"/>
      <w:divBdr>
        <w:top w:val="none" w:sz="0" w:space="0" w:color="auto"/>
        <w:left w:val="none" w:sz="0" w:space="0" w:color="auto"/>
        <w:bottom w:val="none" w:sz="0" w:space="0" w:color="auto"/>
        <w:right w:val="none" w:sz="0" w:space="0" w:color="auto"/>
      </w:divBdr>
      <w:divsChild>
        <w:div w:id="1139299242">
          <w:marLeft w:val="0"/>
          <w:marRight w:val="0"/>
          <w:marTop w:val="150"/>
          <w:marBottom w:val="0"/>
          <w:divBdr>
            <w:top w:val="none" w:sz="0" w:space="0" w:color="auto"/>
            <w:left w:val="none" w:sz="0" w:space="0" w:color="auto"/>
            <w:bottom w:val="none" w:sz="0" w:space="0" w:color="auto"/>
            <w:right w:val="none" w:sz="0" w:space="0" w:color="auto"/>
          </w:divBdr>
          <w:divsChild>
            <w:div w:id="1669476984">
              <w:marLeft w:val="300"/>
              <w:marRight w:val="0"/>
              <w:marTop w:val="0"/>
              <w:marBottom w:val="0"/>
              <w:divBdr>
                <w:top w:val="none" w:sz="0" w:space="0" w:color="auto"/>
                <w:left w:val="none" w:sz="0" w:space="0" w:color="auto"/>
                <w:bottom w:val="none" w:sz="0" w:space="0" w:color="auto"/>
                <w:right w:val="none" w:sz="0" w:space="0" w:color="auto"/>
              </w:divBdr>
              <w:divsChild>
                <w:div w:id="1583445163">
                  <w:marLeft w:val="0"/>
                  <w:marRight w:val="0"/>
                  <w:marTop w:val="0"/>
                  <w:marBottom w:val="0"/>
                  <w:divBdr>
                    <w:top w:val="none" w:sz="0" w:space="0" w:color="auto"/>
                    <w:left w:val="none" w:sz="0" w:space="0" w:color="auto"/>
                    <w:bottom w:val="none" w:sz="0" w:space="0" w:color="auto"/>
                    <w:right w:val="none" w:sz="0" w:space="0" w:color="auto"/>
                  </w:divBdr>
                  <w:divsChild>
                    <w:div w:id="1258753444">
                      <w:marLeft w:val="0"/>
                      <w:marRight w:val="0"/>
                      <w:marTop w:val="0"/>
                      <w:marBottom w:val="0"/>
                      <w:divBdr>
                        <w:top w:val="none" w:sz="0" w:space="0" w:color="auto"/>
                        <w:left w:val="none" w:sz="0" w:space="0" w:color="auto"/>
                        <w:bottom w:val="none" w:sz="0" w:space="0" w:color="auto"/>
                        <w:right w:val="none" w:sz="0" w:space="0" w:color="auto"/>
                      </w:divBdr>
                      <w:divsChild>
                        <w:div w:id="1935630101">
                          <w:marLeft w:val="0"/>
                          <w:marRight w:val="0"/>
                          <w:marTop w:val="0"/>
                          <w:marBottom w:val="0"/>
                          <w:divBdr>
                            <w:top w:val="none" w:sz="0" w:space="0" w:color="auto"/>
                            <w:left w:val="none" w:sz="0" w:space="0" w:color="auto"/>
                            <w:bottom w:val="none" w:sz="0" w:space="0" w:color="auto"/>
                            <w:right w:val="none" w:sz="0" w:space="0" w:color="auto"/>
                          </w:divBdr>
                          <w:divsChild>
                            <w:div w:id="1361008045">
                              <w:marLeft w:val="0"/>
                              <w:marRight w:val="0"/>
                              <w:marTop w:val="0"/>
                              <w:marBottom w:val="0"/>
                              <w:divBdr>
                                <w:top w:val="none" w:sz="0" w:space="0" w:color="auto"/>
                                <w:left w:val="none" w:sz="0" w:space="0" w:color="auto"/>
                                <w:bottom w:val="none" w:sz="0" w:space="0" w:color="auto"/>
                                <w:right w:val="none" w:sz="0" w:space="0" w:color="auto"/>
                              </w:divBdr>
                              <w:divsChild>
                                <w:div w:id="840778952">
                                  <w:marLeft w:val="0"/>
                                  <w:marRight w:val="0"/>
                                  <w:marTop w:val="0"/>
                                  <w:marBottom w:val="0"/>
                                  <w:divBdr>
                                    <w:top w:val="none" w:sz="0" w:space="0" w:color="auto"/>
                                    <w:left w:val="none" w:sz="0" w:space="0" w:color="auto"/>
                                    <w:bottom w:val="none" w:sz="0" w:space="0" w:color="auto"/>
                                    <w:right w:val="none" w:sz="0" w:space="0" w:color="auto"/>
                                  </w:divBdr>
                                  <w:divsChild>
                                    <w:div w:id="5000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524820">
      <w:bodyDiv w:val="1"/>
      <w:marLeft w:val="0"/>
      <w:marRight w:val="0"/>
      <w:marTop w:val="0"/>
      <w:marBottom w:val="0"/>
      <w:divBdr>
        <w:top w:val="none" w:sz="0" w:space="0" w:color="auto"/>
        <w:left w:val="none" w:sz="0" w:space="0" w:color="auto"/>
        <w:bottom w:val="none" w:sz="0" w:space="0" w:color="auto"/>
        <w:right w:val="none" w:sz="0" w:space="0" w:color="auto"/>
      </w:divBdr>
      <w:divsChild>
        <w:div w:id="1329944987">
          <w:marLeft w:val="432"/>
          <w:marRight w:val="0"/>
          <w:marTop w:val="744"/>
          <w:marBottom w:val="0"/>
          <w:divBdr>
            <w:top w:val="none" w:sz="0" w:space="0" w:color="auto"/>
            <w:left w:val="none" w:sz="0" w:space="0" w:color="auto"/>
            <w:bottom w:val="none" w:sz="0" w:space="0" w:color="auto"/>
            <w:right w:val="none" w:sz="0" w:space="0" w:color="auto"/>
          </w:divBdr>
        </w:div>
        <w:div w:id="1033455918">
          <w:marLeft w:val="432"/>
          <w:marRight w:val="0"/>
          <w:marTop w:val="744"/>
          <w:marBottom w:val="0"/>
          <w:divBdr>
            <w:top w:val="none" w:sz="0" w:space="0" w:color="auto"/>
            <w:left w:val="none" w:sz="0" w:space="0" w:color="auto"/>
            <w:bottom w:val="none" w:sz="0" w:space="0" w:color="auto"/>
            <w:right w:val="none" w:sz="0" w:space="0" w:color="auto"/>
          </w:divBdr>
        </w:div>
        <w:div w:id="1813332031">
          <w:marLeft w:val="432"/>
          <w:marRight w:val="0"/>
          <w:marTop w:val="744"/>
          <w:marBottom w:val="0"/>
          <w:divBdr>
            <w:top w:val="none" w:sz="0" w:space="0" w:color="auto"/>
            <w:left w:val="none" w:sz="0" w:space="0" w:color="auto"/>
            <w:bottom w:val="none" w:sz="0" w:space="0" w:color="auto"/>
            <w:right w:val="none" w:sz="0" w:space="0" w:color="auto"/>
          </w:divBdr>
        </w:div>
      </w:divsChild>
    </w:div>
    <w:div w:id="1262685660">
      <w:bodyDiv w:val="1"/>
      <w:marLeft w:val="0"/>
      <w:marRight w:val="0"/>
      <w:marTop w:val="0"/>
      <w:marBottom w:val="0"/>
      <w:divBdr>
        <w:top w:val="none" w:sz="0" w:space="0" w:color="auto"/>
        <w:left w:val="none" w:sz="0" w:space="0" w:color="auto"/>
        <w:bottom w:val="none" w:sz="0" w:space="0" w:color="auto"/>
        <w:right w:val="none" w:sz="0" w:space="0" w:color="auto"/>
      </w:divBdr>
      <w:divsChild>
        <w:div w:id="1633755580">
          <w:marLeft w:val="0"/>
          <w:marRight w:val="0"/>
          <w:marTop w:val="0"/>
          <w:marBottom w:val="0"/>
          <w:divBdr>
            <w:top w:val="none" w:sz="0" w:space="0" w:color="auto"/>
            <w:left w:val="none" w:sz="0" w:space="0" w:color="auto"/>
            <w:bottom w:val="none" w:sz="0" w:space="0" w:color="auto"/>
            <w:right w:val="none" w:sz="0" w:space="0" w:color="auto"/>
          </w:divBdr>
          <w:divsChild>
            <w:div w:id="217012226">
              <w:marLeft w:val="0"/>
              <w:marRight w:val="0"/>
              <w:marTop w:val="0"/>
              <w:marBottom w:val="0"/>
              <w:divBdr>
                <w:top w:val="none" w:sz="0" w:space="0" w:color="auto"/>
                <w:left w:val="none" w:sz="0" w:space="0" w:color="auto"/>
                <w:bottom w:val="none" w:sz="0" w:space="0" w:color="auto"/>
                <w:right w:val="none" w:sz="0" w:space="0" w:color="auto"/>
              </w:divBdr>
              <w:divsChild>
                <w:div w:id="1956211636">
                  <w:marLeft w:val="0"/>
                  <w:marRight w:val="0"/>
                  <w:marTop w:val="0"/>
                  <w:marBottom w:val="0"/>
                  <w:divBdr>
                    <w:top w:val="none" w:sz="0" w:space="0" w:color="auto"/>
                    <w:left w:val="none" w:sz="0" w:space="0" w:color="auto"/>
                    <w:bottom w:val="none" w:sz="0" w:space="0" w:color="auto"/>
                    <w:right w:val="none" w:sz="0" w:space="0" w:color="auto"/>
                  </w:divBdr>
                  <w:divsChild>
                    <w:div w:id="7559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69230">
      <w:bodyDiv w:val="1"/>
      <w:marLeft w:val="0"/>
      <w:marRight w:val="0"/>
      <w:marTop w:val="0"/>
      <w:marBottom w:val="0"/>
      <w:divBdr>
        <w:top w:val="none" w:sz="0" w:space="0" w:color="auto"/>
        <w:left w:val="none" w:sz="0" w:space="0" w:color="auto"/>
        <w:bottom w:val="none" w:sz="0" w:space="0" w:color="auto"/>
        <w:right w:val="none" w:sz="0" w:space="0" w:color="auto"/>
      </w:divBdr>
      <w:divsChild>
        <w:div w:id="574824663">
          <w:marLeft w:val="1008"/>
          <w:marRight w:val="0"/>
          <w:marTop w:val="115"/>
          <w:marBottom w:val="0"/>
          <w:divBdr>
            <w:top w:val="none" w:sz="0" w:space="0" w:color="auto"/>
            <w:left w:val="none" w:sz="0" w:space="0" w:color="auto"/>
            <w:bottom w:val="none" w:sz="0" w:space="0" w:color="auto"/>
            <w:right w:val="none" w:sz="0" w:space="0" w:color="auto"/>
          </w:divBdr>
        </w:div>
        <w:div w:id="2109230906">
          <w:marLeft w:val="1008"/>
          <w:marRight w:val="0"/>
          <w:marTop w:val="115"/>
          <w:marBottom w:val="0"/>
          <w:divBdr>
            <w:top w:val="none" w:sz="0" w:space="0" w:color="auto"/>
            <w:left w:val="none" w:sz="0" w:space="0" w:color="auto"/>
            <w:bottom w:val="none" w:sz="0" w:space="0" w:color="auto"/>
            <w:right w:val="none" w:sz="0" w:space="0" w:color="auto"/>
          </w:divBdr>
        </w:div>
        <w:div w:id="707489984">
          <w:marLeft w:val="1008"/>
          <w:marRight w:val="0"/>
          <w:marTop w:val="115"/>
          <w:marBottom w:val="0"/>
          <w:divBdr>
            <w:top w:val="none" w:sz="0" w:space="0" w:color="auto"/>
            <w:left w:val="none" w:sz="0" w:space="0" w:color="auto"/>
            <w:bottom w:val="none" w:sz="0" w:space="0" w:color="auto"/>
            <w:right w:val="none" w:sz="0" w:space="0" w:color="auto"/>
          </w:divBdr>
        </w:div>
        <w:div w:id="1757359358">
          <w:marLeft w:val="1008"/>
          <w:marRight w:val="0"/>
          <w:marTop w:val="115"/>
          <w:marBottom w:val="0"/>
          <w:divBdr>
            <w:top w:val="none" w:sz="0" w:space="0" w:color="auto"/>
            <w:left w:val="none" w:sz="0" w:space="0" w:color="auto"/>
            <w:bottom w:val="none" w:sz="0" w:space="0" w:color="auto"/>
            <w:right w:val="none" w:sz="0" w:space="0" w:color="auto"/>
          </w:divBdr>
        </w:div>
        <w:div w:id="398865730">
          <w:marLeft w:val="1008"/>
          <w:marRight w:val="0"/>
          <w:marTop w:val="115"/>
          <w:marBottom w:val="0"/>
          <w:divBdr>
            <w:top w:val="none" w:sz="0" w:space="0" w:color="auto"/>
            <w:left w:val="none" w:sz="0" w:space="0" w:color="auto"/>
            <w:bottom w:val="none" w:sz="0" w:space="0" w:color="auto"/>
            <w:right w:val="none" w:sz="0" w:space="0" w:color="auto"/>
          </w:divBdr>
        </w:div>
      </w:divsChild>
    </w:div>
    <w:div w:id="1288121671">
      <w:bodyDiv w:val="1"/>
      <w:marLeft w:val="0"/>
      <w:marRight w:val="0"/>
      <w:marTop w:val="0"/>
      <w:marBottom w:val="0"/>
      <w:divBdr>
        <w:top w:val="none" w:sz="0" w:space="0" w:color="auto"/>
        <w:left w:val="none" w:sz="0" w:space="0" w:color="auto"/>
        <w:bottom w:val="none" w:sz="0" w:space="0" w:color="auto"/>
        <w:right w:val="none" w:sz="0" w:space="0" w:color="auto"/>
      </w:divBdr>
      <w:divsChild>
        <w:div w:id="1215389984">
          <w:marLeft w:val="432"/>
          <w:marRight w:val="0"/>
          <w:marTop w:val="134"/>
          <w:marBottom w:val="0"/>
          <w:divBdr>
            <w:top w:val="none" w:sz="0" w:space="0" w:color="auto"/>
            <w:left w:val="none" w:sz="0" w:space="0" w:color="auto"/>
            <w:bottom w:val="none" w:sz="0" w:space="0" w:color="auto"/>
            <w:right w:val="none" w:sz="0" w:space="0" w:color="auto"/>
          </w:divBdr>
        </w:div>
        <w:div w:id="1152990579">
          <w:marLeft w:val="1008"/>
          <w:marRight w:val="0"/>
          <w:marTop w:val="115"/>
          <w:marBottom w:val="0"/>
          <w:divBdr>
            <w:top w:val="none" w:sz="0" w:space="0" w:color="auto"/>
            <w:left w:val="none" w:sz="0" w:space="0" w:color="auto"/>
            <w:bottom w:val="none" w:sz="0" w:space="0" w:color="auto"/>
            <w:right w:val="none" w:sz="0" w:space="0" w:color="auto"/>
          </w:divBdr>
        </w:div>
        <w:div w:id="216859323">
          <w:marLeft w:val="1008"/>
          <w:marRight w:val="0"/>
          <w:marTop w:val="115"/>
          <w:marBottom w:val="0"/>
          <w:divBdr>
            <w:top w:val="none" w:sz="0" w:space="0" w:color="auto"/>
            <w:left w:val="none" w:sz="0" w:space="0" w:color="auto"/>
            <w:bottom w:val="none" w:sz="0" w:space="0" w:color="auto"/>
            <w:right w:val="none" w:sz="0" w:space="0" w:color="auto"/>
          </w:divBdr>
        </w:div>
        <w:div w:id="1312248596">
          <w:marLeft w:val="1008"/>
          <w:marRight w:val="0"/>
          <w:marTop w:val="115"/>
          <w:marBottom w:val="0"/>
          <w:divBdr>
            <w:top w:val="none" w:sz="0" w:space="0" w:color="auto"/>
            <w:left w:val="none" w:sz="0" w:space="0" w:color="auto"/>
            <w:bottom w:val="none" w:sz="0" w:space="0" w:color="auto"/>
            <w:right w:val="none" w:sz="0" w:space="0" w:color="auto"/>
          </w:divBdr>
        </w:div>
        <w:div w:id="263877315">
          <w:marLeft w:val="1008"/>
          <w:marRight w:val="0"/>
          <w:marTop w:val="115"/>
          <w:marBottom w:val="0"/>
          <w:divBdr>
            <w:top w:val="none" w:sz="0" w:space="0" w:color="auto"/>
            <w:left w:val="none" w:sz="0" w:space="0" w:color="auto"/>
            <w:bottom w:val="none" w:sz="0" w:space="0" w:color="auto"/>
            <w:right w:val="none" w:sz="0" w:space="0" w:color="auto"/>
          </w:divBdr>
        </w:div>
        <w:div w:id="171183995">
          <w:marLeft w:val="1008"/>
          <w:marRight w:val="0"/>
          <w:marTop w:val="115"/>
          <w:marBottom w:val="0"/>
          <w:divBdr>
            <w:top w:val="none" w:sz="0" w:space="0" w:color="auto"/>
            <w:left w:val="none" w:sz="0" w:space="0" w:color="auto"/>
            <w:bottom w:val="none" w:sz="0" w:space="0" w:color="auto"/>
            <w:right w:val="none" w:sz="0" w:space="0" w:color="auto"/>
          </w:divBdr>
        </w:div>
        <w:div w:id="1732731279">
          <w:marLeft w:val="1008"/>
          <w:marRight w:val="0"/>
          <w:marTop w:val="115"/>
          <w:marBottom w:val="0"/>
          <w:divBdr>
            <w:top w:val="none" w:sz="0" w:space="0" w:color="auto"/>
            <w:left w:val="none" w:sz="0" w:space="0" w:color="auto"/>
            <w:bottom w:val="none" w:sz="0" w:space="0" w:color="auto"/>
            <w:right w:val="none" w:sz="0" w:space="0" w:color="auto"/>
          </w:divBdr>
        </w:div>
      </w:divsChild>
    </w:div>
    <w:div w:id="1303929294">
      <w:bodyDiv w:val="1"/>
      <w:marLeft w:val="0"/>
      <w:marRight w:val="0"/>
      <w:marTop w:val="0"/>
      <w:marBottom w:val="0"/>
      <w:divBdr>
        <w:top w:val="none" w:sz="0" w:space="0" w:color="auto"/>
        <w:left w:val="none" w:sz="0" w:space="0" w:color="auto"/>
        <w:bottom w:val="none" w:sz="0" w:space="0" w:color="auto"/>
        <w:right w:val="none" w:sz="0" w:space="0" w:color="auto"/>
      </w:divBdr>
    </w:div>
    <w:div w:id="1309822813">
      <w:bodyDiv w:val="1"/>
      <w:marLeft w:val="0"/>
      <w:marRight w:val="0"/>
      <w:marTop w:val="0"/>
      <w:marBottom w:val="0"/>
      <w:divBdr>
        <w:top w:val="none" w:sz="0" w:space="0" w:color="auto"/>
        <w:left w:val="none" w:sz="0" w:space="0" w:color="auto"/>
        <w:bottom w:val="none" w:sz="0" w:space="0" w:color="auto"/>
        <w:right w:val="none" w:sz="0" w:space="0" w:color="auto"/>
      </w:divBdr>
      <w:divsChild>
        <w:div w:id="425536240">
          <w:marLeft w:val="432"/>
          <w:marRight w:val="0"/>
          <w:marTop w:val="125"/>
          <w:marBottom w:val="0"/>
          <w:divBdr>
            <w:top w:val="none" w:sz="0" w:space="0" w:color="auto"/>
            <w:left w:val="none" w:sz="0" w:space="0" w:color="auto"/>
            <w:bottom w:val="none" w:sz="0" w:space="0" w:color="auto"/>
            <w:right w:val="none" w:sz="0" w:space="0" w:color="auto"/>
          </w:divBdr>
        </w:div>
        <w:div w:id="812138690">
          <w:marLeft w:val="432"/>
          <w:marRight w:val="0"/>
          <w:marTop w:val="125"/>
          <w:marBottom w:val="0"/>
          <w:divBdr>
            <w:top w:val="none" w:sz="0" w:space="0" w:color="auto"/>
            <w:left w:val="none" w:sz="0" w:space="0" w:color="auto"/>
            <w:bottom w:val="none" w:sz="0" w:space="0" w:color="auto"/>
            <w:right w:val="none" w:sz="0" w:space="0" w:color="auto"/>
          </w:divBdr>
        </w:div>
        <w:div w:id="682128736">
          <w:marLeft w:val="432"/>
          <w:marRight w:val="0"/>
          <w:marTop w:val="125"/>
          <w:marBottom w:val="0"/>
          <w:divBdr>
            <w:top w:val="none" w:sz="0" w:space="0" w:color="auto"/>
            <w:left w:val="none" w:sz="0" w:space="0" w:color="auto"/>
            <w:bottom w:val="none" w:sz="0" w:space="0" w:color="auto"/>
            <w:right w:val="none" w:sz="0" w:space="0" w:color="auto"/>
          </w:divBdr>
        </w:div>
        <w:div w:id="125977409">
          <w:marLeft w:val="1008"/>
          <w:marRight w:val="0"/>
          <w:marTop w:val="115"/>
          <w:marBottom w:val="0"/>
          <w:divBdr>
            <w:top w:val="none" w:sz="0" w:space="0" w:color="auto"/>
            <w:left w:val="none" w:sz="0" w:space="0" w:color="auto"/>
            <w:bottom w:val="none" w:sz="0" w:space="0" w:color="auto"/>
            <w:right w:val="none" w:sz="0" w:space="0" w:color="auto"/>
          </w:divBdr>
        </w:div>
        <w:div w:id="193661840">
          <w:marLeft w:val="1008"/>
          <w:marRight w:val="0"/>
          <w:marTop w:val="115"/>
          <w:marBottom w:val="0"/>
          <w:divBdr>
            <w:top w:val="none" w:sz="0" w:space="0" w:color="auto"/>
            <w:left w:val="none" w:sz="0" w:space="0" w:color="auto"/>
            <w:bottom w:val="none" w:sz="0" w:space="0" w:color="auto"/>
            <w:right w:val="none" w:sz="0" w:space="0" w:color="auto"/>
          </w:divBdr>
        </w:div>
        <w:div w:id="2039430133">
          <w:marLeft w:val="1008"/>
          <w:marRight w:val="0"/>
          <w:marTop w:val="115"/>
          <w:marBottom w:val="0"/>
          <w:divBdr>
            <w:top w:val="none" w:sz="0" w:space="0" w:color="auto"/>
            <w:left w:val="none" w:sz="0" w:space="0" w:color="auto"/>
            <w:bottom w:val="none" w:sz="0" w:space="0" w:color="auto"/>
            <w:right w:val="none" w:sz="0" w:space="0" w:color="auto"/>
          </w:divBdr>
        </w:div>
      </w:divsChild>
    </w:div>
    <w:div w:id="1354182806">
      <w:bodyDiv w:val="1"/>
      <w:marLeft w:val="0"/>
      <w:marRight w:val="0"/>
      <w:marTop w:val="0"/>
      <w:marBottom w:val="0"/>
      <w:divBdr>
        <w:top w:val="none" w:sz="0" w:space="0" w:color="auto"/>
        <w:left w:val="none" w:sz="0" w:space="0" w:color="auto"/>
        <w:bottom w:val="none" w:sz="0" w:space="0" w:color="auto"/>
        <w:right w:val="none" w:sz="0" w:space="0" w:color="auto"/>
      </w:divBdr>
    </w:div>
    <w:div w:id="1354502437">
      <w:bodyDiv w:val="1"/>
      <w:marLeft w:val="0"/>
      <w:marRight w:val="0"/>
      <w:marTop w:val="0"/>
      <w:marBottom w:val="0"/>
      <w:divBdr>
        <w:top w:val="none" w:sz="0" w:space="0" w:color="auto"/>
        <w:left w:val="none" w:sz="0" w:space="0" w:color="auto"/>
        <w:bottom w:val="none" w:sz="0" w:space="0" w:color="auto"/>
        <w:right w:val="none" w:sz="0" w:space="0" w:color="auto"/>
      </w:divBdr>
    </w:div>
    <w:div w:id="1358430872">
      <w:bodyDiv w:val="1"/>
      <w:marLeft w:val="0"/>
      <w:marRight w:val="0"/>
      <w:marTop w:val="0"/>
      <w:marBottom w:val="0"/>
      <w:divBdr>
        <w:top w:val="none" w:sz="0" w:space="0" w:color="auto"/>
        <w:left w:val="none" w:sz="0" w:space="0" w:color="auto"/>
        <w:bottom w:val="none" w:sz="0" w:space="0" w:color="auto"/>
        <w:right w:val="none" w:sz="0" w:space="0" w:color="auto"/>
      </w:divBdr>
    </w:div>
    <w:div w:id="1364406011">
      <w:bodyDiv w:val="1"/>
      <w:marLeft w:val="0"/>
      <w:marRight w:val="0"/>
      <w:marTop w:val="0"/>
      <w:marBottom w:val="0"/>
      <w:divBdr>
        <w:top w:val="none" w:sz="0" w:space="0" w:color="auto"/>
        <w:left w:val="none" w:sz="0" w:space="0" w:color="auto"/>
        <w:bottom w:val="none" w:sz="0" w:space="0" w:color="auto"/>
        <w:right w:val="none" w:sz="0" w:space="0" w:color="auto"/>
      </w:divBdr>
      <w:divsChild>
        <w:div w:id="1213693529">
          <w:marLeft w:val="1008"/>
          <w:marRight w:val="0"/>
          <w:marTop w:val="115"/>
          <w:marBottom w:val="0"/>
          <w:divBdr>
            <w:top w:val="none" w:sz="0" w:space="0" w:color="auto"/>
            <w:left w:val="none" w:sz="0" w:space="0" w:color="auto"/>
            <w:bottom w:val="none" w:sz="0" w:space="0" w:color="auto"/>
            <w:right w:val="none" w:sz="0" w:space="0" w:color="auto"/>
          </w:divBdr>
        </w:div>
        <w:div w:id="1944147121">
          <w:marLeft w:val="1008"/>
          <w:marRight w:val="0"/>
          <w:marTop w:val="115"/>
          <w:marBottom w:val="0"/>
          <w:divBdr>
            <w:top w:val="none" w:sz="0" w:space="0" w:color="auto"/>
            <w:left w:val="none" w:sz="0" w:space="0" w:color="auto"/>
            <w:bottom w:val="none" w:sz="0" w:space="0" w:color="auto"/>
            <w:right w:val="none" w:sz="0" w:space="0" w:color="auto"/>
          </w:divBdr>
        </w:div>
        <w:div w:id="1490444098">
          <w:marLeft w:val="1008"/>
          <w:marRight w:val="0"/>
          <w:marTop w:val="115"/>
          <w:marBottom w:val="0"/>
          <w:divBdr>
            <w:top w:val="none" w:sz="0" w:space="0" w:color="auto"/>
            <w:left w:val="none" w:sz="0" w:space="0" w:color="auto"/>
            <w:bottom w:val="none" w:sz="0" w:space="0" w:color="auto"/>
            <w:right w:val="none" w:sz="0" w:space="0" w:color="auto"/>
          </w:divBdr>
        </w:div>
        <w:div w:id="1178541333">
          <w:marLeft w:val="1008"/>
          <w:marRight w:val="0"/>
          <w:marTop w:val="115"/>
          <w:marBottom w:val="0"/>
          <w:divBdr>
            <w:top w:val="none" w:sz="0" w:space="0" w:color="auto"/>
            <w:left w:val="none" w:sz="0" w:space="0" w:color="auto"/>
            <w:bottom w:val="none" w:sz="0" w:space="0" w:color="auto"/>
            <w:right w:val="none" w:sz="0" w:space="0" w:color="auto"/>
          </w:divBdr>
        </w:div>
        <w:div w:id="2027363471">
          <w:marLeft w:val="1008"/>
          <w:marRight w:val="0"/>
          <w:marTop w:val="115"/>
          <w:marBottom w:val="0"/>
          <w:divBdr>
            <w:top w:val="none" w:sz="0" w:space="0" w:color="auto"/>
            <w:left w:val="none" w:sz="0" w:space="0" w:color="auto"/>
            <w:bottom w:val="none" w:sz="0" w:space="0" w:color="auto"/>
            <w:right w:val="none" w:sz="0" w:space="0" w:color="auto"/>
          </w:divBdr>
        </w:div>
        <w:div w:id="960233600">
          <w:marLeft w:val="1008"/>
          <w:marRight w:val="0"/>
          <w:marTop w:val="115"/>
          <w:marBottom w:val="0"/>
          <w:divBdr>
            <w:top w:val="none" w:sz="0" w:space="0" w:color="auto"/>
            <w:left w:val="none" w:sz="0" w:space="0" w:color="auto"/>
            <w:bottom w:val="none" w:sz="0" w:space="0" w:color="auto"/>
            <w:right w:val="none" w:sz="0" w:space="0" w:color="auto"/>
          </w:divBdr>
        </w:div>
        <w:div w:id="61224973">
          <w:marLeft w:val="1008"/>
          <w:marRight w:val="0"/>
          <w:marTop w:val="115"/>
          <w:marBottom w:val="0"/>
          <w:divBdr>
            <w:top w:val="none" w:sz="0" w:space="0" w:color="auto"/>
            <w:left w:val="none" w:sz="0" w:space="0" w:color="auto"/>
            <w:bottom w:val="none" w:sz="0" w:space="0" w:color="auto"/>
            <w:right w:val="none" w:sz="0" w:space="0" w:color="auto"/>
          </w:divBdr>
        </w:div>
      </w:divsChild>
    </w:div>
    <w:div w:id="1395467818">
      <w:bodyDiv w:val="1"/>
      <w:marLeft w:val="0"/>
      <w:marRight w:val="0"/>
      <w:marTop w:val="0"/>
      <w:marBottom w:val="0"/>
      <w:divBdr>
        <w:top w:val="none" w:sz="0" w:space="0" w:color="auto"/>
        <w:left w:val="none" w:sz="0" w:space="0" w:color="auto"/>
        <w:bottom w:val="none" w:sz="0" w:space="0" w:color="auto"/>
        <w:right w:val="none" w:sz="0" w:space="0" w:color="auto"/>
      </w:divBdr>
    </w:div>
    <w:div w:id="1412240220">
      <w:bodyDiv w:val="1"/>
      <w:marLeft w:val="0"/>
      <w:marRight w:val="0"/>
      <w:marTop w:val="0"/>
      <w:marBottom w:val="0"/>
      <w:divBdr>
        <w:top w:val="none" w:sz="0" w:space="0" w:color="auto"/>
        <w:left w:val="none" w:sz="0" w:space="0" w:color="auto"/>
        <w:bottom w:val="none" w:sz="0" w:space="0" w:color="auto"/>
        <w:right w:val="none" w:sz="0" w:space="0" w:color="auto"/>
      </w:divBdr>
    </w:div>
    <w:div w:id="1483933711">
      <w:bodyDiv w:val="1"/>
      <w:marLeft w:val="0"/>
      <w:marRight w:val="0"/>
      <w:marTop w:val="0"/>
      <w:marBottom w:val="0"/>
      <w:divBdr>
        <w:top w:val="none" w:sz="0" w:space="0" w:color="auto"/>
        <w:left w:val="none" w:sz="0" w:space="0" w:color="auto"/>
        <w:bottom w:val="none" w:sz="0" w:space="0" w:color="auto"/>
        <w:right w:val="none" w:sz="0" w:space="0" w:color="auto"/>
      </w:divBdr>
      <w:divsChild>
        <w:div w:id="10841114">
          <w:marLeft w:val="0"/>
          <w:marRight w:val="0"/>
          <w:marTop w:val="0"/>
          <w:marBottom w:val="0"/>
          <w:divBdr>
            <w:top w:val="none" w:sz="0" w:space="0" w:color="auto"/>
            <w:left w:val="none" w:sz="0" w:space="0" w:color="auto"/>
            <w:bottom w:val="none" w:sz="0" w:space="0" w:color="auto"/>
            <w:right w:val="none" w:sz="0" w:space="0" w:color="auto"/>
          </w:divBdr>
          <w:divsChild>
            <w:div w:id="1922256378">
              <w:marLeft w:val="0"/>
              <w:marRight w:val="0"/>
              <w:marTop w:val="0"/>
              <w:marBottom w:val="0"/>
              <w:divBdr>
                <w:top w:val="none" w:sz="0" w:space="0" w:color="auto"/>
                <w:left w:val="none" w:sz="0" w:space="0" w:color="auto"/>
                <w:bottom w:val="none" w:sz="0" w:space="0" w:color="auto"/>
                <w:right w:val="none" w:sz="0" w:space="0" w:color="auto"/>
              </w:divBdr>
              <w:divsChild>
                <w:div w:id="549192931">
                  <w:marLeft w:val="0"/>
                  <w:marRight w:val="0"/>
                  <w:marTop w:val="100"/>
                  <w:marBottom w:val="100"/>
                  <w:divBdr>
                    <w:top w:val="none" w:sz="0" w:space="0" w:color="auto"/>
                    <w:left w:val="none" w:sz="0" w:space="0" w:color="auto"/>
                    <w:bottom w:val="none" w:sz="0" w:space="0" w:color="auto"/>
                    <w:right w:val="none" w:sz="0" w:space="0" w:color="auto"/>
                  </w:divBdr>
                  <w:divsChild>
                    <w:div w:id="119079647">
                      <w:marLeft w:val="0"/>
                      <w:marRight w:val="0"/>
                      <w:marTop w:val="0"/>
                      <w:marBottom w:val="0"/>
                      <w:divBdr>
                        <w:top w:val="none" w:sz="0" w:space="0" w:color="auto"/>
                        <w:left w:val="none" w:sz="0" w:space="0" w:color="auto"/>
                        <w:bottom w:val="none" w:sz="0" w:space="0" w:color="auto"/>
                        <w:right w:val="none" w:sz="0" w:space="0" w:color="auto"/>
                      </w:divBdr>
                      <w:divsChild>
                        <w:div w:id="492650404">
                          <w:marLeft w:val="0"/>
                          <w:marRight w:val="0"/>
                          <w:marTop w:val="0"/>
                          <w:marBottom w:val="0"/>
                          <w:divBdr>
                            <w:top w:val="none" w:sz="0" w:space="0" w:color="auto"/>
                            <w:left w:val="none" w:sz="0" w:space="0" w:color="auto"/>
                            <w:bottom w:val="none" w:sz="0" w:space="0" w:color="auto"/>
                            <w:right w:val="none" w:sz="0" w:space="0" w:color="auto"/>
                          </w:divBdr>
                          <w:divsChild>
                            <w:div w:id="15801676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151946">
      <w:bodyDiv w:val="1"/>
      <w:marLeft w:val="0"/>
      <w:marRight w:val="0"/>
      <w:marTop w:val="0"/>
      <w:marBottom w:val="0"/>
      <w:divBdr>
        <w:top w:val="none" w:sz="0" w:space="0" w:color="auto"/>
        <w:left w:val="none" w:sz="0" w:space="0" w:color="auto"/>
        <w:bottom w:val="none" w:sz="0" w:space="0" w:color="auto"/>
        <w:right w:val="none" w:sz="0" w:space="0" w:color="auto"/>
      </w:divBdr>
    </w:div>
    <w:div w:id="1541089626">
      <w:bodyDiv w:val="1"/>
      <w:marLeft w:val="0"/>
      <w:marRight w:val="0"/>
      <w:marTop w:val="0"/>
      <w:marBottom w:val="0"/>
      <w:divBdr>
        <w:top w:val="none" w:sz="0" w:space="0" w:color="auto"/>
        <w:left w:val="none" w:sz="0" w:space="0" w:color="auto"/>
        <w:bottom w:val="none" w:sz="0" w:space="0" w:color="auto"/>
        <w:right w:val="none" w:sz="0" w:space="0" w:color="auto"/>
      </w:divBdr>
      <w:divsChild>
        <w:div w:id="441848886">
          <w:marLeft w:val="1008"/>
          <w:marRight w:val="0"/>
          <w:marTop w:val="115"/>
          <w:marBottom w:val="0"/>
          <w:divBdr>
            <w:top w:val="none" w:sz="0" w:space="0" w:color="auto"/>
            <w:left w:val="none" w:sz="0" w:space="0" w:color="auto"/>
            <w:bottom w:val="none" w:sz="0" w:space="0" w:color="auto"/>
            <w:right w:val="none" w:sz="0" w:space="0" w:color="auto"/>
          </w:divBdr>
        </w:div>
        <w:div w:id="89005781">
          <w:marLeft w:val="1008"/>
          <w:marRight w:val="0"/>
          <w:marTop w:val="115"/>
          <w:marBottom w:val="0"/>
          <w:divBdr>
            <w:top w:val="none" w:sz="0" w:space="0" w:color="auto"/>
            <w:left w:val="none" w:sz="0" w:space="0" w:color="auto"/>
            <w:bottom w:val="none" w:sz="0" w:space="0" w:color="auto"/>
            <w:right w:val="none" w:sz="0" w:space="0" w:color="auto"/>
          </w:divBdr>
        </w:div>
        <w:div w:id="935671586">
          <w:marLeft w:val="1008"/>
          <w:marRight w:val="0"/>
          <w:marTop w:val="115"/>
          <w:marBottom w:val="0"/>
          <w:divBdr>
            <w:top w:val="none" w:sz="0" w:space="0" w:color="auto"/>
            <w:left w:val="none" w:sz="0" w:space="0" w:color="auto"/>
            <w:bottom w:val="none" w:sz="0" w:space="0" w:color="auto"/>
            <w:right w:val="none" w:sz="0" w:space="0" w:color="auto"/>
          </w:divBdr>
        </w:div>
        <w:div w:id="1539969631">
          <w:marLeft w:val="1008"/>
          <w:marRight w:val="0"/>
          <w:marTop w:val="115"/>
          <w:marBottom w:val="0"/>
          <w:divBdr>
            <w:top w:val="none" w:sz="0" w:space="0" w:color="auto"/>
            <w:left w:val="none" w:sz="0" w:space="0" w:color="auto"/>
            <w:bottom w:val="none" w:sz="0" w:space="0" w:color="auto"/>
            <w:right w:val="none" w:sz="0" w:space="0" w:color="auto"/>
          </w:divBdr>
        </w:div>
      </w:divsChild>
    </w:div>
    <w:div w:id="1568027337">
      <w:bodyDiv w:val="1"/>
      <w:marLeft w:val="0"/>
      <w:marRight w:val="0"/>
      <w:marTop w:val="0"/>
      <w:marBottom w:val="0"/>
      <w:divBdr>
        <w:top w:val="none" w:sz="0" w:space="0" w:color="auto"/>
        <w:left w:val="none" w:sz="0" w:space="0" w:color="auto"/>
        <w:bottom w:val="none" w:sz="0" w:space="0" w:color="auto"/>
        <w:right w:val="none" w:sz="0" w:space="0" w:color="auto"/>
      </w:divBdr>
      <w:divsChild>
        <w:div w:id="855851312">
          <w:marLeft w:val="965"/>
          <w:marRight w:val="0"/>
          <w:marTop w:val="96"/>
          <w:marBottom w:val="0"/>
          <w:divBdr>
            <w:top w:val="none" w:sz="0" w:space="0" w:color="auto"/>
            <w:left w:val="none" w:sz="0" w:space="0" w:color="auto"/>
            <w:bottom w:val="none" w:sz="0" w:space="0" w:color="auto"/>
            <w:right w:val="none" w:sz="0" w:space="0" w:color="auto"/>
          </w:divBdr>
        </w:div>
      </w:divsChild>
    </w:div>
    <w:div w:id="1576015945">
      <w:bodyDiv w:val="1"/>
      <w:marLeft w:val="0"/>
      <w:marRight w:val="0"/>
      <w:marTop w:val="0"/>
      <w:marBottom w:val="0"/>
      <w:divBdr>
        <w:top w:val="none" w:sz="0" w:space="0" w:color="auto"/>
        <w:left w:val="none" w:sz="0" w:space="0" w:color="auto"/>
        <w:bottom w:val="none" w:sz="0" w:space="0" w:color="auto"/>
        <w:right w:val="none" w:sz="0" w:space="0" w:color="auto"/>
      </w:divBdr>
    </w:div>
    <w:div w:id="1588492574">
      <w:bodyDiv w:val="1"/>
      <w:marLeft w:val="0"/>
      <w:marRight w:val="0"/>
      <w:marTop w:val="0"/>
      <w:marBottom w:val="0"/>
      <w:divBdr>
        <w:top w:val="none" w:sz="0" w:space="0" w:color="auto"/>
        <w:left w:val="none" w:sz="0" w:space="0" w:color="auto"/>
        <w:bottom w:val="none" w:sz="0" w:space="0" w:color="auto"/>
        <w:right w:val="none" w:sz="0" w:space="0" w:color="auto"/>
      </w:divBdr>
      <w:divsChild>
        <w:div w:id="1740707704">
          <w:marLeft w:val="432"/>
          <w:marRight w:val="0"/>
          <w:marTop w:val="192"/>
          <w:marBottom w:val="0"/>
          <w:divBdr>
            <w:top w:val="none" w:sz="0" w:space="0" w:color="auto"/>
            <w:left w:val="none" w:sz="0" w:space="0" w:color="auto"/>
            <w:bottom w:val="none" w:sz="0" w:space="0" w:color="auto"/>
            <w:right w:val="none" w:sz="0" w:space="0" w:color="auto"/>
          </w:divBdr>
        </w:div>
      </w:divsChild>
    </w:div>
    <w:div w:id="1626157459">
      <w:bodyDiv w:val="1"/>
      <w:marLeft w:val="0"/>
      <w:marRight w:val="0"/>
      <w:marTop w:val="0"/>
      <w:marBottom w:val="0"/>
      <w:divBdr>
        <w:top w:val="none" w:sz="0" w:space="0" w:color="auto"/>
        <w:left w:val="none" w:sz="0" w:space="0" w:color="auto"/>
        <w:bottom w:val="none" w:sz="0" w:space="0" w:color="auto"/>
        <w:right w:val="none" w:sz="0" w:space="0" w:color="auto"/>
      </w:divBdr>
      <w:divsChild>
        <w:div w:id="1074278926">
          <w:marLeft w:val="432"/>
          <w:marRight w:val="0"/>
          <w:marTop w:val="125"/>
          <w:marBottom w:val="0"/>
          <w:divBdr>
            <w:top w:val="none" w:sz="0" w:space="0" w:color="auto"/>
            <w:left w:val="none" w:sz="0" w:space="0" w:color="auto"/>
            <w:bottom w:val="none" w:sz="0" w:space="0" w:color="auto"/>
            <w:right w:val="none" w:sz="0" w:space="0" w:color="auto"/>
          </w:divBdr>
        </w:div>
      </w:divsChild>
    </w:div>
    <w:div w:id="1630672523">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680307182">
      <w:bodyDiv w:val="1"/>
      <w:marLeft w:val="0"/>
      <w:marRight w:val="0"/>
      <w:marTop w:val="0"/>
      <w:marBottom w:val="0"/>
      <w:divBdr>
        <w:top w:val="none" w:sz="0" w:space="0" w:color="auto"/>
        <w:left w:val="none" w:sz="0" w:space="0" w:color="auto"/>
        <w:bottom w:val="none" w:sz="0" w:space="0" w:color="auto"/>
        <w:right w:val="none" w:sz="0" w:space="0" w:color="auto"/>
      </w:divBdr>
    </w:div>
    <w:div w:id="1712656096">
      <w:bodyDiv w:val="1"/>
      <w:marLeft w:val="0"/>
      <w:marRight w:val="0"/>
      <w:marTop w:val="0"/>
      <w:marBottom w:val="0"/>
      <w:divBdr>
        <w:top w:val="none" w:sz="0" w:space="0" w:color="auto"/>
        <w:left w:val="none" w:sz="0" w:space="0" w:color="auto"/>
        <w:bottom w:val="none" w:sz="0" w:space="0" w:color="auto"/>
        <w:right w:val="none" w:sz="0" w:space="0" w:color="auto"/>
      </w:divBdr>
      <w:divsChild>
        <w:div w:id="1439984346">
          <w:marLeft w:val="432"/>
          <w:marRight w:val="0"/>
          <w:marTop w:val="125"/>
          <w:marBottom w:val="0"/>
          <w:divBdr>
            <w:top w:val="none" w:sz="0" w:space="0" w:color="auto"/>
            <w:left w:val="none" w:sz="0" w:space="0" w:color="auto"/>
            <w:bottom w:val="none" w:sz="0" w:space="0" w:color="auto"/>
            <w:right w:val="none" w:sz="0" w:space="0" w:color="auto"/>
          </w:divBdr>
        </w:div>
      </w:divsChild>
    </w:div>
    <w:div w:id="1720277063">
      <w:bodyDiv w:val="1"/>
      <w:marLeft w:val="0"/>
      <w:marRight w:val="0"/>
      <w:marTop w:val="0"/>
      <w:marBottom w:val="0"/>
      <w:divBdr>
        <w:top w:val="none" w:sz="0" w:space="0" w:color="auto"/>
        <w:left w:val="none" w:sz="0" w:space="0" w:color="auto"/>
        <w:bottom w:val="none" w:sz="0" w:space="0" w:color="auto"/>
        <w:right w:val="none" w:sz="0" w:space="0" w:color="auto"/>
      </w:divBdr>
      <w:divsChild>
        <w:div w:id="938754912">
          <w:marLeft w:val="432"/>
          <w:marRight w:val="0"/>
          <w:marTop w:val="125"/>
          <w:marBottom w:val="0"/>
          <w:divBdr>
            <w:top w:val="none" w:sz="0" w:space="0" w:color="auto"/>
            <w:left w:val="none" w:sz="0" w:space="0" w:color="auto"/>
            <w:bottom w:val="none" w:sz="0" w:space="0" w:color="auto"/>
            <w:right w:val="none" w:sz="0" w:space="0" w:color="auto"/>
          </w:divBdr>
        </w:div>
        <w:div w:id="1581478674">
          <w:marLeft w:val="432"/>
          <w:marRight w:val="0"/>
          <w:marTop w:val="125"/>
          <w:marBottom w:val="0"/>
          <w:divBdr>
            <w:top w:val="none" w:sz="0" w:space="0" w:color="auto"/>
            <w:left w:val="none" w:sz="0" w:space="0" w:color="auto"/>
            <w:bottom w:val="none" w:sz="0" w:space="0" w:color="auto"/>
            <w:right w:val="none" w:sz="0" w:space="0" w:color="auto"/>
          </w:divBdr>
        </w:div>
        <w:div w:id="1803423382">
          <w:marLeft w:val="432"/>
          <w:marRight w:val="0"/>
          <w:marTop w:val="125"/>
          <w:marBottom w:val="0"/>
          <w:divBdr>
            <w:top w:val="none" w:sz="0" w:space="0" w:color="auto"/>
            <w:left w:val="none" w:sz="0" w:space="0" w:color="auto"/>
            <w:bottom w:val="none" w:sz="0" w:space="0" w:color="auto"/>
            <w:right w:val="none" w:sz="0" w:space="0" w:color="auto"/>
          </w:divBdr>
        </w:div>
        <w:div w:id="1256091223">
          <w:marLeft w:val="432"/>
          <w:marRight w:val="0"/>
          <w:marTop w:val="125"/>
          <w:marBottom w:val="0"/>
          <w:divBdr>
            <w:top w:val="none" w:sz="0" w:space="0" w:color="auto"/>
            <w:left w:val="none" w:sz="0" w:space="0" w:color="auto"/>
            <w:bottom w:val="none" w:sz="0" w:space="0" w:color="auto"/>
            <w:right w:val="none" w:sz="0" w:space="0" w:color="auto"/>
          </w:divBdr>
        </w:div>
        <w:div w:id="1953243741">
          <w:marLeft w:val="432"/>
          <w:marRight w:val="0"/>
          <w:marTop w:val="125"/>
          <w:marBottom w:val="0"/>
          <w:divBdr>
            <w:top w:val="none" w:sz="0" w:space="0" w:color="auto"/>
            <w:left w:val="none" w:sz="0" w:space="0" w:color="auto"/>
            <w:bottom w:val="none" w:sz="0" w:space="0" w:color="auto"/>
            <w:right w:val="none" w:sz="0" w:space="0" w:color="auto"/>
          </w:divBdr>
        </w:div>
        <w:div w:id="1732339275">
          <w:marLeft w:val="432"/>
          <w:marRight w:val="0"/>
          <w:marTop w:val="125"/>
          <w:marBottom w:val="0"/>
          <w:divBdr>
            <w:top w:val="none" w:sz="0" w:space="0" w:color="auto"/>
            <w:left w:val="none" w:sz="0" w:space="0" w:color="auto"/>
            <w:bottom w:val="none" w:sz="0" w:space="0" w:color="auto"/>
            <w:right w:val="none" w:sz="0" w:space="0" w:color="auto"/>
          </w:divBdr>
        </w:div>
      </w:divsChild>
    </w:div>
    <w:div w:id="1739400835">
      <w:bodyDiv w:val="1"/>
      <w:marLeft w:val="0"/>
      <w:marRight w:val="0"/>
      <w:marTop w:val="0"/>
      <w:marBottom w:val="0"/>
      <w:divBdr>
        <w:top w:val="none" w:sz="0" w:space="0" w:color="auto"/>
        <w:left w:val="none" w:sz="0" w:space="0" w:color="auto"/>
        <w:bottom w:val="none" w:sz="0" w:space="0" w:color="auto"/>
        <w:right w:val="none" w:sz="0" w:space="0" w:color="auto"/>
      </w:divBdr>
    </w:div>
    <w:div w:id="1742167612">
      <w:bodyDiv w:val="1"/>
      <w:marLeft w:val="0"/>
      <w:marRight w:val="0"/>
      <w:marTop w:val="0"/>
      <w:marBottom w:val="0"/>
      <w:divBdr>
        <w:top w:val="none" w:sz="0" w:space="0" w:color="auto"/>
        <w:left w:val="none" w:sz="0" w:space="0" w:color="auto"/>
        <w:bottom w:val="none" w:sz="0" w:space="0" w:color="auto"/>
        <w:right w:val="none" w:sz="0" w:space="0" w:color="auto"/>
      </w:divBdr>
      <w:divsChild>
        <w:div w:id="904878072">
          <w:marLeft w:val="0"/>
          <w:marRight w:val="0"/>
          <w:marTop w:val="0"/>
          <w:marBottom w:val="0"/>
          <w:divBdr>
            <w:top w:val="none" w:sz="0" w:space="0" w:color="auto"/>
            <w:left w:val="none" w:sz="0" w:space="0" w:color="auto"/>
            <w:bottom w:val="none" w:sz="0" w:space="0" w:color="auto"/>
            <w:right w:val="none" w:sz="0" w:space="0" w:color="auto"/>
          </w:divBdr>
          <w:divsChild>
            <w:div w:id="1715889380">
              <w:marLeft w:val="0"/>
              <w:marRight w:val="0"/>
              <w:marTop w:val="0"/>
              <w:marBottom w:val="0"/>
              <w:divBdr>
                <w:top w:val="none" w:sz="0" w:space="0" w:color="auto"/>
                <w:left w:val="none" w:sz="0" w:space="0" w:color="auto"/>
                <w:bottom w:val="none" w:sz="0" w:space="0" w:color="auto"/>
                <w:right w:val="none" w:sz="0" w:space="0" w:color="auto"/>
              </w:divBdr>
              <w:divsChild>
                <w:div w:id="1221401755">
                  <w:marLeft w:val="0"/>
                  <w:marRight w:val="0"/>
                  <w:marTop w:val="0"/>
                  <w:marBottom w:val="0"/>
                  <w:divBdr>
                    <w:top w:val="none" w:sz="0" w:space="0" w:color="auto"/>
                    <w:left w:val="none" w:sz="0" w:space="0" w:color="auto"/>
                    <w:bottom w:val="none" w:sz="0" w:space="0" w:color="auto"/>
                    <w:right w:val="none" w:sz="0" w:space="0" w:color="auto"/>
                  </w:divBdr>
                  <w:divsChild>
                    <w:div w:id="1483963940">
                      <w:marLeft w:val="0"/>
                      <w:marRight w:val="0"/>
                      <w:marTop w:val="0"/>
                      <w:marBottom w:val="0"/>
                      <w:divBdr>
                        <w:top w:val="none" w:sz="0" w:space="0" w:color="auto"/>
                        <w:left w:val="none" w:sz="0" w:space="0" w:color="auto"/>
                        <w:bottom w:val="none" w:sz="0" w:space="0" w:color="auto"/>
                        <w:right w:val="none" w:sz="0" w:space="0" w:color="auto"/>
                      </w:divBdr>
                      <w:divsChild>
                        <w:div w:id="44374580">
                          <w:marLeft w:val="0"/>
                          <w:marRight w:val="0"/>
                          <w:marTop w:val="0"/>
                          <w:marBottom w:val="0"/>
                          <w:divBdr>
                            <w:top w:val="none" w:sz="0" w:space="0" w:color="auto"/>
                            <w:left w:val="none" w:sz="0" w:space="0" w:color="auto"/>
                            <w:bottom w:val="none" w:sz="0" w:space="0" w:color="auto"/>
                            <w:right w:val="none" w:sz="0" w:space="0" w:color="auto"/>
                          </w:divBdr>
                          <w:divsChild>
                            <w:div w:id="1574509670">
                              <w:marLeft w:val="2250"/>
                              <w:marRight w:val="3960"/>
                              <w:marTop w:val="0"/>
                              <w:marBottom w:val="0"/>
                              <w:divBdr>
                                <w:top w:val="none" w:sz="0" w:space="0" w:color="auto"/>
                                <w:left w:val="none" w:sz="0" w:space="0" w:color="auto"/>
                                <w:bottom w:val="none" w:sz="0" w:space="0" w:color="auto"/>
                                <w:right w:val="none" w:sz="0" w:space="0" w:color="auto"/>
                              </w:divBdr>
                              <w:divsChild>
                                <w:div w:id="1047493359">
                                  <w:marLeft w:val="0"/>
                                  <w:marRight w:val="0"/>
                                  <w:marTop w:val="0"/>
                                  <w:marBottom w:val="0"/>
                                  <w:divBdr>
                                    <w:top w:val="none" w:sz="0" w:space="0" w:color="auto"/>
                                    <w:left w:val="none" w:sz="0" w:space="0" w:color="auto"/>
                                    <w:bottom w:val="none" w:sz="0" w:space="0" w:color="auto"/>
                                    <w:right w:val="none" w:sz="0" w:space="0" w:color="auto"/>
                                  </w:divBdr>
                                  <w:divsChild>
                                    <w:div w:id="140468119">
                                      <w:marLeft w:val="0"/>
                                      <w:marRight w:val="0"/>
                                      <w:marTop w:val="0"/>
                                      <w:marBottom w:val="0"/>
                                      <w:divBdr>
                                        <w:top w:val="none" w:sz="0" w:space="0" w:color="auto"/>
                                        <w:left w:val="none" w:sz="0" w:space="0" w:color="auto"/>
                                        <w:bottom w:val="none" w:sz="0" w:space="0" w:color="auto"/>
                                        <w:right w:val="none" w:sz="0" w:space="0" w:color="auto"/>
                                      </w:divBdr>
                                      <w:divsChild>
                                        <w:div w:id="1647319472">
                                          <w:marLeft w:val="0"/>
                                          <w:marRight w:val="0"/>
                                          <w:marTop w:val="0"/>
                                          <w:marBottom w:val="0"/>
                                          <w:divBdr>
                                            <w:top w:val="none" w:sz="0" w:space="0" w:color="auto"/>
                                            <w:left w:val="none" w:sz="0" w:space="0" w:color="auto"/>
                                            <w:bottom w:val="none" w:sz="0" w:space="0" w:color="auto"/>
                                            <w:right w:val="none" w:sz="0" w:space="0" w:color="auto"/>
                                          </w:divBdr>
                                          <w:divsChild>
                                            <w:div w:id="1716614835">
                                              <w:marLeft w:val="0"/>
                                              <w:marRight w:val="0"/>
                                              <w:marTop w:val="90"/>
                                              <w:marBottom w:val="0"/>
                                              <w:divBdr>
                                                <w:top w:val="none" w:sz="0" w:space="0" w:color="auto"/>
                                                <w:left w:val="none" w:sz="0" w:space="0" w:color="auto"/>
                                                <w:bottom w:val="none" w:sz="0" w:space="0" w:color="auto"/>
                                                <w:right w:val="none" w:sz="0" w:space="0" w:color="auto"/>
                                              </w:divBdr>
                                              <w:divsChild>
                                                <w:div w:id="36052316">
                                                  <w:marLeft w:val="0"/>
                                                  <w:marRight w:val="0"/>
                                                  <w:marTop w:val="0"/>
                                                  <w:marBottom w:val="0"/>
                                                  <w:divBdr>
                                                    <w:top w:val="none" w:sz="0" w:space="0" w:color="auto"/>
                                                    <w:left w:val="none" w:sz="0" w:space="0" w:color="auto"/>
                                                    <w:bottom w:val="none" w:sz="0" w:space="0" w:color="auto"/>
                                                    <w:right w:val="none" w:sz="0" w:space="0" w:color="auto"/>
                                                  </w:divBdr>
                                                  <w:divsChild>
                                                    <w:div w:id="2068454862">
                                                      <w:marLeft w:val="0"/>
                                                      <w:marRight w:val="0"/>
                                                      <w:marTop w:val="0"/>
                                                      <w:marBottom w:val="0"/>
                                                      <w:divBdr>
                                                        <w:top w:val="none" w:sz="0" w:space="0" w:color="auto"/>
                                                        <w:left w:val="none" w:sz="0" w:space="0" w:color="auto"/>
                                                        <w:bottom w:val="none" w:sz="0" w:space="0" w:color="auto"/>
                                                        <w:right w:val="none" w:sz="0" w:space="0" w:color="auto"/>
                                                      </w:divBdr>
                                                      <w:divsChild>
                                                        <w:div w:id="250890388">
                                                          <w:marLeft w:val="0"/>
                                                          <w:marRight w:val="0"/>
                                                          <w:marTop w:val="0"/>
                                                          <w:marBottom w:val="405"/>
                                                          <w:divBdr>
                                                            <w:top w:val="none" w:sz="0" w:space="0" w:color="auto"/>
                                                            <w:left w:val="none" w:sz="0" w:space="0" w:color="auto"/>
                                                            <w:bottom w:val="none" w:sz="0" w:space="0" w:color="auto"/>
                                                            <w:right w:val="none" w:sz="0" w:space="0" w:color="auto"/>
                                                          </w:divBdr>
                                                          <w:divsChild>
                                                            <w:div w:id="835195285">
                                                              <w:marLeft w:val="0"/>
                                                              <w:marRight w:val="0"/>
                                                              <w:marTop w:val="0"/>
                                                              <w:marBottom w:val="0"/>
                                                              <w:divBdr>
                                                                <w:top w:val="none" w:sz="0" w:space="0" w:color="auto"/>
                                                                <w:left w:val="none" w:sz="0" w:space="0" w:color="auto"/>
                                                                <w:bottom w:val="none" w:sz="0" w:space="0" w:color="auto"/>
                                                                <w:right w:val="none" w:sz="0" w:space="0" w:color="auto"/>
                                                              </w:divBdr>
                                                              <w:divsChild>
                                                                <w:div w:id="1875775757">
                                                                  <w:marLeft w:val="0"/>
                                                                  <w:marRight w:val="0"/>
                                                                  <w:marTop w:val="0"/>
                                                                  <w:marBottom w:val="0"/>
                                                                  <w:divBdr>
                                                                    <w:top w:val="none" w:sz="0" w:space="0" w:color="auto"/>
                                                                    <w:left w:val="none" w:sz="0" w:space="0" w:color="auto"/>
                                                                    <w:bottom w:val="none" w:sz="0" w:space="0" w:color="auto"/>
                                                                    <w:right w:val="none" w:sz="0" w:space="0" w:color="auto"/>
                                                                  </w:divBdr>
                                                                  <w:divsChild>
                                                                    <w:div w:id="15306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4134312">
      <w:bodyDiv w:val="1"/>
      <w:marLeft w:val="0"/>
      <w:marRight w:val="0"/>
      <w:marTop w:val="0"/>
      <w:marBottom w:val="0"/>
      <w:divBdr>
        <w:top w:val="none" w:sz="0" w:space="0" w:color="auto"/>
        <w:left w:val="none" w:sz="0" w:space="0" w:color="auto"/>
        <w:bottom w:val="none" w:sz="0" w:space="0" w:color="auto"/>
        <w:right w:val="none" w:sz="0" w:space="0" w:color="auto"/>
      </w:divBdr>
      <w:divsChild>
        <w:div w:id="242373589">
          <w:marLeft w:val="432"/>
          <w:marRight w:val="0"/>
          <w:marTop w:val="125"/>
          <w:marBottom w:val="0"/>
          <w:divBdr>
            <w:top w:val="none" w:sz="0" w:space="0" w:color="auto"/>
            <w:left w:val="none" w:sz="0" w:space="0" w:color="auto"/>
            <w:bottom w:val="none" w:sz="0" w:space="0" w:color="auto"/>
            <w:right w:val="none" w:sz="0" w:space="0" w:color="auto"/>
          </w:divBdr>
        </w:div>
        <w:div w:id="308677161">
          <w:marLeft w:val="1008"/>
          <w:marRight w:val="0"/>
          <w:marTop w:val="115"/>
          <w:marBottom w:val="0"/>
          <w:divBdr>
            <w:top w:val="none" w:sz="0" w:space="0" w:color="auto"/>
            <w:left w:val="none" w:sz="0" w:space="0" w:color="auto"/>
            <w:bottom w:val="none" w:sz="0" w:space="0" w:color="auto"/>
            <w:right w:val="none" w:sz="0" w:space="0" w:color="auto"/>
          </w:divBdr>
        </w:div>
        <w:div w:id="198786262">
          <w:marLeft w:val="1008"/>
          <w:marRight w:val="0"/>
          <w:marTop w:val="115"/>
          <w:marBottom w:val="0"/>
          <w:divBdr>
            <w:top w:val="none" w:sz="0" w:space="0" w:color="auto"/>
            <w:left w:val="none" w:sz="0" w:space="0" w:color="auto"/>
            <w:bottom w:val="none" w:sz="0" w:space="0" w:color="auto"/>
            <w:right w:val="none" w:sz="0" w:space="0" w:color="auto"/>
          </w:divBdr>
        </w:div>
        <w:div w:id="1137600438">
          <w:marLeft w:val="1008"/>
          <w:marRight w:val="0"/>
          <w:marTop w:val="115"/>
          <w:marBottom w:val="0"/>
          <w:divBdr>
            <w:top w:val="none" w:sz="0" w:space="0" w:color="auto"/>
            <w:left w:val="none" w:sz="0" w:space="0" w:color="auto"/>
            <w:bottom w:val="none" w:sz="0" w:space="0" w:color="auto"/>
            <w:right w:val="none" w:sz="0" w:space="0" w:color="auto"/>
          </w:divBdr>
        </w:div>
      </w:divsChild>
    </w:div>
    <w:div w:id="1788622553">
      <w:bodyDiv w:val="1"/>
      <w:marLeft w:val="0"/>
      <w:marRight w:val="0"/>
      <w:marTop w:val="0"/>
      <w:marBottom w:val="0"/>
      <w:divBdr>
        <w:top w:val="none" w:sz="0" w:space="0" w:color="auto"/>
        <w:left w:val="none" w:sz="0" w:space="0" w:color="auto"/>
        <w:bottom w:val="none" w:sz="0" w:space="0" w:color="auto"/>
        <w:right w:val="none" w:sz="0" w:space="0" w:color="auto"/>
      </w:divBdr>
    </w:div>
    <w:div w:id="1812363512">
      <w:bodyDiv w:val="1"/>
      <w:marLeft w:val="0"/>
      <w:marRight w:val="0"/>
      <w:marTop w:val="0"/>
      <w:marBottom w:val="0"/>
      <w:divBdr>
        <w:top w:val="none" w:sz="0" w:space="0" w:color="auto"/>
        <w:left w:val="none" w:sz="0" w:space="0" w:color="auto"/>
        <w:bottom w:val="none" w:sz="0" w:space="0" w:color="auto"/>
        <w:right w:val="none" w:sz="0" w:space="0" w:color="auto"/>
      </w:divBdr>
    </w:div>
    <w:div w:id="1828744813">
      <w:bodyDiv w:val="1"/>
      <w:marLeft w:val="0"/>
      <w:marRight w:val="0"/>
      <w:marTop w:val="0"/>
      <w:marBottom w:val="0"/>
      <w:divBdr>
        <w:top w:val="none" w:sz="0" w:space="0" w:color="auto"/>
        <w:left w:val="none" w:sz="0" w:space="0" w:color="auto"/>
        <w:bottom w:val="none" w:sz="0" w:space="0" w:color="auto"/>
        <w:right w:val="none" w:sz="0" w:space="0" w:color="auto"/>
      </w:divBdr>
      <w:divsChild>
        <w:div w:id="1895972072">
          <w:marLeft w:val="432"/>
          <w:marRight w:val="0"/>
          <w:marTop w:val="115"/>
          <w:marBottom w:val="0"/>
          <w:divBdr>
            <w:top w:val="none" w:sz="0" w:space="0" w:color="auto"/>
            <w:left w:val="none" w:sz="0" w:space="0" w:color="auto"/>
            <w:bottom w:val="none" w:sz="0" w:space="0" w:color="auto"/>
            <w:right w:val="none" w:sz="0" w:space="0" w:color="auto"/>
          </w:divBdr>
        </w:div>
        <w:div w:id="1516652649">
          <w:marLeft w:val="1008"/>
          <w:marRight w:val="0"/>
          <w:marTop w:val="96"/>
          <w:marBottom w:val="0"/>
          <w:divBdr>
            <w:top w:val="none" w:sz="0" w:space="0" w:color="auto"/>
            <w:left w:val="none" w:sz="0" w:space="0" w:color="auto"/>
            <w:bottom w:val="none" w:sz="0" w:space="0" w:color="auto"/>
            <w:right w:val="none" w:sz="0" w:space="0" w:color="auto"/>
          </w:divBdr>
        </w:div>
        <w:div w:id="1751656360">
          <w:marLeft w:val="1008"/>
          <w:marRight w:val="0"/>
          <w:marTop w:val="96"/>
          <w:marBottom w:val="0"/>
          <w:divBdr>
            <w:top w:val="none" w:sz="0" w:space="0" w:color="auto"/>
            <w:left w:val="none" w:sz="0" w:space="0" w:color="auto"/>
            <w:bottom w:val="none" w:sz="0" w:space="0" w:color="auto"/>
            <w:right w:val="none" w:sz="0" w:space="0" w:color="auto"/>
          </w:divBdr>
        </w:div>
        <w:div w:id="1457672589">
          <w:marLeft w:val="1008"/>
          <w:marRight w:val="0"/>
          <w:marTop w:val="96"/>
          <w:marBottom w:val="0"/>
          <w:divBdr>
            <w:top w:val="none" w:sz="0" w:space="0" w:color="auto"/>
            <w:left w:val="none" w:sz="0" w:space="0" w:color="auto"/>
            <w:bottom w:val="none" w:sz="0" w:space="0" w:color="auto"/>
            <w:right w:val="none" w:sz="0" w:space="0" w:color="auto"/>
          </w:divBdr>
        </w:div>
        <w:div w:id="1451050704">
          <w:marLeft w:val="1008"/>
          <w:marRight w:val="0"/>
          <w:marTop w:val="96"/>
          <w:marBottom w:val="0"/>
          <w:divBdr>
            <w:top w:val="none" w:sz="0" w:space="0" w:color="auto"/>
            <w:left w:val="none" w:sz="0" w:space="0" w:color="auto"/>
            <w:bottom w:val="none" w:sz="0" w:space="0" w:color="auto"/>
            <w:right w:val="none" w:sz="0" w:space="0" w:color="auto"/>
          </w:divBdr>
        </w:div>
        <w:div w:id="1275671266">
          <w:marLeft w:val="1008"/>
          <w:marRight w:val="0"/>
          <w:marTop w:val="96"/>
          <w:marBottom w:val="0"/>
          <w:divBdr>
            <w:top w:val="none" w:sz="0" w:space="0" w:color="auto"/>
            <w:left w:val="none" w:sz="0" w:space="0" w:color="auto"/>
            <w:bottom w:val="none" w:sz="0" w:space="0" w:color="auto"/>
            <w:right w:val="none" w:sz="0" w:space="0" w:color="auto"/>
          </w:divBdr>
        </w:div>
        <w:div w:id="1104494095">
          <w:marLeft w:val="1008"/>
          <w:marRight w:val="0"/>
          <w:marTop w:val="96"/>
          <w:marBottom w:val="0"/>
          <w:divBdr>
            <w:top w:val="none" w:sz="0" w:space="0" w:color="auto"/>
            <w:left w:val="none" w:sz="0" w:space="0" w:color="auto"/>
            <w:bottom w:val="none" w:sz="0" w:space="0" w:color="auto"/>
            <w:right w:val="none" w:sz="0" w:space="0" w:color="auto"/>
          </w:divBdr>
        </w:div>
        <w:div w:id="498467094">
          <w:marLeft w:val="1008"/>
          <w:marRight w:val="0"/>
          <w:marTop w:val="96"/>
          <w:marBottom w:val="0"/>
          <w:divBdr>
            <w:top w:val="none" w:sz="0" w:space="0" w:color="auto"/>
            <w:left w:val="none" w:sz="0" w:space="0" w:color="auto"/>
            <w:bottom w:val="none" w:sz="0" w:space="0" w:color="auto"/>
            <w:right w:val="none" w:sz="0" w:space="0" w:color="auto"/>
          </w:divBdr>
        </w:div>
        <w:div w:id="1012343016">
          <w:marLeft w:val="1440"/>
          <w:marRight w:val="0"/>
          <w:marTop w:val="86"/>
          <w:marBottom w:val="0"/>
          <w:divBdr>
            <w:top w:val="none" w:sz="0" w:space="0" w:color="auto"/>
            <w:left w:val="none" w:sz="0" w:space="0" w:color="auto"/>
            <w:bottom w:val="none" w:sz="0" w:space="0" w:color="auto"/>
            <w:right w:val="none" w:sz="0" w:space="0" w:color="auto"/>
          </w:divBdr>
        </w:div>
        <w:div w:id="791244984">
          <w:marLeft w:val="1008"/>
          <w:marRight w:val="0"/>
          <w:marTop w:val="96"/>
          <w:marBottom w:val="0"/>
          <w:divBdr>
            <w:top w:val="none" w:sz="0" w:space="0" w:color="auto"/>
            <w:left w:val="none" w:sz="0" w:space="0" w:color="auto"/>
            <w:bottom w:val="none" w:sz="0" w:space="0" w:color="auto"/>
            <w:right w:val="none" w:sz="0" w:space="0" w:color="auto"/>
          </w:divBdr>
        </w:div>
      </w:divsChild>
    </w:div>
    <w:div w:id="1866822169">
      <w:bodyDiv w:val="1"/>
      <w:marLeft w:val="0"/>
      <w:marRight w:val="0"/>
      <w:marTop w:val="0"/>
      <w:marBottom w:val="0"/>
      <w:divBdr>
        <w:top w:val="none" w:sz="0" w:space="0" w:color="auto"/>
        <w:left w:val="none" w:sz="0" w:space="0" w:color="auto"/>
        <w:bottom w:val="none" w:sz="0" w:space="0" w:color="auto"/>
        <w:right w:val="none" w:sz="0" w:space="0" w:color="auto"/>
      </w:divBdr>
      <w:divsChild>
        <w:div w:id="638222111">
          <w:marLeft w:val="0"/>
          <w:marRight w:val="0"/>
          <w:marTop w:val="0"/>
          <w:marBottom w:val="0"/>
          <w:divBdr>
            <w:top w:val="none" w:sz="0" w:space="0" w:color="auto"/>
            <w:left w:val="none" w:sz="0" w:space="0" w:color="auto"/>
            <w:bottom w:val="none" w:sz="0" w:space="0" w:color="auto"/>
            <w:right w:val="none" w:sz="0" w:space="0" w:color="auto"/>
          </w:divBdr>
          <w:divsChild>
            <w:div w:id="595329569">
              <w:marLeft w:val="0"/>
              <w:marRight w:val="0"/>
              <w:marTop w:val="0"/>
              <w:marBottom w:val="0"/>
              <w:divBdr>
                <w:top w:val="none" w:sz="0" w:space="0" w:color="auto"/>
                <w:left w:val="none" w:sz="0" w:space="0" w:color="auto"/>
                <w:bottom w:val="none" w:sz="0" w:space="0" w:color="auto"/>
                <w:right w:val="none" w:sz="0" w:space="0" w:color="auto"/>
              </w:divBdr>
              <w:divsChild>
                <w:div w:id="803741405">
                  <w:marLeft w:val="0"/>
                  <w:marRight w:val="0"/>
                  <w:marTop w:val="0"/>
                  <w:marBottom w:val="0"/>
                  <w:divBdr>
                    <w:top w:val="none" w:sz="0" w:space="0" w:color="auto"/>
                    <w:left w:val="none" w:sz="0" w:space="0" w:color="auto"/>
                    <w:bottom w:val="none" w:sz="0" w:space="0" w:color="auto"/>
                    <w:right w:val="none" w:sz="0" w:space="0" w:color="auto"/>
                  </w:divBdr>
                  <w:divsChild>
                    <w:div w:id="553584802">
                      <w:marLeft w:val="0"/>
                      <w:marRight w:val="0"/>
                      <w:marTop w:val="0"/>
                      <w:marBottom w:val="0"/>
                      <w:divBdr>
                        <w:top w:val="none" w:sz="0" w:space="0" w:color="auto"/>
                        <w:left w:val="none" w:sz="0" w:space="0" w:color="auto"/>
                        <w:bottom w:val="none" w:sz="0" w:space="0" w:color="auto"/>
                        <w:right w:val="none" w:sz="0" w:space="0" w:color="auto"/>
                      </w:divBdr>
                      <w:divsChild>
                        <w:div w:id="2058117992">
                          <w:marLeft w:val="0"/>
                          <w:marRight w:val="0"/>
                          <w:marTop w:val="0"/>
                          <w:marBottom w:val="0"/>
                          <w:divBdr>
                            <w:top w:val="none" w:sz="0" w:space="0" w:color="auto"/>
                            <w:left w:val="none" w:sz="0" w:space="0" w:color="auto"/>
                            <w:bottom w:val="none" w:sz="0" w:space="0" w:color="auto"/>
                            <w:right w:val="none" w:sz="0" w:space="0" w:color="auto"/>
                          </w:divBdr>
                          <w:divsChild>
                            <w:div w:id="10911549">
                              <w:marLeft w:val="0"/>
                              <w:marRight w:val="0"/>
                              <w:marTop w:val="0"/>
                              <w:marBottom w:val="0"/>
                              <w:divBdr>
                                <w:top w:val="none" w:sz="0" w:space="0" w:color="auto"/>
                                <w:left w:val="none" w:sz="0" w:space="0" w:color="auto"/>
                                <w:bottom w:val="none" w:sz="0" w:space="0" w:color="auto"/>
                                <w:right w:val="none" w:sz="0" w:space="0" w:color="auto"/>
                              </w:divBdr>
                              <w:divsChild>
                                <w:div w:id="276762331">
                                  <w:marLeft w:val="0"/>
                                  <w:marRight w:val="0"/>
                                  <w:marTop w:val="0"/>
                                  <w:marBottom w:val="0"/>
                                  <w:divBdr>
                                    <w:top w:val="none" w:sz="0" w:space="0" w:color="auto"/>
                                    <w:left w:val="none" w:sz="0" w:space="0" w:color="auto"/>
                                    <w:bottom w:val="none" w:sz="0" w:space="0" w:color="auto"/>
                                    <w:right w:val="none" w:sz="0" w:space="0" w:color="auto"/>
                                  </w:divBdr>
                                  <w:divsChild>
                                    <w:div w:id="1861359598">
                                      <w:marLeft w:val="0"/>
                                      <w:marRight w:val="0"/>
                                      <w:marTop w:val="0"/>
                                      <w:marBottom w:val="0"/>
                                      <w:divBdr>
                                        <w:top w:val="none" w:sz="0" w:space="0" w:color="auto"/>
                                        <w:left w:val="none" w:sz="0" w:space="0" w:color="auto"/>
                                        <w:bottom w:val="none" w:sz="0" w:space="0" w:color="auto"/>
                                        <w:right w:val="none" w:sz="0" w:space="0" w:color="auto"/>
                                      </w:divBdr>
                                      <w:divsChild>
                                        <w:div w:id="737829961">
                                          <w:marLeft w:val="0"/>
                                          <w:marRight w:val="0"/>
                                          <w:marTop w:val="0"/>
                                          <w:marBottom w:val="0"/>
                                          <w:divBdr>
                                            <w:top w:val="none" w:sz="0" w:space="0" w:color="auto"/>
                                            <w:left w:val="none" w:sz="0" w:space="0" w:color="auto"/>
                                            <w:bottom w:val="none" w:sz="0" w:space="0" w:color="auto"/>
                                            <w:right w:val="none" w:sz="0" w:space="0" w:color="auto"/>
                                          </w:divBdr>
                                          <w:divsChild>
                                            <w:div w:id="387385896">
                                              <w:marLeft w:val="0"/>
                                              <w:marRight w:val="0"/>
                                              <w:marTop w:val="0"/>
                                              <w:marBottom w:val="0"/>
                                              <w:divBdr>
                                                <w:top w:val="none" w:sz="0" w:space="0" w:color="auto"/>
                                                <w:left w:val="none" w:sz="0" w:space="0" w:color="auto"/>
                                                <w:bottom w:val="none" w:sz="0" w:space="0" w:color="auto"/>
                                                <w:right w:val="none" w:sz="0" w:space="0" w:color="auto"/>
                                              </w:divBdr>
                                              <w:divsChild>
                                                <w:div w:id="1820730358">
                                                  <w:marLeft w:val="0"/>
                                                  <w:marRight w:val="0"/>
                                                  <w:marTop w:val="0"/>
                                                  <w:marBottom w:val="0"/>
                                                  <w:divBdr>
                                                    <w:top w:val="none" w:sz="0" w:space="0" w:color="auto"/>
                                                    <w:left w:val="none" w:sz="0" w:space="0" w:color="auto"/>
                                                    <w:bottom w:val="none" w:sz="0" w:space="0" w:color="auto"/>
                                                    <w:right w:val="none" w:sz="0" w:space="0" w:color="auto"/>
                                                  </w:divBdr>
                                                  <w:divsChild>
                                                    <w:div w:id="756558130">
                                                      <w:marLeft w:val="0"/>
                                                      <w:marRight w:val="0"/>
                                                      <w:marTop w:val="0"/>
                                                      <w:marBottom w:val="0"/>
                                                      <w:divBdr>
                                                        <w:top w:val="none" w:sz="0" w:space="0" w:color="auto"/>
                                                        <w:left w:val="none" w:sz="0" w:space="0" w:color="auto"/>
                                                        <w:bottom w:val="none" w:sz="0" w:space="0" w:color="auto"/>
                                                        <w:right w:val="none" w:sz="0" w:space="0" w:color="auto"/>
                                                      </w:divBdr>
                                                      <w:divsChild>
                                                        <w:div w:id="2107922820">
                                                          <w:marLeft w:val="0"/>
                                                          <w:marRight w:val="0"/>
                                                          <w:marTop w:val="0"/>
                                                          <w:marBottom w:val="0"/>
                                                          <w:divBdr>
                                                            <w:top w:val="none" w:sz="0" w:space="0" w:color="auto"/>
                                                            <w:left w:val="none" w:sz="0" w:space="0" w:color="auto"/>
                                                            <w:bottom w:val="none" w:sz="0" w:space="0" w:color="auto"/>
                                                            <w:right w:val="none" w:sz="0" w:space="0" w:color="auto"/>
                                                          </w:divBdr>
                                                          <w:divsChild>
                                                            <w:div w:id="247812348">
                                                              <w:marLeft w:val="0"/>
                                                              <w:marRight w:val="0"/>
                                                              <w:marTop w:val="0"/>
                                                              <w:marBottom w:val="0"/>
                                                              <w:divBdr>
                                                                <w:top w:val="none" w:sz="0" w:space="0" w:color="auto"/>
                                                                <w:left w:val="none" w:sz="0" w:space="0" w:color="auto"/>
                                                                <w:bottom w:val="none" w:sz="0" w:space="0" w:color="auto"/>
                                                                <w:right w:val="none" w:sz="0" w:space="0" w:color="auto"/>
                                                              </w:divBdr>
                                                              <w:divsChild>
                                                                <w:div w:id="1686861829">
                                                                  <w:marLeft w:val="0"/>
                                                                  <w:marRight w:val="0"/>
                                                                  <w:marTop w:val="0"/>
                                                                  <w:marBottom w:val="0"/>
                                                                  <w:divBdr>
                                                                    <w:top w:val="none" w:sz="0" w:space="0" w:color="auto"/>
                                                                    <w:left w:val="none" w:sz="0" w:space="0" w:color="auto"/>
                                                                    <w:bottom w:val="none" w:sz="0" w:space="0" w:color="auto"/>
                                                                    <w:right w:val="none" w:sz="0" w:space="0" w:color="auto"/>
                                                                  </w:divBdr>
                                                                  <w:divsChild>
                                                                    <w:div w:id="2013024010">
                                                                      <w:marLeft w:val="0"/>
                                                                      <w:marRight w:val="0"/>
                                                                      <w:marTop w:val="0"/>
                                                                      <w:marBottom w:val="0"/>
                                                                      <w:divBdr>
                                                                        <w:top w:val="none" w:sz="0" w:space="0" w:color="auto"/>
                                                                        <w:left w:val="none" w:sz="0" w:space="0" w:color="auto"/>
                                                                        <w:bottom w:val="none" w:sz="0" w:space="0" w:color="auto"/>
                                                                        <w:right w:val="none" w:sz="0" w:space="0" w:color="auto"/>
                                                                      </w:divBdr>
                                                                      <w:divsChild>
                                                                        <w:div w:id="1701468562">
                                                                          <w:marLeft w:val="0"/>
                                                                          <w:marRight w:val="0"/>
                                                                          <w:marTop w:val="0"/>
                                                                          <w:marBottom w:val="0"/>
                                                                          <w:divBdr>
                                                                            <w:top w:val="none" w:sz="0" w:space="0" w:color="auto"/>
                                                                            <w:left w:val="none" w:sz="0" w:space="0" w:color="auto"/>
                                                                            <w:bottom w:val="none" w:sz="0" w:space="0" w:color="auto"/>
                                                                            <w:right w:val="none" w:sz="0" w:space="0" w:color="auto"/>
                                                                          </w:divBdr>
                                                                          <w:divsChild>
                                                                            <w:div w:id="972250792">
                                                                              <w:marLeft w:val="0"/>
                                                                              <w:marRight w:val="0"/>
                                                                              <w:marTop w:val="0"/>
                                                                              <w:marBottom w:val="0"/>
                                                                              <w:divBdr>
                                                                                <w:top w:val="none" w:sz="0" w:space="0" w:color="auto"/>
                                                                                <w:left w:val="none" w:sz="0" w:space="0" w:color="auto"/>
                                                                                <w:bottom w:val="none" w:sz="0" w:space="0" w:color="auto"/>
                                                                                <w:right w:val="none" w:sz="0" w:space="0" w:color="auto"/>
                                                                              </w:divBdr>
                                                                            </w:div>
                                                                          </w:divsChild>
                                                                        </w:div>
                                                                        <w:div w:id="17859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238438">
      <w:bodyDiv w:val="1"/>
      <w:marLeft w:val="0"/>
      <w:marRight w:val="0"/>
      <w:marTop w:val="0"/>
      <w:marBottom w:val="0"/>
      <w:divBdr>
        <w:top w:val="none" w:sz="0" w:space="0" w:color="auto"/>
        <w:left w:val="none" w:sz="0" w:space="0" w:color="auto"/>
        <w:bottom w:val="none" w:sz="0" w:space="0" w:color="auto"/>
        <w:right w:val="none" w:sz="0" w:space="0" w:color="auto"/>
      </w:divBdr>
      <w:divsChild>
        <w:div w:id="195001732">
          <w:marLeft w:val="0"/>
          <w:marRight w:val="0"/>
          <w:marTop w:val="0"/>
          <w:marBottom w:val="0"/>
          <w:divBdr>
            <w:top w:val="none" w:sz="0" w:space="0" w:color="auto"/>
            <w:left w:val="none" w:sz="0" w:space="0" w:color="auto"/>
            <w:bottom w:val="none" w:sz="0" w:space="0" w:color="auto"/>
            <w:right w:val="none" w:sz="0" w:space="0" w:color="auto"/>
          </w:divBdr>
          <w:divsChild>
            <w:div w:id="1969507754">
              <w:marLeft w:val="-225"/>
              <w:marRight w:val="-225"/>
              <w:marTop w:val="0"/>
              <w:marBottom w:val="0"/>
              <w:divBdr>
                <w:top w:val="none" w:sz="0" w:space="0" w:color="auto"/>
                <w:left w:val="none" w:sz="0" w:space="0" w:color="auto"/>
                <w:bottom w:val="none" w:sz="0" w:space="0" w:color="auto"/>
                <w:right w:val="none" w:sz="0" w:space="0" w:color="auto"/>
              </w:divBdr>
              <w:divsChild>
                <w:div w:id="729810887">
                  <w:marLeft w:val="0"/>
                  <w:marRight w:val="0"/>
                  <w:marTop w:val="0"/>
                  <w:marBottom w:val="0"/>
                  <w:divBdr>
                    <w:top w:val="none" w:sz="0" w:space="0" w:color="auto"/>
                    <w:left w:val="none" w:sz="0" w:space="0" w:color="auto"/>
                    <w:bottom w:val="none" w:sz="0" w:space="0" w:color="auto"/>
                    <w:right w:val="none" w:sz="0" w:space="0" w:color="auto"/>
                  </w:divBdr>
                  <w:divsChild>
                    <w:div w:id="537355319">
                      <w:marLeft w:val="-225"/>
                      <w:marRight w:val="-225"/>
                      <w:marTop w:val="0"/>
                      <w:marBottom w:val="0"/>
                      <w:divBdr>
                        <w:top w:val="none" w:sz="0" w:space="0" w:color="auto"/>
                        <w:left w:val="none" w:sz="0" w:space="0" w:color="auto"/>
                        <w:bottom w:val="none" w:sz="0" w:space="0" w:color="auto"/>
                        <w:right w:val="none" w:sz="0" w:space="0" w:color="auto"/>
                      </w:divBdr>
                      <w:divsChild>
                        <w:div w:id="793137542">
                          <w:marLeft w:val="0"/>
                          <w:marRight w:val="0"/>
                          <w:marTop w:val="0"/>
                          <w:marBottom w:val="0"/>
                          <w:divBdr>
                            <w:top w:val="none" w:sz="0" w:space="0" w:color="auto"/>
                            <w:left w:val="none" w:sz="0" w:space="0" w:color="auto"/>
                            <w:bottom w:val="none" w:sz="0" w:space="0" w:color="auto"/>
                            <w:right w:val="none" w:sz="0" w:space="0" w:color="auto"/>
                          </w:divBdr>
                          <w:divsChild>
                            <w:div w:id="1516336991">
                              <w:marLeft w:val="0"/>
                              <w:marRight w:val="0"/>
                              <w:marTop w:val="0"/>
                              <w:marBottom w:val="0"/>
                              <w:divBdr>
                                <w:top w:val="none" w:sz="0" w:space="0" w:color="auto"/>
                                <w:left w:val="none" w:sz="0" w:space="0" w:color="auto"/>
                                <w:bottom w:val="none" w:sz="0" w:space="0" w:color="auto"/>
                                <w:right w:val="none" w:sz="0" w:space="0" w:color="auto"/>
                              </w:divBdr>
                              <w:divsChild>
                                <w:div w:id="10566903">
                                  <w:marLeft w:val="0"/>
                                  <w:marRight w:val="0"/>
                                  <w:marTop w:val="0"/>
                                  <w:marBottom w:val="0"/>
                                  <w:divBdr>
                                    <w:top w:val="none" w:sz="0" w:space="0" w:color="auto"/>
                                    <w:left w:val="none" w:sz="0" w:space="0" w:color="auto"/>
                                    <w:bottom w:val="none" w:sz="0" w:space="0" w:color="auto"/>
                                    <w:right w:val="none" w:sz="0" w:space="0" w:color="auto"/>
                                  </w:divBdr>
                                  <w:divsChild>
                                    <w:div w:id="291714749">
                                      <w:marLeft w:val="0"/>
                                      <w:marRight w:val="0"/>
                                      <w:marTop w:val="0"/>
                                      <w:marBottom w:val="0"/>
                                      <w:divBdr>
                                        <w:top w:val="none" w:sz="0" w:space="0" w:color="auto"/>
                                        <w:left w:val="none" w:sz="0" w:space="0" w:color="auto"/>
                                        <w:bottom w:val="none" w:sz="0" w:space="0" w:color="auto"/>
                                        <w:right w:val="none" w:sz="0" w:space="0" w:color="auto"/>
                                      </w:divBdr>
                                      <w:divsChild>
                                        <w:div w:id="1004673573">
                                          <w:marLeft w:val="0"/>
                                          <w:marRight w:val="0"/>
                                          <w:marTop w:val="0"/>
                                          <w:marBottom w:val="0"/>
                                          <w:divBdr>
                                            <w:top w:val="none" w:sz="0" w:space="0" w:color="auto"/>
                                            <w:left w:val="none" w:sz="0" w:space="0" w:color="auto"/>
                                            <w:bottom w:val="none" w:sz="0" w:space="0" w:color="auto"/>
                                            <w:right w:val="none" w:sz="0" w:space="0" w:color="auto"/>
                                          </w:divBdr>
                                          <w:divsChild>
                                            <w:div w:id="280188652">
                                              <w:marLeft w:val="0"/>
                                              <w:marRight w:val="0"/>
                                              <w:marTop w:val="0"/>
                                              <w:marBottom w:val="0"/>
                                              <w:divBdr>
                                                <w:top w:val="none" w:sz="0" w:space="0" w:color="auto"/>
                                                <w:left w:val="none" w:sz="0" w:space="0" w:color="auto"/>
                                                <w:bottom w:val="none" w:sz="0" w:space="0" w:color="auto"/>
                                                <w:right w:val="none" w:sz="0" w:space="0" w:color="auto"/>
                                              </w:divBdr>
                                              <w:divsChild>
                                                <w:div w:id="1560365598">
                                                  <w:marLeft w:val="0"/>
                                                  <w:marRight w:val="0"/>
                                                  <w:marTop w:val="0"/>
                                                  <w:marBottom w:val="0"/>
                                                  <w:divBdr>
                                                    <w:top w:val="none" w:sz="0" w:space="0" w:color="auto"/>
                                                    <w:left w:val="none" w:sz="0" w:space="0" w:color="auto"/>
                                                    <w:bottom w:val="none" w:sz="0" w:space="0" w:color="auto"/>
                                                    <w:right w:val="none" w:sz="0" w:space="0" w:color="auto"/>
                                                  </w:divBdr>
                                                  <w:divsChild>
                                                    <w:div w:id="292096867">
                                                      <w:marLeft w:val="0"/>
                                                      <w:marRight w:val="0"/>
                                                      <w:marTop w:val="0"/>
                                                      <w:marBottom w:val="0"/>
                                                      <w:divBdr>
                                                        <w:top w:val="none" w:sz="0" w:space="0" w:color="auto"/>
                                                        <w:left w:val="none" w:sz="0" w:space="0" w:color="auto"/>
                                                        <w:bottom w:val="none" w:sz="0" w:space="0" w:color="auto"/>
                                                        <w:right w:val="none" w:sz="0" w:space="0" w:color="auto"/>
                                                      </w:divBdr>
                                                      <w:divsChild>
                                                        <w:div w:id="727416508">
                                                          <w:marLeft w:val="0"/>
                                                          <w:marRight w:val="0"/>
                                                          <w:marTop w:val="0"/>
                                                          <w:marBottom w:val="0"/>
                                                          <w:divBdr>
                                                            <w:top w:val="none" w:sz="0" w:space="0" w:color="auto"/>
                                                            <w:left w:val="none" w:sz="0" w:space="0" w:color="auto"/>
                                                            <w:bottom w:val="none" w:sz="0" w:space="0" w:color="auto"/>
                                                            <w:right w:val="none" w:sz="0" w:space="0" w:color="auto"/>
                                                          </w:divBdr>
                                                          <w:divsChild>
                                                            <w:div w:id="6249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0845138">
      <w:bodyDiv w:val="1"/>
      <w:marLeft w:val="0"/>
      <w:marRight w:val="0"/>
      <w:marTop w:val="0"/>
      <w:marBottom w:val="0"/>
      <w:divBdr>
        <w:top w:val="none" w:sz="0" w:space="0" w:color="auto"/>
        <w:left w:val="none" w:sz="0" w:space="0" w:color="auto"/>
        <w:bottom w:val="none" w:sz="0" w:space="0" w:color="auto"/>
        <w:right w:val="none" w:sz="0" w:space="0" w:color="auto"/>
      </w:divBdr>
      <w:divsChild>
        <w:div w:id="2072270443">
          <w:marLeft w:val="432"/>
          <w:marRight w:val="0"/>
          <w:marTop w:val="125"/>
          <w:marBottom w:val="0"/>
          <w:divBdr>
            <w:top w:val="none" w:sz="0" w:space="0" w:color="auto"/>
            <w:left w:val="none" w:sz="0" w:space="0" w:color="auto"/>
            <w:bottom w:val="none" w:sz="0" w:space="0" w:color="auto"/>
            <w:right w:val="none" w:sz="0" w:space="0" w:color="auto"/>
          </w:divBdr>
        </w:div>
        <w:div w:id="1453207133">
          <w:marLeft w:val="432"/>
          <w:marRight w:val="0"/>
          <w:marTop w:val="125"/>
          <w:marBottom w:val="0"/>
          <w:divBdr>
            <w:top w:val="none" w:sz="0" w:space="0" w:color="auto"/>
            <w:left w:val="none" w:sz="0" w:space="0" w:color="auto"/>
            <w:bottom w:val="none" w:sz="0" w:space="0" w:color="auto"/>
            <w:right w:val="none" w:sz="0" w:space="0" w:color="auto"/>
          </w:divBdr>
        </w:div>
        <w:div w:id="320354444">
          <w:marLeft w:val="1008"/>
          <w:marRight w:val="0"/>
          <w:marTop w:val="115"/>
          <w:marBottom w:val="0"/>
          <w:divBdr>
            <w:top w:val="none" w:sz="0" w:space="0" w:color="auto"/>
            <w:left w:val="none" w:sz="0" w:space="0" w:color="auto"/>
            <w:bottom w:val="none" w:sz="0" w:space="0" w:color="auto"/>
            <w:right w:val="none" w:sz="0" w:space="0" w:color="auto"/>
          </w:divBdr>
        </w:div>
        <w:div w:id="142895280">
          <w:marLeft w:val="1008"/>
          <w:marRight w:val="0"/>
          <w:marTop w:val="115"/>
          <w:marBottom w:val="0"/>
          <w:divBdr>
            <w:top w:val="none" w:sz="0" w:space="0" w:color="auto"/>
            <w:left w:val="none" w:sz="0" w:space="0" w:color="auto"/>
            <w:bottom w:val="none" w:sz="0" w:space="0" w:color="auto"/>
            <w:right w:val="none" w:sz="0" w:space="0" w:color="auto"/>
          </w:divBdr>
        </w:div>
        <w:div w:id="1356007070">
          <w:marLeft w:val="432"/>
          <w:marRight w:val="0"/>
          <w:marTop w:val="125"/>
          <w:marBottom w:val="0"/>
          <w:divBdr>
            <w:top w:val="none" w:sz="0" w:space="0" w:color="auto"/>
            <w:left w:val="none" w:sz="0" w:space="0" w:color="auto"/>
            <w:bottom w:val="none" w:sz="0" w:space="0" w:color="auto"/>
            <w:right w:val="none" w:sz="0" w:space="0" w:color="auto"/>
          </w:divBdr>
        </w:div>
      </w:divsChild>
    </w:div>
    <w:div w:id="1981566940">
      <w:bodyDiv w:val="1"/>
      <w:marLeft w:val="0"/>
      <w:marRight w:val="0"/>
      <w:marTop w:val="0"/>
      <w:marBottom w:val="0"/>
      <w:divBdr>
        <w:top w:val="none" w:sz="0" w:space="0" w:color="auto"/>
        <w:left w:val="none" w:sz="0" w:space="0" w:color="auto"/>
        <w:bottom w:val="none" w:sz="0" w:space="0" w:color="auto"/>
        <w:right w:val="none" w:sz="0" w:space="0" w:color="auto"/>
      </w:divBdr>
    </w:div>
    <w:div w:id="2024353748">
      <w:bodyDiv w:val="1"/>
      <w:marLeft w:val="0"/>
      <w:marRight w:val="0"/>
      <w:marTop w:val="0"/>
      <w:marBottom w:val="0"/>
      <w:divBdr>
        <w:top w:val="none" w:sz="0" w:space="0" w:color="auto"/>
        <w:left w:val="none" w:sz="0" w:space="0" w:color="auto"/>
        <w:bottom w:val="none" w:sz="0" w:space="0" w:color="auto"/>
        <w:right w:val="none" w:sz="0" w:space="0" w:color="auto"/>
      </w:divBdr>
    </w:div>
    <w:div w:id="2025545015">
      <w:bodyDiv w:val="1"/>
      <w:marLeft w:val="0"/>
      <w:marRight w:val="0"/>
      <w:marTop w:val="0"/>
      <w:marBottom w:val="0"/>
      <w:divBdr>
        <w:top w:val="none" w:sz="0" w:space="0" w:color="auto"/>
        <w:left w:val="none" w:sz="0" w:space="0" w:color="auto"/>
        <w:bottom w:val="none" w:sz="0" w:space="0" w:color="auto"/>
        <w:right w:val="none" w:sz="0" w:space="0" w:color="auto"/>
      </w:divBdr>
      <w:divsChild>
        <w:div w:id="1169949066">
          <w:marLeft w:val="1008"/>
          <w:marRight w:val="0"/>
          <w:marTop w:val="115"/>
          <w:marBottom w:val="0"/>
          <w:divBdr>
            <w:top w:val="none" w:sz="0" w:space="0" w:color="auto"/>
            <w:left w:val="none" w:sz="0" w:space="0" w:color="auto"/>
            <w:bottom w:val="none" w:sz="0" w:space="0" w:color="auto"/>
            <w:right w:val="none" w:sz="0" w:space="0" w:color="auto"/>
          </w:divBdr>
        </w:div>
        <w:div w:id="1181821018">
          <w:marLeft w:val="1008"/>
          <w:marRight w:val="0"/>
          <w:marTop w:val="115"/>
          <w:marBottom w:val="0"/>
          <w:divBdr>
            <w:top w:val="none" w:sz="0" w:space="0" w:color="auto"/>
            <w:left w:val="none" w:sz="0" w:space="0" w:color="auto"/>
            <w:bottom w:val="none" w:sz="0" w:space="0" w:color="auto"/>
            <w:right w:val="none" w:sz="0" w:space="0" w:color="auto"/>
          </w:divBdr>
        </w:div>
        <w:div w:id="1890191447">
          <w:marLeft w:val="1008"/>
          <w:marRight w:val="0"/>
          <w:marTop w:val="115"/>
          <w:marBottom w:val="0"/>
          <w:divBdr>
            <w:top w:val="none" w:sz="0" w:space="0" w:color="auto"/>
            <w:left w:val="none" w:sz="0" w:space="0" w:color="auto"/>
            <w:bottom w:val="none" w:sz="0" w:space="0" w:color="auto"/>
            <w:right w:val="none" w:sz="0" w:space="0" w:color="auto"/>
          </w:divBdr>
        </w:div>
        <w:div w:id="369768941">
          <w:marLeft w:val="1008"/>
          <w:marRight w:val="0"/>
          <w:marTop w:val="115"/>
          <w:marBottom w:val="0"/>
          <w:divBdr>
            <w:top w:val="none" w:sz="0" w:space="0" w:color="auto"/>
            <w:left w:val="none" w:sz="0" w:space="0" w:color="auto"/>
            <w:bottom w:val="none" w:sz="0" w:space="0" w:color="auto"/>
            <w:right w:val="none" w:sz="0" w:space="0" w:color="auto"/>
          </w:divBdr>
        </w:div>
        <w:div w:id="901788395">
          <w:marLeft w:val="1008"/>
          <w:marRight w:val="0"/>
          <w:marTop w:val="115"/>
          <w:marBottom w:val="0"/>
          <w:divBdr>
            <w:top w:val="none" w:sz="0" w:space="0" w:color="auto"/>
            <w:left w:val="none" w:sz="0" w:space="0" w:color="auto"/>
            <w:bottom w:val="none" w:sz="0" w:space="0" w:color="auto"/>
            <w:right w:val="none" w:sz="0" w:space="0" w:color="auto"/>
          </w:divBdr>
        </w:div>
        <w:div w:id="1262225895">
          <w:marLeft w:val="1008"/>
          <w:marRight w:val="0"/>
          <w:marTop w:val="115"/>
          <w:marBottom w:val="0"/>
          <w:divBdr>
            <w:top w:val="none" w:sz="0" w:space="0" w:color="auto"/>
            <w:left w:val="none" w:sz="0" w:space="0" w:color="auto"/>
            <w:bottom w:val="none" w:sz="0" w:space="0" w:color="auto"/>
            <w:right w:val="none" w:sz="0" w:space="0" w:color="auto"/>
          </w:divBdr>
        </w:div>
      </w:divsChild>
    </w:div>
    <w:div w:id="2029721792">
      <w:bodyDiv w:val="1"/>
      <w:marLeft w:val="0"/>
      <w:marRight w:val="0"/>
      <w:marTop w:val="0"/>
      <w:marBottom w:val="0"/>
      <w:divBdr>
        <w:top w:val="none" w:sz="0" w:space="0" w:color="auto"/>
        <w:left w:val="none" w:sz="0" w:space="0" w:color="auto"/>
        <w:bottom w:val="none" w:sz="0" w:space="0" w:color="auto"/>
        <w:right w:val="none" w:sz="0" w:space="0" w:color="auto"/>
      </w:divBdr>
    </w:div>
    <w:div w:id="2037997878">
      <w:bodyDiv w:val="1"/>
      <w:marLeft w:val="0"/>
      <w:marRight w:val="0"/>
      <w:marTop w:val="0"/>
      <w:marBottom w:val="0"/>
      <w:divBdr>
        <w:top w:val="none" w:sz="0" w:space="0" w:color="auto"/>
        <w:left w:val="none" w:sz="0" w:space="0" w:color="auto"/>
        <w:bottom w:val="none" w:sz="0" w:space="0" w:color="auto"/>
        <w:right w:val="none" w:sz="0" w:space="0" w:color="auto"/>
      </w:divBdr>
      <w:divsChild>
        <w:div w:id="743572407">
          <w:marLeft w:val="432"/>
          <w:marRight w:val="0"/>
          <w:marTop w:val="125"/>
          <w:marBottom w:val="0"/>
          <w:divBdr>
            <w:top w:val="none" w:sz="0" w:space="0" w:color="auto"/>
            <w:left w:val="none" w:sz="0" w:space="0" w:color="auto"/>
            <w:bottom w:val="none" w:sz="0" w:space="0" w:color="auto"/>
            <w:right w:val="none" w:sz="0" w:space="0" w:color="auto"/>
          </w:divBdr>
        </w:div>
        <w:div w:id="963852019">
          <w:marLeft w:val="432"/>
          <w:marRight w:val="0"/>
          <w:marTop w:val="125"/>
          <w:marBottom w:val="0"/>
          <w:divBdr>
            <w:top w:val="none" w:sz="0" w:space="0" w:color="auto"/>
            <w:left w:val="none" w:sz="0" w:space="0" w:color="auto"/>
            <w:bottom w:val="none" w:sz="0" w:space="0" w:color="auto"/>
            <w:right w:val="none" w:sz="0" w:space="0" w:color="auto"/>
          </w:divBdr>
        </w:div>
        <w:div w:id="291331930">
          <w:marLeft w:val="432"/>
          <w:marRight w:val="0"/>
          <w:marTop w:val="125"/>
          <w:marBottom w:val="0"/>
          <w:divBdr>
            <w:top w:val="none" w:sz="0" w:space="0" w:color="auto"/>
            <w:left w:val="none" w:sz="0" w:space="0" w:color="auto"/>
            <w:bottom w:val="none" w:sz="0" w:space="0" w:color="auto"/>
            <w:right w:val="none" w:sz="0" w:space="0" w:color="auto"/>
          </w:divBdr>
        </w:div>
        <w:div w:id="1414008806">
          <w:marLeft w:val="432"/>
          <w:marRight w:val="0"/>
          <w:marTop w:val="125"/>
          <w:marBottom w:val="0"/>
          <w:divBdr>
            <w:top w:val="none" w:sz="0" w:space="0" w:color="auto"/>
            <w:left w:val="none" w:sz="0" w:space="0" w:color="auto"/>
            <w:bottom w:val="none" w:sz="0" w:space="0" w:color="auto"/>
            <w:right w:val="none" w:sz="0" w:space="0" w:color="auto"/>
          </w:divBdr>
        </w:div>
        <w:div w:id="1703939613">
          <w:marLeft w:val="432"/>
          <w:marRight w:val="0"/>
          <w:marTop w:val="125"/>
          <w:marBottom w:val="0"/>
          <w:divBdr>
            <w:top w:val="none" w:sz="0" w:space="0" w:color="auto"/>
            <w:left w:val="none" w:sz="0" w:space="0" w:color="auto"/>
            <w:bottom w:val="none" w:sz="0" w:space="0" w:color="auto"/>
            <w:right w:val="none" w:sz="0" w:space="0" w:color="auto"/>
          </w:divBdr>
        </w:div>
      </w:divsChild>
    </w:div>
    <w:div w:id="2057580270">
      <w:bodyDiv w:val="1"/>
      <w:marLeft w:val="0"/>
      <w:marRight w:val="0"/>
      <w:marTop w:val="0"/>
      <w:marBottom w:val="0"/>
      <w:divBdr>
        <w:top w:val="none" w:sz="0" w:space="0" w:color="auto"/>
        <w:left w:val="none" w:sz="0" w:space="0" w:color="auto"/>
        <w:bottom w:val="none" w:sz="0" w:space="0" w:color="auto"/>
        <w:right w:val="none" w:sz="0" w:space="0" w:color="auto"/>
      </w:divBdr>
    </w:div>
    <w:div w:id="2120054612">
      <w:bodyDiv w:val="1"/>
      <w:marLeft w:val="0"/>
      <w:marRight w:val="0"/>
      <w:marTop w:val="0"/>
      <w:marBottom w:val="0"/>
      <w:divBdr>
        <w:top w:val="none" w:sz="0" w:space="0" w:color="auto"/>
        <w:left w:val="none" w:sz="0" w:space="0" w:color="auto"/>
        <w:bottom w:val="none" w:sz="0" w:space="0" w:color="auto"/>
        <w:right w:val="none" w:sz="0" w:space="0" w:color="auto"/>
      </w:divBdr>
      <w:divsChild>
        <w:div w:id="839544313">
          <w:marLeft w:val="432"/>
          <w:marRight w:val="0"/>
          <w:marTop w:val="125"/>
          <w:marBottom w:val="0"/>
          <w:divBdr>
            <w:top w:val="none" w:sz="0" w:space="0" w:color="auto"/>
            <w:left w:val="none" w:sz="0" w:space="0" w:color="auto"/>
            <w:bottom w:val="none" w:sz="0" w:space="0" w:color="auto"/>
            <w:right w:val="none" w:sz="0" w:space="0" w:color="auto"/>
          </w:divBdr>
        </w:div>
        <w:div w:id="537015146">
          <w:marLeft w:val="1008"/>
          <w:marRight w:val="0"/>
          <w:marTop w:val="115"/>
          <w:marBottom w:val="0"/>
          <w:divBdr>
            <w:top w:val="none" w:sz="0" w:space="0" w:color="auto"/>
            <w:left w:val="none" w:sz="0" w:space="0" w:color="auto"/>
            <w:bottom w:val="none" w:sz="0" w:space="0" w:color="auto"/>
            <w:right w:val="none" w:sz="0" w:space="0" w:color="auto"/>
          </w:divBdr>
        </w:div>
        <w:div w:id="1113983576">
          <w:marLeft w:val="1008"/>
          <w:marRight w:val="0"/>
          <w:marTop w:val="115"/>
          <w:marBottom w:val="0"/>
          <w:divBdr>
            <w:top w:val="none" w:sz="0" w:space="0" w:color="auto"/>
            <w:left w:val="none" w:sz="0" w:space="0" w:color="auto"/>
            <w:bottom w:val="none" w:sz="0" w:space="0" w:color="auto"/>
            <w:right w:val="none" w:sz="0" w:space="0" w:color="auto"/>
          </w:divBdr>
        </w:div>
        <w:div w:id="2128697290">
          <w:marLeft w:val="1008"/>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www.dotaceeu.cz/cs/evropske-fondy-v-cr/2014-2020/dohoda-o-partnerstvi"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3" Type="http://schemas.openxmlformats.org/officeDocument/2006/relationships/hyperlink" Target="https://www.dotaceeu.cz/cs/Evropske-fondy-v-CR" TargetMode="External"/><Relationship Id="rId2" Type="http://schemas.openxmlformats.org/officeDocument/2006/relationships/hyperlink" Target="https://www.dotaceeu.cz/cs/evropske-fondy-v-cr/2014-2020/dohoda-o-partnerstvi" TargetMode="External"/><Relationship Id="rId1" Type="http://schemas.openxmlformats.org/officeDocument/2006/relationships/hyperlink" Target="https://www.euroskop.cz/9035/sekce/prehled-fondu-eu/" TargetMode="External"/><Relationship Id="rId6" Type="http://schemas.openxmlformats.org/officeDocument/2006/relationships/hyperlink" Target="https://www.dotaceeu.cz/cs/evropske-fondy-v-cr/2014-2020/dohoda-o-partnerstvi" TargetMode="External"/><Relationship Id="rId5" Type="http://schemas.openxmlformats.org/officeDocument/2006/relationships/hyperlink" Target="https://www.dotaceeu.cz/cs/evropske-fondy-v-cr/2014-2020/dohoda-o-partnerstvi" TargetMode="External"/><Relationship Id="rId4" Type="http://schemas.openxmlformats.org/officeDocument/2006/relationships/hyperlink" Target="https://www.dotaceeu.cz/cs/Evropske-fondy-v-CR/Narodni-organ-pro-koordinac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Celková alokace (mil. Kč)</c:v>
                </c:pt>
              </c:strCache>
            </c:strRef>
          </c:tx>
          <c:spPr>
            <a:solidFill>
              <a:schemeClr val="accent1"/>
            </a:solidFill>
            <a:ln>
              <a:noFill/>
            </a:ln>
            <a:effectLst/>
          </c:spPr>
          <c:invertIfNegative val="0"/>
          <c:cat>
            <c:strRef>
              <c:f>List1!$A$2:$A$7</c:f>
              <c:strCache>
                <c:ptCount val="6"/>
                <c:pt idx="0">
                  <c:v>EFRR</c:v>
                </c:pt>
                <c:pt idx="1">
                  <c:v>FS</c:v>
                </c:pt>
                <c:pt idx="2">
                  <c:v>ESF</c:v>
                </c:pt>
                <c:pt idx="3">
                  <c:v>EZFRV</c:v>
                </c:pt>
                <c:pt idx="4">
                  <c:v>ENFR</c:v>
                </c:pt>
                <c:pt idx="5">
                  <c:v>Celkem</c:v>
                </c:pt>
              </c:strCache>
            </c:strRef>
          </c:cat>
          <c:val>
            <c:numRef>
              <c:f>List1!$B$2:$B$7</c:f>
              <c:numCache>
                <c:formatCode>#,##0</c:formatCode>
                <c:ptCount val="6"/>
                <c:pt idx="0">
                  <c:v>288034</c:v>
                </c:pt>
                <c:pt idx="1">
                  <c:v>148681</c:v>
                </c:pt>
                <c:pt idx="2">
                  <c:v>83334</c:v>
                </c:pt>
                <c:pt idx="3">
                  <c:v>53687</c:v>
                </c:pt>
                <c:pt idx="4" formatCode="General">
                  <c:v>748</c:v>
                </c:pt>
                <c:pt idx="5">
                  <c:v>577184</c:v>
                </c:pt>
              </c:numCache>
            </c:numRef>
          </c:val>
          <c:extLst xmlns:c16r2="http://schemas.microsoft.com/office/drawing/2015/06/chart">
            <c:ext xmlns:c16="http://schemas.microsoft.com/office/drawing/2014/chart" uri="{C3380CC4-5D6E-409C-BE32-E72D297353CC}">
              <c16:uniqueId val="{00000000-9DB5-464E-A82A-C591F00DAF6D}"/>
            </c:ext>
          </c:extLst>
        </c:ser>
        <c:ser>
          <c:idx val="1"/>
          <c:order val="1"/>
          <c:tx>
            <c:strRef>
              <c:f>List1!$C$1</c:f>
              <c:strCache>
                <c:ptCount val="1"/>
                <c:pt idx="0">
                  <c:v>Proplaceno nebo předloženo v žádostech o platbu (mil. Kč)</c:v>
                </c:pt>
              </c:strCache>
            </c:strRef>
          </c:tx>
          <c:spPr>
            <a:solidFill>
              <a:schemeClr val="accent2"/>
            </a:solidFill>
            <a:ln>
              <a:noFill/>
            </a:ln>
            <a:effectLst/>
          </c:spPr>
          <c:invertIfNegative val="0"/>
          <c:cat>
            <c:strRef>
              <c:f>List1!$A$2:$A$7</c:f>
              <c:strCache>
                <c:ptCount val="6"/>
                <c:pt idx="0">
                  <c:v>EFRR</c:v>
                </c:pt>
                <c:pt idx="1">
                  <c:v>FS</c:v>
                </c:pt>
                <c:pt idx="2">
                  <c:v>ESF</c:v>
                </c:pt>
                <c:pt idx="3">
                  <c:v>EZFRV</c:v>
                </c:pt>
                <c:pt idx="4">
                  <c:v>ENFR</c:v>
                </c:pt>
                <c:pt idx="5">
                  <c:v>Celkem</c:v>
                </c:pt>
              </c:strCache>
            </c:strRef>
          </c:cat>
          <c:val>
            <c:numRef>
              <c:f>List1!$C$2:$C$7</c:f>
              <c:numCache>
                <c:formatCode>#,##0</c:formatCode>
                <c:ptCount val="6"/>
                <c:pt idx="0">
                  <c:v>99994</c:v>
                </c:pt>
                <c:pt idx="1">
                  <c:v>67015</c:v>
                </c:pt>
                <c:pt idx="2">
                  <c:v>36571</c:v>
                </c:pt>
                <c:pt idx="3">
                  <c:v>34864</c:v>
                </c:pt>
                <c:pt idx="4" formatCode="General">
                  <c:v>273</c:v>
                </c:pt>
                <c:pt idx="5">
                  <c:v>238717</c:v>
                </c:pt>
              </c:numCache>
            </c:numRef>
          </c:val>
          <c:extLst xmlns:c16r2="http://schemas.microsoft.com/office/drawing/2015/06/chart">
            <c:ext xmlns:c16="http://schemas.microsoft.com/office/drawing/2014/chart" uri="{C3380CC4-5D6E-409C-BE32-E72D297353CC}">
              <c16:uniqueId val="{00000001-9DB5-464E-A82A-C591F00DAF6D}"/>
            </c:ext>
          </c:extLst>
        </c:ser>
        <c:dLbls>
          <c:showLegendKey val="0"/>
          <c:showVal val="0"/>
          <c:showCatName val="0"/>
          <c:showSerName val="0"/>
          <c:showPercent val="0"/>
          <c:showBubbleSize val="0"/>
        </c:dLbls>
        <c:gapWidth val="219"/>
        <c:overlap val="-27"/>
        <c:axId val="442822752"/>
        <c:axId val="331058608"/>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List1!$D$1</c15:sqref>
                        </c15:formulaRef>
                      </c:ext>
                    </c:extLst>
                    <c:strCache>
                      <c:ptCount val="1"/>
                      <c:pt idx="0">
                        <c:v>Čerpání z celkové alokace (%)</c:v>
                      </c:pt>
                    </c:strCache>
                  </c:strRef>
                </c:tx>
                <c:spPr>
                  <a:solidFill>
                    <a:schemeClr val="accent3"/>
                  </a:solidFill>
                  <a:ln>
                    <a:noFill/>
                  </a:ln>
                  <a:effectLst/>
                </c:spPr>
                <c:invertIfNegative val="0"/>
                <c:cat>
                  <c:strRef>
                    <c:extLst xmlns:c16r2="http://schemas.microsoft.com/office/drawing/2015/06/chart">
                      <c:ext uri="{02D57815-91ED-43cb-92C2-25804820EDAC}">
                        <c15:formulaRef>
                          <c15:sqref>List1!$A$2:$A$7</c15:sqref>
                        </c15:formulaRef>
                      </c:ext>
                    </c:extLst>
                    <c:strCache>
                      <c:ptCount val="6"/>
                      <c:pt idx="0">
                        <c:v>EFRR</c:v>
                      </c:pt>
                      <c:pt idx="1">
                        <c:v>FS</c:v>
                      </c:pt>
                      <c:pt idx="2">
                        <c:v>ESF</c:v>
                      </c:pt>
                      <c:pt idx="3">
                        <c:v>EZFRV</c:v>
                      </c:pt>
                      <c:pt idx="4">
                        <c:v>ENFR</c:v>
                      </c:pt>
                      <c:pt idx="5">
                        <c:v>Celkem</c:v>
                      </c:pt>
                    </c:strCache>
                  </c:strRef>
                </c:cat>
                <c:val>
                  <c:numRef>
                    <c:extLst xmlns:c16r2="http://schemas.microsoft.com/office/drawing/2015/06/chart">
                      <c:ext uri="{02D57815-91ED-43cb-92C2-25804820EDAC}">
                        <c15:formulaRef>
                          <c15:sqref>List1!$D$2:$D$7</c15:sqref>
                        </c15:formulaRef>
                      </c:ext>
                    </c:extLst>
                    <c:numCache>
                      <c:formatCode>General</c:formatCode>
                      <c:ptCount val="6"/>
                      <c:pt idx="0">
                        <c:v>43.88</c:v>
                      </c:pt>
                      <c:pt idx="1">
                        <c:v>45.07</c:v>
                      </c:pt>
                      <c:pt idx="2">
                        <c:v>43.88</c:v>
                      </c:pt>
                      <c:pt idx="3">
                        <c:v>61.83</c:v>
                      </c:pt>
                      <c:pt idx="4">
                        <c:v>36.49</c:v>
                      </c:pt>
                      <c:pt idx="5">
                        <c:v>40.04</c:v>
                      </c:pt>
                    </c:numCache>
                  </c:numRef>
                </c:val>
                <c:extLst xmlns:c16r2="http://schemas.microsoft.com/office/drawing/2015/06/chart">
                  <c:ext xmlns:c16="http://schemas.microsoft.com/office/drawing/2014/chart" uri="{C3380CC4-5D6E-409C-BE32-E72D297353CC}">
                    <c16:uniqueId val="{00000002-9DB5-464E-A82A-C591F00DAF6D}"/>
                  </c:ext>
                </c:extLst>
              </c15:ser>
            </c15:filteredBarSeries>
          </c:ext>
        </c:extLst>
      </c:barChart>
      <c:catAx>
        <c:axId val="44282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38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1058608"/>
        <c:crosses val="autoZero"/>
        <c:auto val="1"/>
        <c:lblAlgn val="ctr"/>
        <c:lblOffset val="100"/>
        <c:noMultiLvlLbl val="0"/>
      </c:catAx>
      <c:valAx>
        <c:axId val="331058608"/>
        <c:scaling>
          <c:orientation val="minMax"/>
          <c:max val="6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44282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Celková alokace (mil. Kč)</c:v>
                </c:pt>
              </c:strCache>
            </c:strRef>
          </c:tx>
          <c:spPr>
            <a:solidFill>
              <a:schemeClr val="accent1"/>
            </a:solidFill>
            <a:ln>
              <a:noFill/>
            </a:ln>
            <a:effectLst/>
          </c:spPr>
          <c:invertIfNegative val="0"/>
          <c:cat>
            <c:strRef>
              <c:f>List1!$A$2:$A$11</c:f>
              <c:strCache>
                <c:ptCount val="10"/>
                <c:pt idx="0">
                  <c:v>PRV</c:v>
                </c:pt>
                <c:pt idx="1">
                  <c:v>OP Z</c:v>
                </c:pt>
                <c:pt idx="2">
                  <c:v>OP TP</c:v>
                </c:pt>
                <c:pt idx="3">
                  <c:v>OP D</c:v>
                </c:pt>
                <c:pt idx="4">
                  <c:v>IROP</c:v>
                </c:pt>
                <c:pt idx="5">
                  <c:v>OP ŽP</c:v>
                </c:pt>
                <c:pt idx="6">
                  <c:v>OP VVV</c:v>
                </c:pt>
                <c:pt idx="7">
                  <c:v>OP R</c:v>
                </c:pt>
                <c:pt idx="8">
                  <c:v>OP PIK</c:v>
                </c:pt>
                <c:pt idx="9">
                  <c:v>OP PPR</c:v>
                </c:pt>
              </c:strCache>
            </c:strRef>
          </c:cat>
          <c:val>
            <c:numRef>
              <c:f>List1!$B$2:$B$11</c:f>
              <c:numCache>
                <c:formatCode>#,##0</c:formatCode>
                <c:ptCount val="10"/>
                <c:pt idx="0">
                  <c:v>56387</c:v>
                </c:pt>
                <c:pt idx="1">
                  <c:v>52069</c:v>
                </c:pt>
                <c:pt idx="2">
                  <c:v>5415</c:v>
                </c:pt>
                <c:pt idx="3">
                  <c:v>110265</c:v>
                </c:pt>
                <c:pt idx="4">
                  <c:v>114780</c:v>
                </c:pt>
                <c:pt idx="5">
                  <c:v>67182</c:v>
                </c:pt>
                <c:pt idx="6">
                  <c:v>66745</c:v>
                </c:pt>
                <c:pt idx="7" formatCode="General">
                  <c:v>748</c:v>
                </c:pt>
                <c:pt idx="8">
                  <c:v>98731</c:v>
                </c:pt>
                <c:pt idx="9">
                  <c:v>4859</c:v>
                </c:pt>
              </c:numCache>
            </c:numRef>
          </c:val>
          <c:extLst xmlns:c16r2="http://schemas.microsoft.com/office/drawing/2015/06/chart">
            <c:ext xmlns:c16="http://schemas.microsoft.com/office/drawing/2014/chart" uri="{C3380CC4-5D6E-409C-BE32-E72D297353CC}">
              <c16:uniqueId val="{00000000-EE30-684C-85CB-D150690D177A}"/>
            </c:ext>
          </c:extLst>
        </c:ser>
        <c:ser>
          <c:idx val="1"/>
          <c:order val="1"/>
          <c:tx>
            <c:strRef>
              <c:f>List1!$C$1</c:f>
              <c:strCache>
                <c:ptCount val="1"/>
                <c:pt idx="0">
                  <c:v>Proplaceno nebo předloženo v žádostech o platbu (mil. Kč)</c:v>
                </c:pt>
              </c:strCache>
            </c:strRef>
          </c:tx>
          <c:spPr>
            <a:solidFill>
              <a:schemeClr val="accent2"/>
            </a:solidFill>
            <a:ln>
              <a:noFill/>
            </a:ln>
            <a:effectLst/>
          </c:spPr>
          <c:invertIfNegative val="0"/>
          <c:cat>
            <c:strRef>
              <c:f>List1!$A$2:$A$11</c:f>
              <c:strCache>
                <c:ptCount val="10"/>
                <c:pt idx="0">
                  <c:v>PRV</c:v>
                </c:pt>
                <c:pt idx="1">
                  <c:v>OP Z</c:v>
                </c:pt>
                <c:pt idx="2">
                  <c:v>OP TP</c:v>
                </c:pt>
                <c:pt idx="3">
                  <c:v>OP D</c:v>
                </c:pt>
                <c:pt idx="4">
                  <c:v>IROP</c:v>
                </c:pt>
                <c:pt idx="5">
                  <c:v>OP ŽP</c:v>
                </c:pt>
                <c:pt idx="6">
                  <c:v>OP VVV</c:v>
                </c:pt>
                <c:pt idx="7">
                  <c:v>OP R</c:v>
                </c:pt>
                <c:pt idx="8">
                  <c:v>OP PIK</c:v>
                </c:pt>
                <c:pt idx="9">
                  <c:v>OP PPR</c:v>
                </c:pt>
              </c:strCache>
            </c:strRef>
          </c:cat>
          <c:val>
            <c:numRef>
              <c:f>List1!$C$2:$C$11</c:f>
              <c:numCache>
                <c:formatCode>#,##0</c:formatCode>
                <c:ptCount val="10"/>
                <c:pt idx="0">
                  <c:v>34864</c:v>
                </c:pt>
                <c:pt idx="1">
                  <c:v>26286</c:v>
                </c:pt>
                <c:pt idx="2">
                  <c:v>2802</c:v>
                </c:pt>
                <c:pt idx="3">
                  <c:v>47623</c:v>
                </c:pt>
                <c:pt idx="4">
                  <c:v>43637</c:v>
                </c:pt>
                <c:pt idx="5">
                  <c:v>25753</c:v>
                </c:pt>
                <c:pt idx="6">
                  <c:v>25090</c:v>
                </c:pt>
                <c:pt idx="7" formatCode="General">
                  <c:v>273</c:v>
                </c:pt>
                <c:pt idx="8">
                  <c:v>30905</c:v>
                </c:pt>
                <c:pt idx="9">
                  <c:v>1484</c:v>
                </c:pt>
              </c:numCache>
            </c:numRef>
          </c:val>
          <c:extLst xmlns:c16r2="http://schemas.microsoft.com/office/drawing/2015/06/chart">
            <c:ext xmlns:c16="http://schemas.microsoft.com/office/drawing/2014/chart" uri="{C3380CC4-5D6E-409C-BE32-E72D297353CC}">
              <c16:uniqueId val="{00000001-EE30-684C-85CB-D150690D177A}"/>
            </c:ext>
          </c:extLst>
        </c:ser>
        <c:dLbls>
          <c:showLegendKey val="0"/>
          <c:showVal val="0"/>
          <c:showCatName val="0"/>
          <c:showSerName val="0"/>
          <c:showPercent val="0"/>
          <c:showBubbleSize val="0"/>
        </c:dLbls>
        <c:gapWidth val="219"/>
        <c:overlap val="-27"/>
        <c:axId val="331061968"/>
        <c:axId val="331062528"/>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List1!$D$1</c15:sqref>
                        </c15:formulaRef>
                      </c:ext>
                    </c:extLst>
                    <c:strCache>
                      <c:ptCount val="1"/>
                      <c:pt idx="0">
                        <c:v>Řada 3</c:v>
                      </c:pt>
                    </c:strCache>
                  </c:strRef>
                </c:tx>
                <c:spPr>
                  <a:solidFill>
                    <a:schemeClr val="accent3"/>
                  </a:solidFill>
                  <a:ln>
                    <a:noFill/>
                  </a:ln>
                  <a:effectLst/>
                </c:spPr>
                <c:invertIfNegative val="0"/>
                <c:cat>
                  <c:strRef>
                    <c:extLst xmlns:c16r2="http://schemas.microsoft.com/office/drawing/2015/06/chart">
                      <c:ext uri="{02D57815-91ED-43cb-92C2-25804820EDAC}">
                        <c15:formulaRef>
                          <c15:sqref>List1!$A$2:$A$11</c15:sqref>
                        </c15:formulaRef>
                      </c:ext>
                    </c:extLst>
                    <c:strCache>
                      <c:ptCount val="10"/>
                      <c:pt idx="0">
                        <c:v>PRV</c:v>
                      </c:pt>
                      <c:pt idx="1">
                        <c:v>OP Z</c:v>
                      </c:pt>
                      <c:pt idx="2">
                        <c:v>OP TP</c:v>
                      </c:pt>
                      <c:pt idx="3">
                        <c:v>OP D</c:v>
                      </c:pt>
                      <c:pt idx="4">
                        <c:v>IROP</c:v>
                      </c:pt>
                      <c:pt idx="5">
                        <c:v>OP ŽP</c:v>
                      </c:pt>
                      <c:pt idx="6">
                        <c:v>OP VVV</c:v>
                      </c:pt>
                      <c:pt idx="7">
                        <c:v>OP R</c:v>
                      </c:pt>
                      <c:pt idx="8">
                        <c:v>OP PIK</c:v>
                      </c:pt>
                      <c:pt idx="9">
                        <c:v>OP PPR</c:v>
                      </c:pt>
                    </c:strCache>
                  </c:strRef>
                </c:cat>
                <c:val>
                  <c:numRef>
                    <c:extLst xmlns:c16r2="http://schemas.microsoft.com/office/drawing/2015/06/chart">
                      <c:ext uri="{02D57815-91ED-43cb-92C2-25804820EDAC}">
                        <c15:formulaRef>
                          <c15:sqref>List1!$D$2:$D$11</c15:sqref>
                        </c15:formulaRef>
                      </c:ext>
                    </c:extLst>
                    <c:numCache>
                      <c:formatCode>General</c:formatCode>
                      <c:ptCount val="10"/>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EE30-684C-85CB-D150690D177A}"/>
                  </c:ext>
                </c:extLst>
              </c15:ser>
            </c15:filteredBarSeries>
          </c:ext>
        </c:extLst>
      </c:barChart>
      <c:catAx>
        <c:axId val="33106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a:glow rad="12700">
              <a:schemeClr val="accent1">
                <a:alpha val="40000"/>
              </a:schemeClr>
            </a:glow>
          </a:effectLst>
        </c:spPr>
        <c:txPr>
          <a:bodyPr rot="-1380000" spcFirstLastPara="1" vertOverflow="ellipsis" wrap="square" anchor="t" anchorCtr="0"/>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1062528"/>
        <c:crosses val="autoZero"/>
        <c:auto val="1"/>
        <c:lblAlgn val="ctr"/>
        <c:lblOffset val="100"/>
        <c:noMultiLvlLbl val="0"/>
      </c:catAx>
      <c:valAx>
        <c:axId val="331062528"/>
        <c:scaling>
          <c:orientation val="minMax"/>
          <c:max val="12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1061968"/>
        <c:crosses val="autoZero"/>
        <c:crossBetween val="between"/>
      </c:valAx>
      <c:spPr>
        <a:noFill/>
        <a:ln>
          <a:noFill/>
        </a:ln>
        <a:effectLst>
          <a:glow rad="127000">
            <a:schemeClr val="accent1">
              <a:alpha val="94000"/>
            </a:schemeClr>
          </a:glow>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 14e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List1!$A$2:$A$6</c:f>
              <c:numCache>
                <c:formatCode>General</c:formatCode>
                <c:ptCount val="5"/>
                <c:pt idx="0">
                  <c:v>2015</c:v>
                </c:pt>
                <c:pt idx="1">
                  <c:v>2016</c:v>
                </c:pt>
                <c:pt idx="2">
                  <c:v>2017</c:v>
                </c:pt>
                <c:pt idx="3">
                  <c:v>2018</c:v>
                </c:pt>
                <c:pt idx="4">
                  <c:v>2019</c:v>
                </c:pt>
              </c:numCache>
            </c:numRef>
          </c:cat>
          <c:val>
            <c:numRef>
              <c:f>List1!$B$2:$B$6</c:f>
              <c:numCache>
                <c:formatCode>#,##0</c:formatCode>
                <c:ptCount val="5"/>
                <c:pt idx="0">
                  <c:v>339</c:v>
                </c:pt>
                <c:pt idx="1">
                  <c:v>275</c:v>
                </c:pt>
                <c:pt idx="2">
                  <c:v>519</c:v>
                </c:pt>
                <c:pt idx="3">
                  <c:v>1441</c:v>
                </c:pt>
                <c:pt idx="4">
                  <c:v>1289</c:v>
                </c:pt>
              </c:numCache>
            </c:numRef>
          </c:val>
          <c:extLst xmlns:c16r2="http://schemas.microsoft.com/office/drawing/2015/06/chart">
            <c:ext xmlns:c16="http://schemas.microsoft.com/office/drawing/2014/chart" uri="{C3380CC4-5D6E-409C-BE32-E72D297353CC}">
              <c16:uniqueId val="{00000000-3C14-5B43-BF9E-2B8FDB821222}"/>
            </c:ext>
          </c:extLst>
        </c:ser>
        <c:dLbls>
          <c:showLegendKey val="0"/>
          <c:showVal val="0"/>
          <c:showCatName val="0"/>
          <c:showSerName val="0"/>
          <c:showPercent val="0"/>
          <c:showBubbleSize val="0"/>
        </c:dLbls>
        <c:gapWidth val="219"/>
        <c:overlap val="-27"/>
        <c:axId val="331064768"/>
        <c:axId val="331065328"/>
      </c:barChart>
      <c:catAx>
        <c:axId val="33106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1065328"/>
        <c:crosses val="autoZero"/>
        <c:auto val="1"/>
        <c:lblAlgn val="ctr"/>
        <c:lblOffset val="100"/>
        <c:noMultiLvlLbl val="0"/>
      </c:catAx>
      <c:valAx>
        <c:axId val="331065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106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 14f odst.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List1!$A$2:$A$6</c:f>
              <c:numCache>
                <c:formatCode>General</c:formatCode>
                <c:ptCount val="5"/>
                <c:pt idx="0">
                  <c:v>2015</c:v>
                </c:pt>
                <c:pt idx="1">
                  <c:v>2016</c:v>
                </c:pt>
                <c:pt idx="2">
                  <c:v>2017</c:v>
                </c:pt>
                <c:pt idx="3">
                  <c:v>2018</c:v>
                </c:pt>
                <c:pt idx="4">
                  <c:v>2019</c:v>
                </c:pt>
              </c:numCache>
            </c:numRef>
          </c:cat>
          <c:val>
            <c:numRef>
              <c:f>List1!$B$2:$B$6</c:f>
              <c:numCache>
                <c:formatCode>#,##0</c:formatCode>
                <c:ptCount val="5"/>
                <c:pt idx="0">
                  <c:v>8</c:v>
                </c:pt>
                <c:pt idx="1">
                  <c:v>36</c:v>
                </c:pt>
                <c:pt idx="2">
                  <c:v>47</c:v>
                </c:pt>
                <c:pt idx="3">
                  <c:v>134</c:v>
                </c:pt>
                <c:pt idx="4">
                  <c:v>141</c:v>
                </c:pt>
              </c:numCache>
            </c:numRef>
          </c:val>
          <c:extLst xmlns:c16r2="http://schemas.microsoft.com/office/drawing/2015/06/chart">
            <c:ext xmlns:c16="http://schemas.microsoft.com/office/drawing/2014/chart" uri="{C3380CC4-5D6E-409C-BE32-E72D297353CC}">
              <c16:uniqueId val="{00000000-DFF8-E94F-861F-027688061BED}"/>
            </c:ext>
          </c:extLst>
        </c:ser>
        <c:ser>
          <c:idx val="1"/>
          <c:order val="1"/>
          <c:tx>
            <c:strRef>
              <c:f>List1!$C$1</c:f>
              <c:strCache>
                <c:ptCount val="1"/>
                <c:pt idx="0">
                  <c:v>§ 14f odst. 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List1!$A$2:$A$6</c:f>
              <c:numCache>
                <c:formatCode>General</c:formatCode>
                <c:ptCount val="5"/>
                <c:pt idx="0">
                  <c:v>2015</c:v>
                </c:pt>
                <c:pt idx="1">
                  <c:v>2016</c:v>
                </c:pt>
                <c:pt idx="2">
                  <c:v>2017</c:v>
                </c:pt>
                <c:pt idx="3">
                  <c:v>2018</c:v>
                </c:pt>
                <c:pt idx="4">
                  <c:v>2019</c:v>
                </c:pt>
              </c:numCache>
            </c:numRef>
          </c:cat>
          <c:val>
            <c:numRef>
              <c:f>List1!$C$2:$C$6</c:f>
              <c:numCache>
                <c:formatCode>#,##0</c:formatCode>
                <c:ptCount val="5"/>
                <c:pt idx="0">
                  <c:v>112</c:v>
                </c:pt>
                <c:pt idx="1">
                  <c:v>668</c:v>
                </c:pt>
                <c:pt idx="2">
                  <c:v>502</c:v>
                </c:pt>
                <c:pt idx="3">
                  <c:v>846</c:v>
                </c:pt>
                <c:pt idx="4">
                  <c:v>1106</c:v>
                </c:pt>
              </c:numCache>
            </c:numRef>
          </c:val>
          <c:extLst xmlns:c16r2="http://schemas.microsoft.com/office/drawing/2015/06/chart">
            <c:ext xmlns:c16="http://schemas.microsoft.com/office/drawing/2014/chart" uri="{C3380CC4-5D6E-409C-BE32-E72D297353CC}">
              <c16:uniqueId val="{00000001-DFF8-E94F-861F-027688061BED}"/>
            </c:ext>
          </c:extLst>
        </c:ser>
        <c:dLbls>
          <c:showLegendKey val="0"/>
          <c:showVal val="0"/>
          <c:showCatName val="0"/>
          <c:showSerName val="0"/>
          <c:showPercent val="0"/>
          <c:showBubbleSize val="0"/>
        </c:dLbls>
        <c:gapWidth val="219"/>
        <c:overlap val="-27"/>
        <c:axId val="331068128"/>
        <c:axId val="331068688"/>
      </c:barChart>
      <c:catAx>
        <c:axId val="33106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1068688"/>
        <c:crosses val="autoZero"/>
        <c:auto val="1"/>
        <c:lblAlgn val="ctr"/>
        <c:lblOffset val="100"/>
        <c:noMultiLvlLbl val="0"/>
      </c:catAx>
      <c:valAx>
        <c:axId val="331068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106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Podněty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List1!$B$2:$B$10</c:f>
              <c:numCache>
                <c:formatCode>#,##0</c:formatCode>
                <c:ptCount val="9"/>
                <c:pt idx="0">
                  <c:v>2333</c:v>
                </c:pt>
                <c:pt idx="1">
                  <c:v>2525</c:v>
                </c:pt>
                <c:pt idx="2">
                  <c:v>3240</c:v>
                </c:pt>
                <c:pt idx="3">
                  <c:v>3151</c:v>
                </c:pt>
                <c:pt idx="4">
                  <c:v>3360</c:v>
                </c:pt>
                <c:pt idx="5">
                  <c:v>2383</c:v>
                </c:pt>
                <c:pt idx="6">
                  <c:v>1804</c:v>
                </c:pt>
                <c:pt idx="7">
                  <c:v>1601</c:v>
                </c:pt>
                <c:pt idx="8">
                  <c:v>1184</c:v>
                </c:pt>
              </c:numCache>
            </c:numRef>
          </c:val>
          <c:extLst xmlns:c16r2="http://schemas.microsoft.com/office/drawing/2015/06/chart">
            <c:ext xmlns:c16="http://schemas.microsoft.com/office/drawing/2014/chart" uri="{C3380CC4-5D6E-409C-BE32-E72D297353CC}">
              <c16:uniqueId val="{00000000-99BE-654D-B480-36086C09C51C}"/>
            </c:ext>
          </c:extLst>
        </c:ser>
        <c:dLbls>
          <c:showLegendKey val="0"/>
          <c:showVal val="0"/>
          <c:showCatName val="0"/>
          <c:showSerName val="0"/>
          <c:showPercent val="0"/>
          <c:showBubbleSize val="0"/>
        </c:dLbls>
        <c:gapWidth val="219"/>
        <c:overlap val="-27"/>
        <c:axId val="331070928"/>
        <c:axId val="331071488"/>
      </c:barChart>
      <c:catAx>
        <c:axId val="33107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1071488"/>
        <c:crosses val="autoZero"/>
        <c:auto val="1"/>
        <c:lblAlgn val="ctr"/>
        <c:lblOffset val="100"/>
        <c:noMultiLvlLbl val="0"/>
      </c:catAx>
      <c:valAx>
        <c:axId val="331071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1070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Žádosti o prominutí</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List1!$A$2:$A$10</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List1!$B$2:$B$10</c:f>
              <c:numCache>
                <c:formatCode>#,##0</c:formatCode>
                <c:ptCount val="9"/>
                <c:pt idx="0">
                  <c:v>979</c:v>
                </c:pt>
                <c:pt idx="1">
                  <c:v>1364</c:v>
                </c:pt>
                <c:pt idx="2">
                  <c:v>1340</c:v>
                </c:pt>
                <c:pt idx="3">
                  <c:v>1213</c:v>
                </c:pt>
                <c:pt idx="4">
                  <c:v>940</c:v>
                </c:pt>
                <c:pt idx="5">
                  <c:v>871</c:v>
                </c:pt>
                <c:pt idx="6">
                  <c:v>682</c:v>
                </c:pt>
                <c:pt idx="7">
                  <c:v>489</c:v>
                </c:pt>
                <c:pt idx="8">
                  <c:v>337</c:v>
                </c:pt>
              </c:numCache>
            </c:numRef>
          </c:val>
          <c:extLst xmlns:c16r2="http://schemas.microsoft.com/office/drawing/2015/06/chart">
            <c:ext xmlns:c16="http://schemas.microsoft.com/office/drawing/2014/chart" uri="{C3380CC4-5D6E-409C-BE32-E72D297353CC}">
              <c16:uniqueId val="{00000000-55C0-A841-829C-8D887C22A8CD}"/>
            </c:ext>
          </c:extLst>
        </c:ser>
        <c:dLbls>
          <c:showLegendKey val="0"/>
          <c:showVal val="0"/>
          <c:showCatName val="0"/>
          <c:showSerName val="0"/>
          <c:showPercent val="0"/>
          <c:showBubbleSize val="0"/>
        </c:dLbls>
        <c:gapWidth val="219"/>
        <c:overlap val="-27"/>
        <c:axId val="331073728"/>
        <c:axId val="331074288"/>
      </c:barChart>
      <c:catAx>
        <c:axId val="33107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1074288"/>
        <c:crosses val="autoZero"/>
        <c:auto val="1"/>
        <c:lblAlgn val="ctr"/>
        <c:lblOffset val="100"/>
        <c:noMultiLvlLbl val="0"/>
      </c:catAx>
      <c:valAx>
        <c:axId val="331074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33107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ED8E-4E90-4B28-9030-F8E38ED3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18387</Words>
  <Characters>105910</Characters>
  <Application>Microsoft Office Word</Application>
  <DocSecurity>0</DocSecurity>
  <Lines>2118</Lines>
  <Paragraphs>1027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Finanční správa</Company>
  <LinksUpToDate>false</LinksUpToDate>
  <CharactersWithSpaces>123270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Rašner Tomáš DiS. (SFÚ)</dc:creator>
  <cp:lastModifiedBy>marie.rakova@upol.cz</cp:lastModifiedBy>
  <cp:revision>5</cp:revision>
  <cp:lastPrinted>2020-03-09T09:17:00Z</cp:lastPrinted>
  <dcterms:created xsi:type="dcterms:W3CDTF">2020-04-21T19:48:00Z</dcterms:created>
  <dcterms:modified xsi:type="dcterms:W3CDTF">2020-04-21T20:12:00Z</dcterms:modified>
</cp:coreProperties>
</file>