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04C" w:rsidRDefault="00C5404C" w:rsidP="00C5404C">
      <w:pPr>
        <w:spacing w:after="0" w:line="240" w:lineRule="auto"/>
        <w:jc w:val="center"/>
        <w:rPr>
          <w:b/>
          <w:sz w:val="28"/>
        </w:rPr>
      </w:pPr>
    </w:p>
    <w:p w:rsidR="00C5404C" w:rsidRDefault="00C5404C" w:rsidP="00C5404C">
      <w:pPr>
        <w:spacing w:after="0" w:line="240" w:lineRule="auto"/>
        <w:jc w:val="center"/>
        <w:rPr>
          <w:b/>
          <w:sz w:val="28"/>
        </w:rPr>
      </w:pPr>
    </w:p>
    <w:p w:rsidR="00C5404C" w:rsidRDefault="00C5404C" w:rsidP="000A616B">
      <w:pPr>
        <w:spacing w:after="0" w:line="240" w:lineRule="auto"/>
        <w:ind w:firstLine="0"/>
        <w:jc w:val="center"/>
        <w:rPr>
          <w:b/>
          <w:sz w:val="28"/>
        </w:rPr>
      </w:pPr>
    </w:p>
    <w:p w:rsidR="00C5404C" w:rsidRDefault="00C5404C" w:rsidP="000A616B">
      <w:pPr>
        <w:spacing w:after="0" w:line="240" w:lineRule="auto"/>
        <w:ind w:firstLine="0"/>
        <w:jc w:val="center"/>
        <w:rPr>
          <w:b/>
          <w:sz w:val="28"/>
        </w:rPr>
      </w:pPr>
    </w:p>
    <w:p w:rsidR="00C5404C" w:rsidRDefault="00C5404C" w:rsidP="000A616B">
      <w:pPr>
        <w:spacing w:after="0" w:line="240" w:lineRule="auto"/>
        <w:ind w:firstLine="0"/>
        <w:jc w:val="center"/>
        <w:rPr>
          <w:b/>
          <w:sz w:val="28"/>
        </w:rPr>
      </w:pPr>
    </w:p>
    <w:p w:rsidR="009602E9" w:rsidRPr="00D5387F" w:rsidRDefault="00EC23B7" w:rsidP="000A616B">
      <w:pPr>
        <w:spacing w:after="0" w:line="240" w:lineRule="auto"/>
        <w:ind w:firstLine="0"/>
        <w:jc w:val="center"/>
        <w:rPr>
          <w:b/>
          <w:sz w:val="28"/>
        </w:rPr>
      </w:pPr>
      <w:r w:rsidRPr="00D5387F">
        <w:rPr>
          <w:b/>
          <w:sz w:val="28"/>
        </w:rPr>
        <w:t>UNIVERZITA PALACKÉHO V OLOMOUCI</w:t>
      </w:r>
    </w:p>
    <w:p w:rsidR="009602E9" w:rsidRPr="00D5387F" w:rsidRDefault="009602E9" w:rsidP="000A616B">
      <w:pPr>
        <w:spacing w:after="0" w:line="240" w:lineRule="auto"/>
        <w:ind w:firstLine="0"/>
        <w:jc w:val="center"/>
        <w:rPr>
          <w:b/>
          <w:sz w:val="28"/>
        </w:rPr>
      </w:pPr>
      <w:r w:rsidRPr="00D5387F">
        <w:rPr>
          <w:b/>
          <w:sz w:val="28"/>
        </w:rPr>
        <w:t>Právnická fakulta</w:t>
      </w:r>
    </w:p>
    <w:p w:rsidR="009602E9" w:rsidRPr="00D5387F" w:rsidRDefault="009602E9" w:rsidP="000A616B">
      <w:pPr>
        <w:spacing w:after="0" w:line="240" w:lineRule="auto"/>
        <w:ind w:firstLine="0"/>
        <w:jc w:val="center"/>
        <w:rPr>
          <w:b/>
          <w:sz w:val="28"/>
        </w:rPr>
      </w:pPr>
    </w:p>
    <w:p w:rsidR="00C5404C" w:rsidRPr="00D5387F" w:rsidRDefault="00C5404C" w:rsidP="000A616B">
      <w:pPr>
        <w:spacing w:after="0" w:line="240" w:lineRule="auto"/>
        <w:ind w:firstLine="0"/>
        <w:jc w:val="center"/>
        <w:rPr>
          <w:b/>
          <w:sz w:val="28"/>
        </w:rPr>
      </w:pPr>
    </w:p>
    <w:p w:rsidR="00C5404C" w:rsidRPr="00D5387F" w:rsidRDefault="00C5404C" w:rsidP="000A616B">
      <w:pPr>
        <w:spacing w:after="0" w:line="240" w:lineRule="auto"/>
        <w:ind w:firstLine="0"/>
        <w:jc w:val="center"/>
        <w:rPr>
          <w:b/>
          <w:sz w:val="28"/>
        </w:rPr>
      </w:pPr>
    </w:p>
    <w:p w:rsidR="00C5404C" w:rsidRPr="00D5387F" w:rsidRDefault="00C5404C" w:rsidP="000A616B">
      <w:pPr>
        <w:spacing w:after="0" w:line="240" w:lineRule="auto"/>
        <w:ind w:firstLine="0"/>
        <w:jc w:val="center"/>
        <w:rPr>
          <w:b/>
          <w:sz w:val="28"/>
        </w:rPr>
      </w:pPr>
    </w:p>
    <w:p w:rsidR="00C5404C" w:rsidRPr="00D5387F" w:rsidRDefault="00C5404C" w:rsidP="000A616B">
      <w:pPr>
        <w:spacing w:after="0" w:line="240" w:lineRule="auto"/>
        <w:ind w:firstLine="0"/>
        <w:jc w:val="center"/>
        <w:rPr>
          <w:b/>
          <w:sz w:val="28"/>
        </w:rPr>
      </w:pPr>
    </w:p>
    <w:p w:rsidR="00C5404C" w:rsidRPr="00D5387F" w:rsidRDefault="00C5404C" w:rsidP="000A616B">
      <w:pPr>
        <w:spacing w:after="0" w:line="240" w:lineRule="auto"/>
        <w:ind w:firstLine="0"/>
        <w:jc w:val="center"/>
        <w:rPr>
          <w:b/>
          <w:sz w:val="28"/>
        </w:rPr>
      </w:pPr>
    </w:p>
    <w:p w:rsidR="00C5404C" w:rsidRPr="00D5387F" w:rsidRDefault="00C5404C" w:rsidP="000A616B">
      <w:pPr>
        <w:spacing w:after="0" w:line="240" w:lineRule="auto"/>
        <w:ind w:firstLine="0"/>
        <w:jc w:val="center"/>
        <w:rPr>
          <w:b/>
          <w:sz w:val="28"/>
        </w:rPr>
      </w:pPr>
    </w:p>
    <w:p w:rsidR="009602E9" w:rsidRPr="00D5387F" w:rsidRDefault="009602E9" w:rsidP="000A616B">
      <w:pPr>
        <w:spacing w:after="0" w:line="240" w:lineRule="auto"/>
        <w:ind w:firstLine="0"/>
        <w:jc w:val="center"/>
        <w:rPr>
          <w:b/>
          <w:sz w:val="28"/>
        </w:rPr>
      </w:pPr>
    </w:p>
    <w:p w:rsidR="009602E9" w:rsidRPr="00D5387F" w:rsidRDefault="009602E9" w:rsidP="000A616B">
      <w:pPr>
        <w:spacing w:after="0" w:line="240" w:lineRule="auto"/>
        <w:ind w:firstLine="0"/>
        <w:jc w:val="center"/>
        <w:rPr>
          <w:b/>
          <w:sz w:val="32"/>
        </w:rPr>
      </w:pPr>
      <w:r w:rsidRPr="00D5387F">
        <w:rPr>
          <w:b/>
          <w:sz w:val="32"/>
        </w:rPr>
        <w:t>Ondřej Gardlo</w:t>
      </w:r>
    </w:p>
    <w:p w:rsidR="009602E9" w:rsidRPr="00D5387F" w:rsidRDefault="009602E9" w:rsidP="000A616B">
      <w:pPr>
        <w:spacing w:after="0" w:line="240" w:lineRule="auto"/>
        <w:ind w:firstLine="0"/>
        <w:jc w:val="center"/>
        <w:rPr>
          <w:b/>
          <w:sz w:val="28"/>
        </w:rPr>
      </w:pPr>
    </w:p>
    <w:p w:rsidR="00C5404C" w:rsidRPr="00D5387F" w:rsidRDefault="00C5404C" w:rsidP="000A616B">
      <w:pPr>
        <w:spacing w:after="0" w:line="240" w:lineRule="auto"/>
        <w:ind w:firstLine="0"/>
        <w:jc w:val="center"/>
        <w:rPr>
          <w:b/>
          <w:sz w:val="28"/>
        </w:rPr>
      </w:pPr>
    </w:p>
    <w:p w:rsidR="009602E9" w:rsidRPr="00D5387F" w:rsidRDefault="009602E9" w:rsidP="000A616B">
      <w:pPr>
        <w:spacing w:after="0" w:line="240" w:lineRule="auto"/>
        <w:ind w:firstLine="0"/>
        <w:jc w:val="center"/>
        <w:rPr>
          <w:b/>
          <w:sz w:val="40"/>
        </w:rPr>
      </w:pPr>
      <w:r w:rsidRPr="00D5387F">
        <w:rPr>
          <w:b/>
          <w:sz w:val="40"/>
        </w:rPr>
        <w:t>Transparentnost a regulace lobbingu v Evropské unii</w:t>
      </w:r>
    </w:p>
    <w:p w:rsidR="00EC23B7" w:rsidRDefault="00EC23B7" w:rsidP="000A616B">
      <w:pPr>
        <w:spacing w:after="0" w:line="240" w:lineRule="auto"/>
        <w:ind w:firstLine="0"/>
        <w:jc w:val="center"/>
        <w:rPr>
          <w:b/>
          <w:sz w:val="28"/>
        </w:rPr>
      </w:pPr>
      <w:r>
        <w:rPr>
          <w:b/>
          <w:sz w:val="28"/>
        </w:rPr>
        <w:t>Analýza regulačního mechanismu</w:t>
      </w:r>
    </w:p>
    <w:p w:rsidR="009602E9" w:rsidRPr="00155F71" w:rsidRDefault="009602E9" w:rsidP="000A616B">
      <w:pPr>
        <w:spacing w:after="0" w:line="240" w:lineRule="auto"/>
        <w:ind w:firstLine="0"/>
        <w:jc w:val="center"/>
        <w:rPr>
          <w:b/>
          <w:sz w:val="28"/>
        </w:rPr>
      </w:pPr>
      <w:r w:rsidRPr="00155F71">
        <w:rPr>
          <w:b/>
          <w:sz w:val="28"/>
        </w:rPr>
        <w:t>interakce zájmových skupin a institucí</w:t>
      </w:r>
    </w:p>
    <w:p w:rsidR="009602E9" w:rsidRPr="00D5387F" w:rsidRDefault="009602E9" w:rsidP="000A616B">
      <w:pPr>
        <w:spacing w:after="0" w:line="240" w:lineRule="auto"/>
        <w:ind w:firstLine="0"/>
        <w:jc w:val="center"/>
        <w:rPr>
          <w:b/>
          <w:sz w:val="28"/>
        </w:rPr>
      </w:pPr>
    </w:p>
    <w:p w:rsidR="00C5404C" w:rsidRPr="00D5387F" w:rsidRDefault="00C5404C" w:rsidP="000A616B">
      <w:pPr>
        <w:spacing w:after="0" w:line="240" w:lineRule="auto"/>
        <w:ind w:firstLine="0"/>
        <w:jc w:val="center"/>
        <w:rPr>
          <w:b/>
          <w:sz w:val="28"/>
        </w:rPr>
      </w:pPr>
    </w:p>
    <w:p w:rsidR="009602E9" w:rsidRPr="00D5387F" w:rsidRDefault="009602E9" w:rsidP="000A616B">
      <w:pPr>
        <w:spacing w:after="0" w:line="240" w:lineRule="auto"/>
        <w:ind w:firstLine="0"/>
        <w:jc w:val="center"/>
        <w:rPr>
          <w:b/>
          <w:sz w:val="28"/>
        </w:rPr>
      </w:pPr>
      <w:r w:rsidRPr="00D5387F">
        <w:rPr>
          <w:b/>
          <w:sz w:val="28"/>
        </w:rPr>
        <w:t>Diplomová práce</w:t>
      </w:r>
    </w:p>
    <w:p w:rsidR="009602E9" w:rsidRPr="00D5387F" w:rsidRDefault="009602E9" w:rsidP="000A616B">
      <w:pPr>
        <w:spacing w:after="0" w:line="240" w:lineRule="auto"/>
        <w:ind w:firstLine="0"/>
        <w:jc w:val="center"/>
        <w:rPr>
          <w:b/>
          <w:sz w:val="28"/>
        </w:rPr>
      </w:pPr>
    </w:p>
    <w:p w:rsidR="00C5404C" w:rsidRPr="00D5387F" w:rsidRDefault="00C5404C" w:rsidP="000A616B">
      <w:pPr>
        <w:spacing w:after="0" w:line="240" w:lineRule="auto"/>
        <w:ind w:firstLine="0"/>
        <w:jc w:val="center"/>
        <w:rPr>
          <w:b/>
          <w:sz w:val="28"/>
        </w:rPr>
      </w:pPr>
    </w:p>
    <w:p w:rsidR="00C5404C" w:rsidRPr="00D5387F" w:rsidRDefault="00C5404C" w:rsidP="000A616B">
      <w:pPr>
        <w:spacing w:after="0" w:line="240" w:lineRule="auto"/>
        <w:ind w:firstLine="0"/>
        <w:jc w:val="center"/>
        <w:rPr>
          <w:b/>
          <w:sz w:val="28"/>
        </w:rPr>
      </w:pPr>
    </w:p>
    <w:p w:rsidR="00C5404C" w:rsidRPr="00D5387F" w:rsidRDefault="00C5404C" w:rsidP="000A616B">
      <w:pPr>
        <w:spacing w:after="0" w:line="240" w:lineRule="auto"/>
        <w:ind w:firstLine="0"/>
        <w:jc w:val="center"/>
        <w:rPr>
          <w:b/>
          <w:sz w:val="28"/>
        </w:rPr>
      </w:pPr>
    </w:p>
    <w:p w:rsidR="00C5404C" w:rsidRPr="00D5387F" w:rsidRDefault="00C5404C" w:rsidP="000A616B">
      <w:pPr>
        <w:spacing w:after="0" w:line="240" w:lineRule="auto"/>
        <w:ind w:firstLine="0"/>
        <w:jc w:val="center"/>
        <w:rPr>
          <w:b/>
          <w:sz w:val="28"/>
        </w:rPr>
      </w:pPr>
    </w:p>
    <w:p w:rsidR="00C5404C" w:rsidRPr="00D5387F" w:rsidRDefault="00C5404C" w:rsidP="000A616B">
      <w:pPr>
        <w:spacing w:after="0" w:line="240" w:lineRule="auto"/>
        <w:ind w:firstLine="0"/>
        <w:jc w:val="center"/>
        <w:rPr>
          <w:b/>
          <w:sz w:val="28"/>
        </w:rPr>
      </w:pPr>
    </w:p>
    <w:p w:rsidR="00C5404C" w:rsidRPr="00D5387F" w:rsidRDefault="00C5404C" w:rsidP="000A616B">
      <w:pPr>
        <w:spacing w:after="0" w:line="240" w:lineRule="auto"/>
        <w:ind w:firstLine="0"/>
        <w:jc w:val="center"/>
        <w:rPr>
          <w:b/>
          <w:sz w:val="28"/>
        </w:rPr>
      </w:pPr>
    </w:p>
    <w:p w:rsidR="00C5404C" w:rsidRPr="00D5387F" w:rsidRDefault="00C5404C" w:rsidP="000A616B">
      <w:pPr>
        <w:spacing w:after="0" w:line="240" w:lineRule="auto"/>
        <w:ind w:firstLine="0"/>
        <w:jc w:val="center"/>
        <w:rPr>
          <w:b/>
          <w:sz w:val="28"/>
        </w:rPr>
      </w:pPr>
    </w:p>
    <w:p w:rsidR="00C5404C" w:rsidRPr="00D5387F" w:rsidRDefault="00C5404C" w:rsidP="000A616B">
      <w:pPr>
        <w:spacing w:after="0" w:line="240" w:lineRule="auto"/>
        <w:ind w:firstLine="0"/>
        <w:jc w:val="center"/>
        <w:rPr>
          <w:b/>
          <w:sz w:val="28"/>
        </w:rPr>
      </w:pPr>
    </w:p>
    <w:p w:rsidR="00C5404C" w:rsidRPr="00D5387F" w:rsidRDefault="00C5404C" w:rsidP="000A616B">
      <w:pPr>
        <w:spacing w:after="0" w:line="240" w:lineRule="auto"/>
        <w:ind w:firstLine="0"/>
        <w:jc w:val="center"/>
        <w:rPr>
          <w:b/>
          <w:sz w:val="28"/>
        </w:rPr>
      </w:pPr>
    </w:p>
    <w:p w:rsidR="009602E9" w:rsidRPr="00D5387F" w:rsidRDefault="009602E9" w:rsidP="000A616B">
      <w:pPr>
        <w:spacing w:after="0" w:line="240" w:lineRule="auto"/>
        <w:ind w:firstLine="0"/>
        <w:jc w:val="center"/>
        <w:rPr>
          <w:b/>
          <w:sz w:val="28"/>
        </w:rPr>
      </w:pPr>
    </w:p>
    <w:p w:rsidR="000A616B" w:rsidRPr="00D5387F" w:rsidRDefault="009602E9" w:rsidP="000A616B">
      <w:pPr>
        <w:spacing w:after="0" w:line="240" w:lineRule="auto"/>
        <w:ind w:firstLine="0"/>
        <w:jc w:val="center"/>
        <w:rPr>
          <w:b/>
          <w:sz w:val="28"/>
        </w:rPr>
      </w:pPr>
      <w:r w:rsidRPr="00D5387F">
        <w:rPr>
          <w:b/>
          <w:sz w:val="28"/>
        </w:rPr>
        <w:t>Olomouc 2012</w:t>
      </w:r>
    </w:p>
    <w:p w:rsidR="00176740" w:rsidRPr="00176740" w:rsidRDefault="00176740">
      <w:pPr>
        <w:spacing w:after="0" w:line="240" w:lineRule="auto"/>
        <w:ind w:firstLine="0"/>
        <w:jc w:val="left"/>
        <w:rPr>
          <w:b/>
          <w:sz w:val="28"/>
        </w:rPr>
      </w:pPr>
      <w:r>
        <w:rPr>
          <w:b/>
          <w:bCs/>
        </w:rPr>
        <w:br w:type="page"/>
      </w:r>
    </w:p>
    <w:p w:rsidR="00176740" w:rsidRDefault="00176740" w:rsidP="00176740">
      <w:pPr>
        <w:spacing w:after="0" w:line="240" w:lineRule="auto"/>
        <w:ind w:firstLine="0"/>
        <w:rPr>
          <w:b/>
          <w:bCs/>
        </w:rPr>
      </w:pPr>
    </w:p>
    <w:p w:rsidR="00176740" w:rsidRDefault="00176740" w:rsidP="00176740">
      <w:pPr>
        <w:spacing w:after="0" w:line="240" w:lineRule="auto"/>
        <w:ind w:firstLine="0"/>
        <w:rPr>
          <w:b/>
          <w:bCs/>
        </w:rPr>
      </w:pPr>
    </w:p>
    <w:p w:rsidR="00176740" w:rsidRDefault="00176740" w:rsidP="00176740">
      <w:pPr>
        <w:spacing w:after="0" w:line="240" w:lineRule="auto"/>
        <w:ind w:firstLine="0"/>
        <w:rPr>
          <w:b/>
          <w:bCs/>
        </w:rPr>
      </w:pPr>
    </w:p>
    <w:p w:rsidR="00176740" w:rsidRDefault="00176740" w:rsidP="00176740">
      <w:pPr>
        <w:spacing w:after="0" w:line="240" w:lineRule="auto"/>
        <w:ind w:firstLine="0"/>
        <w:rPr>
          <w:b/>
          <w:bCs/>
        </w:rPr>
      </w:pPr>
    </w:p>
    <w:p w:rsidR="00176740" w:rsidRDefault="00176740" w:rsidP="00176740">
      <w:pPr>
        <w:spacing w:after="0" w:line="240" w:lineRule="auto"/>
        <w:ind w:firstLine="0"/>
        <w:rPr>
          <w:b/>
          <w:bCs/>
        </w:rPr>
      </w:pPr>
    </w:p>
    <w:p w:rsidR="00176740" w:rsidRDefault="00176740" w:rsidP="00176740">
      <w:pPr>
        <w:spacing w:after="0" w:line="240" w:lineRule="auto"/>
        <w:ind w:firstLine="0"/>
        <w:rPr>
          <w:b/>
          <w:bCs/>
        </w:rPr>
      </w:pPr>
    </w:p>
    <w:p w:rsidR="00176740" w:rsidRDefault="00176740" w:rsidP="00176740">
      <w:pPr>
        <w:spacing w:after="0" w:line="240" w:lineRule="auto"/>
        <w:ind w:firstLine="0"/>
        <w:rPr>
          <w:b/>
          <w:bCs/>
        </w:rPr>
      </w:pPr>
    </w:p>
    <w:p w:rsidR="00176740" w:rsidRDefault="00176740" w:rsidP="00176740">
      <w:pPr>
        <w:spacing w:after="0" w:line="240" w:lineRule="auto"/>
        <w:ind w:firstLine="0"/>
        <w:rPr>
          <w:b/>
          <w:bCs/>
        </w:rPr>
      </w:pPr>
    </w:p>
    <w:p w:rsidR="00176740" w:rsidRDefault="00176740" w:rsidP="00176740">
      <w:pPr>
        <w:spacing w:after="0" w:line="240" w:lineRule="auto"/>
        <w:ind w:firstLine="0"/>
        <w:rPr>
          <w:b/>
          <w:bCs/>
        </w:rPr>
      </w:pPr>
    </w:p>
    <w:p w:rsidR="00176740" w:rsidRDefault="00176740" w:rsidP="00176740">
      <w:pPr>
        <w:spacing w:after="0" w:line="240" w:lineRule="auto"/>
        <w:ind w:firstLine="0"/>
        <w:rPr>
          <w:b/>
          <w:bCs/>
        </w:rPr>
      </w:pPr>
    </w:p>
    <w:p w:rsidR="00176740" w:rsidRDefault="00176740" w:rsidP="00176740">
      <w:pPr>
        <w:spacing w:after="0" w:line="240" w:lineRule="auto"/>
        <w:ind w:firstLine="0"/>
        <w:rPr>
          <w:b/>
          <w:bCs/>
        </w:rPr>
      </w:pPr>
    </w:p>
    <w:p w:rsidR="00176740" w:rsidRDefault="00176740" w:rsidP="00176740">
      <w:pPr>
        <w:spacing w:after="0" w:line="240" w:lineRule="auto"/>
        <w:ind w:firstLine="0"/>
        <w:rPr>
          <w:b/>
          <w:bCs/>
        </w:rPr>
      </w:pPr>
    </w:p>
    <w:p w:rsidR="00176740" w:rsidRDefault="00176740" w:rsidP="00176740">
      <w:pPr>
        <w:spacing w:after="0" w:line="240" w:lineRule="auto"/>
        <w:ind w:firstLine="0"/>
        <w:rPr>
          <w:b/>
          <w:bCs/>
        </w:rPr>
      </w:pPr>
    </w:p>
    <w:p w:rsidR="00176740" w:rsidRDefault="00176740" w:rsidP="00176740">
      <w:pPr>
        <w:spacing w:after="0" w:line="240" w:lineRule="auto"/>
        <w:ind w:firstLine="0"/>
        <w:rPr>
          <w:b/>
          <w:bCs/>
        </w:rPr>
      </w:pPr>
    </w:p>
    <w:p w:rsidR="00176740" w:rsidRDefault="00176740" w:rsidP="00176740">
      <w:pPr>
        <w:spacing w:after="0" w:line="240" w:lineRule="auto"/>
        <w:ind w:firstLine="0"/>
        <w:rPr>
          <w:b/>
          <w:bCs/>
        </w:rPr>
      </w:pPr>
    </w:p>
    <w:p w:rsidR="00176740" w:rsidRDefault="00176740" w:rsidP="00176740">
      <w:pPr>
        <w:spacing w:after="0" w:line="240" w:lineRule="auto"/>
        <w:ind w:firstLine="0"/>
        <w:rPr>
          <w:b/>
          <w:bCs/>
        </w:rPr>
      </w:pPr>
    </w:p>
    <w:p w:rsidR="00176740" w:rsidRDefault="00176740" w:rsidP="00176740">
      <w:pPr>
        <w:spacing w:after="0" w:line="240" w:lineRule="auto"/>
        <w:ind w:firstLine="0"/>
        <w:rPr>
          <w:b/>
          <w:bCs/>
        </w:rPr>
      </w:pPr>
    </w:p>
    <w:p w:rsidR="00176740" w:rsidRDefault="00176740" w:rsidP="00176740">
      <w:pPr>
        <w:spacing w:after="0" w:line="240" w:lineRule="auto"/>
        <w:ind w:firstLine="0"/>
        <w:rPr>
          <w:b/>
          <w:bCs/>
        </w:rPr>
      </w:pPr>
    </w:p>
    <w:p w:rsidR="00176740" w:rsidRDefault="00176740" w:rsidP="00176740">
      <w:pPr>
        <w:spacing w:after="0" w:line="240" w:lineRule="auto"/>
        <w:ind w:firstLine="0"/>
        <w:rPr>
          <w:b/>
          <w:bCs/>
        </w:rPr>
      </w:pPr>
    </w:p>
    <w:p w:rsidR="00176740" w:rsidRDefault="00176740" w:rsidP="00176740">
      <w:pPr>
        <w:spacing w:after="0" w:line="240" w:lineRule="auto"/>
        <w:ind w:firstLine="0"/>
        <w:rPr>
          <w:b/>
          <w:bCs/>
        </w:rPr>
      </w:pPr>
    </w:p>
    <w:p w:rsidR="00176740" w:rsidRDefault="00176740" w:rsidP="00176740">
      <w:pPr>
        <w:spacing w:after="0" w:line="240" w:lineRule="auto"/>
        <w:ind w:firstLine="0"/>
        <w:rPr>
          <w:b/>
          <w:bCs/>
        </w:rPr>
      </w:pPr>
    </w:p>
    <w:p w:rsidR="00176740" w:rsidRDefault="00176740" w:rsidP="00176740">
      <w:pPr>
        <w:spacing w:after="0" w:line="240" w:lineRule="auto"/>
        <w:ind w:firstLine="0"/>
        <w:rPr>
          <w:b/>
          <w:bCs/>
        </w:rPr>
      </w:pPr>
    </w:p>
    <w:p w:rsidR="00176740" w:rsidRDefault="00176740" w:rsidP="00176740">
      <w:pPr>
        <w:spacing w:after="0" w:line="240" w:lineRule="auto"/>
        <w:ind w:firstLine="0"/>
        <w:rPr>
          <w:b/>
          <w:bCs/>
        </w:rPr>
      </w:pPr>
    </w:p>
    <w:p w:rsidR="00176740" w:rsidRDefault="00176740" w:rsidP="00176740">
      <w:pPr>
        <w:spacing w:after="0" w:line="240" w:lineRule="auto"/>
        <w:ind w:firstLine="0"/>
        <w:rPr>
          <w:b/>
          <w:bCs/>
        </w:rPr>
      </w:pPr>
    </w:p>
    <w:p w:rsidR="00176740" w:rsidRDefault="00176740" w:rsidP="00176740">
      <w:pPr>
        <w:spacing w:after="0" w:line="240" w:lineRule="auto"/>
        <w:ind w:firstLine="0"/>
        <w:rPr>
          <w:b/>
          <w:bCs/>
        </w:rPr>
      </w:pPr>
    </w:p>
    <w:p w:rsidR="00176740" w:rsidRDefault="00176740" w:rsidP="00176740">
      <w:pPr>
        <w:spacing w:after="0" w:line="240" w:lineRule="auto"/>
        <w:ind w:firstLine="0"/>
        <w:rPr>
          <w:b/>
          <w:bCs/>
        </w:rPr>
      </w:pPr>
    </w:p>
    <w:p w:rsidR="00176740" w:rsidRDefault="00176740" w:rsidP="00176740">
      <w:pPr>
        <w:spacing w:after="0" w:line="240" w:lineRule="auto"/>
        <w:ind w:firstLine="0"/>
        <w:rPr>
          <w:b/>
          <w:bCs/>
        </w:rPr>
      </w:pPr>
    </w:p>
    <w:p w:rsidR="00176740" w:rsidRDefault="00176740" w:rsidP="00176740">
      <w:pPr>
        <w:spacing w:after="0" w:line="240" w:lineRule="auto"/>
        <w:ind w:firstLine="0"/>
        <w:rPr>
          <w:b/>
          <w:bCs/>
        </w:rPr>
      </w:pPr>
    </w:p>
    <w:p w:rsidR="00176740" w:rsidRDefault="00176740" w:rsidP="00176740">
      <w:pPr>
        <w:spacing w:after="0" w:line="240" w:lineRule="auto"/>
        <w:ind w:firstLine="0"/>
        <w:rPr>
          <w:b/>
          <w:bCs/>
        </w:rPr>
      </w:pPr>
    </w:p>
    <w:p w:rsidR="00176740" w:rsidRDefault="00176740" w:rsidP="00176740">
      <w:pPr>
        <w:spacing w:after="0" w:line="240" w:lineRule="auto"/>
        <w:ind w:firstLine="0"/>
        <w:rPr>
          <w:b/>
          <w:bCs/>
        </w:rPr>
      </w:pPr>
    </w:p>
    <w:p w:rsidR="00176740" w:rsidRDefault="00176740" w:rsidP="00176740">
      <w:pPr>
        <w:spacing w:after="0" w:line="240" w:lineRule="auto"/>
        <w:ind w:firstLine="0"/>
        <w:rPr>
          <w:b/>
          <w:bCs/>
        </w:rPr>
      </w:pPr>
    </w:p>
    <w:p w:rsidR="00176740" w:rsidRDefault="00176740" w:rsidP="00176740">
      <w:pPr>
        <w:spacing w:after="0" w:line="240" w:lineRule="auto"/>
        <w:ind w:firstLine="0"/>
        <w:rPr>
          <w:b/>
          <w:bCs/>
        </w:rPr>
      </w:pPr>
    </w:p>
    <w:p w:rsidR="00176740" w:rsidRDefault="00176740" w:rsidP="00176740">
      <w:pPr>
        <w:spacing w:after="0" w:line="240" w:lineRule="auto"/>
        <w:ind w:firstLine="0"/>
        <w:rPr>
          <w:b/>
          <w:bCs/>
        </w:rPr>
      </w:pPr>
    </w:p>
    <w:p w:rsidR="00176740" w:rsidRDefault="00176740" w:rsidP="00176740">
      <w:pPr>
        <w:spacing w:after="0" w:line="240" w:lineRule="auto"/>
        <w:ind w:firstLine="0"/>
        <w:rPr>
          <w:b/>
          <w:bCs/>
        </w:rPr>
      </w:pPr>
    </w:p>
    <w:p w:rsidR="00176740" w:rsidRDefault="00176740" w:rsidP="001F70ED">
      <w:pPr>
        <w:ind w:firstLine="0"/>
      </w:pPr>
      <w:r w:rsidRPr="00176740">
        <w:t xml:space="preserve">Prohlašuji, že jsem </w:t>
      </w:r>
      <w:r>
        <w:t>diplomovou</w:t>
      </w:r>
      <w:r w:rsidRPr="00176740">
        <w:t xml:space="preserve"> práci na téma</w:t>
      </w:r>
      <w:r>
        <w:t xml:space="preserve"> </w:t>
      </w:r>
      <w:r w:rsidRPr="00861E1A">
        <w:rPr>
          <w:i/>
        </w:rPr>
        <w:t>Transparentnost a regulace lobbingu v Evropské unii</w:t>
      </w:r>
      <w:r>
        <w:t xml:space="preserve"> vypracoval samostatně a citoval</w:t>
      </w:r>
      <w:r w:rsidRPr="00176740">
        <w:t xml:space="preserve"> jsem všechny použité zdroje.</w:t>
      </w:r>
    </w:p>
    <w:p w:rsidR="001F70ED" w:rsidRPr="00176740" w:rsidRDefault="001F70ED" w:rsidP="001F70ED">
      <w:pPr>
        <w:ind w:firstLine="0"/>
      </w:pPr>
    </w:p>
    <w:p w:rsidR="00155F71" w:rsidRDefault="00B86310" w:rsidP="001F70ED">
      <w:pPr>
        <w:ind w:firstLine="0"/>
      </w:pPr>
      <w:r>
        <w:t>V Olomouci dne 28</w:t>
      </w:r>
      <w:r w:rsidR="00176740">
        <w:t>. června 2012</w:t>
      </w:r>
      <w:r w:rsidR="00176740" w:rsidRPr="00176740">
        <w:t xml:space="preserve"> </w:t>
      </w:r>
      <w:r w:rsidR="00155F71">
        <w:br w:type="page"/>
      </w:r>
    </w:p>
    <w:p w:rsidR="000A616B" w:rsidRPr="00D5387F" w:rsidRDefault="000A616B">
      <w:pPr>
        <w:pStyle w:val="Nadpisobsahu"/>
        <w:rPr>
          <w:color w:val="auto"/>
        </w:rPr>
      </w:pPr>
      <w:r w:rsidRPr="00D5387F">
        <w:rPr>
          <w:color w:val="auto"/>
        </w:rPr>
        <w:lastRenderedPageBreak/>
        <w:t>Obsah</w:t>
      </w:r>
    </w:p>
    <w:p w:rsidR="00C0377D" w:rsidRDefault="00155F71">
      <w:pPr>
        <w:pStyle w:val="Obsah1"/>
        <w:tabs>
          <w:tab w:val="right" w:leader="dot" w:pos="9061"/>
        </w:tabs>
        <w:rPr>
          <w:rFonts w:asciiTheme="minorHAnsi" w:eastAsiaTheme="minorEastAsia" w:hAnsiTheme="minorHAnsi" w:cstheme="minorBidi"/>
          <w:noProof/>
          <w:sz w:val="22"/>
          <w:lang w:eastAsia="cs-CZ"/>
        </w:rPr>
      </w:pPr>
      <w:r>
        <w:fldChar w:fldCharType="begin"/>
      </w:r>
      <w:r>
        <w:instrText xml:space="preserve"> TOC \o "1-4" \u </w:instrText>
      </w:r>
      <w:r>
        <w:fldChar w:fldCharType="separate"/>
      </w:r>
      <w:bookmarkStart w:id="0" w:name="_GoBack"/>
      <w:bookmarkEnd w:id="0"/>
      <w:r w:rsidR="00C0377D">
        <w:rPr>
          <w:noProof/>
        </w:rPr>
        <w:t>Úvod</w:t>
      </w:r>
      <w:r w:rsidR="00C0377D">
        <w:rPr>
          <w:noProof/>
        </w:rPr>
        <w:tab/>
      </w:r>
      <w:r w:rsidR="00C0377D">
        <w:rPr>
          <w:noProof/>
        </w:rPr>
        <w:fldChar w:fldCharType="begin"/>
      </w:r>
      <w:r w:rsidR="00C0377D">
        <w:rPr>
          <w:noProof/>
        </w:rPr>
        <w:instrText xml:space="preserve"> PAGEREF _Toc330039535 \h </w:instrText>
      </w:r>
      <w:r w:rsidR="00C0377D">
        <w:rPr>
          <w:noProof/>
        </w:rPr>
      </w:r>
      <w:r w:rsidR="00C0377D">
        <w:rPr>
          <w:noProof/>
        </w:rPr>
        <w:fldChar w:fldCharType="separate"/>
      </w:r>
      <w:r w:rsidR="00C0377D">
        <w:rPr>
          <w:noProof/>
        </w:rPr>
        <w:t>5</w:t>
      </w:r>
      <w:r w:rsidR="00C0377D">
        <w:rPr>
          <w:noProof/>
        </w:rPr>
        <w:fldChar w:fldCharType="end"/>
      </w:r>
    </w:p>
    <w:p w:rsidR="00C0377D" w:rsidRDefault="00C0377D">
      <w:pPr>
        <w:pStyle w:val="Obsah1"/>
        <w:tabs>
          <w:tab w:val="left" w:pos="442"/>
          <w:tab w:val="right" w:leader="dot" w:pos="9061"/>
        </w:tabs>
        <w:rPr>
          <w:rFonts w:asciiTheme="minorHAnsi" w:eastAsiaTheme="minorEastAsia" w:hAnsiTheme="minorHAnsi" w:cstheme="minorBidi"/>
          <w:noProof/>
          <w:sz w:val="22"/>
          <w:lang w:eastAsia="cs-CZ"/>
        </w:rPr>
      </w:pPr>
      <w:r>
        <w:rPr>
          <w:noProof/>
        </w:rPr>
        <w:t>1</w:t>
      </w:r>
      <w:r>
        <w:rPr>
          <w:rFonts w:asciiTheme="minorHAnsi" w:eastAsiaTheme="minorEastAsia" w:hAnsiTheme="minorHAnsi" w:cstheme="minorBidi"/>
          <w:noProof/>
          <w:sz w:val="22"/>
          <w:lang w:eastAsia="cs-CZ"/>
        </w:rPr>
        <w:tab/>
      </w:r>
      <w:r>
        <w:rPr>
          <w:noProof/>
        </w:rPr>
        <w:t>Teoretický rámec</w:t>
      </w:r>
      <w:r>
        <w:rPr>
          <w:noProof/>
        </w:rPr>
        <w:tab/>
      </w:r>
      <w:r>
        <w:rPr>
          <w:noProof/>
        </w:rPr>
        <w:fldChar w:fldCharType="begin"/>
      </w:r>
      <w:r>
        <w:rPr>
          <w:noProof/>
        </w:rPr>
        <w:instrText xml:space="preserve"> PAGEREF _Toc330039536 \h </w:instrText>
      </w:r>
      <w:r>
        <w:rPr>
          <w:noProof/>
        </w:rPr>
      </w:r>
      <w:r>
        <w:rPr>
          <w:noProof/>
        </w:rPr>
        <w:fldChar w:fldCharType="separate"/>
      </w:r>
      <w:r>
        <w:rPr>
          <w:noProof/>
        </w:rPr>
        <w:t>13</w:t>
      </w:r>
      <w:r>
        <w:rPr>
          <w:noProof/>
        </w:rPr>
        <w:fldChar w:fldCharType="end"/>
      </w:r>
    </w:p>
    <w:p w:rsidR="00C0377D" w:rsidRDefault="00C0377D">
      <w:pPr>
        <w:pStyle w:val="Obsah1"/>
        <w:tabs>
          <w:tab w:val="left" w:pos="442"/>
          <w:tab w:val="right" w:leader="dot" w:pos="9061"/>
        </w:tabs>
        <w:rPr>
          <w:rFonts w:asciiTheme="minorHAnsi" w:eastAsiaTheme="minorEastAsia" w:hAnsiTheme="minorHAnsi" w:cstheme="minorBidi"/>
          <w:noProof/>
          <w:sz w:val="22"/>
          <w:lang w:eastAsia="cs-CZ"/>
        </w:rPr>
      </w:pPr>
      <w:r>
        <w:rPr>
          <w:noProof/>
        </w:rPr>
        <w:t>2</w:t>
      </w:r>
      <w:r>
        <w:rPr>
          <w:rFonts w:asciiTheme="minorHAnsi" w:eastAsiaTheme="minorEastAsia" w:hAnsiTheme="minorHAnsi" w:cstheme="minorBidi"/>
          <w:noProof/>
          <w:sz w:val="22"/>
          <w:lang w:eastAsia="cs-CZ"/>
        </w:rPr>
        <w:tab/>
      </w:r>
      <w:r>
        <w:rPr>
          <w:noProof/>
        </w:rPr>
        <w:t>Problematika pojmosloví</w:t>
      </w:r>
      <w:r>
        <w:rPr>
          <w:noProof/>
        </w:rPr>
        <w:tab/>
      </w:r>
      <w:r>
        <w:rPr>
          <w:noProof/>
        </w:rPr>
        <w:fldChar w:fldCharType="begin"/>
      </w:r>
      <w:r>
        <w:rPr>
          <w:noProof/>
        </w:rPr>
        <w:instrText xml:space="preserve"> PAGEREF _Toc330039537 \h </w:instrText>
      </w:r>
      <w:r>
        <w:rPr>
          <w:noProof/>
        </w:rPr>
      </w:r>
      <w:r>
        <w:rPr>
          <w:noProof/>
        </w:rPr>
        <w:fldChar w:fldCharType="separate"/>
      </w:r>
      <w:r>
        <w:rPr>
          <w:noProof/>
        </w:rPr>
        <w:t>15</w:t>
      </w:r>
      <w:r>
        <w:rPr>
          <w:noProof/>
        </w:rPr>
        <w:fldChar w:fldCharType="end"/>
      </w:r>
    </w:p>
    <w:p w:rsidR="00C0377D" w:rsidRDefault="00C0377D">
      <w:pPr>
        <w:pStyle w:val="Obsah2"/>
        <w:tabs>
          <w:tab w:val="left" w:pos="880"/>
          <w:tab w:val="right" w:leader="dot" w:pos="9061"/>
        </w:tabs>
        <w:rPr>
          <w:rFonts w:asciiTheme="minorHAnsi" w:eastAsiaTheme="minorEastAsia" w:hAnsiTheme="minorHAnsi" w:cstheme="minorBidi"/>
          <w:noProof/>
          <w:sz w:val="22"/>
          <w:lang w:eastAsia="cs-CZ"/>
        </w:rPr>
      </w:pPr>
      <w:r>
        <w:rPr>
          <w:noProof/>
        </w:rPr>
        <w:t>2.1</w:t>
      </w:r>
      <w:r>
        <w:rPr>
          <w:rFonts w:asciiTheme="minorHAnsi" w:eastAsiaTheme="minorEastAsia" w:hAnsiTheme="minorHAnsi" w:cstheme="minorBidi"/>
          <w:noProof/>
          <w:sz w:val="22"/>
          <w:lang w:eastAsia="cs-CZ"/>
        </w:rPr>
        <w:tab/>
      </w:r>
      <w:r>
        <w:rPr>
          <w:noProof/>
        </w:rPr>
        <w:t>Odlišnost v definicích pojmu „lobbing“</w:t>
      </w:r>
      <w:r>
        <w:rPr>
          <w:noProof/>
        </w:rPr>
        <w:tab/>
      </w:r>
      <w:r>
        <w:rPr>
          <w:noProof/>
        </w:rPr>
        <w:fldChar w:fldCharType="begin"/>
      </w:r>
      <w:r>
        <w:rPr>
          <w:noProof/>
        </w:rPr>
        <w:instrText xml:space="preserve"> PAGEREF _Toc330039538 \h </w:instrText>
      </w:r>
      <w:r>
        <w:rPr>
          <w:noProof/>
        </w:rPr>
      </w:r>
      <w:r>
        <w:rPr>
          <w:noProof/>
        </w:rPr>
        <w:fldChar w:fldCharType="separate"/>
      </w:r>
      <w:r>
        <w:rPr>
          <w:noProof/>
        </w:rPr>
        <w:t>15</w:t>
      </w:r>
      <w:r>
        <w:rPr>
          <w:noProof/>
        </w:rPr>
        <w:fldChar w:fldCharType="end"/>
      </w:r>
    </w:p>
    <w:p w:rsidR="00C0377D" w:rsidRDefault="00C0377D">
      <w:pPr>
        <w:pStyle w:val="Obsah2"/>
        <w:tabs>
          <w:tab w:val="left" w:pos="880"/>
          <w:tab w:val="right" w:leader="dot" w:pos="9061"/>
        </w:tabs>
        <w:rPr>
          <w:rFonts w:asciiTheme="minorHAnsi" w:eastAsiaTheme="minorEastAsia" w:hAnsiTheme="minorHAnsi" w:cstheme="minorBidi"/>
          <w:noProof/>
          <w:sz w:val="22"/>
          <w:lang w:eastAsia="cs-CZ"/>
        </w:rPr>
      </w:pPr>
      <w:r>
        <w:rPr>
          <w:noProof/>
        </w:rPr>
        <w:t>2.2</w:t>
      </w:r>
      <w:r>
        <w:rPr>
          <w:rFonts w:asciiTheme="minorHAnsi" w:eastAsiaTheme="minorEastAsia" w:hAnsiTheme="minorHAnsi" w:cstheme="minorBidi"/>
          <w:noProof/>
          <w:sz w:val="22"/>
          <w:lang w:eastAsia="cs-CZ"/>
        </w:rPr>
        <w:tab/>
      </w:r>
      <w:r>
        <w:rPr>
          <w:noProof/>
        </w:rPr>
        <w:t>Nejasná definice jako překážka v regulaci</w:t>
      </w:r>
      <w:r>
        <w:rPr>
          <w:noProof/>
        </w:rPr>
        <w:tab/>
      </w:r>
      <w:r>
        <w:rPr>
          <w:noProof/>
        </w:rPr>
        <w:fldChar w:fldCharType="begin"/>
      </w:r>
      <w:r>
        <w:rPr>
          <w:noProof/>
        </w:rPr>
        <w:instrText xml:space="preserve"> PAGEREF _Toc330039539 \h </w:instrText>
      </w:r>
      <w:r>
        <w:rPr>
          <w:noProof/>
        </w:rPr>
      </w:r>
      <w:r>
        <w:rPr>
          <w:noProof/>
        </w:rPr>
        <w:fldChar w:fldCharType="separate"/>
      </w:r>
      <w:r>
        <w:rPr>
          <w:noProof/>
        </w:rPr>
        <w:t>18</w:t>
      </w:r>
      <w:r>
        <w:rPr>
          <w:noProof/>
        </w:rPr>
        <w:fldChar w:fldCharType="end"/>
      </w:r>
    </w:p>
    <w:p w:rsidR="00C0377D" w:rsidRDefault="00C0377D">
      <w:pPr>
        <w:pStyle w:val="Obsah1"/>
        <w:tabs>
          <w:tab w:val="left" w:pos="442"/>
          <w:tab w:val="right" w:leader="dot" w:pos="9061"/>
        </w:tabs>
        <w:rPr>
          <w:rFonts w:asciiTheme="minorHAnsi" w:eastAsiaTheme="minorEastAsia" w:hAnsiTheme="minorHAnsi" w:cstheme="minorBidi"/>
          <w:noProof/>
          <w:sz w:val="22"/>
          <w:lang w:eastAsia="cs-CZ"/>
        </w:rPr>
      </w:pPr>
      <w:r>
        <w:rPr>
          <w:noProof/>
        </w:rPr>
        <w:t>3</w:t>
      </w:r>
      <w:r>
        <w:rPr>
          <w:rFonts w:asciiTheme="minorHAnsi" w:eastAsiaTheme="minorEastAsia" w:hAnsiTheme="minorHAnsi" w:cstheme="minorBidi"/>
          <w:noProof/>
          <w:sz w:val="22"/>
          <w:lang w:eastAsia="cs-CZ"/>
        </w:rPr>
        <w:tab/>
      </w:r>
      <w:r>
        <w:rPr>
          <w:noProof/>
        </w:rPr>
        <w:t>Význam transparentnosti lobbingu v EU a důvody pro jeho regulaci</w:t>
      </w:r>
      <w:r>
        <w:rPr>
          <w:noProof/>
        </w:rPr>
        <w:tab/>
      </w:r>
      <w:r>
        <w:rPr>
          <w:noProof/>
        </w:rPr>
        <w:fldChar w:fldCharType="begin"/>
      </w:r>
      <w:r>
        <w:rPr>
          <w:noProof/>
        </w:rPr>
        <w:instrText xml:space="preserve"> PAGEREF _Toc330039540 \h </w:instrText>
      </w:r>
      <w:r>
        <w:rPr>
          <w:noProof/>
        </w:rPr>
      </w:r>
      <w:r>
        <w:rPr>
          <w:noProof/>
        </w:rPr>
        <w:fldChar w:fldCharType="separate"/>
      </w:r>
      <w:r>
        <w:rPr>
          <w:noProof/>
        </w:rPr>
        <w:t>20</w:t>
      </w:r>
      <w:r>
        <w:rPr>
          <w:noProof/>
        </w:rPr>
        <w:fldChar w:fldCharType="end"/>
      </w:r>
    </w:p>
    <w:p w:rsidR="00C0377D" w:rsidRDefault="00C0377D">
      <w:pPr>
        <w:pStyle w:val="Obsah1"/>
        <w:tabs>
          <w:tab w:val="left" w:pos="442"/>
          <w:tab w:val="right" w:leader="dot" w:pos="9061"/>
        </w:tabs>
        <w:rPr>
          <w:rFonts w:asciiTheme="minorHAnsi" w:eastAsiaTheme="minorEastAsia" w:hAnsiTheme="minorHAnsi" w:cstheme="minorBidi"/>
          <w:noProof/>
          <w:sz w:val="22"/>
          <w:lang w:eastAsia="cs-CZ"/>
        </w:rPr>
      </w:pPr>
      <w:r>
        <w:rPr>
          <w:noProof/>
        </w:rPr>
        <w:t>4</w:t>
      </w:r>
      <w:r>
        <w:rPr>
          <w:rFonts w:asciiTheme="minorHAnsi" w:eastAsiaTheme="minorEastAsia" w:hAnsiTheme="minorHAnsi" w:cstheme="minorBidi"/>
          <w:noProof/>
          <w:sz w:val="22"/>
          <w:lang w:eastAsia="cs-CZ"/>
        </w:rPr>
        <w:tab/>
      </w:r>
      <w:r>
        <w:rPr>
          <w:noProof/>
        </w:rPr>
        <w:t>Analýza postoje institucí k problematice lobbingu</w:t>
      </w:r>
      <w:r>
        <w:rPr>
          <w:noProof/>
        </w:rPr>
        <w:tab/>
      </w:r>
      <w:r>
        <w:rPr>
          <w:noProof/>
        </w:rPr>
        <w:fldChar w:fldCharType="begin"/>
      </w:r>
      <w:r>
        <w:rPr>
          <w:noProof/>
        </w:rPr>
        <w:instrText xml:space="preserve"> PAGEREF _Toc330039541 \h </w:instrText>
      </w:r>
      <w:r>
        <w:rPr>
          <w:noProof/>
        </w:rPr>
      </w:r>
      <w:r>
        <w:rPr>
          <w:noProof/>
        </w:rPr>
        <w:fldChar w:fldCharType="separate"/>
      </w:r>
      <w:r>
        <w:rPr>
          <w:noProof/>
        </w:rPr>
        <w:t>24</w:t>
      </w:r>
      <w:r>
        <w:rPr>
          <w:noProof/>
        </w:rPr>
        <w:fldChar w:fldCharType="end"/>
      </w:r>
    </w:p>
    <w:p w:rsidR="00C0377D" w:rsidRDefault="00C0377D">
      <w:pPr>
        <w:pStyle w:val="Obsah2"/>
        <w:tabs>
          <w:tab w:val="left" w:pos="880"/>
          <w:tab w:val="right" w:leader="dot" w:pos="9061"/>
        </w:tabs>
        <w:rPr>
          <w:rFonts w:asciiTheme="minorHAnsi" w:eastAsiaTheme="minorEastAsia" w:hAnsiTheme="minorHAnsi" w:cstheme="minorBidi"/>
          <w:noProof/>
          <w:sz w:val="22"/>
          <w:lang w:eastAsia="cs-CZ"/>
        </w:rPr>
      </w:pPr>
      <w:r>
        <w:rPr>
          <w:noProof/>
        </w:rPr>
        <w:t>4.1</w:t>
      </w:r>
      <w:r>
        <w:rPr>
          <w:rFonts w:asciiTheme="minorHAnsi" w:eastAsiaTheme="minorEastAsia" w:hAnsiTheme="minorHAnsi" w:cstheme="minorBidi"/>
          <w:noProof/>
          <w:sz w:val="22"/>
          <w:lang w:eastAsia="cs-CZ"/>
        </w:rPr>
        <w:tab/>
      </w:r>
      <w:r>
        <w:rPr>
          <w:noProof/>
        </w:rPr>
        <w:t>Evropský parlament</w:t>
      </w:r>
      <w:r>
        <w:rPr>
          <w:noProof/>
        </w:rPr>
        <w:tab/>
      </w:r>
      <w:r>
        <w:rPr>
          <w:noProof/>
        </w:rPr>
        <w:fldChar w:fldCharType="begin"/>
      </w:r>
      <w:r>
        <w:rPr>
          <w:noProof/>
        </w:rPr>
        <w:instrText xml:space="preserve"> PAGEREF _Toc330039542 \h </w:instrText>
      </w:r>
      <w:r>
        <w:rPr>
          <w:noProof/>
        </w:rPr>
      </w:r>
      <w:r>
        <w:rPr>
          <w:noProof/>
        </w:rPr>
        <w:fldChar w:fldCharType="separate"/>
      </w:r>
      <w:r>
        <w:rPr>
          <w:noProof/>
        </w:rPr>
        <w:t>24</w:t>
      </w:r>
      <w:r>
        <w:rPr>
          <w:noProof/>
        </w:rPr>
        <w:fldChar w:fldCharType="end"/>
      </w:r>
    </w:p>
    <w:p w:rsidR="00C0377D" w:rsidRDefault="00C0377D">
      <w:pPr>
        <w:pStyle w:val="Obsah3"/>
        <w:tabs>
          <w:tab w:val="left" w:pos="1320"/>
          <w:tab w:val="right" w:leader="dot" w:pos="9061"/>
        </w:tabs>
        <w:rPr>
          <w:rFonts w:asciiTheme="minorHAnsi" w:eastAsiaTheme="minorEastAsia" w:hAnsiTheme="minorHAnsi" w:cstheme="minorBidi"/>
          <w:noProof/>
          <w:sz w:val="22"/>
          <w:lang w:eastAsia="cs-CZ"/>
        </w:rPr>
      </w:pPr>
      <w:r>
        <w:rPr>
          <w:noProof/>
        </w:rPr>
        <w:t>4.1.1</w:t>
      </w:r>
      <w:r>
        <w:rPr>
          <w:rFonts w:asciiTheme="minorHAnsi" w:eastAsiaTheme="minorEastAsia" w:hAnsiTheme="minorHAnsi" w:cstheme="minorBidi"/>
          <w:noProof/>
          <w:sz w:val="22"/>
          <w:lang w:eastAsia="cs-CZ"/>
        </w:rPr>
        <w:tab/>
      </w:r>
      <w:r>
        <w:rPr>
          <w:noProof/>
        </w:rPr>
        <w:t>Popis a zhodnocení vývoje postoje</w:t>
      </w:r>
      <w:r>
        <w:rPr>
          <w:noProof/>
        </w:rPr>
        <w:tab/>
      </w:r>
      <w:r>
        <w:rPr>
          <w:noProof/>
        </w:rPr>
        <w:fldChar w:fldCharType="begin"/>
      </w:r>
      <w:r>
        <w:rPr>
          <w:noProof/>
        </w:rPr>
        <w:instrText xml:space="preserve"> PAGEREF _Toc330039543 \h </w:instrText>
      </w:r>
      <w:r>
        <w:rPr>
          <w:noProof/>
        </w:rPr>
      </w:r>
      <w:r>
        <w:rPr>
          <w:noProof/>
        </w:rPr>
        <w:fldChar w:fldCharType="separate"/>
      </w:r>
      <w:r>
        <w:rPr>
          <w:noProof/>
        </w:rPr>
        <w:t>24</w:t>
      </w:r>
      <w:r>
        <w:rPr>
          <w:noProof/>
        </w:rPr>
        <w:fldChar w:fldCharType="end"/>
      </w:r>
    </w:p>
    <w:p w:rsidR="00C0377D" w:rsidRDefault="00C0377D">
      <w:pPr>
        <w:pStyle w:val="Obsah3"/>
        <w:tabs>
          <w:tab w:val="left" w:pos="1320"/>
          <w:tab w:val="right" w:leader="dot" w:pos="9061"/>
        </w:tabs>
        <w:rPr>
          <w:rFonts w:asciiTheme="minorHAnsi" w:eastAsiaTheme="minorEastAsia" w:hAnsiTheme="minorHAnsi" w:cstheme="minorBidi"/>
          <w:noProof/>
          <w:sz w:val="22"/>
          <w:lang w:eastAsia="cs-CZ"/>
        </w:rPr>
      </w:pPr>
      <w:r>
        <w:rPr>
          <w:noProof/>
        </w:rPr>
        <w:t>4.1.2</w:t>
      </w:r>
      <w:r>
        <w:rPr>
          <w:rFonts w:asciiTheme="minorHAnsi" w:eastAsiaTheme="minorEastAsia" w:hAnsiTheme="minorHAnsi" w:cstheme="minorBidi"/>
          <w:noProof/>
          <w:sz w:val="22"/>
          <w:lang w:eastAsia="cs-CZ"/>
        </w:rPr>
        <w:tab/>
      </w:r>
      <w:r>
        <w:rPr>
          <w:noProof/>
        </w:rPr>
        <w:t>Praktický případ: kauza „peníze za zákony“</w:t>
      </w:r>
      <w:r>
        <w:rPr>
          <w:noProof/>
        </w:rPr>
        <w:tab/>
      </w:r>
      <w:r>
        <w:rPr>
          <w:noProof/>
        </w:rPr>
        <w:fldChar w:fldCharType="begin"/>
      </w:r>
      <w:r>
        <w:rPr>
          <w:noProof/>
        </w:rPr>
        <w:instrText xml:space="preserve"> PAGEREF _Toc330039544 \h </w:instrText>
      </w:r>
      <w:r>
        <w:rPr>
          <w:noProof/>
        </w:rPr>
      </w:r>
      <w:r>
        <w:rPr>
          <w:noProof/>
        </w:rPr>
        <w:fldChar w:fldCharType="separate"/>
      </w:r>
      <w:r>
        <w:rPr>
          <w:noProof/>
        </w:rPr>
        <w:t>25</w:t>
      </w:r>
      <w:r>
        <w:rPr>
          <w:noProof/>
        </w:rPr>
        <w:fldChar w:fldCharType="end"/>
      </w:r>
    </w:p>
    <w:p w:rsidR="00C0377D" w:rsidRDefault="00C0377D">
      <w:pPr>
        <w:pStyle w:val="Obsah3"/>
        <w:tabs>
          <w:tab w:val="left" w:pos="1320"/>
          <w:tab w:val="right" w:leader="dot" w:pos="9061"/>
        </w:tabs>
        <w:rPr>
          <w:rFonts w:asciiTheme="minorHAnsi" w:eastAsiaTheme="minorEastAsia" w:hAnsiTheme="minorHAnsi" w:cstheme="minorBidi"/>
          <w:noProof/>
          <w:sz w:val="22"/>
          <w:lang w:eastAsia="cs-CZ"/>
        </w:rPr>
      </w:pPr>
      <w:r>
        <w:rPr>
          <w:noProof/>
        </w:rPr>
        <w:t>4.1.3</w:t>
      </w:r>
      <w:r>
        <w:rPr>
          <w:rFonts w:asciiTheme="minorHAnsi" w:eastAsiaTheme="minorEastAsia" w:hAnsiTheme="minorHAnsi" w:cstheme="minorBidi"/>
          <w:noProof/>
          <w:sz w:val="22"/>
          <w:lang w:eastAsia="cs-CZ"/>
        </w:rPr>
        <w:tab/>
      </w:r>
      <w:r>
        <w:rPr>
          <w:noProof/>
        </w:rPr>
        <w:t>Zamezení slabým stránkám regulace lobbingu v EP</w:t>
      </w:r>
      <w:r>
        <w:rPr>
          <w:noProof/>
        </w:rPr>
        <w:tab/>
      </w:r>
      <w:r>
        <w:rPr>
          <w:noProof/>
        </w:rPr>
        <w:fldChar w:fldCharType="begin"/>
      </w:r>
      <w:r>
        <w:rPr>
          <w:noProof/>
        </w:rPr>
        <w:instrText xml:space="preserve"> PAGEREF _Toc330039545 \h </w:instrText>
      </w:r>
      <w:r>
        <w:rPr>
          <w:noProof/>
        </w:rPr>
      </w:r>
      <w:r>
        <w:rPr>
          <w:noProof/>
        </w:rPr>
        <w:fldChar w:fldCharType="separate"/>
      </w:r>
      <w:r>
        <w:rPr>
          <w:noProof/>
        </w:rPr>
        <w:t>27</w:t>
      </w:r>
      <w:r>
        <w:rPr>
          <w:noProof/>
        </w:rPr>
        <w:fldChar w:fldCharType="end"/>
      </w:r>
    </w:p>
    <w:p w:rsidR="00C0377D" w:rsidRDefault="00C0377D">
      <w:pPr>
        <w:pStyle w:val="Obsah2"/>
        <w:tabs>
          <w:tab w:val="left" w:pos="880"/>
          <w:tab w:val="right" w:leader="dot" w:pos="9061"/>
        </w:tabs>
        <w:rPr>
          <w:rFonts w:asciiTheme="minorHAnsi" w:eastAsiaTheme="minorEastAsia" w:hAnsiTheme="minorHAnsi" w:cstheme="minorBidi"/>
          <w:noProof/>
          <w:sz w:val="22"/>
          <w:lang w:eastAsia="cs-CZ"/>
        </w:rPr>
      </w:pPr>
      <w:r>
        <w:rPr>
          <w:noProof/>
        </w:rPr>
        <w:t>4.2</w:t>
      </w:r>
      <w:r>
        <w:rPr>
          <w:rFonts w:asciiTheme="minorHAnsi" w:eastAsiaTheme="minorEastAsia" w:hAnsiTheme="minorHAnsi" w:cstheme="minorBidi"/>
          <w:noProof/>
          <w:sz w:val="22"/>
          <w:lang w:eastAsia="cs-CZ"/>
        </w:rPr>
        <w:tab/>
      </w:r>
      <w:r>
        <w:rPr>
          <w:noProof/>
        </w:rPr>
        <w:t>Komise</w:t>
      </w:r>
      <w:r>
        <w:rPr>
          <w:noProof/>
        </w:rPr>
        <w:tab/>
      </w:r>
      <w:r>
        <w:rPr>
          <w:noProof/>
        </w:rPr>
        <w:fldChar w:fldCharType="begin"/>
      </w:r>
      <w:r>
        <w:rPr>
          <w:noProof/>
        </w:rPr>
        <w:instrText xml:space="preserve"> PAGEREF _Toc330039546 \h </w:instrText>
      </w:r>
      <w:r>
        <w:rPr>
          <w:noProof/>
        </w:rPr>
      </w:r>
      <w:r>
        <w:rPr>
          <w:noProof/>
        </w:rPr>
        <w:fldChar w:fldCharType="separate"/>
      </w:r>
      <w:r>
        <w:rPr>
          <w:noProof/>
        </w:rPr>
        <w:t>28</w:t>
      </w:r>
      <w:r>
        <w:rPr>
          <w:noProof/>
        </w:rPr>
        <w:fldChar w:fldCharType="end"/>
      </w:r>
    </w:p>
    <w:p w:rsidR="00C0377D" w:rsidRDefault="00C0377D">
      <w:pPr>
        <w:pStyle w:val="Obsah3"/>
        <w:tabs>
          <w:tab w:val="left" w:pos="1320"/>
          <w:tab w:val="right" w:leader="dot" w:pos="9061"/>
        </w:tabs>
        <w:rPr>
          <w:rFonts w:asciiTheme="minorHAnsi" w:eastAsiaTheme="minorEastAsia" w:hAnsiTheme="minorHAnsi" w:cstheme="minorBidi"/>
          <w:noProof/>
          <w:sz w:val="22"/>
          <w:lang w:eastAsia="cs-CZ"/>
        </w:rPr>
      </w:pPr>
      <w:r>
        <w:rPr>
          <w:noProof/>
        </w:rPr>
        <w:t>4.2.1</w:t>
      </w:r>
      <w:r>
        <w:rPr>
          <w:rFonts w:asciiTheme="minorHAnsi" w:eastAsiaTheme="minorEastAsia" w:hAnsiTheme="minorHAnsi" w:cstheme="minorBidi"/>
          <w:noProof/>
          <w:sz w:val="22"/>
          <w:lang w:eastAsia="cs-CZ"/>
        </w:rPr>
        <w:tab/>
      </w:r>
      <w:r>
        <w:rPr>
          <w:noProof/>
        </w:rPr>
        <w:t>Popis a zhodnocení vývoje postoje</w:t>
      </w:r>
      <w:r>
        <w:rPr>
          <w:noProof/>
        </w:rPr>
        <w:tab/>
      </w:r>
      <w:r>
        <w:rPr>
          <w:noProof/>
        </w:rPr>
        <w:fldChar w:fldCharType="begin"/>
      </w:r>
      <w:r>
        <w:rPr>
          <w:noProof/>
        </w:rPr>
        <w:instrText xml:space="preserve"> PAGEREF _Toc330039547 \h </w:instrText>
      </w:r>
      <w:r>
        <w:rPr>
          <w:noProof/>
        </w:rPr>
      </w:r>
      <w:r>
        <w:rPr>
          <w:noProof/>
        </w:rPr>
        <w:fldChar w:fldCharType="separate"/>
      </w:r>
      <w:r>
        <w:rPr>
          <w:noProof/>
        </w:rPr>
        <w:t>28</w:t>
      </w:r>
      <w:r>
        <w:rPr>
          <w:noProof/>
        </w:rPr>
        <w:fldChar w:fldCharType="end"/>
      </w:r>
    </w:p>
    <w:p w:rsidR="00C0377D" w:rsidRDefault="00C0377D">
      <w:pPr>
        <w:pStyle w:val="Obsah3"/>
        <w:tabs>
          <w:tab w:val="left" w:pos="1320"/>
          <w:tab w:val="right" w:leader="dot" w:pos="9061"/>
        </w:tabs>
        <w:rPr>
          <w:rFonts w:asciiTheme="minorHAnsi" w:eastAsiaTheme="minorEastAsia" w:hAnsiTheme="minorHAnsi" w:cstheme="minorBidi"/>
          <w:noProof/>
          <w:sz w:val="22"/>
          <w:lang w:eastAsia="cs-CZ"/>
        </w:rPr>
      </w:pPr>
      <w:r>
        <w:rPr>
          <w:noProof/>
        </w:rPr>
        <w:t>4.2.2</w:t>
      </w:r>
      <w:r>
        <w:rPr>
          <w:rFonts w:asciiTheme="minorHAnsi" w:eastAsiaTheme="minorEastAsia" w:hAnsiTheme="minorHAnsi" w:cstheme="minorBidi"/>
          <w:noProof/>
          <w:sz w:val="22"/>
          <w:lang w:eastAsia="cs-CZ"/>
        </w:rPr>
        <w:tab/>
      </w:r>
      <w:r>
        <w:rPr>
          <w:noProof/>
        </w:rPr>
        <w:t>Praktický případ: „otáčivé dveře“ v Komisi</w:t>
      </w:r>
      <w:r>
        <w:rPr>
          <w:noProof/>
        </w:rPr>
        <w:tab/>
      </w:r>
      <w:r>
        <w:rPr>
          <w:noProof/>
        </w:rPr>
        <w:fldChar w:fldCharType="begin"/>
      </w:r>
      <w:r>
        <w:rPr>
          <w:noProof/>
        </w:rPr>
        <w:instrText xml:space="preserve"> PAGEREF _Toc330039548 \h </w:instrText>
      </w:r>
      <w:r>
        <w:rPr>
          <w:noProof/>
        </w:rPr>
      </w:r>
      <w:r>
        <w:rPr>
          <w:noProof/>
        </w:rPr>
        <w:fldChar w:fldCharType="separate"/>
      </w:r>
      <w:r>
        <w:rPr>
          <w:noProof/>
        </w:rPr>
        <w:t>30</w:t>
      </w:r>
      <w:r>
        <w:rPr>
          <w:noProof/>
        </w:rPr>
        <w:fldChar w:fldCharType="end"/>
      </w:r>
    </w:p>
    <w:p w:rsidR="00C0377D" w:rsidRDefault="00C0377D">
      <w:pPr>
        <w:pStyle w:val="Obsah2"/>
        <w:tabs>
          <w:tab w:val="left" w:pos="880"/>
          <w:tab w:val="right" w:leader="dot" w:pos="9061"/>
        </w:tabs>
        <w:rPr>
          <w:rFonts w:asciiTheme="minorHAnsi" w:eastAsiaTheme="minorEastAsia" w:hAnsiTheme="minorHAnsi" w:cstheme="minorBidi"/>
          <w:noProof/>
          <w:sz w:val="22"/>
          <w:lang w:eastAsia="cs-CZ"/>
        </w:rPr>
      </w:pPr>
      <w:r>
        <w:rPr>
          <w:noProof/>
        </w:rPr>
        <w:t>4.3</w:t>
      </w:r>
      <w:r>
        <w:rPr>
          <w:rFonts w:asciiTheme="minorHAnsi" w:eastAsiaTheme="minorEastAsia" w:hAnsiTheme="minorHAnsi" w:cstheme="minorBidi"/>
          <w:noProof/>
          <w:sz w:val="22"/>
          <w:lang w:eastAsia="cs-CZ"/>
        </w:rPr>
        <w:tab/>
      </w:r>
      <w:r>
        <w:rPr>
          <w:noProof/>
        </w:rPr>
        <w:t>Rada</w:t>
      </w:r>
      <w:r>
        <w:rPr>
          <w:noProof/>
        </w:rPr>
        <w:tab/>
      </w:r>
      <w:r>
        <w:rPr>
          <w:noProof/>
        </w:rPr>
        <w:fldChar w:fldCharType="begin"/>
      </w:r>
      <w:r>
        <w:rPr>
          <w:noProof/>
        </w:rPr>
        <w:instrText xml:space="preserve"> PAGEREF _Toc330039549 \h </w:instrText>
      </w:r>
      <w:r>
        <w:rPr>
          <w:noProof/>
        </w:rPr>
      </w:r>
      <w:r>
        <w:rPr>
          <w:noProof/>
        </w:rPr>
        <w:fldChar w:fldCharType="separate"/>
      </w:r>
      <w:r>
        <w:rPr>
          <w:noProof/>
        </w:rPr>
        <w:t>32</w:t>
      </w:r>
      <w:r>
        <w:rPr>
          <w:noProof/>
        </w:rPr>
        <w:fldChar w:fldCharType="end"/>
      </w:r>
    </w:p>
    <w:p w:rsidR="00C0377D" w:rsidRDefault="00C0377D">
      <w:pPr>
        <w:pStyle w:val="Obsah1"/>
        <w:tabs>
          <w:tab w:val="left" w:pos="442"/>
          <w:tab w:val="right" w:leader="dot" w:pos="9061"/>
        </w:tabs>
        <w:rPr>
          <w:rFonts w:asciiTheme="minorHAnsi" w:eastAsiaTheme="minorEastAsia" w:hAnsiTheme="minorHAnsi" w:cstheme="minorBidi"/>
          <w:noProof/>
          <w:sz w:val="22"/>
          <w:lang w:eastAsia="cs-CZ"/>
        </w:rPr>
      </w:pPr>
      <w:r>
        <w:rPr>
          <w:noProof/>
        </w:rPr>
        <w:t>5</w:t>
      </w:r>
      <w:r>
        <w:rPr>
          <w:rFonts w:asciiTheme="minorHAnsi" w:eastAsiaTheme="minorEastAsia" w:hAnsiTheme="minorHAnsi" w:cstheme="minorBidi"/>
          <w:noProof/>
          <w:sz w:val="22"/>
          <w:lang w:eastAsia="cs-CZ"/>
        </w:rPr>
        <w:tab/>
      </w:r>
      <w:r>
        <w:rPr>
          <w:noProof/>
        </w:rPr>
        <w:t>Závislost typů regulací na využitelnosti pro kontrolovaný lobbing</w:t>
      </w:r>
      <w:r>
        <w:rPr>
          <w:noProof/>
        </w:rPr>
        <w:tab/>
      </w:r>
      <w:r>
        <w:rPr>
          <w:noProof/>
        </w:rPr>
        <w:fldChar w:fldCharType="begin"/>
      </w:r>
      <w:r>
        <w:rPr>
          <w:noProof/>
        </w:rPr>
        <w:instrText xml:space="preserve"> PAGEREF _Toc330039550 \h </w:instrText>
      </w:r>
      <w:r>
        <w:rPr>
          <w:noProof/>
        </w:rPr>
      </w:r>
      <w:r>
        <w:rPr>
          <w:noProof/>
        </w:rPr>
        <w:fldChar w:fldCharType="separate"/>
      </w:r>
      <w:r>
        <w:rPr>
          <w:noProof/>
        </w:rPr>
        <w:t>34</w:t>
      </w:r>
      <w:r>
        <w:rPr>
          <w:noProof/>
        </w:rPr>
        <w:fldChar w:fldCharType="end"/>
      </w:r>
    </w:p>
    <w:p w:rsidR="00C0377D" w:rsidRDefault="00C0377D">
      <w:pPr>
        <w:pStyle w:val="Obsah2"/>
        <w:tabs>
          <w:tab w:val="left" w:pos="880"/>
          <w:tab w:val="right" w:leader="dot" w:pos="9061"/>
        </w:tabs>
        <w:rPr>
          <w:rFonts w:asciiTheme="minorHAnsi" w:eastAsiaTheme="minorEastAsia" w:hAnsiTheme="minorHAnsi" w:cstheme="minorBidi"/>
          <w:noProof/>
          <w:sz w:val="22"/>
          <w:lang w:eastAsia="cs-CZ"/>
        </w:rPr>
      </w:pPr>
      <w:r>
        <w:rPr>
          <w:noProof/>
        </w:rPr>
        <w:t>5.1</w:t>
      </w:r>
      <w:r>
        <w:rPr>
          <w:rFonts w:asciiTheme="minorHAnsi" w:eastAsiaTheme="minorEastAsia" w:hAnsiTheme="minorHAnsi" w:cstheme="minorBidi"/>
          <w:noProof/>
          <w:sz w:val="22"/>
          <w:lang w:eastAsia="cs-CZ"/>
        </w:rPr>
        <w:tab/>
      </w:r>
      <w:r>
        <w:rPr>
          <w:noProof/>
        </w:rPr>
        <w:t>Registrování a zveřejňování informací o lobbistech</w:t>
      </w:r>
      <w:r>
        <w:rPr>
          <w:noProof/>
        </w:rPr>
        <w:tab/>
      </w:r>
      <w:r>
        <w:rPr>
          <w:noProof/>
        </w:rPr>
        <w:fldChar w:fldCharType="begin"/>
      </w:r>
      <w:r>
        <w:rPr>
          <w:noProof/>
        </w:rPr>
        <w:instrText xml:space="preserve"> PAGEREF _Toc330039551 \h </w:instrText>
      </w:r>
      <w:r>
        <w:rPr>
          <w:noProof/>
        </w:rPr>
      </w:r>
      <w:r>
        <w:rPr>
          <w:noProof/>
        </w:rPr>
        <w:fldChar w:fldCharType="separate"/>
      </w:r>
      <w:r>
        <w:rPr>
          <w:noProof/>
        </w:rPr>
        <w:t>35</w:t>
      </w:r>
      <w:r>
        <w:rPr>
          <w:noProof/>
        </w:rPr>
        <w:fldChar w:fldCharType="end"/>
      </w:r>
    </w:p>
    <w:p w:rsidR="00C0377D" w:rsidRDefault="00C0377D">
      <w:pPr>
        <w:pStyle w:val="Obsah3"/>
        <w:tabs>
          <w:tab w:val="left" w:pos="1320"/>
          <w:tab w:val="right" w:leader="dot" w:pos="9061"/>
        </w:tabs>
        <w:rPr>
          <w:rFonts w:asciiTheme="minorHAnsi" w:eastAsiaTheme="minorEastAsia" w:hAnsiTheme="minorHAnsi" w:cstheme="minorBidi"/>
          <w:noProof/>
          <w:sz w:val="22"/>
          <w:lang w:eastAsia="cs-CZ"/>
        </w:rPr>
      </w:pPr>
      <w:r>
        <w:rPr>
          <w:noProof/>
        </w:rPr>
        <w:t>5.1.1</w:t>
      </w:r>
      <w:r>
        <w:rPr>
          <w:rFonts w:asciiTheme="minorHAnsi" w:eastAsiaTheme="minorEastAsia" w:hAnsiTheme="minorHAnsi" w:cstheme="minorBidi"/>
          <w:noProof/>
          <w:sz w:val="22"/>
          <w:lang w:eastAsia="cs-CZ"/>
        </w:rPr>
        <w:tab/>
      </w:r>
      <w:r>
        <w:rPr>
          <w:noProof/>
        </w:rPr>
        <w:t>Rejstřík</w:t>
      </w:r>
      <w:r>
        <w:rPr>
          <w:noProof/>
        </w:rPr>
        <w:tab/>
      </w:r>
      <w:r>
        <w:rPr>
          <w:noProof/>
        </w:rPr>
        <w:fldChar w:fldCharType="begin"/>
      </w:r>
      <w:r>
        <w:rPr>
          <w:noProof/>
        </w:rPr>
        <w:instrText xml:space="preserve"> PAGEREF _Toc330039552 \h </w:instrText>
      </w:r>
      <w:r>
        <w:rPr>
          <w:noProof/>
        </w:rPr>
      </w:r>
      <w:r>
        <w:rPr>
          <w:noProof/>
        </w:rPr>
        <w:fldChar w:fldCharType="separate"/>
      </w:r>
      <w:r>
        <w:rPr>
          <w:noProof/>
        </w:rPr>
        <w:t>35</w:t>
      </w:r>
      <w:r>
        <w:rPr>
          <w:noProof/>
        </w:rPr>
        <w:fldChar w:fldCharType="end"/>
      </w:r>
    </w:p>
    <w:p w:rsidR="00C0377D" w:rsidRDefault="00C0377D">
      <w:pPr>
        <w:pStyle w:val="Obsah3"/>
        <w:tabs>
          <w:tab w:val="left" w:pos="1320"/>
          <w:tab w:val="right" w:leader="dot" w:pos="9061"/>
        </w:tabs>
        <w:rPr>
          <w:rFonts w:asciiTheme="minorHAnsi" w:eastAsiaTheme="minorEastAsia" w:hAnsiTheme="minorHAnsi" w:cstheme="minorBidi"/>
          <w:noProof/>
          <w:sz w:val="22"/>
          <w:lang w:eastAsia="cs-CZ"/>
        </w:rPr>
      </w:pPr>
      <w:r>
        <w:rPr>
          <w:noProof/>
        </w:rPr>
        <w:t>5.1.2</w:t>
      </w:r>
      <w:r>
        <w:rPr>
          <w:rFonts w:asciiTheme="minorHAnsi" w:eastAsiaTheme="minorEastAsia" w:hAnsiTheme="minorHAnsi" w:cstheme="minorBidi"/>
          <w:noProof/>
          <w:sz w:val="22"/>
          <w:lang w:eastAsia="cs-CZ"/>
        </w:rPr>
        <w:tab/>
      </w:r>
      <w:r>
        <w:rPr>
          <w:noProof/>
        </w:rPr>
        <w:t>Zveřejňování informací o lobbistech (zejména o jejich financování)</w:t>
      </w:r>
      <w:r>
        <w:rPr>
          <w:noProof/>
        </w:rPr>
        <w:tab/>
      </w:r>
      <w:r>
        <w:rPr>
          <w:noProof/>
        </w:rPr>
        <w:fldChar w:fldCharType="begin"/>
      </w:r>
      <w:r>
        <w:rPr>
          <w:noProof/>
        </w:rPr>
        <w:instrText xml:space="preserve"> PAGEREF _Toc330039553 \h </w:instrText>
      </w:r>
      <w:r>
        <w:rPr>
          <w:noProof/>
        </w:rPr>
      </w:r>
      <w:r>
        <w:rPr>
          <w:noProof/>
        </w:rPr>
        <w:fldChar w:fldCharType="separate"/>
      </w:r>
      <w:r>
        <w:rPr>
          <w:noProof/>
        </w:rPr>
        <w:t>39</w:t>
      </w:r>
      <w:r>
        <w:rPr>
          <w:noProof/>
        </w:rPr>
        <w:fldChar w:fldCharType="end"/>
      </w:r>
    </w:p>
    <w:p w:rsidR="00C0377D" w:rsidRDefault="00C0377D">
      <w:pPr>
        <w:pStyle w:val="Obsah3"/>
        <w:tabs>
          <w:tab w:val="left" w:pos="1320"/>
          <w:tab w:val="right" w:leader="dot" w:pos="9061"/>
        </w:tabs>
        <w:rPr>
          <w:rFonts w:asciiTheme="minorHAnsi" w:eastAsiaTheme="minorEastAsia" w:hAnsiTheme="minorHAnsi" w:cstheme="minorBidi"/>
          <w:noProof/>
          <w:sz w:val="22"/>
          <w:lang w:eastAsia="cs-CZ"/>
        </w:rPr>
      </w:pPr>
      <w:r>
        <w:rPr>
          <w:noProof/>
        </w:rPr>
        <w:t>5.1.3</w:t>
      </w:r>
      <w:r>
        <w:rPr>
          <w:rFonts w:asciiTheme="minorHAnsi" w:eastAsiaTheme="minorEastAsia" w:hAnsiTheme="minorHAnsi" w:cstheme="minorBidi"/>
          <w:noProof/>
          <w:sz w:val="22"/>
          <w:lang w:eastAsia="cs-CZ"/>
        </w:rPr>
        <w:tab/>
      </w:r>
      <w:r>
        <w:rPr>
          <w:noProof/>
        </w:rPr>
        <w:t>Akreditace u Evropského parlamentu</w:t>
      </w:r>
      <w:r>
        <w:rPr>
          <w:noProof/>
        </w:rPr>
        <w:tab/>
      </w:r>
      <w:r>
        <w:rPr>
          <w:noProof/>
        </w:rPr>
        <w:fldChar w:fldCharType="begin"/>
      </w:r>
      <w:r>
        <w:rPr>
          <w:noProof/>
        </w:rPr>
        <w:instrText xml:space="preserve"> PAGEREF _Toc330039554 \h </w:instrText>
      </w:r>
      <w:r>
        <w:rPr>
          <w:noProof/>
        </w:rPr>
      </w:r>
      <w:r>
        <w:rPr>
          <w:noProof/>
        </w:rPr>
        <w:fldChar w:fldCharType="separate"/>
      </w:r>
      <w:r>
        <w:rPr>
          <w:noProof/>
        </w:rPr>
        <w:t>41</w:t>
      </w:r>
      <w:r>
        <w:rPr>
          <w:noProof/>
        </w:rPr>
        <w:fldChar w:fldCharType="end"/>
      </w:r>
    </w:p>
    <w:p w:rsidR="00C0377D" w:rsidRDefault="00C0377D">
      <w:pPr>
        <w:pStyle w:val="Obsah3"/>
        <w:tabs>
          <w:tab w:val="left" w:pos="1320"/>
          <w:tab w:val="right" w:leader="dot" w:pos="9061"/>
        </w:tabs>
        <w:rPr>
          <w:rFonts w:asciiTheme="minorHAnsi" w:eastAsiaTheme="minorEastAsia" w:hAnsiTheme="minorHAnsi" w:cstheme="minorBidi"/>
          <w:noProof/>
          <w:sz w:val="22"/>
          <w:lang w:eastAsia="cs-CZ"/>
        </w:rPr>
      </w:pPr>
      <w:r>
        <w:rPr>
          <w:noProof/>
        </w:rPr>
        <w:t>5.1.4</w:t>
      </w:r>
      <w:r>
        <w:rPr>
          <w:rFonts w:asciiTheme="minorHAnsi" w:eastAsiaTheme="minorEastAsia" w:hAnsiTheme="minorHAnsi" w:cstheme="minorBidi"/>
          <w:noProof/>
          <w:sz w:val="22"/>
          <w:lang w:eastAsia="cs-CZ"/>
        </w:rPr>
        <w:tab/>
      </w:r>
      <w:r>
        <w:rPr>
          <w:noProof/>
        </w:rPr>
        <w:t>Příklad na velkých společnostech</w:t>
      </w:r>
      <w:r>
        <w:rPr>
          <w:noProof/>
        </w:rPr>
        <w:tab/>
      </w:r>
      <w:r>
        <w:rPr>
          <w:noProof/>
        </w:rPr>
        <w:fldChar w:fldCharType="begin"/>
      </w:r>
      <w:r>
        <w:rPr>
          <w:noProof/>
        </w:rPr>
        <w:instrText xml:space="preserve"> PAGEREF _Toc330039555 \h </w:instrText>
      </w:r>
      <w:r>
        <w:rPr>
          <w:noProof/>
        </w:rPr>
      </w:r>
      <w:r>
        <w:rPr>
          <w:noProof/>
        </w:rPr>
        <w:fldChar w:fldCharType="separate"/>
      </w:r>
      <w:r>
        <w:rPr>
          <w:noProof/>
        </w:rPr>
        <w:t>44</w:t>
      </w:r>
      <w:r>
        <w:rPr>
          <w:noProof/>
        </w:rPr>
        <w:fldChar w:fldCharType="end"/>
      </w:r>
    </w:p>
    <w:p w:rsidR="00C0377D" w:rsidRDefault="00C0377D">
      <w:pPr>
        <w:pStyle w:val="Obsah2"/>
        <w:tabs>
          <w:tab w:val="left" w:pos="880"/>
          <w:tab w:val="right" w:leader="dot" w:pos="9061"/>
        </w:tabs>
        <w:rPr>
          <w:rFonts w:asciiTheme="minorHAnsi" w:eastAsiaTheme="minorEastAsia" w:hAnsiTheme="minorHAnsi" w:cstheme="minorBidi"/>
          <w:noProof/>
          <w:sz w:val="22"/>
          <w:lang w:eastAsia="cs-CZ"/>
        </w:rPr>
      </w:pPr>
      <w:r>
        <w:rPr>
          <w:noProof/>
        </w:rPr>
        <w:t>5.2</w:t>
      </w:r>
      <w:r>
        <w:rPr>
          <w:rFonts w:asciiTheme="minorHAnsi" w:eastAsiaTheme="minorEastAsia" w:hAnsiTheme="minorHAnsi" w:cstheme="minorBidi"/>
          <w:noProof/>
          <w:sz w:val="22"/>
          <w:lang w:eastAsia="cs-CZ"/>
        </w:rPr>
        <w:tab/>
      </w:r>
      <w:r>
        <w:rPr>
          <w:noProof/>
        </w:rPr>
        <w:t>Kvalita pravidel pro předcházení nekalým praktikám v lobbování</w:t>
      </w:r>
      <w:r>
        <w:rPr>
          <w:noProof/>
        </w:rPr>
        <w:tab/>
      </w:r>
      <w:r>
        <w:rPr>
          <w:noProof/>
        </w:rPr>
        <w:fldChar w:fldCharType="begin"/>
      </w:r>
      <w:r>
        <w:rPr>
          <w:noProof/>
        </w:rPr>
        <w:instrText xml:space="preserve"> PAGEREF _Toc330039556 \h </w:instrText>
      </w:r>
      <w:r>
        <w:rPr>
          <w:noProof/>
        </w:rPr>
      </w:r>
      <w:r>
        <w:rPr>
          <w:noProof/>
        </w:rPr>
        <w:fldChar w:fldCharType="separate"/>
      </w:r>
      <w:r>
        <w:rPr>
          <w:noProof/>
        </w:rPr>
        <w:t>46</w:t>
      </w:r>
      <w:r>
        <w:rPr>
          <w:noProof/>
        </w:rPr>
        <w:fldChar w:fldCharType="end"/>
      </w:r>
    </w:p>
    <w:p w:rsidR="00C0377D" w:rsidRDefault="00C0377D">
      <w:pPr>
        <w:pStyle w:val="Obsah3"/>
        <w:tabs>
          <w:tab w:val="left" w:pos="1320"/>
          <w:tab w:val="right" w:leader="dot" w:pos="9061"/>
        </w:tabs>
        <w:rPr>
          <w:rFonts w:asciiTheme="minorHAnsi" w:eastAsiaTheme="minorEastAsia" w:hAnsiTheme="minorHAnsi" w:cstheme="minorBidi"/>
          <w:noProof/>
          <w:sz w:val="22"/>
          <w:lang w:eastAsia="cs-CZ"/>
        </w:rPr>
      </w:pPr>
      <w:r>
        <w:rPr>
          <w:noProof/>
        </w:rPr>
        <w:t>5.2.1</w:t>
      </w:r>
      <w:r>
        <w:rPr>
          <w:rFonts w:asciiTheme="minorHAnsi" w:eastAsiaTheme="minorEastAsia" w:hAnsiTheme="minorHAnsi" w:cstheme="minorBidi"/>
          <w:noProof/>
          <w:sz w:val="22"/>
          <w:lang w:eastAsia="cs-CZ"/>
        </w:rPr>
        <w:tab/>
      </w:r>
      <w:r>
        <w:rPr>
          <w:noProof/>
        </w:rPr>
        <w:t>Kodex lobbistů</w:t>
      </w:r>
      <w:r>
        <w:rPr>
          <w:noProof/>
        </w:rPr>
        <w:tab/>
      </w:r>
      <w:r>
        <w:rPr>
          <w:noProof/>
        </w:rPr>
        <w:fldChar w:fldCharType="begin"/>
      </w:r>
      <w:r>
        <w:rPr>
          <w:noProof/>
        </w:rPr>
        <w:instrText xml:space="preserve"> PAGEREF _Toc330039557 \h </w:instrText>
      </w:r>
      <w:r>
        <w:rPr>
          <w:noProof/>
        </w:rPr>
      </w:r>
      <w:r>
        <w:rPr>
          <w:noProof/>
        </w:rPr>
        <w:fldChar w:fldCharType="separate"/>
      </w:r>
      <w:r>
        <w:rPr>
          <w:noProof/>
        </w:rPr>
        <w:t>46</w:t>
      </w:r>
      <w:r>
        <w:rPr>
          <w:noProof/>
        </w:rPr>
        <w:fldChar w:fldCharType="end"/>
      </w:r>
    </w:p>
    <w:p w:rsidR="00C0377D" w:rsidRDefault="00C0377D">
      <w:pPr>
        <w:pStyle w:val="Obsah3"/>
        <w:tabs>
          <w:tab w:val="left" w:pos="1320"/>
          <w:tab w:val="right" w:leader="dot" w:pos="9061"/>
        </w:tabs>
        <w:rPr>
          <w:rFonts w:asciiTheme="minorHAnsi" w:eastAsiaTheme="minorEastAsia" w:hAnsiTheme="minorHAnsi" w:cstheme="minorBidi"/>
          <w:noProof/>
          <w:sz w:val="22"/>
          <w:lang w:eastAsia="cs-CZ"/>
        </w:rPr>
      </w:pPr>
      <w:r>
        <w:rPr>
          <w:noProof/>
        </w:rPr>
        <w:t>5.2.2</w:t>
      </w:r>
      <w:r>
        <w:rPr>
          <w:rFonts w:asciiTheme="minorHAnsi" w:eastAsiaTheme="minorEastAsia" w:hAnsiTheme="minorHAnsi" w:cstheme="minorBidi"/>
          <w:noProof/>
          <w:sz w:val="22"/>
          <w:lang w:eastAsia="cs-CZ"/>
        </w:rPr>
        <w:tab/>
      </w:r>
      <w:r>
        <w:rPr>
          <w:noProof/>
        </w:rPr>
        <w:t>Ostatní kodexy (institucí, vlastní lobbistické)</w:t>
      </w:r>
      <w:r>
        <w:rPr>
          <w:noProof/>
        </w:rPr>
        <w:tab/>
      </w:r>
      <w:r>
        <w:rPr>
          <w:noProof/>
        </w:rPr>
        <w:fldChar w:fldCharType="begin"/>
      </w:r>
      <w:r>
        <w:rPr>
          <w:noProof/>
        </w:rPr>
        <w:instrText xml:space="preserve"> PAGEREF _Toc330039558 \h </w:instrText>
      </w:r>
      <w:r>
        <w:rPr>
          <w:noProof/>
        </w:rPr>
      </w:r>
      <w:r>
        <w:rPr>
          <w:noProof/>
        </w:rPr>
        <w:fldChar w:fldCharType="separate"/>
      </w:r>
      <w:r>
        <w:rPr>
          <w:noProof/>
        </w:rPr>
        <w:t>48</w:t>
      </w:r>
      <w:r>
        <w:rPr>
          <w:noProof/>
        </w:rPr>
        <w:fldChar w:fldCharType="end"/>
      </w:r>
    </w:p>
    <w:p w:rsidR="00C0377D" w:rsidRDefault="00C0377D">
      <w:pPr>
        <w:pStyle w:val="Obsah3"/>
        <w:tabs>
          <w:tab w:val="left" w:pos="1320"/>
          <w:tab w:val="right" w:leader="dot" w:pos="9061"/>
        </w:tabs>
        <w:rPr>
          <w:rFonts w:asciiTheme="minorHAnsi" w:eastAsiaTheme="minorEastAsia" w:hAnsiTheme="minorHAnsi" w:cstheme="minorBidi"/>
          <w:noProof/>
          <w:sz w:val="22"/>
          <w:lang w:eastAsia="cs-CZ"/>
        </w:rPr>
      </w:pPr>
      <w:r>
        <w:rPr>
          <w:noProof/>
        </w:rPr>
        <w:t>5.2.3</w:t>
      </w:r>
      <w:r>
        <w:rPr>
          <w:rFonts w:asciiTheme="minorHAnsi" w:eastAsiaTheme="minorEastAsia" w:hAnsiTheme="minorHAnsi" w:cstheme="minorBidi"/>
          <w:noProof/>
          <w:sz w:val="22"/>
          <w:lang w:eastAsia="cs-CZ"/>
        </w:rPr>
        <w:tab/>
      </w:r>
      <w:r>
        <w:rPr>
          <w:noProof/>
        </w:rPr>
        <w:t>Srovnání jednotlivých kodexů</w:t>
      </w:r>
      <w:r>
        <w:rPr>
          <w:noProof/>
        </w:rPr>
        <w:tab/>
      </w:r>
      <w:r>
        <w:rPr>
          <w:noProof/>
        </w:rPr>
        <w:fldChar w:fldCharType="begin"/>
      </w:r>
      <w:r>
        <w:rPr>
          <w:noProof/>
        </w:rPr>
        <w:instrText xml:space="preserve"> PAGEREF _Toc330039559 \h </w:instrText>
      </w:r>
      <w:r>
        <w:rPr>
          <w:noProof/>
        </w:rPr>
      </w:r>
      <w:r>
        <w:rPr>
          <w:noProof/>
        </w:rPr>
        <w:fldChar w:fldCharType="separate"/>
      </w:r>
      <w:r>
        <w:rPr>
          <w:noProof/>
        </w:rPr>
        <w:t>49</w:t>
      </w:r>
      <w:r>
        <w:rPr>
          <w:noProof/>
        </w:rPr>
        <w:fldChar w:fldCharType="end"/>
      </w:r>
    </w:p>
    <w:p w:rsidR="00C0377D" w:rsidRDefault="00C0377D">
      <w:pPr>
        <w:pStyle w:val="Obsah4"/>
        <w:tabs>
          <w:tab w:val="left" w:pos="1540"/>
          <w:tab w:val="right" w:leader="dot" w:pos="9061"/>
        </w:tabs>
        <w:rPr>
          <w:rFonts w:asciiTheme="minorHAnsi" w:eastAsiaTheme="minorEastAsia" w:hAnsiTheme="minorHAnsi" w:cstheme="minorBidi"/>
          <w:noProof/>
          <w:sz w:val="22"/>
          <w:lang w:eastAsia="cs-CZ"/>
        </w:rPr>
      </w:pPr>
      <w:r>
        <w:rPr>
          <w:noProof/>
        </w:rPr>
        <w:lastRenderedPageBreak/>
        <w:t>5.2.3.1</w:t>
      </w:r>
      <w:r>
        <w:rPr>
          <w:rFonts w:asciiTheme="minorHAnsi" w:eastAsiaTheme="minorEastAsia" w:hAnsiTheme="minorHAnsi" w:cstheme="minorBidi"/>
          <w:noProof/>
          <w:sz w:val="22"/>
          <w:lang w:eastAsia="cs-CZ"/>
        </w:rPr>
        <w:tab/>
      </w:r>
      <w:r>
        <w:rPr>
          <w:noProof/>
        </w:rPr>
        <w:t>Střet zájmů</w:t>
      </w:r>
      <w:r>
        <w:rPr>
          <w:noProof/>
        </w:rPr>
        <w:tab/>
      </w:r>
      <w:r>
        <w:rPr>
          <w:noProof/>
        </w:rPr>
        <w:fldChar w:fldCharType="begin"/>
      </w:r>
      <w:r>
        <w:rPr>
          <w:noProof/>
        </w:rPr>
        <w:instrText xml:space="preserve"> PAGEREF _Toc330039560 \h </w:instrText>
      </w:r>
      <w:r>
        <w:rPr>
          <w:noProof/>
        </w:rPr>
      </w:r>
      <w:r>
        <w:rPr>
          <w:noProof/>
        </w:rPr>
        <w:fldChar w:fldCharType="separate"/>
      </w:r>
      <w:r>
        <w:rPr>
          <w:noProof/>
        </w:rPr>
        <w:t>49</w:t>
      </w:r>
      <w:r>
        <w:rPr>
          <w:noProof/>
        </w:rPr>
        <w:fldChar w:fldCharType="end"/>
      </w:r>
    </w:p>
    <w:p w:rsidR="00C0377D" w:rsidRDefault="00C0377D">
      <w:pPr>
        <w:pStyle w:val="Obsah4"/>
        <w:tabs>
          <w:tab w:val="left" w:pos="1540"/>
          <w:tab w:val="right" w:leader="dot" w:pos="9061"/>
        </w:tabs>
        <w:rPr>
          <w:rFonts w:asciiTheme="minorHAnsi" w:eastAsiaTheme="minorEastAsia" w:hAnsiTheme="minorHAnsi" w:cstheme="minorBidi"/>
          <w:noProof/>
          <w:sz w:val="22"/>
          <w:lang w:eastAsia="cs-CZ"/>
        </w:rPr>
      </w:pPr>
      <w:r>
        <w:rPr>
          <w:noProof/>
        </w:rPr>
        <w:t>5.2.3.2</w:t>
      </w:r>
      <w:r>
        <w:rPr>
          <w:rFonts w:asciiTheme="minorHAnsi" w:eastAsiaTheme="minorEastAsia" w:hAnsiTheme="minorHAnsi" w:cstheme="minorBidi"/>
          <w:noProof/>
          <w:sz w:val="22"/>
          <w:lang w:eastAsia="cs-CZ"/>
        </w:rPr>
        <w:tab/>
      </w:r>
      <w:r>
        <w:rPr>
          <w:noProof/>
        </w:rPr>
        <w:t>Podplácení dary</w:t>
      </w:r>
      <w:r>
        <w:rPr>
          <w:noProof/>
        </w:rPr>
        <w:tab/>
      </w:r>
      <w:r>
        <w:rPr>
          <w:noProof/>
        </w:rPr>
        <w:fldChar w:fldCharType="begin"/>
      </w:r>
      <w:r>
        <w:rPr>
          <w:noProof/>
        </w:rPr>
        <w:instrText xml:space="preserve"> PAGEREF _Toc330039561 \h </w:instrText>
      </w:r>
      <w:r>
        <w:rPr>
          <w:noProof/>
        </w:rPr>
      </w:r>
      <w:r>
        <w:rPr>
          <w:noProof/>
        </w:rPr>
        <w:fldChar w:fldCharType="separate"/>
      </w:r>
      <w:r>
        <w:rPr>
          <w:noProof/>
        </w:rPr>
        <w:t>51</w:t>
      </w:r>
      <w:r>
        <w:rPr>
          <w:noProof/>
        </w:rPr>
        <w:fldChar w:fldCharType="end"/>
      </w:r>
    </w:p>
    <w:p w:rsidR="00C0377D" w:rsidRDefault="00C0377D">
      <w:pPr>
        <w:pStyle w:val="Obsah4"/>
        <w:tabs>
          <w:tab w:val="left" w:pos="1540"/>
          <w:tab w:val="right" w:leader="dot" w:pos="9061"/>
        </w:tabs>
        <w:rPr>
          <w:rFonts w:asciiTheme="minorHAnsi" w:eastAsiaTheme="minorEastAsia" w:hAnsiTheme="minorHAnsi" w:cstheme="minorBidi"/>
          <w:noProof/>
          <w:sz w:val="22"/>
          <w:lang w:eastAsia="cs-CZ"/>
        </w:rPr>
      </w:pPr>
      <w:r>
        <w:rPr>
          <w:noProof/>
        </w:rPr>
        <w:t>5.2.3.3</w:t>
      </w:r>
      <w:r>
        <w:rPr>
          <w:rFonts w:asciiTheme="minorHAnsi" w:eastAsiaTheme="minorEastAsia" w:hAnsiTheme="minorHAnsi" w:cstheme="minorBidi"/>
          <w:noProof/>
          <w:sz w:val="22"/>
          <w:lang w:eastAsia="cs-CZ"/>
        </w:rPr>
        <w:tab/>
      </w:r>
      <w:r>
        <w:rPr>
          <w:noProof/>
        </w:rPr>
        <w:t>Poskytování informací</w:t>
      </w:r>
      <w:r>
        <w:rPr>
          <w:noProof/>
        </w:rPr>
        <w:tab/>
      </w:r>
      <w:r>
        <w:rPr>
          <w:noProof/>
        </w:rPr>
        <w:fldChar w:fldCharType="begin"/>
      </w:r>
      <w:r>
        <w:rPr>
          <w:noProof/>
        </w:rPr>
        <w:instrText xml:space="preserve"> PAGEREF _Toc330039562 \h </w:instrText>
      </w:r>
      <w:r>
        <w:rPr>
          <w:noProof/>
        </w:rPr>
      </w:r>
      <w:r>
        <w:rPr>
          <w:noProof/>
        </w:rPr>
        <w:fldChar w:fldCharType="separate"/>
      </w:r>
      <w:r>
        <w:rPr>
          <w:noProof/>
        </w:rPr>
        <w:t>52</w:t>
      </w:r>
      <w:r>
        <w:rPr>
          <w:noProof/>
        </w:rPr>
        <w:fldChar w:fldCharType="end"/>
      </w:r>
    </w:p>
    <w:p w:rsidR="00C0377D" w:rsidRDefault="00C0377D">
      <w:pPr>
        <w:pStyle w:val="Obsah4"/>
        <w:tabs>
          <w:tab w:val="left" w:pos="1540"/>
          <w:tab w:val="right" w:leader="dot" w:pos="9061"/>
        </w:tabs>
        <w:rPr>
          <w:rFonts w:asciiTheme="minorHAnsi" w:eastAsiaTheme="minorEastAsia" w:hAnsiTheme="minorHAnsi" w:cstheme="minorBidi"/>
          <w:noProof/>
          <w:sz w:val="22"/>
          <w:lang w:eastAsia="cs-CZ"/>
        </w:rPr>
      </w:pPr>
      <w:r>
        <w:rPr>
          <w:noProof/>
        </w:rPr>
        <w:t>5.2.3.4</w:t>
      </w:r>
      <w:r>
        <w:rPr>
          <w:rFonts w:asciiTheme="minorHAnsi" w:eastAsiaTheme="minorEastAsia" w:hAnsiTheme="minorHAnsi" w:cstheme="minorBidi"/>
          <w:noProof/>
          <w:sz w:val="22"/>
          <w:lang w:eastAsia="cs-CZ"/>
        </w:rPr>
        <w:tab/>
      </w:r>
      <w:r>
        <w:rPr>
          <w:noProof/>
        </w:rPr>
        <w:t>Přecházení úředníků k lobbistům</w:t>
      </w:r>
      <w:r>
        <w:rPr>
          <w:noProof/>
        </w:rPr>
        <w:tab/>
      </w:r>
      <w:r>
        <w:rPr>
          <w:noProof/>
        </w:rPr>
        <w:fldChar w:fldCharType="begin"/>
      </w:r>
      <w:r>
        <w:rPr>
          <w:noProof/>
        </w:rPr>
        <w:instrText xml:space="preserve"> PAGEREF _Toc330039563 \h </w:instrText>
      </w:r>
      <w:r>
        <w:rPr>
          <w:noProof/>
        </w:rPr>
      </w:r>
      <w:r>
        <w:rPr>
          <w:noProof/>
        </w:rPr>
        <w:fldChar w:fldCharType="separate"/>
      </w:r>
      <w:r>
        <w:rPr>
          <w:noProof/>
        </w:rPr>
        <w:t>53</w:t>
      </w:r>
      <w:r>
        <w:rPr>
          <w:noProof/>
        </w:rPr>
        <w:fldChar w:fldCharType="end"/>
      </w:r>
    </w:p>
    <w:p w:rsidR="00C0377D" w:rsidRDefault="00C0377D">
      <w:pPr>
        <w:pStyle w:val="Obsah4"/>
        <w:tabs>
          <w:tab w:val="left" w:pos="1540"/>
          <w:tab w:val="right" w:leader="dot" w:pos="9061"/>
        </w:tabs>
        <w:rPr>
          <w:rFonts w:asciiTheme="minorHAnsi" w:eastAsiaTheme="minorEastAsia" w:hAnsiTheme="minorHAnsi" w:cstheme="minorBidi"/>
          <w:noProof/>
          <w:sz w:val="22"/>
          <w:lang w:eastAsia="cs-CZ"/>
        </w:rPr>
      </w:pPr>
      <w:r>
        <w:rPr>
          <w:noProof/>
        </w:rPr>
        <w:t>5.2.3.5</w:t>
      </w:r>
      <w:r>
        <w:rPr>
          <w:rFonts w:asciiTheme="minorHAnsi" w:eastAsiaTheme="minorEastAsia" w:hAnsiTheme="minorHAnsi" w:cstheme="minorBidi"/>
          <w:noProof/>
          <w:sz w:val="22"/>
          <w:lang w:eastAsia="cs-CZ"/>
        </w:rPr>
        <w:tab/>
      </w:r>
      <w:r>
        <w:rPr>
          <w:noProof/>
        </w:rPr>
        <w:t>Sankce</w:t>
      </w:r>
      <w:r>
        <w:rPr>
          <w:noProof/>
        </w:rPr>
        <w:tab/>
      </w:r>
      <w:r>
        <w:rPr>
          <w:noProof/>
        </w:rPr>
        <w:fldChar w:fldCharType="begin"/>
      </w:r>
      <w:r>
        <w:rPr>
          <w:noProof/>
        </w:rPr>
        <w:instrText xml:space="preserve"> PAGEREF _Toc330039564 \h </w:instrText>
      </w:r>
      <w:r>
        <w:rPr>
          <w:noProof/>
        </w:rPr>
      </w:r>
      <w:r>
        <w:rPr>
          <w:noProof/>
        </w:rPr>
        <w:fldChar w:fldCharType="separate"/>
      </w:r>
      <w:r>
        <w:rPr>
          <w:noProof/>
        </w:rPr>
        <w:t>54</w:t>
      </w:r>
      <w:r>
        <w:rPr>
          <w:noProof/>
        </w:rPr>
        <w:fldChar w:fldCharType="end"/>
      </w:r>
    </w:p>
    <w:p w:rsidR="00C0377D" w:rsidRDefault="00C0377D">
      <w:pPr>
        <w:pStyle w:val="Obsah2"/>
        <w:tabs>
          <w:tab w:val="left" w:pos="880"/>
          <w:tab w:val="right" w:leader="dot" w:pos="9061"/>
        </w:tabs>
        <w:rPr>
          <w:rFonts w:asciiTheme="minorHAnsi" w:eastAsiaTheme="minorEastAsia" w:hAnsiTheme="minorHAnsi" w:cstheme="minorBidi"/>
          <w:noProof/>
          <w:sz w:val="22"/>
          <w:lang w:eastAsia="cs-CZ"/>
        </w:rPr>
      </w:pPr>
      <w:r>
        <w:rPr>
          <w:noProof/>
        </w:rPr>
        <w:t>5.3</w:t>
      </w:r>
      <w:r>
        <w:rPr>
          <w:rFonts w:asciiTheme="minorHAnsi" w:eastAsiaTheme="minorEastAsia" w:hAnsiTheme="minorHAnsi" w:cstheme="minorBidi"/>
          <w:noProof/>
          <w:sz w:val="22"/>
          <w:lang w:eastAsia="cs-CZ"/>
        </w:rPr>
        <w:tab/>
      </w:r>
      <w:r>
        <w:rPr>
          <w:noProof/>
        </w:rPr>
        <w:t>Omezení přecházení z úřednického postu v institucích k lobbistickým skupinám</w:t>
      </w:r>
      <w:r>
        <w:rPr>
          <w:noProof/>
        </w:rPr>
        <w:tab/>
      </w:r>
      <w:r>
        <w:rPr>
          <w:noProof/>
        </w:rPr>
        <w:fldChar w:fldCharType="begin"/>
      </w:r>
      <w:r>
        <w:rPr>
          <w:noProof/>
        </w:rPr>
        <w:instrText xml:space="preserve"> PAGEREF _Toc330039565 \h </w:instrText>
      </w:r>
      <w:r>
        <w:rPr>
          <w:noProof/>
        </w:rPr>
      </w:r>
      <w:r>
        <w:rPr>
          <w:noProof/>
        </w:rPr>
        <w:fldChar w:fldCharType="separate"/>
      </w:r>
      <w:r>
        <w:rPr>
          <w:noProof/>
        </w:rPr>
        <w:t>55</w:t>
      </w:r>
      <w:r>
        <w:rPr>
          <w:noProof/>
        </w:rPr>
        <w:fldChar w:fldCharType="end"/>
      </w:r>
    </w:p>
    <w:p w:rsidR="00C0377D" w:rsidRDefault="00C0377D">
      <w:pPr>
        <w:pStyle w:val="Obsah2"/>
        <w:tabs>
          <w:tab w:val="left" w:pos="880"/>
          <w:tab w:val="right" w:leader="dot" w:pos="9061"/>
        </w:tabs>
        <w:rPr>
          <w:rFonts w:asciiTheme="minorHAnsi" w:eastAsiaTheme="minorEastAsia" w:hAnsiTheme="minorHAnsi" w:cstheme="minorBidi"/>
          <w:noProof/>
          <w:sz w:val="22"/>
          <w:lang w:eastAsia="cs-CZ"/>
        </w:rPr>
      </w:pPr>
      <w:r>
        <w:rPr>
          <w:noProof/>
        </w:rPr>
        <w:t>5.4</w:t>
      </w:r>
      <w:r>
        <w:rPr>
          <w:rFonts w:asciiTheme="minorHAnsi" w:eastAsiaTheme="minorEastAsia" w:hAnsiTheme="minorHAnsi" w:cstheme="minorBidi"/>
          <w:noProof/>
          <w:sz w:val="22"/>
          <w:lang w:eastAsia="cs-CZ"/>
        </w:rPr>
        <w:tab/>
      </w:r>
      <w:r>
        <w:rPr>
          <w:noProof/>
        </w:rPr>
        <w:t>Shrnutí mechanismu regulace lobbingu</w:t>
      </w:r>
      <w:r>
        <w:rPr>
          <w:noProof/>
        </w:rPr>
        <w:tab/>
      </w:r>
      <w:r>
        <w:rPr>
          <w:noProof/>
        </w:rPr>
        <w:fldChar w:fldCharType="begin"/>
      </w:r>
      <w:r>
        <w:rPr>
          <w:noProof/>
        </w:rPr>
        <w:instrText xml:space="preserve"> PAGEREF _Toc330039566 \h </w:instrText>
      </w:r>
      <w:r>
        <w:rPr>
          <w:noProof/>
        </w:rPr>
      </w:r>
      <w:r>
        <w:rPr>
          <w:noProof/>
        </w:rPr>
        <w:fldChar w:fldCharType="separate"/>
      </w:r>
      <w:r>
        <w:rPr>
          <w:noProof/>
        </w:rPr>
        <w:t>58</w:t>
      </w:r>
      <w:r>
        <w:rPr>
          <w:noProof/>
        </w:rPr>
        <w:fldChar w:fldCharType="end"/>
      </w:r>
    </w:p>
    <w:p w:rsidR="00C0377D" w:rsidRDefault="00C0377D">
      <w:pPr>
        <w:pStyle w:val="Obsah1"/>
        <w:tabs>
          <w:tab w:val="right" w:leader="dot" w:pos="9061"/>
        </w:tabs>
        <w:rPr>
          <w:rFonts w:asciiTheme="minorHAnsi" w:eastAsiaTheme="minorEastAsia" w:hAnsiTheme="minorHAnsi" w:cstheme="minorBidi"/>
          <w:noProof/>
          <w:sz w:val="22"/>
          <w:lang w:eastAsia="cs-CZ"/>
        </w:rPr>
      </w:pPr>
      <w:r>
        <w:rPr>
          <w:noProof/>
        </w:rPr>
        <w:t>Závěr</w:t>
      </w:r>
      <w:r>
        <w:rPr>
          <w:noProof/>
        </w:rPr>
        <w:tab/>
      </w:r>
      <w:r>
        <w:rPr>
          <w:noProof/>
        </w:rPr>
        <w:fldChar w:fldCharType="begin"/>
      </w:r>
      <w:r>
        <w:rPr>
          <w:noProof/>
        </w:rPr>
        <w:instrText xml:space="preserve"> PAGEREF _Toc330039567 \h </w:instrText>
      </w:r>
      <w:r>
        <w:rPr>
          <w:noProof/>
        </w:rPr>
      </w:r>
      <w:r>
        <w:rPr>
          <w:noProof/>
        </w:rPr>
        <w:fldChar w:fldCharType="separate"/>
      </w:r>
      <w:r>
        <w:rPr>
          <w:noProof/>
        </w:rPr>
        <w:t>60</w:t>
      </w:r>
      <w:r>
        <w:rPr>
          <w:noProof/>
        </w:rPr>
        <w:fldChar w:fldCharType="end"/>
      </w:r>
    </w:p>
    <w:p w:rsidR="00C0377D" w:rsidRDefault="00C0377D">
      <w:pPr>
        <w:pStyle w:val="Obsah1"/>
        <w:tabs>
          <w:tab w:val="right" w:leader="dot" w:pos="9061"/>
        </w:tabs>
        <w:rPr>
          <w:rFonts w:asciiTheme="minorHAnsi" w:eastAsiaTheme="minorEastAsia" w:hAnsiTheme="minorHAnsi" w:cstheme="minorBidi"/>
          <w:noProof/>
          <w:sz w:val="22"/>
          <w:lang w:eastAsia="cs-CZ"/>
        </w:rPr>
      </w:pPr>
      <w:r>
        <w:rPr>
          <w:noProof/>
        </w:rPr>
        <w:t>Prameny</w:t>
      </w:r>
      <w:r>
        <w:rPr>
          <w:noProof/>
        </w:rPr>
        <w:tab/>
      </w:r>
      <w:r>
        <w:rPr>
          <w:noProof/>
        </w:rPr>
        <w:fldChar w:fldCharType="begin"/>
      </w:r>
      <w:r>
        <w:rPr>
          <w:noProof/>
        </w:rPr>
        <w:instrText xml:space="preserve"> PAGEREF _Toc330039568 \h </w:instrText>
      </w:r>
      <w:r>
        <w:rPr>
          <w:noProof/>
        </w:rPr>
      </w:r>
      <w:r>
        <w:rPr>
          <w:noProof/>
        </w:rPr>
        <w:fldChar w:fldCharType="separate"/>
      </w:r>
      <w:r>
        <w:rPr>
          <w:noProof/>
        </w:rPr>
        <w:t>63</w:t>
      </w:r>
      <w:r>
        <w:rPr>
          <w:noProof/>
        </w:rPr>
        <w:fldChar w:fldCharType="end"/>
      </w:r>
    </w:p>
    <w:p w:rsidR="00C0377D" w:rsidRDefault="00C0377D">
      <w:pPr>
        <w:pStyle w:val="Obsah1"/>
        <w:tabs>
          <w:tab w:val="right" w:leader="dot" w:pos="9061"/>
        </w:tabs>
        <w:rPr>
          <w:rFonts w:asciiTheme="minorHAnsi" w:eastAsiaTheme="minorEastAsia" w:hAnsiTheme="minorHAnsi" w:cstheme="minorBidi"/>
          <w:noProof/>
          <w:sz w:val="22"/>
          <w:lang w:eastAsia="cs-CZ"/>
        </w:rPr>
      </w:pPr>
      <w:r>
        <w:rPr>
          <w:noProof/>
        </w:rPr>
        <w:t>Literatura</w:t>
      </w:r>
      <w:r>
        <w:rPr>
          <w:noProof/>
        </w:rPr>
        <w:tab/>
      </w:r>
      <w:r>
        <w:rPr>
          <w:noProof/>
        </w:rPr>
        <w:fldChar w:fldCharType="begin"/>
      </w:r>
      <w:r>
        <w:rPr>
          <w:noProof/>
        </w:rPr>
        <w:instrText xml:space="preserve"> PAGEREF _Toc330039569 \h </w:instrText>
      </w:r>
      <w:r>
        <w:rPr>
          <w:noProof/>
        </w:rPr>
      </w:r>
      <w:r>
        <w:rPr>
          <w:noProof/>
        </w:rPr>
        <w:fldChar w:fldCharType="separate"/>
      </w:r>
      <w:r>
        <w:rPr>
          <w:noProof/>
        </w:rPr>
        <w:t>66</w:t>
      </w:r>
      <w:r>
        <w:rPr>
          <w:noProof/>
        </w:rPr>
        <w:fldChar w:fldCharType="end"/>
      </w:r>
    </w:p>
    <w:p w:rsidR="000A616B" w:rsidRPr="00D5387F" w:rsidRDefault="00155F71" w:rsidP="000A616B">
      <w:pPr>
        <w:ind w:firstLine="0"/>
        <w:rPr>
          <w:b/>
          <w:bCs/>
        </w:rPr>
      </w:pPr>
      <w:r>
        <w:fldChar w:fldCharType="end"/>
      </w:r>
    </w:p>
    <w:p w:rsidR="00D87D6D" w:rsidRPr="00D5387F" w:rsidRDefault="00D87D6D">
      <w:pPr>
        <w:spacing w:after="0" w:line="240" w:lineRule="auto"/>
        <w:ind w:firstLine="0"/>
        <w:jc w:val="left"/>
        <w:rPr>
          <w:rFonts w:ascii="Cambria" w:eastAsia="Times New Roman" w:hAnsi="Cambria"/>
          <w:b/>
          <w:bCs/>
          <w:sz w:val="32"/>
          <w:szCs w:val="28"/>
        </w:rPr>
      </w:pPr>
      <w:r w:rsidRPr="00D5387F">
        <w:br w:type="page"/>
      </w:r>
    </w:p>
    <w:p w:rsidR="00486C2F" w:rsidRPr="00D5387F" w:rsidRDefault="002A6D51" w:rsidP="005D6DEA">
      <w:pPr>
        <w:pStyle w:val="Nadpis1"/>
        <w:numPr>
          <w:ilvl w:val="0"/>
          <w:numId w:val="0"/>
        </w:numPr>
        <w:ind w:left="284" w:hanging="284"/>
      </w:pPr>
      <w:bookmarkStart w:id="1" w:name="_Toc330039535"/>
      <w:r w:rsidRPr="00D5387F">
        <w:lastRenderedPageBreak/>
        <w:t>Úvod</w:t>
      </w:r>
      <w:bookmarkEnd w:id="1"/>
    </w:p>
    <w:p w:rsidR="00457FC6" w:rsidRPr="00D5387F" w:rsidRDefault="00457FC6" w:rsidP="00176740">
      <w:r w:rsidRPr="00D5387F">
        <w:t xml:space="preserve">Podobně jako v každém státě či organizaci i v Evropské unii (EU) se vyskytují skupiny, které se snaží prosadit svůj zájem, ale přitom se nechtějí účastnit podílu na moci. </w:t>
      </w:r>
      <w:r w:rsidRPr="00EC23B7">
        <w:t>Tyto</w:t>
      </w:r>
      <w:r w:rsidR="00EC23B7">
        <w:t> </w:t>
      </w:r>
      <w:r w:rsidRPr="00EC23B7">
        <w:t>zájmové</w:t>
      </w:r>
      <w:r w:rsidRPr="00D5387F">
        <w:t xml:space="preserve"> skupiny proto lobbují u</w:t>
      </w:r>
      <w:r w:rsidR="009072F9" w:rsidRPr="00D5387F">
        <w:t xml:space="preserve"> institucí, které tuto moc mají.</w:t>
      </w:r>
      <w:r w:rsidRPr="00D5387F">
        <w:t xml:space="preserve"> </w:t>
      </w:r>
      <w:r w:rsidR="009072F9" w:rsidRPr="00D5387F">
        <w:t>P</w:t>
      </w:r>
      <w:r w:rsidRPr="00D5387F">
        <w:t>odílejí se</w:t>
      </w:r>
      <w:r w:rsidR="009072F9" w:rsidRPr="00D5387F">
        <w:t xml:space="preserve"> tak</w:t>
      </w:r>
      <w:r w:rsidRPr="00D5387F">
        <w:t xml:space="preserve"> na tvorbě legislativy a ovlivňují chod celé EU. Lobbisté se však nemusí vždy chovat správně a mohou se uchylovat k různým nekalým praktikám, o kterých jsou přesvědčeni, že jim usnadní proces prosazování jejich z</w:t>
      </w:r>
      <w:r w:rsidR="00FE3552" w:rsidRPr="00D5387F">
        <w:t>ájmů</w:t>
      </w:r>
      <w:r w:rsidRPr="00D5387F">
        <w:t>. Takové chování však pochopitelně nemůže být trpěno, a tudíž se postupně vyvinuly různé způsoby, jak mu předcházet. Celému procesu zamezování nepřiměřeného chování se říká regulace. Jejím hlavním důsledkem je pak transparentn</w:t>
      </w:r>
      <w:r w:rsidR="000E6CD8" w:rsidRPr="00D5387F">
        <w:t>í prostředí</w:t>
      </w:r>
      <w:r w:rsidRPr="00D5387F">
        <w:t>, kter</w:t>
      </w:r>
      <w:r w:rsidR="000E6CD8" w:rsidRPr="00D5387F">
        <w:t>é dále pozitivně ovlivňuje proces vzájemné interakce mezi lobbisty a</w:t>
      </w:r>
      <w:r w:rsidR="00EC23B7">
        <w:t> </w:t>
      </w:r>
      <w:r w:rsidR="000E6CD8" w:rsidRPr="00D5387F">
        <w:t>institucemi, ve kterém nedochází k nekalým praktikám. Právě procesem regulace a s tím související transparentností se diplomová práce zabývá.</w:t>
      </w:r>
    </w:p>
    <w:p w:rsidR="003254D9" w:rsidRPr="00D5387F" w:rsidRDefault="003254D9" w:rsidP="00176740">
      <w:r w:rsidRPr="00D5387F">
        <w:t xml:space="preserve">Zaměřit </w:t>
      </w:r>
      <w:r w:rsidR="00CD56CC" w:rsidRPr="00D5387F">
        <w:t>diplomovou práci na prosazování zájmů lobbistických skupin v EU</w:t>
      </w:r>
      <w:r w:rsidRPr="00D5387F">
        <w:t xml:space="preserve"> bylo výsledkem hledání, na co relativně praktického</w:t>
      </w:r>
      <w:r w:rsidR="00CD56CC" w:rsidRPr="00D5387F">
        <w:t xml:space="preserve"> a aktuálního</w:t>
      </w:r>
      <w:r w:rsidRPr="00D5387F">
        <w:t xml:space="preserve"> by se měl absolvent oboru evropských studií specializovat. Vyjednávání a prosazování zájmů různých, převážně soukromých, subjektů bude stále aktuálním tématem, bez kterého by spousta m</w:t>
      </w:r>
      <w:r w:rsidR="00CD56CC" w:rsidRPr="00D5387F">
        <w:t>echanismů v EU nemohla fungovat, jelikož nelze na lobbing pohlížet</w:t>
      </w:r>
      <w:r w:rsidR="00CA16DD" w:rsidRPr="00D5387F">
        <w:t xml:space="preserve"> pouze</w:t>
      </w:r>
      <w:r w:rsidR="00CD56CC" w:rsidRPr="00D5387F">
        <w:t xml:space="preserve"> jako na negativní záležitost</w:t>
      </w:r>
      <w:r w:rsidR="00CA16DD" w:rsidRPr="00D5387F">
        <w:t>, jak jej mnohdy může vnímat široká veřejnost</w:t>
      </w:r>
      <w:r w:rsidR="00CD56CC" w:rsidRPr="00D5387F">
        <w:t xml:space="preserve">. </w:t>
      </w:r>
      <w:r w:rsidR="00CA16DD" w:rsidRPr="00D5387F">
        <w:t>Lobbing</w:t>
      </w:r>
      <w:r w:rsidR="00CD56CC" w:rsidRPr="00D5387F">
        <w:t xml:space="preserve"> totiž pro evropské instituce mnohdy znamená přínos důležitých informací využitelných ve tvorbě legislativy.</w:t>
      </w:r>
    </w:p>
    <w:p w:rsidR="00C50F16" w:rsidRPr="00D5387F" w:rsidRDefault="00C50F16" w:rsidP="00176740">
      <w:r w:rsidRPr="00D5387F">
        <w:t xml:space="preserve">Diplomová práce je zasazena do </w:t>
      </w:r>
      <w:r w:rsidR="00CA16DD" w:rsidRPr="00D5387F">
        <w:t>nynějšího</w:t>
      </w:r>
      <w:r w:rsidRPr="00D5387F">
        <w:t xml:space="preserve"> období zejména od roku 2008 po současnost, nicméně pro vysvětlení podstatných souvislostí zde byly zasazeny i záležitosti před tímto obdobím.</w:t>
      </w:r>
      <w:r w:rsidR="0026645E" w:rsidRPr="00D5387F">
        <w:t xml:space="preserve"> Vzhledem k charakteru zkoumaného tématu je geografické hledisko zaměřené na EU </w:t>
      </w:r>
      <w:r w:rsidR="00CA16DD" w:rsidRPr="00D5387F">
        <w:t>zcela zřejmé</w:t>
      </w:r>
      <w:r w:rsidR="0026645E" w:rsidRPr="00D5387F">
        <w:t>.</w:t>
      </w:r>
    </w:p>
    <w:p w:rsidR="00CA16DD" w:rsidRPr="00D5387F" w:rsidRDefault="00CA16DD" w:rsidP="00176740">
      <w:r w:rsidRPr="00D5387F">
        <w:t>Diplomová práce však nezkoumá kompl</w:t>
      </w:r>
      <w:r w:rsidR="00EB738F" w:rsidRPr="00D5387F">
        <w:t xml:space="preserve">exně celou problematiku evropského lobbingu, i když na začátku vyjasňuje některé klíčové souvislosti </w:t>
      </w:r>
      <w:r w:rsidR="000927FC" w:rsidRPr="00D5387F">
        <w:t xml:space="preserve">a pojmy </w:t>
      </w:r>
      <w:r w:rsidR="00EB738F" w:rsidRPr="00D5387F">
        <w:t xml:space="preserve">v širším hledisku. Hlavní náplní </w:t>
      </w:r>
      <w:r w:rsidR="009072F9" w:rsidRPr="00D5387F">
        <w:t>jsou</w:t>
      </w:r>
      <w:r w:rsidR="00EB738F" w:rsidRPr="00D5387F">
        <w:t>, jak rovněž název práce napovídá, jednotlivé regulační mechanismy</w:t>
      </w:r>
      <w:r w:rsidR="00203153" w:rsidRPr="00D5387F">
        <w:t>, které jsou používány během prosazování zájmů v evropských institucích.</w:t>
      </w:r>
    </w:p>
    <w:p w:rsidR="0035285A" w:rsidRPr="00D5387F" w:rsidRDefault="0035285A" w:rsidP="00176740">
      <w:r w:rsidRPr="00D5387F">
        <w:t>Téma sice již v určitém smyslu</w:t>
      </w:r>
      <w:r w:rsidR="009072F9" w:rsidRPr="00D5387F">
        <w:t xml:space="preserve"> bylo bádán</w:t>
      </w:r>
      <w:r w:rsidRPr="00D5387F">
        <w:t xml:space="preserve">o, nicméně pouze </w:t>
      </w:r>
      <w:r w:rsidR="00203153" w:rsidRPr="00D5387F">
        <w:t>na</w:t>
      </w:r>
      <w:r w:rsidRPr="00D5387F">
        <w:t xml:space="preserve"> takové úrovni, že </w:t>
      </w:r>
      <w:r w:rsidR="00203153" w:rsidRPr="00D5387F">
        <w:t>v mnoha vědeckých článcích</w:t>
      </w:r>
      <w:r w:rsidRPr="00D5387F">
        <w:t xml:space="preserve"> </w:t>
      </w:r>
      <w:r w:rsidR="000927FC" w:rsidRPr="00D5387F">
        <w:t xml:space="preserve">byla </w:t>
      </w:r>
      <w:r w:rsidRPr="00D5387F">
        <w:t>analyzována každá regulace zvlášť</w:t>
      </w:r>
      <w:r w:rsidR="008B6597" w:rsidRPr="00D5387F">
        <w:t>, a to bez širších souvislostí s ostatními regulacemi</w:t>
      </w:r>
      <w:r w:rsidRPr="00D5387F">
        <w:t>. Komplexní analýzy se sice vyskytují, nicméně jsou často neaktuální a několik let staré. Existuje málo analýz zhodnocující</w:t>
      </w:r>
      <w:r w:rsidR="009072F9" w:rsidRPr="00D5387F">
        <w:t>ch</w:t>
      </w:r>
      <w:r w:rsidRPr="00D5387F">
        <w:t xml:space="preserve"> například dopad nově </w:t>
      </w:r>
      <w:r w:rsidRPr="00D5387F">
        <w:lastRenderedPageBreak/>
        <w:t>slouč</w:t>
      </w:r>
      <w:r w:rsidR="009072F9" w:rsidRPr="00D5387F">
        <w:t>eného registru transparentnosti a nové provázanosti celkového regulačního mechanismu.</w:t>
      </w:r>
    </w:p>
    <w:p w:rsidR="0035285A" w:rsidRPr="00D5387F" w:rsidRDefault="0035285A" w:rsidP="00176740">
      <w:r w:rsidRPr="00D5387F">
        <w:t xml:space="preserve">Prací obsahujících celkový pohled na funkčnost regulace zájmových skupin a jejich kanálů směřujících do institucí je málo. Neprobádána je totiž sféra </w:t>
      </w:r>
      <w:r w:rsidR="00FF70E0" w:rsidRPr="00D5387F">
        <w:t>zabývající se otázkou</w:t>
      </w:r>
      <w:r w:rsidRPr="00D5387F">
        <w:t>, jak regulace uvnitř institucí napomáhá regulaci samotných zájmových skupin.</w:t>
      </w:r>
    </w:p>
    <w:p w:rsidR="0035285A" w:rsidRPr="00D5387F" w:rsidRDefault="0035285A" w:rsidP="00176740">
      <w:r w:rsidRPr="00D5387F">
        <w:t xml:space="preserve">V problematice se </w:t>
      </w:r>
      <w:r w:rsidR="00795433">
        <w:t>někteří autoři zaměřují</w:t>
      </w:r>
      <w:r w:rsidRPr="00D5387F">
        <w:t xml:space="preserve"> pouze na rejstřík transparentnosti, a to většinou na dobu před jeho spojením mezi Evropským parlamentem</w:t>
      </w:r>
      <w:r w:rsidR="007903D2" w:rsidRPr="00D5387F">
        <w:t xml:space="preserve"> (EP)</w:t>
      </w:r>
      <w:r w:rsidRPr="00D5387F">
        <w:t xml:space="preserve"> a Komisí.</w:t>
      </w:r>
      <w:r w:rsidR="00795433">
        <w:rPr>
          <w:rStyle w:val="Znakapoznpodarou"/>
        </w:rPr>
        <w:footnoteReference w:id="2"/>
      </w:r>
      <w:r w:rsidRPr="00D5387F">
        <w:t xml:space="preserve"> Ten sice patří mezi hlavní a již také zaběhnuté způsoby regulace, nicméně</w:t>
      </w:r>
      <w:r w:rsidR="007903D2" w:rsidRPr="00D5387F">
        <w:t xml:space="preserve"> se</w:t>
      </w:r>
      <w:r w:rsidRPr="00D5387F">
        <w:t xml:space="preserve"> na něj nabalují i způsoby jiné. Je to například kodex lobbistů, regulace efektu „otáčivých dveří“ (viz</w:t>
      </w:r>
      <w:r w:rsidR="007903D2" w:rsidRPr="00D5387F">
        <w:t xml:space="preserve"> odstavec</w:t>
      </w:r>
      <w:r w:rsidRPr="00D5387F">
        <w:t xml:space="preserve"> níže) apod. Tyto části si zasluhují hlubší probádání.</w:t>
      </w:r>
      <w:r w:rsidR="007903D2" w:rsidRPr="00D5387F">
        <w:t xml:space="preserve"> </w:t>
      </w:r>
      <w:r w:rsidRPr="00D5387F">
        <w:t>Obrovský potenciál v regulaci lobbování představují interní předpisy institucí, které</w:t>
      </w:r>
      <w:r w:rsidR="00F5115B">
        <w:t xml:space="preserve"> upravují jednání</w:t>
      </w:r>
      <w:r w:rsidRPr="00D5387F">
        <w:t xml:space="preserve"> úředník</w:t>
      </w:r>
      <w:r w:rsidR="00F5115B">
        <w:t>ů</w:t>
      </w:r>
      <w:r w:rsidRPr="00D5387F">
        <w:t xml:space="preserve"> </w:t>
      </w:r>
      <w:r w:rsidR="00F5115B">
        <w:t>v tom</w:t>
      </w:r>
      <w:r w:rsidRPr="00D5387F">
        <w:t>, s jakým typem zájmových skupin přijdou do styku</w:t>
      </w:r>
      <w:r w:rsidR="00795433" w:rsidRPr="00795433">
        <w:t xml:space="preserve"> a </w:t>
      </w:r>
      <w:r w:rsidR="00795433">
        <w:t>jak transparentní taková schůzka</w:t>
      </w:r>
      <w:r w:rsidR="00F5115B" w:rsidRPr="00F5115B">
        <w:t xml:space="preserve"> </w:t>
      </w:r>
      <w:r w:rsidR="00F5115B">
        <w:t>bude</w:t>
      </w:r>
      <w:r w:rsidRPr="00D5387F">
        <w:t>.</w:t>
      </w:r>
    </w:p>
    <w:p w:rsidR="0035285A" w:rsidRPr="00D5387F" w:rsidRDefault="0035285A" w:rsidP="00176740">
      <w:r w:rsidRPr="00D5387F">
        <w:t>Novodobým fenoménem, především mezi samotnými zájmovými skupinami, které propagují regulaci lobbistů, je problematika „otáčivých dveří“. Pojem v sobě obsahuje situaci, kdy úředník opustí stávající pozici v instituci, aby využil svých zkušeností a informací pro lobbing v jedné z organizací, která mu nabídne mnohem vhodnější podmínky (ať už platové, pracovní aj.). Mezi autory však není regulace této problematiky příliš prozkoumaná a věnují se j</w:t>
      </w:r>
      <w:r w:rsidR="007903D2" w:rsidRPr="00D5387F">
        <w:t>í</w:t>
      </w:r>
      <w:r w:rsidRPr="00D5387F">
        <w:t xml:space="preserve"> spíše jen </w:t>
      </w:r>
      <w:r w:rsidR="007903D2" w:rsidRPr="00D5387F">
        <w:t>specializované</w:t>
      </w:r>
      <w:r w:rsidRPr="00D5387F">
        <w:t xml:space="preserve"> organizace (např. ALTER-EU).</w:t>
      </w:r>
    </w:p>
    <w:p w:rsidR="00250991" w:rsidRPr="00D5387F" w:rsidRDefault="00726B76" w:rsidP="00176740">
      <w:r w:rsidRPr="00D5387F">
        <w:t>Nejvhodnějšími vstupními daty pro vypracování této práce jsou primární i sekundární zdroje a vlastní výzkum prostřednictvím kvalitativního dotazování.</w:t>
      </w:r>
      <w:r w:rsidR="00250991" w:rsidRPr="00D5387F">
        <w:t xml:space="preserve"> </w:t>
      </w:r>
      <w:r w:rsidRPr="00D5387F">
        <w:t xml:space="preserve">Veškeré dostupné </w:t>
      </w:r>
      <w:r w:rsidR="00303367" w:rsidRPr="00D5387F">
        <w:t>primární</w:t>
      </w:r>
      <w:r w:rsidRPr="00D5387F">
        <w:t xml:space="preserve"> zdroje, </w:t>
      </w:r>
      <w:r w:rsidR="00303367" w:rsidRPr="00D5387F">
        <w:t>dokumentace a zprávy</w:t>
      </w:r>
      <w:r w:rsidRPr="00D5387F">
        <w:t xml:space="preserve">, ať už z </w:t>
      </w:r>
      <w:r w:rsidR="00303367" w:rsidRPr="00D5387F">
        <w:t>EP</w:t>
      </w:r>
      <w:r w:rsidRPr="00D5387F">
        <w:t xml:space="preserve">, Komise a dalších institucí </w:t>
      </w:r>
      <w:r w:rsidR="00250991" w:rsidRPr="00D5387F">
        <w:t>byly</w:t>
      </w:r>
      <w:r w:rsidRPr="00D5387F">
        <w:t xml:space="preserve"> získávány z odborných databází, webových stránek institucí a na osobní požádání.</w:t>
      </w:r>
      <w:r w:rsidR="00250991" w:rsidRPr="00D5387F">
        <w:t xml:space="preserve"> </w:t>
      </w:r>
      <w:r w:rsidR="00E23E6B">
        <w:t>Bylo vycházeno</w:t>
      </w:r>
      <w:r w:rsidR="00250991" w:rsidRPr="00D5387F">
        <w:t xml:space="preserve"> zejména z webového portálu </w:t>
      </w:r>
      <w:r w:rsidR="00250991" w:rsidRPr="00D5387F">
        <w:rPr>
          <w:i/>
        </w:rPr>
        <w:t>Europa.eu</w:t>
      </w:r>
      <w:r w:rsidR="00250991" w:rsidRPr="00D5387F">
        <w:t xml:space="preserve"> a jeho podsekcí. Pochopitelně bylo čerpáno z webu rejstříku transparentnosti, který mnohdy poskytoval základ pro další analýzu. Mimo to bylo využito i nejrůznějších zpráv institucí od zelených knih po interinstitucionální dohody. V podstatě </w:t>
      </w:r>
      <w:r w:rsidR="00687054" w:rsidRPr="00D5387F">
        <w:t xml:space="preserve">byly </w:t>
      </w:r>
      <w:r w:rsidR="00250991" w:rsidRPr="00D5387F">
        <w:t>primární zdroje využívány všude tam, k</w:t>
      </w:r>
      <w:r w:rsidR="00687054">
        <w:t>de to bylo byť jen trochu možné, a to z důvodu jejich aktuálnosti a přesnosti.</w:t>
      </w:r>
    </w:p>
    <w:p w:rsidR="00687054" w:rsidRPr="00687054" w:rsidRDefault="00726B76" w:rsidP="00176740">
      <w:r w:rsidRPr="00D5387F">
        <w:lastRenderedPageBreak/>
        <w:t xml:space="preserve">Sekundární literatura napsána individuálními autory je běžně dostupná a poskytuje práci zejména </w:t>
      </w:r>
      <w:r w:rsidR="00235B0C" w:rsidRPr="00D5387F">
        <w:t>obecný</w:t>
      </w:r>
      <w:r w:rsidRPr="00D5387F">
        <w:t xml:space="preserve"> rámec.</w:t>
      </w:r>
      <w:r w:rsidR="00C3497D">
        <w:t xml:space="preserve"> Lobbing </w:t>
      </w:r>
      <w:r w:rsidR="00687054">
        <w:t>vše</w:t>
      </w:r>
      <w:r w:rsidR="00C3497D">
        <w:t xml:space="preserve">obecně analyzuje ve svém díle </w:t>
      </w:r>
      <w:r w:rsidR="00C3497D">
        <w:rPr>
          <w:i/>
        </w:rPr>
        <w:t>Lobbing v moderních demokraciích</w:t>
      </w:r>
      <w:r w:rsidR="00C3497D">
        <w:t xml:space="preserve"> Karel B. Müller. Podává zde nástin všech aspektů lobbingu od </w:t>
      </w:r>
      <w:r w:rsidR="00642533">
        <w:t>pojmového zařazení po lobbistické pr</w:t>
      </w:r>
      <w:r w:rsidR="00687054">
        <w:t xml:space="preserve">aktiky v různých částech světa. Jako teoretický rámec pro ukotvení cílů práce byly využity díla autorů Chariho, Murphyho a Hogana. Ve svých pracích </w:t>
      </w:r>
      <w:r w:rsidR="00687054" w:rsidRPr="00D46F79">
        <w:rPr>
          <w:i/>
        </w:rPr>
        <w:t>Regulating Lobbyists: A</w:t>
      </w:r>
      <w:r w:rsidR="00004580">
        <w:rPr>
          <w:i/>
        </w:rPr>
        <w:t xml:space="preserve"> Comparative Analysi</w:t>
      </w:r>
      <w:r w:rsidR="00687054" w:rsidRPr="00D46F79">
        <w:rPr>
          <w:i/>
        </w:rPr>
        <w:t>s of the United States, Canada</w:t>
      </w:r>
      <w:r w:rsidR="00687054">
        <w:rPr>
          <w:i/>
        </w:rPr>
        <w:t>, Germany and the European Union</w:t>
      </w:r>
      <w:r w:rsidR="00687054">
        <w:t xml:space="preserve"> a </w:t>
      </w:r>
      <w:r w:rsidR="00687054" w:rsidRPr="00D46F79">
        <w:rPr>
          <w:i/>
        </w:rPr>
        <w:t>Examining and Assessing the Regulation of Lobbyi</w:t>
      </w:r>
      <w:r w:rsidR="00132069">
        <w:rPr>
          <w:i/>
        </w:rPr>
        <w:t>sts in Canada, the USA, the EU I</w:t>
      </w:r>
      <w:r w:rsidR="00687054" w:rsidRPr="00D46F79">
        <w:rPr>
          <w:i/>
        </w:rPr>
        <w:t>nstitutions, and Germany: A Report for the Department of the Environment, Heritage and Local Government</w:t>
      </w:r>
      <w:r w:rsidR="00687054">
        <w:t xml:space="preserve"> se zabývali studií lobbingu v desítkách amerických států, a také ve vybraných státech EU. Zejména druhá uvedena studie je velice obsáhlá a podrobná. </w:t>
      </w:r>
      <w:r w:rsidR="006C3FA1">
        <w:t>Svůj výzkum autoři postavili na vytvoření tzv. CPI indexu a rozdělení regulace lobbingu do tří systémů.</w:t>
      </w:r>
      <w:r w:rsidR="006C3FA1">
        <w:rPr>
          <w:rStyle w:val="Znakapoznpodarou"/>
        </w:rPr>
        <w:footnoteReference w:id="3"/>
      </w:r>
    </w:p>
    <w:p w:rsidR="00CF2D66" w:rsidRPr="00D5387F" w:rsidRDefault="002E400D" w:rsidP="00176740">
      <w:r>
        <w:t xml:space="preserve">Základním dokumentem evropského lobbingu je </w:t>
      </w:r>
      <w:r>
        <w:rPr>
          <w:i/>
        </w:rPr>
        <w:t>Lobbying in the European Union: Current Rules and Practices</w:t>
      </w:r>
      <w:r>
        <w:t xml:space="preserve"> od Wilhelma Lehmanna a Larse Bosche. Dokument byl zpracován jako oficiální zdroj EU a poskytuje základní informace k tématu.</w:t>
      </w:r>
      <w:r w:rsidR="00C3497D">
        <w:t xml:space="preserve"> </w:t>
      </w:r>
      <w:r w:rsidR="00E23E6B">
        <w:t>Krátký, ale přesto důležitý,</w:t>
      </w:r>
      <w:r w:rsidR="00CF2D66" w:rsidRPr="00D5387F">
        <w:t xml:space="preserve"> článek </w:t>
      </w:r>
      <w:r w:rsidR="00E23E6B">
        <w:t>týkající se</w:t>
      </w:r>
      <w:r w:rsidR="00CF2D66" w:rsidRPr="00D5387F">
        <w:t xml:space="preserve"> aktuálního vývoje regulace lobbistů v EP byl napsán Majou Kluger Rasmussen. Nazývá se </w:t>
      </w:r>
      <w:r w:rsidR="00CF2D66" w:rsidRPr="00D5387F">
        <w:rPr>
          <w:i/>
        </w:rPr>
        <w:t>Lobbying the European Parliament: A Necessary Evil</w:t>
      </w:r>
      <w:r w:rsidR="00CF2D66" w:rsidRPr="00D5387F">
        <w:t>. Článek poskytuje vývoj regulace v EP po tzv. aféře „peníze za zákony“, kdy docházelo k podplácení poslanců EP. Kromě reakce na aféru tehdejším předsedou EP Jerzy Buzkem jsou zde nastíněny i jiné možné alternativy, jak by se regulační systém lobbingu v EU mohl vyvíjet.</w:t>
      </w:r>
    </w:p>
    <w:p w:rsidR="00303367" w:rsidRPr="00D5387F" w:rsidRDefault="00E23E6B" w:rsidP="00176740">
      <w:r>
        <w:t>Z českých autorů</w:t>
      </w:r>
      <w:r w:rsidR="00747BE2" w:rsidRPr="00D5387F">
        <w:t xml:space="preserve"> píše o lobbingu především Markéta Pitrová, </w:t>
      </w:r>
      <w:r w:rsidR="008563F8">
        <w:t>od které</w:t>
      </w:r>
      <w:r w:rsidR="00747BE2" w:rsidRPr="00D5387F">
        <w:t xml:space="preserve"> bylo pro diplomovou práci </w:t>
      </w:r>
      <w:r>
        <w:t>využito</w:t>
      </w:r>
      <w:r w:rsidR="00747BE2" w:rsidRPr="00D5387F">
        <w:t xml:space="preserve"> několika článků, které vytvořila společně s dalšími autory. Konkrétně se jedná o články </w:t>
      </w:r>
      <w:r w:rsidR="00747BE2" w:rsidRPr="00D5387F">
        <w:rPr>
          <w:i/>
        </w:rPr>
        <w:t>Rejstřík zástupců zájmových skupin Evropské komise: očekávání a skutečnost</w:t>
      </w:r>
      <w:r w:rsidR="00747BE2" w:rsidRPr="00D5387F">
        <w:t xml:space="preserve"> se spoluautorkou Janou Zatloukalovou</w:t>
      </w:r>
      <w:r w:rsidR="008C3F6B" w:rsidRPr="00D5387F">
        <w:t xml:space="preserve"> a </w:t>
      </w:r>
      <w:r w:rsidR="008C3F6B" w:rsidRPr="00D5387F">
        <w:rPr>
          <w:i/>
        </w:rPr>
        <w:t>Regulace procesu prosazování zájmů v Evropské unii: lobbistické kodexu chování</w:t>
      </w:r>
      <w:r w:rsidR="008C3F6B" w:rsidRPr="00D5387F">
        <w:t xml:space="preserve"> s Radanou Kubovou.</w:t>
      </w:r>
      <w:r w:rsidR="00B47BCE" w:rsidRPr="00D5387F">
        <w:t xml:space="preserve"> Jak název napovídá, první z uvedených článků se zabývá rejstříkem lobbistů. Je zde především dostatečný rozbor vzniku rejstříku a postoj Komise k jeho využívání. Hlavní část článku je zaměřena na jeho zhodnocení, kde bylo využito i kvalitativního dotazování</w:t>
      </w:r>
      <w:r w:rsidR="008563F8">
        <w:t>. Článek poskytl diplomové práci</w:t>
      </w:r>
      <w:r w:rsidR="00B47BCE" w:rsidRPr="00D5387F">
        <w:t xml:space="preserve"> potřebný základ pro zkoumání některých částí regulace. Podobným přínosem byl i druhý </w:t>
      </w:r>
      <w:r w:rsidR="00B47BCE" w:rsidRPr="00D5387F">
        <w:lastRenderedPageBreak/>
        <w:t>článek, který se zaměřil na kodex lobbistů.</w:t>
      </w:r>
      <w:r w:rsidR="00CF2D66" w:rsidRPr="00D5387F">
        <w:t xml:space="preserve"> Zde jsou popsány základy v problematice kodexů, tudíž článek sloužil spíše jako vodítko. Bohužel, vzhledem k datu vydání článku zde nejsou zahrnuty některé podstatné aktuální náležitosti, které s tématem souvisí (například kodex chování EP).</w:t>
      </w:r>
    </w:p>
    <w:p w:rsidR="006340D4" w:rsidRDefault="006C3FA1" w:rsidP="00357D21">
      <w:pPr>
        <w:rPr>
          <w:i/>
        </w:rPr>
      </w:pPr>
      <w:r>
        <w:t xml:space="preserve">Předchozí uvedena literatura byla použita pro stanovení výzkumného rámce. </w:t>
      </w:r>
      <w:r w:rsidR="000A35EF">
        <w:t>Prvním cílem, který je v tomto textu</w:t>
      </w:r>
      <w:r w:rsidRPr="006C3FA1">
        <w:t xml:space="preserve"> </w:t>
      </w:r>
      <w:r>
        <w:t>zkoumán</w:t>
      </w:r>
      <w:r w:rsidR="000A35EF">
        <w:t>,</w:t>
      </w:r>
      <w:r w:rsidR="000A35EF" w:rsidRPr="000A35EF">
        <w:t xml:space="preserve"> </w:t>
      </w:r>
      <w:r w:rsidR="000A35EF">
        <w:t xml:space="preserve">je </w:t>
      </w:r>
      <w:r w:rsidR="000A35EF" w:rsidRPr="00357D21">
        <w:rPr>
          <w:i/>
        </w:rPr>
        <w:t>zjistit význam a efektivitu regulace lobbistů a institucí EU</w:t>
      </w:r>
      <w:r w:rsidR="000A35EF" w:rsidRPr="000A35EF">
        <w:t>.</w:t>
      </w:r>
      <w:r w:rsidR="006E083A">
        <w:t xml:space="preserve"> </w:t>
      </w:r>
      <w:r w:rsidR="003B279D">
        <w:t>V institucích EU lobbuje velké množství zájmových skupin, které však lze pouze odhadnout, avšak nikoliv přesně určit. Oproti tomu úředníci institucí jsou přesně počitatelní. Dále, zatímco lobbisty je náročnější podchytit jakýmkoliv regulačním mechanismem, u úředníků je to snadnější a dokonce i vynutitel</w:t>
      </w:r>
      <w:r w:rsidR="00357D21">
        <w:t xml:space="preserve">nější. </w:t>
      </w:r>
      <w:r w:rsidR="006E083A">
        <w:t xml:space="preserve">Kvalita regulace vychází z míry regulovanosti systému, které ve své teorii rozlišuje </w:t>
      </w:r>
      <w:r w:rsidR="006E083A" w:rsidRPr="006E083A">
        <w:t>Raj Chari, Garry Murphy a John Hogan</w:t>
      </w:r>
      <w:r w:rsidR="006E083A">
        <w:t>.</w:t>
      </w:r>
      <w:r w:rsidR="006E083A">
        <w:rPr>
          <w:rStyle w:val="Znakapoznpodarou"/>
        </w:rPr>
        <w:footnoteReference w:id="4"/>
      </w:r>
      <w:r w:rsidR="006E083A">
        <w:t xml:space="preserve"> </w:t>
      </w:r>
      <w:r w:rsidR="006340D4" w:rsidRPr="00357D21">
        <w:rPr>
          <w:i/>
        </w:rPr>
        <w:t xml:space="preserve">Nakolik je </w:t>
      </w:r>
      <w:r w:rsidR="003B279D" w:rsidRPr="00357D21">
        <w:rPr>
          <w:i/>
        </w:rPr>
        <w:t xml:space="preserve">tedy </w:t>
      </w:r>
      <w:r w:rsidR="006340D4" w:rsidRPr="00357D21">
        <w:rPr>
          <w:i/>
        </w:rPr>
        <w:t xml:space="preserve">v problematice regulace lobbingu v EU důležitější a efektivnější regulovat lobbisty, a </w:t>
      </w:r>
      <w:r w:rsidR="00E23E6B" w:rsidRPr="00357D21">
        <w:rPr>
          <w:i/>
        </w:rPr>
        <w:t>do jaké míry</w:t>
      </w:r>
      <w:r w:rsidR="006340D4" w:rsidRPr="00357D21">
        <w:rPr>
          <w:i/>
        </w:rPr>
        <w:t xml:space="preserve"> má větší význam regulování institucí, jejich vzájemných interakcí s lobbisty a napojování se na ně?</w:t>
      </w:r>
    </w:p>
    <w:p w:rsidR="00357D21" w:rsidRPr="00357D21" w:rsidRDefault="00357D21" w:rsidP="00357D21">
      <w:r>
        <w:t>Hypotézy pro zodpovězení výzkumné otázky:</w:t>
      </w:r>
    </w:p>
    <w:p w:rsidR="00382734" w:rsidRDefault="00382734" w:rsidP="00382734">
      <w:pPr>
        <w:numPr>
          <w:ilvl w:val="0"/>
          <w:numId w:val="5"/>
        </w:numPr>
      </w:pPr>
      <w:r w:rsidRPr="00064F7F">
        <w:rPr>
          <w:b/>
          <w:i/>
        </w:rPr>
        <w:t>Regulace institucí EU a jejich přístupu k lobbistům umožňuje kontrolování vzájemné interakce mezi lobbisty a institucemi více než regulace samotných lobbistů.</w:t>
      </w:r>
      <w:r w:rsidR="00357D21" w:rsidRPr="00064F7F">
        <w:rPr>
          <w:b/>
        </w:rPr>
        <w:t xml:space="preserve"> </w:t>
      </w:r>
      <w:r w:rsidR="00357D21">
        <w:t xml:space="preserve">Jinými slovy, regulujeme-li instituce, lze tak v rámci EU činit snadněji a efektivněji. Regulační mechanismus </w:t>
      </w:r>
      <w:r w:rsidR="008F385F">
        <w:t>lobbistů samotných nelze nastavit takovým způsobem, aby dostačoval a byl přínosem pro zamezení nekalého jednání v průběhu interakcí mezi lobbisty a institucemi EU.</w:t>
      </w:r>
    </w:p>
    <w:p w:rsidR="00382734" w:rsidRPr="00382734" w:rsidRDefault="00382734" w:rsidP="00357D21">
      <w:pPr>
        <w:pStyle w:val="Odstavecseseznamem"/>
        <w:numPr>
          <w:ilvl w:val="0"/>
          <w:numId w:val="5"/>
        </w:numPr>
      </w:pPr>
      <w:r w:rsidRPr="00064F7F">
        <w:rPr>
          <w:b/>
          <w:i/>
        </w:rPr>
        <w:t>Náročnost pojmového uchycení lobbingu znemožňuje regulaci této činnosti na straně lobbistů, protože je problematické podchytit, kdo do této skupiny patří.</w:t>
      </w:r>
      <w:r w:rsidR="008F385F">
        <w:t xml:space="preserve"> Jedním z problémů v tomto případě je, že neexistuje jen jedna definice pojmu „lobbing“, která by jasně určovala, kdo sem patří a kdo nikoliv. Dokonce i definice různých autorů se můžou úplně lišit. Nejednotnost oficiální a určující definice se však týká i institucí EU. Dalším z problémů je, že se zájmové skupiny samotné nemusí za lobbisty považovat, čímž se mohou vyvléci z regulace.</w:t>
      </w:r>
    </w:p>
    <w:p w:rsidR="006340D4" w:rsidRDefault="000A35EF" w:rsidP="000A35EF">
      <w:pPr>
        <w:rPr>
          <w:i/>
        </w:rPr>
      </w:pPr>
      <w:r>
        <w:lastRenderedPageBreak/>
        <w:t xml:space="preserve">Druhým cílem je </w:t>
      </w:r>
      <w:r w:rsidRPr="000A35EF">
        <w:rPr>
          <w:i/>
        </w:rPr>
        <w:t>posouzení, jakým způsobem ovlivňuje regulace evropských institucí a regulace lobbistů transparentnost</w:t>
      </w:r>
      <w:r w:rsidRPr="00D5387F">
        <w:t>.</w:t>
      </w:r>
      <w:r>
        <w:t xml:space="preserve"> </w:t>
      </w:r>
      <w:r w:rsidR="007D44B2">
        <w:t xml:space="preserve">Transparentnost přímo souvisí s regulací lobbingu podle její intenzity a množství. Jak ve své teorii tvrdí Chari, Murphy a Hogan, existuje slabě, středně a silně regulovaný systém. Regulace je tedy pokaždé na jiné úrovni a tím se mění i transparentnost. </w:t>
      </w:r>
      <w:r w:rsidR="003B279D">
        <w:t xml:space="preserve">Obecně lze konstatovat, že regulace určitým způsobem ovlivní transparentnost lobbingu s tím, že pravděpodobně dojde k jejímu zvýšení. Otázka tedy zní, </w:t>
      </w:r>
      <w:r w:rsidR="003B279D" w:rsidRPr="000A35EF">
        <w:rPr>
          <w:i/>
        </w:rPr>
        <w:t>n</w:t>
      </w:r>
      <w:r w:rsidR="006340D4" w:rsidRPr="000A35EF">
        <w:rPr>
          <w:i/>
        </w:rPr>
        <w:t>a jakou úroveň zvýší regulace institucí transparentnost v celé problematice?</w:t>
      </w:r>
    </w:p>
    <w:p w:rsidR="00357D21" w:rsidRDefault="00357D21" w:rsidP="00357D21">
      <w:r w:rsidRPr="00357D21">
        <w:t>Hypotézy pro zodpovězení výzkumné otázky:</w:t>
      </w:r>
    </w:p>
    <w:p w:rsidR="00382734" w:rsidRPr="00D5387F" w:rsidRDefault="00382734" w:rsidP="00382734">
      <w:pPr>
        <w:pStyle w:val="Odstavecseseznamem"/>
        <w:numPr>
          <w:ilvl w:val="0"/>
          <w:numId w:val="5"/>
        </w:numPr>
      </w:pPr>
      <w:r w:rsidRPr="00064F7F">
        <w:rPr>
          <w:b/>
          <w:i/>
        </w:rPr>
        <w:t>S množstvím regulace roste transparentnost, ale klesá přístupnost komunikačních kanálů mezi lobbisty a institucemi.</w:t>
      </w:r>
      <w:r w:rsidR="008F385F">
        <w:t xml:space="preserve"> Na jednu stranu je výhodou, pokud se regulací lobbingu zvyšuje transparentnost, avšak to má své limity v podobě neefektivnosti této činnosti. Komunikační kanály jsou hůře přístupné, čímž se zamezí množství a kvalitě informací, které se prostřednictvím vzájemné interakce od lobbisty k instituci EU dostávají.</w:t>
      </w:r>
    </w:p>
    <w:p w:rsidR="00382734" w:rsidRPr="00382734" w:rsidRDefault="00382734" w:rsidP="00357D21">
      <w:pPr>
        <w:pStyle w:val="Odstavecseseznamem"/>
        <w:numPr>
          <w:ilvl w:val="0"/>
          <w:numId w:val="5"/>
        </w:numPr>
      </w:pPr>
      <w:r w:rsidRPr="00064F7F">
        <w:rPr>
          <w:b/>
          <w:i/>
        </w:rPr>
        <w:t>Registrace lobbistů pozitivně ovlivňuje transparentnost tím, že instituce lépe znají záměry lobbistů.</w:t>
      </w:r>
      <w:r w:rsidR="008F385F">
        <w:t xml:space="preserve"> Transparentnost neznamená pouze veřejné povědomí o lobbistické činnosti, nýbrž i institucím umožňuje lépe odhadnout záměry zájmové skupiny.</w:t>
      </w:r>
      <w:r w:rsidR="006E083A">
        <w:t xml:space="preserve"> Rejstřík transparentnosti jako konkrétní nástroj má sloužit i tomuto účelu.</w:t>
      </w:r>
    </w:p>
    <w:p w:rsidR="006340D4" w:rsidRDefault="000A35EF" w:rsidP="00382734">
      <w:r>
        <w:t xml:space="preserve">Důležitou vlastností regulačních mechanismů je, zda jsou povinné, či dobrovolné. Nejedná se však o „černobílé“ rozdělení, nýbrž </w:t>
      </w:r>
      <w:r w:rsidR="00382734">
        <w:t xml:space="preserve">se </w:t>
      </w:r>
      <w:r>
        <w:t xml:space="preserve">množství </w:t>
      </w:r>
      <w:r w:rsidR="00382734">
        <w:t>povinných a dobrovolných úkonů může lišit.</w:t>
      </w:r>
      <w:r w:rsidR="006E083A">
        <w:t xml:space="preserve"> Míra povinnosti a dobrovolnosti je zohledněna i v teorii Chariho, Murpha a Hogana.</w:t>
      </w:r>
      <w:r w:rsidR="006E083A">
        <w:rPr>
          <w:rStyle w:val="Znakapoznpodarou"/>
        </w:rPr>
        <w:footnoteReference w:id="5"/>
      </w:r>
      <w:r w:rsidR="00382734">
        <w:t xml:space="preserve"> Třetím cílem je proto </w:t>
      </w:r>
      <w:r w:rsidR="00382734" w:rsidRPr="00382734">
        <w:rPr>
          <w:i/>
        </w:rPr>
        <w:t>zhodnocení míry povinnosti jednotlivých regulací a prozkoumání jejího vlivu na transparentnost</w:t>
      </w:r>
      <w:r w:rsidR="00382734">
        <w:t>.</w:t>
      </w:r>
      <w:r>
        <w:t xml:space="preserve"> U těchto rozdílných případů dochází k různému chování aktérů, kterým je regulace určena, což do značné míry ovlivní i transparentnost. Proto je třetí výzkumnou otázkou, </w:t>
      </w:r>
      <w:r w:rsidRPr="00382734">
        <w:rPr>
          <w:i/>
        </w:rPr>
        <w:t xml:space="preserve">do </w:t>
      </w:r>
      <w:r w:rsidR="006340D4" w:rsidRPr="00382734">
        <w:rPr>
          <w:i/>
        </w:rPr>
        <w:t>jaké míry přispěje povinná regulace k transparentnosti lobbingu?</w:t>
      </w:r>
    </w:p>
    <w:p w:rsidR="001C168F" w:rsidRDefault="001C168F">
      <w:pPr>
        <w:spacing w:after="0" w:line="240" w:lineRule="auto"/>
        <w:ind w:firstLine="0"/>
        <w:jc w:val="left"/>
      </w:pPr>
      <w:bookmarkStart w:id="2" w:name="OLE_LINK14"/>
      <w:bookmarkStart w:id="3" w:name="OLE_LINK15"/>
      <w:r>
        <w:br w:type="page"/>
      </w:r>
    </w:p>
    <w:p w:rsidR="00357D21" w:rsidRPr="00357D21" w:rsidRDefault="00357D21" w:rsidP="00357D21">
      <w:r>
        <w:lastRenderedPageBreak/>
        <w:t>Hypotézy pro zodpovězení výzkumné otázky:</w:t>
      </w:r>
    </w:p>
    <w:p w:rsidR="00E86712" w:rsidRPr="00D5387F" w:rsidRDefault="00E86712" w:rsidP="00176740">
      <w:pPr>
        <w:pStyle w:val="Odstavecseseznamem"/>
        <w:numPr>
          <w:ilvl w:val="0"/>
          <w:numId w:val="5"/>
        </w:numPr>
      </w:pPr>
      <w:r w:rsidRPr="00064F7F">
        <w:rPr>
          <w:b/>
          <w:i/>
        </w:rPr>
        <w:t>Pravidla prostřednictvím kodexů skutečně zavazují a regulují pouze instituce.</w:t>
      </w:r>
      <w:r w:rsidR="00382734">
        <w:t xml:space="preserve"> Tato hypotéza zkoumá kvalitu různých kodexů, z čehož také vyplývá jejich míra povinnosti či dobrovolnosti a následný dopad na regulované subjekty.</w:t>
      </w:r>
    </w:p>
    <w:p w:rsidR="00E86712" w:rsidRPr="00D5387F" w:rsidRDefault="00E86712" w:rsidP="00176740">
      <w:pPr>
        <w:pStyle w:val="Odstavecseseznamem"/>
        <w:numPr>
          <w:ilvl w:val="0"/>
          <w:numId w:val="5"/>
        </w:numPr>
      </w:pPr>
      <w:r w:rsidRPr="00064F7F">
        <w:rPr>
          <w:b/>
          <w:i/>
        </w:rPr>
        <w:t>Omezení přecházení bývalých úředníků k lobbistům na dva roky reguluje přísun citlivých informací, které mohou lobbisté zneužít.</w:t>
      </w:r>
      <w:r w:rsidR="00382734">
        <w:t xml:space="preserve"> Tato hypotéza v podstatě odpovídá na dvě z výzkumných otázek. Jednak částečně vysvětluje, proč je vhodnější zaměřit se na regulační mechanismy inst</w:t>
      </w:r>
      <w:r w:rsidR="00357D21">
        <w:t>it</w:t>
      </w:r>
      <w:r w:rsidR="00382734">
        <w:t>ucí a jejich přístup</w:t>
      </w:r>
      <w:r w:rsidR="00357D21">
        <w:t xml:space="preserve"> k lobbingu, jednak je tato zkoumaná regulace povinná, což zapadá do otázky ohledně míry povinnosti a dobrovolnosti regulací.</w:t>
      </w:r>
    </w:p>
    <w:p w:rsidR="00E86712" w:rsidRPr="00D5387F" w:rsidRDefault="00E86712" w:rsidP="00176740">
      <w:pPr>
        <w:pStyle w:val="Odstavecseseznamem"/>
        <w:numPr>
          <w:ilvl w:val="0"/>
          <w:numId w:val="5"/>
        </w:numPr>
      </w:pPr>
      <w:r w:rsidRPr="00064F7F">
        <w:rPr>
          <w:b/>
          <w:i/>
        </w:rPr>
        <w:t>Prvek povinnosti</w:t>
      </w:r>
      <w:r w:rsidR="00D31CC6" w:rsidRPr="00064F7F">
        <w:rPr>
          <w:b/>
          <w:i/>
        </w:rPr>
        <w:t>, nebo hrozba jeho uplatnění,</w:t>
      </w:r>
      <w:r w:rsidRPr="00064F7F">
        <w:rPr>
          <w:b/>
          <w:i/>
        </w:rPr>
        <w:t xml:space="preserve"> u lobbistů i institucí způsobuje plné podřízení se regulaci.</w:t>
      </w:r>
      <w:r w:rsidR="00357D21" w:rsidRPr="00064F7F">
        <w:rPr>
          <w:b/>
        </w:rPr>
        <w:t xml:space="preserve"> </w:t>
      </w:r>
      <w:r w:rsidR="00357D21">
        <w:t>Poslední hypotéza je jasně mířena na zodpovězení otázky ohledně vlivu povinné regulace na transparentnost.</w:t>
      </w:r>
    </w:p>
    <w:bookmarkEnd w:id="2"/>
    <w:bookmarkEnd w:id="3"/>
    <w:p w:rsidR="00192DAB" w:rsidRPr="00D5387F" w:rsidRDefault="00192DAB" w:rsidP="00176740">
      <w:r w:rsidRPr="00D5387F">
        <w:t xml:space="preserve">Práce </w:t>
      </w:r>
      <w:r w:rsidR="00747495" w:rsidRPr="00D5387F">
        <w:t>je</w:t>
      </w:r>
      <w:r w:rsidRPr="00D5387F">
        <w:t xml:space="preserve"> především případovou studií způsobu regulace lobbingu v EU a jeho dopadu na transparentnost. </w:t>
      </w:r>
      <w:r w:rsidR="00FB015B" w:rsidRPr="00D5387F">
        <w:t>Použito bylo</w:t>
      </w:r>
      <w:r w:rsidR="00747495" w:rsidRPr="00D5387F">
        <w:t xml:space="preserve"> </w:t>
      </w:r>
      <w:r w:rsidRPr="00D5387F">
        <w:t>kvalitativn</w:t>
      </w:r>
      <w:r w:rsidR="00747495" w:rsidRPr="00D5387F">
        <w:t>í</w:t>
      </w:r>
      <w:r w:rsidR="00FB015B" w:rsidRPr="00D5387F">
        <w:t>ho, empiricko-analytického</w:t>
      </w:r>
      <w:r w:rsidR="00747495" w:rsidRPr="00D5387F">
        <w:t xml:space="preserve"> přístup</w:t>
      </w:r>
      <w:r w:rsidR="00FB015B" w:rsidRPr="00D5387F">
        <w:t>u</w:t>
      </w:r>
      <w:r w:rsidR="00747495" w:rsidRPr="00D5387F">
        <w:t>, v rámci kterého se</w:t>
      </w:r>
      <w:r w:rsidRPr="00D5387F">
        <w:t xml:space="preserve"> </w:t>
      </w:r>
      <w:r w:rsidR="00747495" w:rsidRPr="00D5387F">
        <w:t>k</w:t>
      </w:r>
      <w:r w:rsidRPr="00D5387F">
        <w:t>ombin</w:t>
      </w:r>
      <w:r w:rsidR="00747495" w:rsidRPr="00D5387F">
        <w:t>ují</w:t>
      </w:r>
      <w:r w:rsidRPr="00D5387F">
        <w:t xml:space="preserve"> dvě metody. Nejprve </w:t>
      </w:r>
      <w:r w:rsidR="00747495" w:rsidRPr="00D5387F">
        <w:t>je</w:t>
      </w:r>
      <w:r w:rsidRPr="00D5387F">
        <w:t xml:space="preserve"> uplatněna induktivní metoda, kdy </w:t>
      </w:r>
      <w:r w:rsidR="00FB015B" w:rsidRPr="00D5387F">
        <w:t xml:space="preserve">je </w:t>
      </w:r>
      <w:r w:rsidRPr="00D5387F">
        <w:t xml:space="preserve">na </w:t>
      </w:r>
      <w:r w:rsidR="00FB015B" w:rsidRPr="00D5387F">
        <w:t>základě různých situací zkoumáno</w:t>
      </w:r>
      <w:r w:rsidRPr="00D5387F">
        <w:t xml:space="preserve">, jaké dopady má regulace lobbingu v EU a následně z toho </w:t>
      </w:r>
      <w:r w:rsidR="00FB015B" w:rsidRPr="00D5387F">
        <w:t xml:space="preserve">jsou </w:t>
      </w:r>
      <w:r w:rsidRPr="00D5387F">
        <w:t>vyvoz</w:t>
      </w:r>
      <w:r w:rsidR="00FB015B" w:rsidRPr="00D5387F">
        <w:t>ovány</w:t>
      </w:r>
      <w:r w:rsidRPr="00D5387F">
        <w:t xml:space="preserve"> závěry, které </w:t>
      </w:r>
      <w:r w:rsidR="00291CEE">
        <w:t>napomáhají k objasnění cíle práce</w:t>
      </w:r>
      <w:r w:rsidRPr="00D5387F">
        <w:t xml:space="preserve">. Jako druhá </w:t>
      </w:r>
      <w:r w:rsidR="00747495" w:rsidRPr="00D5387F">
        <w:t>je</w:t>
      </w:r>
      <w:r w:rsidRPr="00D5387F">
        <w:t xml:space="preserve"> použita systematická metoda analýzy, která přispěje k zobecnění, jak </w:t>
      </w:r>
      <w:r w:rsidR="007903D2" w:rsidRPr="00D5387F">
        <w:t xml:space="preserve">spolu fungují </w:t>
      </w:r>
      <w:r w:rsidRPr="00D5387F">
        <w:t>všechny typy regulace.</w:t>
      </w:r>
    </w:p>
    <w:p w:rsidR="00E67067" w:rsidRPr="00D5387F" w:rsidRDefault="00E67067" w:rsidP="00176740">
      <w:r w:rsidRPr="00D5387F">
        <w:t xml:space="preserve">Na problematiku </w:t>
      </w:r>
      <w:r w:rsidR="00747495" w:rsidRPr="00D5387F">
        <w:t>je</w:t>
      </w:r>
      <w:r w:rsidRPr="00D5387F">
        <w:t xml:space="preserve"> nahlíženo jak z pohledu zájmových skupin, tak z pohledu institucí</w:t>
      </w:r>
      <w:r w:rsidR="00747495" w:rsidRPr="00D5387F">
        <w:t xml:space="preserve"> EU</w:t>
      </w:r>
      <w:r w:rsidRPr="00D5387F">
        <w:t xml:space="preserve">. Současný stav </w:t>
      </w:r>
      <w:r w:rsidR="00747495" w:rsidRPr="00D5387F">
        <w:t>je</w:t>
      </w:r>
      <w:r w:rsidRPr="00D5387F">
        <w:t xml:space="preserve"> zhodnocen z hlediska funkčnosti jednotlivých regulací a dalších vlastností, což se také stane podkladem pro jiné části diplomové práce. </w:t>
      </w:r>
      <w:r w:rsidR="00E23E6B">
        <w:t>Dále</w:t>
      </w:r>
      <w:r w:rsidRPr="00D5387F">
        <w:t xml:space="preserve"> </w:t>
      </w:r>
      <w:r w:rsidR="00763458" w:rsidRPr="00D5387F">
        <w:t>je</w:t>
      </w:r>
      <w:r w:rsidRPr="00D5387F">
        <w:t xml:space="preserve"> vysvětleno, co je překážkou toho, aby se evropský lobbing stal transparentnější a snáze regulovatelný.</w:t>
      </w:r>
    </w:p>
    <w:p w:rsidR="006340D4" w:rsidRPr="00C0349A" w:rsidRDefault="00FB015B" w:rsidP="00176740">
      <w:r w:rsidRPr="00D5387F">
        <w:t xml:space="preserve">Okrajově bylo využito kvalitativního </w:t>
      </w:r>
      <w:r w:rsidR="006340D4" w:rsidRPr="00D5387F">
        <w:t>dotazování zájmových skupin a společností, které vyjednávají s evropskými institucemi.</w:t>
      </w:r>
      <w:r w:rsidR="00763458" w:rsidRPr="00D5387F">
        <w:t xml:space="preserve"> Toto dotazování </w:t>
      </w:r>
      <w:r w:rsidR="007903D2" w:rsidRPr="00D5387F">
        <w:t>bylo</w:t>
      </w:r>
      <w:r w:rsidR="00763458" w:rsidRPr="00D5387F">
        <w:t xml:space="preserve"> prováděno pomocí e-mailů, a to vzhledem k </w:t>
      </w:r>
      <w:r w:rsidR="00763458" w:rsidRPr="00C0349A">
        <w:t>časové a finanční úspornosti, jelikož se jedná o subjekty sídlící v zahraničí.</w:t>
      </w:r>
      <w:r w:rsidR="006340D4" w:rsidRPr="00C0349A">
        <w:t xml:space="preserve"> Jejich odpovědi </w:t>
      </w:r>
      <w:r w:rsidRPr="00C0349A">
        <w:t>byly následně vyhodnoceny a posloužily</w:t>
      </w:r>
      <w:r w:rsidR="006340D4" w:rsidRPr="00C0349A">
        <w:t xml:space="preserve"> jako doplnění analýzy zdrojů pocházejících zejména z evropských institucí</w:t>
      </w:r>
      <w:r w:rsidR="00763458" w:rsidRPr="00C0349A">
        <w:t xml:space="preserve"> a</w:t>
      </w:r>
      <w:r w:rsidRPr="00C0349A">
        <w:t xml:space="preserve"> od</w:t>
      </w:r>
      <w:r w:rsidR="00763458" w:rsidRPr="00C0349A">
        <w:t xml:space="preserve"> odborných autorů</w:t>
      </w:r>
      <w:r w:rsidR="006340D4" w:rsidRPr="00C0349A">
        <w:t xml:space="preserve">. Tímto kvalitativním </w:t>
      </w:r>
      <w:r w:rsidRPr="00C0349A">
        <w:t>dotazováním</w:t>
      </w:r>
      <w:r w:rsidR="006340D4" w:rsidRPr="00C0349A">
        <w:t xml:space="preserve"> lze zjistit, jak se k problematice regulace a transparentnosti lobbingu staví samotné zájmové skupiny. Tento postup má předejít značné jednostrannosti pouhé analýzy, jejíž zdroje </w:t>
      </w:r>
      <w:r w:rsidR="006340D4" w:rsidRPr="00C0349A">
        <w:lastRenderedPageBreak/>
        <w:t>pochází především ze strany institucí. I přes nepřeberné množství těchto zájmových skupin lze kvalitativním dotazováním</w:t>
      </w:r>
      <w:r w:rsidR="007903D2" w:rsidRPr="00C0349A">
        <w:t>,</w:t>
      </w:r>
      <w:r w:rsidR="006340D4" w:rsidRPr="00C0349A">
        <w:t xml:space="preserve"> byť</w:t>
      </w:r>
      <w:r w:rsidR="007903D2" w:rsidRPr="00C0349A">
        <w:t xml:space="preserve"> jen</w:t>
      </w:r>
      <w:r w:rsidR="006340D4" w:rsidRPr="00C0349A">
        <w:t xml:space="preserve"> některých z</w:t>
      </w:r>
      <w:r w:rsidR="007903D2" w:rsidRPr="00C0349A">
        <w:t> </w:t>
      </w:r>
      <w:r w:rsidR="006340D4" w:rsidRPr="00C0349A">
        <w:t>nich</w:t>
      </w:r>
      <w:r w:rsidR="007903D2" w:rsidRPr="00C0349A">
        <w:t>,</w:t>
      </w:r>
      <w:r w:rsidR="006340D4" w:rsidRPr="00C0349A">
        <w:t xml:space="preserve"> získat důležité informace, které se</w:t>
      </w:r>
      <w:r w:rsidRPr="00C0349A">
        <w:t xml:space="preserve"> mezi jednotlivými zájmovými skupinami</w:t>
      </w:r>
      <w:r w:rsidR="006340D4" w:rsidRPr="00C0349A">
        <w:t xml:space="preserve"> nebudou příliš lišit.</w:t>
      </w:r>
    </w:p>
    <w:p w:rsidR="003254D9" w:rsidRPr="00C0349A" w:rsidRDefault="0034705C" w:rsidP="00176740">
      <w:r w:rsidRPr="00C0349A">
        <w:t>Diplomová p</w:t>
      </w:r>
      <w:r w:rsidR="003254D9" w:rsidRPr="00C0349A">
        <w:t>ráce</w:t>
      </w:r>
      <w:r w:rsidR="006C3FA1">
        <w:t xml:space="preserve"> byla rozdělena tak, aby co nejlépe analyzovala stanovené hypotézy.</w:t>
      </w:r>
      <w:r w:rsidR="003254D9" w:rsidRPr="00C0349A">
        <w:t xml:space="preserve"> </w:t>
      </w:r>
      <w:r w:rsidR="006C3FA1">
        <w:t>V</w:t>
      </w:r>
      <w:r w:rsidRPr="00C0349A">
        <w:t>e své první části</w:t>
      </w:r>
      <w:r w:rsidR="00C0349A" w:rsidRPr="00C0349A">
        <w:t xml:space="preserve"> </w:t>
      </w:r>
      <w:r w:rsidR="006C3FA1" w:rsidRPr="00C0349A">
        <w:t>nastiňuje</w:t>
      </w:r>
      <w:r w:rsidR="00C0349A" w:rsidRPr="00C0349A">
        <w:t xml:space="preserve"> teorii, na které jsou postaveny její cíle. Poté je zkoumána definice</w:t>
      </w:r>
      <w:r w:rsidR="003254D9" w:rsidRPr="00C0349A">
        <w:t xml:space="preserve"> pojmu lobbing, která je v mnoha případech nejasná a její zhodnocení je důležité pro další analýzu.</w:t>
      </w:r>
      <w:r w:rsidRPr="00C0349A">
        <w:t xml:space="preserve"> Je zde poukázáno na nejednotnost výkladu tohoto pojmu, a to i v případě institucí EU.</w:t>
      </w:r>
    </w:p>
    <w:p w:rsidR="00C0349A" w:rsidRPr="00C0349A" w:rsidRDefault="003254D9" w:rsidP="00C0349A">
      <w:r w:rsidRPr="00C0349A">
        <w:t>Následná kapitola je zaměřena na vysvětlení, proč je regulace lobbingu pro transparentnost nezbytná a čím samotná transparentnost přispívá této činnosti.</w:t>
      </w:r>
      <w:r w:rsidR="00C863E9" w:rsidRPr="00C0349A">
        <w:t xml:space="preserve"> Kapitola je zároveň objasněním pojmu transparentnost.</w:t>
      </w:r>
    </w:p>
    <w:p w:rsidR="00C0349A" w:rsidRPr="00C0349A" w:rsidRDefault="00C0349A" w:rsidP="00C0349A">
      <w:r w:rsidRPr="00C0349A">
        <w:t>Jako další následuje část zabývající zhodnocením postoje jednotlivých institucí k lobbingu obecně, ale rovněž k regulaci. Jsou analyzována nejvýznamnější specifika těchto institucí a rovněž je i poukázáno na to, proč je u některých institucí zbytečné hovořit o regulaci lobbingu. Do této části patří i zabývání se otázkou, kudy probíhá pomyslná hranice mezi regulováním obou zkoumaných stran. Hodnocena je i reakce zájmových skupin na regulaci a jejich přístup k tématu.</w:t>
      </w:r>
    </w:p>
    <w:p w:rsidR="00C0349A" w:rsidRPr="00C0349A" w:rsidRDefault="00C0349A" w:rsidP="00C0349A">
      <w:r w:rsidRPr="00C0349A">
        <w:t>V kapitole jsou analyzovány Komise, Evropský parlament a Rada. Ostatní instituce jako Hospodářský a sociální výbor, Výbor regionů, Soudní dvůr EU a agentury hodnoceny nebyly. Hospodářský a sociální výbor je institucí zastupující zájmové skupiny. Názory jsou následně předkládány Komisi, Radě a EP. Je tedy jasné, že zde není žádná potřeba regulace, jelikož úkolem tohoto výboru je oficiální prosazování zájmů. Proto nemá smysl se pro potřeby této práce dále touto institucí dále zabývat. Výbor regionů zastupuje regionální zájmy, a tudíž pro něj platí stejný princip. Soudní dvůr EU (SD EU) představuje důležitou instituci v prosazování acquis. Prosazování zájmu se zde děje pouze procesním způsobem, kde poměr nákladů a efektivity není pro zájmové skupiny příliš zajímavý. Z tohoto důvodu nemá ani smysl dění kolem SD EU regulovat způsobem, kterým se diplomová práce zabývá. Agentury EU představují pouze výkonnou složku a nezahrnují pravomoci, které by jim umožnily podílet se na normotvorbě. Tudíž se jimi z hlediska lobbingu diplomová práce nezabývá.</w:t>
      </w:r>
    </w:p>
    <w:p w:rsidR="00C863E9" w:rsidRPr="00C0349A" w:rsidRDefault="00C863E9" w:rsidP="00176740">
      <w:r w:rsidRPr="00C0349A">
        <w:t xml:space="preserve">Další část se již zaměřuje na analýzu jednotlivých typů regulací a zhodnocení jejich významu. Byl zde vysvětlen vznik a význam </w:t>
      </w:r>
      <w:r w:rsidR="00E23E6B" w:rsidRPr="00C0349A">
        <w:t>regulačních mechanismů. Součástí</w:t>
      </w:r>
      <w:r w:rsidRPr="00C0349A">
        <w:t xml:space="preserve"> je také </w:t>
      </w:r>
      <w:r w:rsidRPr="00C0349A">
        <w:lastRenderedPageBreak/>
        <w:t>upřesnění, které z těchto typů regulují lobbisty, a které naopak instituce, a jejich přístup k lobbistům. Zde bylo rovněž posouzeno, zda celou problematiku vzájemné komunikace mezi lobbisty a institucemi lépe regulují ta řešení, která se týkají institucí, či ta, která se týkají lobbistů. Shrnutí těchto vlastností je pak předmětem poslední kapitoly této části.</w:t>
      </w:r>
    </w:p>
    <w:p w:rsidR="00192DAB" w:rsidRPr="00D5387F" w:rsidRDefault="00192DAB" w:rsidP="00176740">
      <w:r w:rsidRPr="00D5387F">
        <w:t>Práce přinese osvětlení důvodů, proč je lobbing v EU do značné míry neefektivní a v čem tkví jeho nedostatky. Zároveň budou zanalyzovány jednotlivé druhy regulace, což by mělo přinést odůvodnění, co není v pořádku na současném nastavení regulace a kterým směrem by se tedy měla ubírat.</w:t>
      </w:r>
    </w:p>
    <w:p w:rsidR="00712994" w:rsidRDefault="004B16BA" w:rsidP="00176740">
      <w:r w:rsidRPr="00D5387F">
        <w:t xml:space="preserve">Poděkování si zaslouží vedoucí diplomové práce </w:t>
      </w:r>
      <w:r w:rsidR="007903D2" w:rsidRPr="00D5387F">
        <w:t>JuDr. PhDr. Robert Zbíral, PhD.</w:t>
      </w:r>
      <w:r w:rsidRPr="00D5387F">
        <w:t>, který byl ochoten i přes časové vytížení poměrně rychle reagovat na žádosti o rady, propůjčil hůře sehnatelnou literaturu a zejména si vždy pročetl dodanou verzi práce, ke které poskytl kvalitní kritické a konstruktivní připomínky a další nasměrování.</w:t>
      </w:r>
    </w:p>
    <w:p w:rsidR="00712994" w:rsidRDefault="00712994">
      <w:pPr>
        <w:spacing w:after="0" w:line="240" w:lineRule="auto"/>
        <w:ind w:firstLine="0"/>
        <w:jc w:val="left"/>
      </w:pPr>
      <w:r>
        <w:br w:type="page"/>
      </w:r>
    </w:p>
    <w:p w:rsidR="00192DAB" w:rsidRDefault="00712994" w:rsidP="00712994">
      <w:pPr>
        <w:pStyle w:val="Nadpis1"/>
      </w:pPr>
      <w:bookmarkStart w:id="4" w:name="OLE_LINK33"/>
      <w:bookmarkStart w:id="5" w:name="OLE_LINK34"/>
      <w:bookmarkStart w:id="6" w:name="_Toc330039536"/>
      <w:r>
        <w:lastRenderedPageBreak/>
        <w:t>Teoretický rámec</w:t>
      </w:r>
      <w:bookmarkEnd w:id="6"/>
    </w:p>
    <w:p w:rsidR="00F961EC" w:rsidRDefault="00F961EC" w:rsidP="00F33F23">
      <w:r>
        <w:t>Existuje několik teorií, které se jeví jako vhodné pro tuto diplomovou práci, nicméně nelze je využít. Především sem lze zařadit teorii</w:t>
      </w:r>
      <w:r w:rsidRPr="00F961EC">
        <w:t xml:space="preserve"> regulace</w:t>
      </w:r>
      <w:r w:rsidR="0035565E">
        <w:t>.</w:t>
      </w:r>
      <w:r>
        <w:t xml:space="preserve"> Ta</w:t>
      </w:r>
      <w:r w:rsidRPr="00F961EC">
        <w:t xml:space="preserve"> sice s tématem ve velmi širokém smyslu souvisí</w:t>
      </w:r>
      <w:r>
        <w:t>, nicméně je to ekonomická teorie, jejíž uplatnění by v politologické sféře potřebovalo určitou t</w:t>
      </w:r>
      <w:r w:rsidR="0035565E">
        <w:t>ransformaci, což je na samostatnou práci. Nicméně, již hotové dílo tohoto charakteru nebylo pro potřeby této práce nalezeno.</w:t>
      </w:r>
    </w:p>
    <w:p w:rsidR="0037471B" w:rsidRDefault="0035565E" w:rsidP="0037471B">
      <w:r>
        <w:t>Jako nejvhodnější teorie uchycující obsah diplomové práce byla použita ta od Chariho, Murphyho a Hogana. Tito autoři</w:t>
      </w:r>
      <w:r w:rsidR="0037471B" w:rsidRPr="0037471B">
        <w:t xml:space="preserve"> </w:t>
      </w:r>
      <w:r>
        <w:t xml:space="preserve">se </w:t>
      </w:r>
      <w:r w:rsidR="0037471B" w:rsidRPr="0037471B">
        <w:t>zabývají lobbingem</w:t>
      </w:r>
      <w:r w:rsidR="00D46F79">
        <w:t>,</w:t>
      </w:r>
      <w:r w:rsidR="0037471B" w:rsidRPr="0037471B">
        <w:t xml:space="preserve"> a </w:t>
      </w:r>
      <w:r w:rsidR="00DB2735">
        <w:t>především jeho regulací.</w:t>
      </w:r>
      <w:r w:rsidR="0037471B" w:rsidRPr="0037471B">
        <w:t xml:space="preserve"> </w:t>
      </w:r>
      <w:r w:rsidR="00DB2735">
        <w:t>V</w:t>
      </w:r>
      <w:r w:rsidR="0037471B" w:rsidRPr="0037471B">
        <w:t xml:space="preserve"> roce 2003</w:t>
      </w:r>
      <w:r w:rsidR="0037471B">
        <w:t xml:space="preserve"> rozdělili regulované systémy, v nichž probíhá lobbing</w:t>
      </w:r>
      <w:r>
        <w:t>,</w:t>
      </w:r>
      <w:r w:rsidR="0037471B">
        <w:t xml:space="preserve"> na slabě, středně a vysoce reg</w:t>
      </w:r>
      <w:r>
        <w:t>ulované</w:t>
      </w:r>
      <w:r w:rsidR="00D46F79">
        <w:t xml:space="preserve">, což následně rozvedli ve svých studiích </w:t>
      </w:r>
      <w:r w:rsidR="00D46F79" w:rsidRPr="00D46F79">
        <w:rPr>
          <w:i/>
        </w:rPr>
        <w:t>Regulating Lobbyists: A Comparative Analys</w:t>
      </w:r>
      <w:r w:rsidR="00004580">
        <w:rPr>
          <w:i/>
        </w:rPr>
        <w:t>i</w:t>
      </w:r>
      <w:r w:rsidR="00D46F79" w:rsidRPr="00D46F79">
        <w:rPr>
          <w:i/>
        </w:rPr>
        <w:t>s of the United States, Canada, Germany and the European Union</w:t>
      </w:r>
      <w:r w:rsidR="00154350">
        <w:rPr>
          <w:rStyle w:val="Znakapoznpodarou"/>
          <w:i/>
        </w:rPr>
        <w:footnoteReference w:id="6"/>
      </w:r>
      <w:r w:rsidR="00D46F79">
        <w:t xml:space="preserve"> a </w:t>
      </w:r>
      <w:r w:rsidR="00D46F79" w:rsidRPr="00D46F79">
        <w:rPr>
          <w:i/>
        </w:rPr>
        <w:t xml:space="preserve">Examining and Assessing the Regulation of Lobbyists in Canada, the USA, the EU </w:t>
      </w:r>
      <w:r w:rsidR="00132069">
        <w:rPr>
          <w:i/>
        </w:rPr>
        <w:t>I</w:t>
      </w:r>
      <w:r w:rsidR="00D46F79" w:rsidRPr="00D46F79">
        <w:rPr>
          <w:i/>
        </w:rPr>
        <w:t>nstitutions, and Germany: A Report for the Department of the Environment, Heritage and Local Government</w:t>
      </w:r>
      <w:r w:rsidR="00154350">
        <w:rPr>
          <w:rStyle w:val="Znakapoznpodarou"/>
          <w:i/>
        </w:rPr>
        <w:footnoteReference w:id="7"/>
      </w:r>
      <w:r>
        <w:t>.</w:t>
      </w:r>
      <w:r w:rsidR="00DB2735">
        <w:t xml:space="preserve"> </w:t>
      </w:r>
      <w:r w:rsidR="00154350">
        <w:t>Toto rozdělení autoři</w:t>
      </w:r>
      <w:r w:rsidR="0037471B">
        <w:t xml:space="preserve"> určovali na základě tzv. CPI indexu, který jednotlivým systémům přiděloval body. To znamená, že systémy zemí, jejichž CPI index dosáhl úrovně 1 až 19, byly označeny za slabě regulované, s CPI indexem držícím se úrovně 20 až 59 jako středně regulované a s CPI indexem 60 až 100 jako vysoce regulované.</w:t>
      </w:r>
      <w:r w:rsidR="00154350">
        <w:t xml:space="preserve"> Analyzovali tak systémy v 50 amerických státech. Své hodnocení a přiřazení CPI indexu postavili na sérii otázek zaměřujících se na údaje zveřejňované lobbisty v těchto státech.</w:t>
      </w:r>
    </w:p>
    <w:p w:rsidR="0037471B" w:rsidRDefault="00DB2735" w:rsidP="0037471B">
      <w:r>
        <w:t>Systémy se slabou regulací</w:t>
      </w:r>
      <w:r w:rsidR="0037471B">
        <w:t xml:space="preserve"> vyžadují po </w:t>
      </w:r>
      <w:r w:rsidR="007762EE">
        <w:t>lobbistech</w:t>
      </w:r>
      <w:r w:rsidR="0037471B">
        <w:t xml:space="preserve"> poskytnutí jen těch nejnutnějších a </w:t>
      </w:r>
      <w:r w:rsidR="00110405">
        <w:t>pouze výchozích</w:t>
      </w:r>
      <w:r w:rsidR="0037471B">
        <w:t xml:space="preserve"> informací o své lobbistické činnosti</w:t>
      </w:r>
      <w:r w:rsidR="007762EE">
        <w:t xml:space="preserve"> vnesených do registrace</w:t>
      </w:r>
      <w:r w:rsidR="0037471B">
        <w:t xml:space="preserve">. </w:t>
      </w:r>
      <w:r w:rsidR="007762EE">
        <w:t>Svůj záměr prosazovaný svou činností lobbisté nemusí v takovém systému vykazovat. Nemusí rovněž uvádět ani důvod, proč lobbují</w:t>
      </w:r>
      <w:r>
        <w:t>.</w:t>
      </w:r>
      <w:r w:rsidR="000429CE">
        <w:t xml:space="preserve"> </w:t>
      </w:r>
      <w:r w:rsidR="007762EE">
        <w:t>Rovněž není nutné, aby</w:t>
      </w:r>
      <w:r w:rsidR="00022570">
        <w:t xml:space="preserve"> </w:t>
      </w:r>
      <w:r w:rsidR="00110405">
        <w:t>sdě</w:t>
      </w:r>
      <w:r w:rsidR="007762EE">
        <w:t>lovali</w:t>
      </w:r>
      <w:r w:rsidR="00110405">
        <w:t xml:space="preserve"> informace</w:t>
      </w:r>
      <w:r w:rsidR="007762EE">
        <w:t>, kvůli kterému zákonu hodlají lobbovat</w:t>
      </w:r>
      <w:r w:rsidR="00110405">
        <w:t>,</w:t>
      </w:r>
      <w:r w:rsidR="00022570">
        <w:t xml:space="preserve"> a</w:t>
      </w:r>
      <w:r w:rsidR="007762EE">
        <w:t>ni</w:t>
      </w:r>
      <w:r w:rsidR="00110405">
        <w:t> </w:t>
      </w:r>
      <w:r w:rsidR="007762EE">
        <w:t>kterou</w:t>
      </w:r>
      <w:r w:rsidR="00110405">
        <w:t> </w:t>
      </w:r>
      <w:r w:rsidR="00022570" w:rsidRPr="00110405">
        <w:t>instituci</w:t>
      </w:r>
      <w:r w:rsidR="007762EE">
        <w:t xml:space="preserve"> chtějí</w:t>
      </w:r>
      <w:r w:rsidR="00022570">
        <w:t xml:space="preserve"> </w:t>
      </w:r>
      <w:r w:rsidR="007762EE">
        <w:t>ovlivnit</w:t>
      </w:r>
      <w:r w:rsidR="0037471B">
        <w:t xml:space="preserve">. </w:t>
      </w:r>
      <w:r w:rsidR="000429CE">
        <w:t>Hovoříme-li o</w:t>
      </w:r>
      <w:r w:rsidR="0037471B">
        <w:t xml:space="preserve"> sankcí</w:t>
      </w:r>
      <w:r w:rsidR="000429CE">
        <w:t>ch a</w:t>
      </w:r>
      <w:r w:rsidR="007762EE">
        <w:t xml:space="preserve"> jiných</w:t>
      </w:r>
      <w:r w:rsidR="000429CE">
        <w:t xml:space="preserve"> postizích</w:t>
      </w:r>
      <w:r w:rsidR="0037471B">
        <w:t xml:space="preserve"> uvalených za porušení pravidel </w:t>
      </w:r>
      <w:r w:rsidR="000429CE">
        <w:t>v tomto</w:t>
      </w:r>
      <w:r w:rsidR="0037471B">
        <w:t xml:space="preserve"> systému, nejsou vůči lobbistovi </w:t>
      </w:r>
      <w:r w:rsidR="000429CE">
        <w:t>nijak přísné</w:t>
      </w:r>
      <w:r w:rsidR="0037471B">
        <w:t xml:space="preserve"> a jejich </w:t>
      </w:r>
      <w:r w:rsidR="000429CE">
        <w:t>vynucování</w:t>
      </w:r>
      <w:r w:rsidR="0037471B">
        <w:t xml:space="preserve"> není dostatečně zajištěno. </w:t>
      </w:r>
      <w:r w:rsidR="000429CE">
        <w:t xml:space="preserve">Jak tvrdí autoři, </w:t>
      </w:r>
      <w:r w:rsidR="0037471B">
        <w:t>„</w:t>
      </w:r>
      <w:r w:rsidR="000429CE">
        <w:t>j</w:t>
      </w:r>
      <w:r w:rsidR="0037471B">
        <w:t xml:space="preserve">e zde slabá úroveň vymáhání a žádné přechodné období, které by bylo dané příslušnou legislativou, což znamená, že </w:t>
      </w:r>
      <w:r w:rsidR="0037471B">
        <w:lastRenderedPageBreak/>
        <w:t>zákonodárci se mohou registrovat jako lobbisté ihned po opuštění svého úřadu.“</w:t>
      </w:r>
      <w:r w:rsidR="0037471B">
        <w:rPr>
          <w:rStyle w:val="Znakapoznpodarou"/>
        </w:rPr>
        <w:footnoteReference w:id="8"/>
      </w:r>
      <w:r w:rsidR="00683593" w:rsidRPr="00683593">
        <w:t xml:space="preserve"> </w:t>
      </w:r>
      <w:r w:rsidR="00683593">
        <w:t>Ještě je důležité zmínit, že existuje-li seznam registrovaných lobbistů, je volně dostupný veřejnosti.</w:t>
      </w:r>
    </w:p>
    <w:p w:rsidR="00CE38EB" w:rsidRPr="0037471B" w:rsidRDefault="000429CE" w:rsidP="0037471B">
      <w:r>
        <w:t>Středně</w:t>
      </w:r>
      <w:r w:rsidR="0037471B">
        <w:t xml:space="preserve"> regulovan</w:t>
      </w:r>
      <w:r>
        <w:t>é systémy</w:t>
      </w:r>
      <w:r w:rsidR="0037471B">
        <w:t xml:space="preserve"> </w:t>
      </w:r>
      <w:r>
        <w:t>představují</w:t>
      </w:r>
      <w:r w:rsidR="0037471B">
        <w:t xml:space="preserve"> </w:t>
      </w:r>
      <w:r>
        <w:t xml:space="preserve">oproti </w:t>
      </w:r>
      <w:r w:rsidR="00683593">
        <w:t xml:space="preserve">těm </w:t>
      </w:r>
      <w:r>
        <w:t>slabě regulovaným přísnější a tvrdší</w:t>
      </w:r>
      <w:r w:rsidR="0037471B">
        <w:t xml:space="preserve"> pravidl</w:t>
      </w:r>
      <w:r>
        <w:t>a</w:t>
      </w:r>
      <w:r w:rsidR="0037471B">
        <w:t xml:space="preserve">. </w:t>
      </w:r>
      <w:r w:rsidR="00683593">
        <w:t>Oproti slabé regulaci je hlavním</w:t>
      </w:r>
      <w:r w:rsidR="0037471B">
        <w:t xml:space="preserve"> </w:t>
      </w:r>
      <w:r w:rsidR="00683593">
        <w:t>předpokladem, že</w:t>
      </w:r>
      <w:r w:rsidR="0037471B">
        <w:t xml:space="preserve"> každ</w:t>
      </w:r>
      <w:r w:rsidR="00683593">
        <w:t>ý</w:t>
      </w:r>
      <w:r w:rsidR="0037471B">
        <w:t xml:space="preserve"> lobbis</w:t>
      </w:r>
      <w:r w:rsidR="00683593">
        <w:t xml:space="preserve">ta </w:t>
      </w:r>
      <w:r w:rsidR="0037471B">
        <w:t xml:space="preserve">uvede </w:t>
      </w:r>
      <w:r w:rsidR="00683593">
        <w:t>úmysl</w:t>
      </w:r>
      <w:r w:rsidR="0037471B">
        <w:t xml:space="preserve"> sv</w:t>
      </w:r>
      <w:r w:rsidR="00683593">
        <w:t>ých lobbistických</w:t>
      </w:r>
      <w:r w:rsidR="0037471B">
        <w:t xml:space="preserve"> </w:t>
      </w:r>
      <w:r w:rsidR="00683593">
        <w:t>praktik</w:t>
      </w:r>
      <w:r w:rsidR="0037471B">
        <w:t xml:space="preserve">, </w:t>
      </w:r>
      <w:r w:rsidR="00683593">
        <w:t>lobbovanou legislativu či</w:t>
      </w:r>
      <w:r w:rsidR="0037471B">
        <w:t xml:space="preserve"> legislativní návrh a instituce, </w:t>
      </w:r>
      <w:r w:rsidR="00683593">
        <w:t xml:space="preserve">ve kterých má </w:t>
      </w:r>
      <w:r w:rsidR="00110405">
        <w:t xml:space="preserve">lobbistická činnost </w:t>
      </w:r>
      <w:r w:rsidR="00683593">
        <w:t>probíhat</w:t>
      </w:r>
      <w:r w:rsidR="0037471B">
        <w:t xml:space="preserve">. V tomto </w:t>
      </w:r>
      <w:r w:rsidR="00496004">
        <w:t>případě</w:t>
      </w:r>
      <w:r w:rsidR="0037471B">
        <w:t xml:space="preserve"> mají lobbist</w:t>
      </w:r>
      <w:r w:rsidR="00022570">
        <w:t>é</w:t>
      </w:r>
      <w:r w:rsidR="0037471B">
        <w:t xml:space="preserve"> zakázáno jakkoli</w:t>
      </w:r>
      <w:r w:rsidR="00022570">
        <w:t>v</w:t>
      </w:r>
      <w:r w:rsidR="0037471B">
        <w:t xml:space="preserve"> </w:t>
      </w:r>
      <w:r w:rsidR="00022570">
        <w:t xml:space="preserve">používat dary a jiné </w:t>
      </w:r>
      <w:r w:rsidR="00496004">
        <w:t>podobné projevy pro získání náklonnosti</w:t>
      </w:r>
      <w:r w:rsidR="00022570">
        <w:t>.</w:t>
      </w:r>
      <w:r w:rsidR="0037471B" w:rsidRPr="0037471B">
        <w:t xml:space="preserve"> </w:t>
      </w:r>
      <w:r w:rsidR="00496004">
        <w:t>Veškeré případné</w:t>
      </w:r>
      <w:r w:rsidR="0037471B">
        <w:t xml:space="preserve"> příspěvky musí být uvedeny ve zprávě, kterou podáv</w:t>
      </w:r>
      <w:r w:rsidR="00110405">
        <w:t>ají</w:t>
      </w:r>
      <w:r w:rsidR="0037471B">
        <w:t xml:space="preserve"> opět </w:t>
      </w:r>
      <w:r w:rsidR="00110405">
        <w:t>sami</w:t>
      </w:r>
      <w:r w:rsidR="0037471B">
        <w:t xml:space="preserve"> lobbist</w:t>
      </w:r>
      <w:r w:rsidR="00110405">
        <w:t>é</w:t>
      </w:r>
      <w:r w:rsidR="0037471B">
        <w:t xml:space="preserve"> a která je jednou z podmínek </w:t>
      </w:r>
      <w:r w:rsidR="00110405">
        <w:t>regulačního mechanismu</w:t>
      </w:r>
      <w:r w:rsidR="0037471B">
        <w:t xml:space="preserve">. </w:t>
      </w:r>
      <w:r w:rsidR="00496004">
        <w:t>Nepočítají se sem</w:t>
      </w:r>
      <w:r w:rsidR="0037471B">
        <w:t xml:space="preserve"> volné a bezplatné konzultace </w:t>
      </w:r>
      <w:r w:rsidR="00022570">
        <w:t>či</w:t>
      </w:r>
      <w:r w:rsidR="0037471B">
        <w:t xml:space="preserve"> jiné aktivity lobbistů s politickými stranami</w:t>
      </w:r>
      <w:r w:rsidR="00496004">
        <w:t>. Ty</w:t>
      </w:r>
      <w:r w:rsidR="0037471B">
        <w:t xml:space="preserve"> jsou povoleny a regulace se </w:t>
      </w:r>
      <w:r w:rsidR="00110405">
        <w:t>jich netýká</w:t>
      </w:r>
      <w:r w:rsidR="0037471B">
        <w:t xml:space="preserve">. Po zaměstnavatelích </w:t>
      </w:r>
      <w:r w:rsidR="00110405">
        <w:t>zástupců zájmových skupin</w:t>
      </w:r>
      <w:r w:rsidR="0037471B">
        <w:t xml:space="preserve"> se nevyžaduje poskytování zpráv o výdajích a nákladech. Veřejnost má </w:t>
      </w:r>
      <w:r w:rsidR="00022570">
        <w:t>podobně jako v předchozím systému</w:t>
      </w:r>
      <w:r w:rsidR="0037471B">
        <w:t xml:space="preserve"> volný přístup k nahlédnutí do registru, nicméně zprávy o výdajích poskytované zaměstnavateli lobbistů jim nejsou k dispozici, </w:t>
      </w:r>
      <w:r w:rsidR="00496004">
        <w:t>jelikož se nepovažují za veřejné</w:t>
      </w:r>
      <w:r w:rsidR="0037471B">
        <w:t xml:space="preserve">. Vynucovací schopnosti tohoto systému v případě porušení pravidel jsou </w:t>
      </w:r>
      <w:r w:rsidR="00496004">
        <w:t>v podstatě</w:t>
      </w:r>
      <w:r w:rsidR="00022570">
        <w:t xml:space="preserve"> </w:t>
      </w:r>
      <w:r w:rsidR="00110405">
        <w:t>omezeny</w:t>
      </w:r>
      <w:r w:rsidR="00022570">
        <w:t xml:space="preserve">. Co se týče přecházení úředníků k lobbistům, je zde vymezeno </w:t>
      </w:r>
      <w:r w:rsidR="0037471B">
        <w:t xml:space="preserve">přechodné období pro veřejné funkcionáře a zákonodárce, kteří </w:t>
      </w:r>
      <w:r w:rsidR="00022570">
        <w:t>odešli ze svého</w:t>
      </w:r>
      <w:r w:rsidR="0037471B">
        <w:t xml:space="preserve"> úřad</w:t>
      </w:r>
      <w:r w:rsidR="00022570">
        <w:t>u.</w:t>
      </w:r>
      <w:r w:rsidR="0037471B">
        <w:t xml:space="preserve"> </w:t>
      </w:r>
      <w:r w:rsidR="00022570">
        <w:t>B</w:t>
      </w:r>
      <w:r w:rsidR="0037471B">
        <w:t xml:space="preserve">ěhem </w:t>
      </w:r>
      <w:r w:rsidR="00022570">
        <w:t>daného období</w:t>
      </w:r>
      <w:r w:rsidR="0037471B">
        <w:t xml:space="preserve"> se nemoh</w:t>
      </w:r>
      <w:r w:rsidR="00022570">
        <w:t>ou zaregistrovat jako lobbisté.</w:t>
      </w:r>
      <w:r w:rsidR="0037471B">
        <w:rPr>
          <w:rStyle w:val="Znakapoznpodarou"/>
        </w:rPr>
        <w:footnoteReference w:id="9"/>
      </w:r>
    </w:p>
    <w:p w:rsidR="0037471B" w:rsidRPr="00154350" w:rsidRDefault="00496004" w:rsidP="00154350">
      <w:r>
        <w:t>Poslední částí tohoto členění jsou v</w:t>
      </w:r>
      <w:r w:rsidR="0037471B">
        <w:t>ysoce regulované systémy</w:t>
      </w:r>
      <w:r>
        <w:t>. Ty</w:t>
      </w:r>
      <w:r w:rsidR="0037471B">
        <w:t xml:space="preserve"> </w:t>
      </w:r>
      <w:r w:rsidR="004F65B9">
        <w:t>obsahují ze všech tří typů nejpropracovanější mechanismy</w:t>
      </w:r>
      <w:r w:rsidR="0037471B">
        <w:t xml:space="preserve">. </w:t>
      </w:r>
      <w:r>
        <w:t>Nachází se zde</w:t>
      </w:r>
      <w:r w:rsidR="0037471B">
        <w:t xml:space="preserve"> </w:t>
      </w:r>
      <w:r>
        <w:t>p</w:t>
      </w:r>
      <w:r w:rsidR="0037471B">
        <w:t>ravidl</w:t>
      </w:r>
      <w:r>
        <w:t>a ve své nejpřísnější podobě</w:t>
      </w:r>
      <w:r w:rsidR="0037471B">
        <w:t>,</w:t>
      </w:r>
      <w:r>
        <w:t xml:space="preserve"> a těmi </w:t>
      </w:r>
      <w:r w:rsidR="0037471B">
        <w:t xml:space="preserve">se </w:t>
      </w:r>
      <w:r w:rsidR="004F65B9">
        <w:t>zástupce zájmové skupiny</w:t>
      </w:r>
      <w:r>
        <w:t xml:space="preserve"> musí</w:t>
      </w:r>
      <w:r w:rsidR="0037471B">
        <w:t xml:space="preserve"> řídit. </w:t>
      </w:r>
      <w:r>
        <w:t>Před započetím lobbingu musí lobbista uvést důvod své</w:t>
      </w:r>
      <w:r w:rsidR="0037471B">
        <w:t xml:space="preserve"> lobbistické činnosti</w:t>
      </w:r>
      <w:r>
        <w:t>.</w:t>
      </w:r>
      <w:r w:rsidR="0037471B">
        <w:t xml:space="preserve"> </w:t>
      </w:r>
      <w:r>
        <w:t>Dále musí sdělit, kterou instituci hodlá</w:t>
      </w:r>
      <w:r w:rsidR="0037471B">
        <w:t xml:space="preserve"> lobbov</w:t>
      </w:r>
      <w:r>
        <w:t>at</w:t>
      </w:r>
      <w:r w:rsidR="0037471B">
        <w:t xml:space="preserve">. </w:t>
      </w:r>
      <w:r>
        <w:t>To je podobné jako v předchozím systému. Mimo to však</w:t>
      </w:r>
      <w:r w:rsidR="0037471B">
        <w:t xml:space="preserve"> </w:t>
      </w:r>
      <w:r w:rsidR="004F65B9">
        <w:t xml:space="preserve">také </w:t>
      </w:r>
      <w:r w:rsidR="0037471B">
        <w:t>musí</w:t>
      </w:r>
      <w:r w:rsidR="004F65B9">
        <w:t xml:space="preserve"> uvádět </w:t>
      </w:r>
      <w:r w:rsidR="0037471B">
        <w:t xml:space="preserve">všechny své zaměstnavatele a poskytnout </w:t>
      </w:r>
      <w:r w:rsidR="004F65B9">
        <w:t>potřebná</w:t>
      </w:r>
      <w:r w:rsidR="0037471B">
        <w:t xml:space="preserve"> výdajová přiznání v </w:t>
      </w:r>
      <w:r w:rsidR="005F4572">
        <w:t>kompletním</w:t>
      </w:r>
      <w:r w:rsidR="0037471B">
        <w:t xml:space="preserve"> znění. </w:t>
      </w:r>
      <w:r w:rsidR="004F65B9">
        <w:t xml:space="preserve">Nejjasněji se </w:t>
      </w:r>
      <w:r w:rsidR="0037471B">
        <w:t xml:space="preserve">vysoce regulované systémy odlišují od dvou předešlých </w:t>
      </w:r>
      <w:r w:rsidR="004F65B9">
        <w:t>právě touto důležitou povinností</w:t>
      </w:r>
      <w:r w:rsidR="0037471B">
        <w:t>. „Taková přiznání zahrnují výdajové zprávy, platební zprávy, účetnictví a výčet všech výdajů, identifikaci všech lidí, za které byly peníze utraceny, a účetnictví všech výdajů na kampaně.“</w:t>
      </w:r>
      <w:r w:rsidR="0037471B">
        <w:rPr>
          <w:rStyle w:val="Znakapoznpodarou"/>
        </w:rPr>
        <w:footnoteReference w:id="10"/>
      </w:r>
      <w:bookmarkEnd w:id="4"/>
      <w:bookmarkEnd w:id="5"/>
      <w:r w:rsidR="0037471B">
        <w:br w:type="page"/>
      </w:r>
    </w:p>
    <w:p w:rsidR="00CA0D69" w:rsidRPr="00D5387F" w:rsidRDefault="00326202" w:rsidP="005D6DEA">
      <w:pPr>
        <w:pStyle w:val="Nadpis1"/>
      </w:pPr>
      <w:bookmarkStart w:id="7" w:name="_Toc330039537"/>
      <w:r w:rsidRPr="00D5387F">
        <w:lastRenderedPageBreak/>
        <w:t>Problematika</w:t>
      </w:r>
      <w:r w:rsidR="001D48BE" w:rsidRPr="00D5387F">
        <w:t xml:space="preserve"> pojmosloví</w:t>
      </w:r>
      <w:bookmarkEnd w:id="7"/>
    </w:p>
    <w:p w:rsidR="001D48BE" w:rsidRPr="00D5387F" w:rsidRDefault="001D48BE" w:rsidP="001412ED">
      <w:pPr>
        <w:pStyle w:val="Nadpis2"/>
      </w:pPr>
      <w:bookmarkStart w:id="8" w:name="_Toc330039538"/>
      <w:r w:rsidRPr="00D5387F">
        <w:t>Odlišnost v definicích pojmu „</w:t>
      </w:r>
      <w:r w:rsidRPr="001412ED">
        <w:t>lobbing</w:t>
      </w:r>
      <w:r w:rsidRPr="00D5387F">
        <w:t>“</w:t>
      </w:r>
      <w:bookmarkEnd w:id="8"/>
    </w:p>
    <w:p w:rsidR="00CA0D69" w:rsidRPr="00D5387F" w:rsidRDefault="00CA0D69" w:rsidP="005D6DEA">
      <w:r w:rsidRPr="00D5387F">
        <w:t xml:space="preserve">Z akademického hlediska existuje mnoho výkladů a definicí lobbingu, které se liší </w:t>
      </w:r>
      <w:r w:rsidR="00325173" w:rsidRPr="00D5387F">
        <w:t>v ohledech</w:t>
      </w:r>
      <w:r w:rsidRPr="00D5387F">
        <w:t xml:space="preserve"> jako je zaměření se na konkrétní činnosti, které lobbing zahrnuje, kde se daný lobbing vyskytuje (například lobbing v EU se může definovat jiným způsobem než lobbing na národní úrovni) nebo jaká je šíře výkladu (co se pod lobbing ještě zahrnuje a co už nikoliv).</w:t>
      </w:r>
    </w:p>
    <w:p w:rsidR="00CA0D69" w:rsidRPr="00D5387F" w:rsidRDefault="00CA0D69" w:rsidP="005D6DEA">
      <w:r w:rsidRPr="00D5387F">
        <w:t xml:space="preserve">Pro účely diplomové práce je však vhodné předeslat, že se nebudeme zabývat etymologickým významem slova, nýbrž výkladem činnosti, která se pod tímto slovem skrývá. Etymologický význam je zde totiž nepodstatný, kdežto rozsah a upřesnění činností, které pod lobbing ještě spadají, </w:t>
      </w:r>
      <w:r w:rsidR="0066718A" w:rsidRPr="00D5387F">
        <w:t>jsou</w:t>
      </w:r>
      <w:r w:rsidRPr="00D5387F">
        <w:t xml:space="preserve"> pro kvalitní regulaci této oblasti takřka klíčové. Nejdříve jsou uvedeny některé vybrané definice lobbingu, jak je vidí akademičtí odborníci či mimoevropská legislativa. Poté bude analyzováno chápání pojmu evropskými institucemi.</w:t>
      </w:r>
    </w:p>
    <w:p w:rsidR="00CA0D69" w:rsidRPr="00D5387F" w:rsidRDefault="00CA0D69" w:rsidP="005D6DEA">
      <w:r w:rsidRPr="00D5387F">
        <w:t>Obecné a všemi uznávané vymezení pojmu lobbing v podstatě neexistuje, avšak definice se mohou shodovat v některých částech. Důvodem pro tyto odlišnosti jsou různé kulturní dispozice jednotlivých států, ve kterých lobbing probíhá</w:t>
      </w:r>
      <w:r w:rsidR="0066718A" w:rsidRPr="00D5387F">
        <w:t>, a také jejich politické a institucionální</w:t>
      </w:r>
      <w:r w:rsidRPr="00D5387F">
        <w:t xml:space="preserve"> nastavení. Navíc, každý z těch, kdo lobbing definují, na něj má jiný názor, jinak chápe šíři pojmu a popisuje jej z jiného úhlu pohledu. </w:t>
      </w:r>
      <w:r w:rsidR="00325173" w:rsidRPr="00D5387F">
        <w:t xml:space="preserve">Díky tomu </w:t>
      </w:r>
      <w:r w:rsidRPr="00D5387F">
        <w:t>se</w:t>
      </w:r>
      <w:r w:rsidR="00325173" w:rsidRPr="00D5387F">
        <w:t xml:space="preserve"> případně</w:t>
      </w:r>
      <w:r w:rsidRPr="00D5387F">
        <w:t xml:space="preserve"> může stát, že </w:t>
      </w:r>
      <w:r w:rsidR="0066718A" w:rsidRPr="00D5387F">
        <w:t xml:space="preserve">si </w:t>
      </w:r>
      <w:r w:rsidRPr="00D5387F">
        <w:t>někdo lobbing vykládá negativně jako špatnou věc, kdežto pro někoho je naopak nepostradatelný.</w:t>
      </w:r>
    </w:p>
    <w:p w:rsidR="00C826F8" w:rsidRPr="00D5387F" w:rsidRDefault="00132069" w:rsidP="005D6DEA">
      <w:r>
        <w:t>Valt Kal</w:t>
      </w:r>
      <w:r w:rsidR="00CA0D69" w:rsidRPr="00D5387F">
        <w:t>ni</w:t>
      </w:r>
      <w:r>
        <w:t>n</w:t>
      </w:r>
      <w:r w:rsidR="00CA0D69" w:rsidRPr="00D5387F">
        <w:t>š ve své studii o Lotyšsku</w:t>
      </w:r>
      <w:r w:rsidR="0066718A" w:rsidRPr="00D5387F">
        <w:rPr>
          <w:rStyle w:val="Znakapoznpodarou"/>
        </w:rPr>
        <w:footnoteReference w:id="11"/>
      </w:r>
      <w:r w:rsidR="00CA0D69" w:rsidRPr="00D5387F">
        <w:t xml:space="preserve"> vidí lobbing jako interakci soukromých osob se státními orgány místní správy/samosprávy s cílem dosáhnout toho, aby byla nebo nebyla přijata některá rozhodnutí</w:t>
      </w:r>
      <w:r w:rsidR="0066718A" w:rsidRPr="00D5387F">
        <w:t>,</w:t>
      </w:r>
      <w:r w:rsidR="00CA0D69" w:rsidRPr="00D5387F">
        <w:t xml:space="preserve"> anebo byly </w:t>
      </w:r>
      <w:r w:rsidR="0066718A" w:rsidRPr="00D5387F">
        <w:t>či</w:t>
      </w:r>
      <w:r w:rsidR="00CA0D69" w:rsidRPr="00D5387F">
        <w:t xml:space="preserve"> nebyly realizovány určité aktivity tak, jak si žádají </w:t>
      </w:r>
      <w:r w:rsidR="00325173" w:rsidRPr="00D5387F">
        <w:t>soukromé</w:t>
      </w:r>
      <w:r w:rsidR="00CA0D69" w:rsidRPr="00D5387F">
        <w:t xml:space="preserve"> nebo třetí osoby (klienti). Lobbování nezahrnuje aktivity soukromých osob, které jsou součásti administrativních nebo právních procedur, stejně jako nezahrnuje aktivity, které se odehrávají výlučně na otevřené veřejné scéně a k</w:t>
      </w:r>
      <w:r w:rsidR="00AF63B5" w:rsidRPr="00D5387F">
        <w:t>teré by jakýmkoli způsobem mohly</w:t>
      </w:r>
      <w:r w:rsidR="00CA0D69" w:rsidRPr="00D5387F">
        <w:t xml:space="preserve"> být považovány za korupční jednání.</w:t>
      </w:r>
      <w:r w:rsidR="00C826F8" w:rsidRPr="00D5387F">
        <w:t xml:space="preserve"> Tento popis odpovídá popisu lobbingu na evropské úrovni, avšak není pro něj úplný. Evropský lobbing se totiž netý</w:t>
      </w:r>
      <w:r w:rsidR="00FE7F89" w:rsidRPr="00D5387F">
        <w:t xml:space="preserve">ká pouze soukromých </w:t>
      </w:r>
      <w:r w:rsidR="0066718A" w:rsidRPr="00D5387F">
        <w:lastRenderedPageBreak/>
        <w:t>subjektů</w:t>
      </w:r>
      <w:r w:rsidR="00FE7F89" w:rsidRPr="00D5387F">
        <w:t xml:space="preserve">, kterými jsou myšleny </w:t>
      </w:r>
      <w:r w:rsidR="0066718A" w:rsidRPr="00D5387F">
        <w:t>především</w:t>
      </w:r>
      <w:r w:rsidR="00FE7F89" w:rsidRPr="00D5387F">
        <w:t xml:space="preserve"> firmy a nevládní organizace.</w:t>
      </w:r>
      <w:r w:rsidR="0066718A" w:rsidRPr="00D5387F">
        <w:t xml:space="preserve"> D</w:t>
      </w:r>
      <w:r w:rsidR="00FE7F89" w:rsidRPr="00D5387F">
        <w:t>o evropského lobbingu lze</w:t>
      </w:r>
      <w:r w:rsidR="0066718A" w:rsidRPr="00D5387F">
        <w:t xml:space="preserve"> naopak</w:t>
      </w:r>
      <w:r w:rsidR="00FE7F89" w:rsidRPr="00D5387F">
        <w:t xml:space="preserve"> zařadit i některé „nepřímé“ prosazování zájmů vlád členských států, které mají u institucí určité „attaché“ snaží</w:t>
      </w:r>
      <w:r w:rsidR="0066718A" w:rsidRPr="00D5387F">
        <w:t>cí se</w:t>
      </w:r>
      <w:r w:rsidR="00FE7F89" w:rsidRPr="00D5387F">
        <w:t xml:space="preserve"> ovlivnit legislativu dotýkající se daného členského státu.</w:t>
      </w:r>
    </w:p>
    <w:p w:rsidR="00CA0D69" w:rsidRPr="00D5387F" w:rsidRDefault="00CA0D69" w:rsidP="005D6DEA">
      <w:r w:rsidRPr="00D5387F">
        <w:t>Legislativa USA, konkrétně Lobbying Disclosure Act z roku 1995, zabývající se regulací lobbingu na federální úrovni, popisuje lobbistickou činnost jako „lobbistické kontakty a pokusy nebo pokus o takovýto kontakt včetně přípravy a plánování aktivit, výzkum a ostatní přípravné práce</w:t>
      </w:r>
      <w:r w:rsidR="0066718A" w:rsidRPr="00D5387F">
        <w:t>.</w:t>
      </w:r>
      <w:r w:rsidRPr="00D5387F">
        <w:t xml:space="preserve"> […] Za lobbistický kontakt se považuje jakákoli ústní nebo písemná (tj. elektronická) komunikace s úředníky exekutivní složky nebo úře</w:t>
      </w:r>
      <w:r w:rsidR="0066718A" w:rsidRPr="00D5387F">
        <w:t>dníky legislativní složky konaná</w:t>
      </w:r>
      <w:r w:rsidRPr="00D5387F">
        <w:t xml:space="preserve"> ve prospěch svých klientů […] za úplatu.“</w:t>
      </w:r>
      <w:r w:rsidRPr="00D5387F">
        <w:rPr>
          <w:rStyle w:val="Znakapoznpodarou"/>
        </w:rPr>
        <w:footnoteReference w:id="12"/>
      </w:r>
      <w:r w:rsidRPr="00D5387F">
        <w:t xml:space="preserve"> S tímto výkladem lze do určité míry souhlasit. Otázkou už je šíře aktivit, </w:t>
      </w:r>
      <w:r w:rsidR="0066718A" w:rsidRPr="00D5387F">
        <w:t>tedy</w:t>
      </w:r>
      <w:r w:rsidR="00AF63B5" w:rsidRPr="00D5387F">
        <w:t xml:space="preserve"> </w:t>
      </w:r>
      <w:r w:rsidRPr="00D5387F">
        <w:t xml:space="preserve">zda do lobbingu zahrnout i přípravu a plánování, či až samotné kontaktování. Nicméně je vhodné podotknout, že americká legislativa má v podstatě přesně </w:t>
      </w:r>
      <w:r w:rsidR="0066718A" w:rsidRPr="00D5387F">
        <w:t>definováno</w:t>
      </w:r>
      <w:r w:rsidRPr="00D5387F">
        <w:t>, co se za lobbing pro účely jeho regulace považuje.</w:t>
      </w:r>
    </w:p>
    <w:p w:rsidR="00CA0D69" w:rsidRPr="00D5387F" w:rsidRDefault="00CA0D69" w:rsidP="005D6DEA">
      <w:r w:rsidRPr="00D5387F">
        <w:t>V předchozím odstavci jsme mohli vidět, že pro účely regulace je potřeba regulovanou činnost náležitě vymezit. Mají však evropské instituce svou definici? A jestli ano, shodují se v ní, nebo si každá z nich pod pojmem lobbing představuje něco jiného? Pokud by totiž docházelo k rozdílným interpretacím, znamenalo by to v jistém smyslu i nemožnost regulaci interinstitucionálně koordinovat.</w:t>
      </w:r>
    </w:p>
    <w:p w:rsidR="001D48BE" w:rsidRPr="00D5387F" w:rsidRDefault="001D48BE" w:rsidP="001D48BE">
      <w:r w:rsidRPr="00D5387F">
        <w:t xml:space="preserve">Jak již bylo nastíněno výše v této kapitole, problém je také v tom, jak dalekosáhle mají instituce lobbing definovat. Ten totiž může zahrnovat například </w:t>
      </w:r>
      <w:r w:rsidR="000373C2" w:rsidRPr="00D5387F">
        <w:t xml:space="preserve">i </w:t>
      </w:r>
      <w:r w:rsidRPr="00D5387F">
        <w:t xml:space="preserve">firemní vzdělávání apod., což pochopitelně není pro regulaci lobbingu jako činnost nijak relevantní. Jednoduše řečeno, stačí pouze vyjasnit definici přístupu k institucím, </w:t>
      </w:r>
      <w:r w:rsidR="000373C2" w:rsidRPr="00D5387F">
        <w:t xml:space="preserve">tedy </w:t>
      </w:r>
      <w:r w:rsidRPr="00D5387F">
        <w:t>způsob, jakým lobbisté přistupují a prostřednictvím jakých „kanálů“. Dále je vhodné ujasnit, koho za lobbistu považovat a jaké dopady jednání se zahrnují do tohoto pojmu.</w:t>
      </w:r>
    </w:p>
    <w:p w:rsidR="00CA0D69" w:rsidRPr="00D5387F" w:rsidRDefault="00AF63B5" w:rsidP="005D6DEA">
      <w:r w:rsidRPr="00D5387F">
        <w:t>EP</w:t>
      </w:r>
      <w:r w:rsidR="00CA0D69" w:rsidRPr="00D5387F">
        <w:t xml:space="preserve"> a Komise </w:t>
      </w:r>
      <w:r w:rsidR="008563F8">
        <w:t>má každá svou vlastní</w:t>
      </w:r>
      <w:r w:rsidR="00CA0D69" w:rsidRPr="00D5387F">
        <w:t xml:space="preserve"> definici lobbingu. Komise pod tímto pojmem chápe „veškeré činnosti vykonávané s cílem ovlivnit formulování politiky a rozhodovací procesy evropských orgánů.“</w:t>
      </w:r>
      <w:r w:rsidR="00CA0D69" w:rsidRPr="00D5387F">
        <w:rPr>
          <w:rStyle w:val="Znakapoznpodarou"/>
        </w:rPr>
        <w:footnoteReference w:id="13"/>
      </w:r>
      <w:r w:rsidR="00CA0D69" w:rsidRPr="00D5387F">
        <w:t xml:space="preserve"> </w:t>
      </w:r>
      <w:r w:rsidR="00ED69A1" w:rsidRPr="00D5387F">
        <w:t>Jinými slovy,</w:t>
      </w:r>
      <w:r w:rsidR="00CA0D69" w:rsidRPr="00D5387F">
        <w:t xml:space="preserve"> </w:t>
      </w:r>
      <w:r w:rsidR="00ED69A1" w:rsidRPr="00D5387F">
        <w:t>vnímá</w:t>
      </w:r>
      <w:r w:rsidR="00CA0D69" w:rsidRPr="00D5387F">
        <w:t xml:space="preserve"> lobbing jako reprezentaci zájmů. </w:t>
      </w:r>
      <w:r w:rsidR="00F06F57" w:rsidRPr="00D5387F">
        <w:t xml:space="preserve">Podle </w:t>
      </w:r>
      <w:r w:rsidRPr="00D5387F">
        <w:t>EP</w:t>
      </w:r>
      <w:r w:rsidR="00CA0D69" w:rsidRPr="00D5387F">
        <w:t xml:space="preserve"> „</w:t>
      </w:r>
      <w:r w:rsidR="00F06F57" w:rsidRPr="00D5387F">
        <w:rPr>
          <w:bCs/>
        </w:rPr>
        <w:t>zástupci zájmových skupin</w:t>
      </w:r>
      <w:r w:rsidR="00F06F57" w:rsidRPr="00D5387F">
        <w:t xml:space="preserve"> mohou být soukromé, veřejné nebo nevládní subjekty. Mohou </w:t>
      </w:r>
      <w:r w:rsidR="00F06F57" w:rsidRPr="00D5387F">
        <w:lastRenderedPageBreak/>
        <w:t>Parlamentu poskytovat vědomosti a specifickou odbornost v řadě ekonomických, sociálních, environmentálních a vědeckých oblastí. Mohou hrát klíčovou roli v rámci otevřeného mnohostranného dialogu, na němž se demokratický systém zakládá, a mohou být důležitým zdrojem informací pro poslance při výkonu jejich povinností</w:t>
      </w:r>
      <w:r w:rsidR="00CA0D69" w:rsidRPr="00D5387F">
        <w:t>“</w:t>
      </w:r>
      <w:r w:rsidR="00CA0D69" w:rsidRPr="00D5387F">
        <w:rPr>
          <w:rStyle w:val="Znakapoznpodarou"/>
        </w:rPr>
        <w:footnoteReference w:id="14"/>
      </w:r>
      <w:r w:rsidR="00CA0D69" w:rsidRPr="00D5387F">
        <w:t xml:space="preserve">. Rozdíl v těchto dvou definicích je spíše v úhlu pohledu. Komise se totiž zaměřuje na samotnou </w:t>
      </w:r>
      <w:r w:rsidR="00ED69A1" w:rsidRPr="00D5387F">
        <w:t xml:space="preserve">ovlivňující </w:t>
      </w:r>
      <w:r w:rsidR="00CA0D69" w:rsidRPr="00D5387F">
        <w:t xml:space="preserve">činnost, která může být vykonávaná kýmkoliv. Naopak EP se zabývá samotnými aktéry a jejich </w:t>
      </w:r>
      <w:r w:rsidR="00ED69A1" w:rsidRPr="00D5387F">
        <w:t xml:space="preserve">pozitivním </w:t>
      </w:r>
      <w:r w:rsidR="00CA0D69" w:rsidRPr="00D5387F">
        <w:t xml:space="preserve">dopadem, který jejich činnost přináší. Avšak čteno </w:t>
      </w:r>
      <w:r w:rsidR="00ED69A1" w:rsidRPr="00D5387F">
        <w:t>„</w:t>
      </w:r>
      <w:r w:rsidR="00CA0D69" w:rsidRPr="00D5387F">
        <w:t>mezi řádky</w:t>
      </w:r>
      <w:r w:rsidR="00ED69A1" w:rsidRPr="00D5387F">
        <w:t>“</w:t>
      </w:r>
      <w:r w:rsidR="00CA0D69" w:rsidRPr="00D5387F">
        <w:t xml:space="preserve">, podle definice Komise </w:t>
      </w:r>
      <w:r w:rsidR="00BA7A43">
        <w:t>sem</w:t>
      </w:r>
      <w:r w:rsidR="00CA0D69" w:rsidRPr="00D5387F">
        <w:t xml:space="preserve"> </w:t>
      </w:r>
      <w:r w:rsidR="00ED69A1" w:rsidRPr="00D5387F">
        <w:t>mohou</w:t>
      </w:r>
      <w:r w:rsidR="00CA0D69" w:rsidRPr="00D5387F">
        <w:t xml:space="preserve"> patřit všichni aktéři jmenováni EP a dopad jejich činnosti může být stejný jako u EP. Způsob činnosti vymezený Komisí pak může zapadat do způsobu, jakým jsou poskytovány dopady v definici EP. Jinými slovy, ani jedna z definic si</w:t>
      </w:r>
      <w:r w:rsidR="00ED69A1" w:rsidRPr="00D5387F">
        <w:t xml:space="preserve"> až tolik</w:t>
      </w:r>
      <w:r w:rsidR="00CA0D69" w:rsidRPr="00D5387F">
        <w:t xml:space="preserve"> neprotiřečí a společně dávají docela přesný pohled na to, co je pod pojmem </w:t>
      </w:r>
      <w:r w:rsidR="00CA0D69" w:rsidRPr="00D5387F">
        <w:rPr>
          <w:i/>
        </w:rPr>
        <w:t>lobbing</w:t>
      </w:r>
      <w:r w:rsidR="00CA0D69" w:rsidRPr="00D5387F">
        <w:t xml:space="preserve"> v institucích chápáno.</w:t>
      </w:r>
    </w:p>
    <w:p w:rsidR="00CA0D69" w:rsidRPr="00D5387F" w:rsidRDefault="00CA0D69" w:rsidP="005D6DEA">
      <w:r w:rsidRPr="00D5387F">
        <w:t>Pokud máme vyjasněnou problematiku pojm</w:t>
      </w:r>
      <w:r w:rsidR="00FD4519" w:rsidRPr="00D5387F">
        <w:t>u lobbing, je potřeba ještě uvés</w:t>
      </w:r>
      <w:r w:rsidRPr="00D5387F">
        <w:t xml:space="preserve">t, co jsou tzv. zájmové skupiny, které tuto činnost provozují a jak se odlišují od ostatních, často ryze politických subjektů. Zájmové skupiny a politické strany se totiž v mnoha charakteristikách sice shodují, nicméně odlišují se </w:t>
      </w:r>
      <w:r w:rsidR="00655166" w:rsidRPr="00D5387F">
        <w:t>v nezájmu</w:t>
      </w:r>
      <w:r w:rsidRPr="00D5387F">
        <w:t xml:space="preserve"> o </w:t>
      </w:r>
      <w:r w:rsidR="00655166" w:rsidRPr="00D5387F">
        <w:t>zisk</w:t>
      </w:r>
      <w:r w:rsidRPr="00D5387F">
        <w:t xml:space="preserve"> politické moci prostřednictvím voleb.</w:t>
      </w:r>
      <w:r w:rsidRPr="00D5387F">
        <w:rPr>
          <w:rStyle w:val="Znakapoznpodarou"/>
        </w:rPr>
        <w:footnoteReference w:id="15"/>
      </w:r>
      <w:r w:rsidRPr="00D5387F">
        <w:t xml:space="preserve"> Na moci jiných však profitují prostřednictvím prosazování svého zájmu, čímž usnadňují zisk informací pro ty, </w:t>
      </w:r>
      <w:r w:rsidR="00AF63B5" w:rsidRPr="00D5387F">
        <w:t>kteří</w:t>
      </w:r>
      <w:r w:rsidRPr="00D5387F">
        <w:t xml:space="preserve"> moc mají, a to často prostřednictvím rů</w:t>
      </w:r>
      <w:r w:rsidR="00AF63B5" w:rsidRPr="00D5387F">
        <w:t>zných expertních analýz, názorů</w:t>
      </w:r>
      <w:r w:rsidRPr="00D5387F">
        <w:t xml:space="preserve"> na chystanou legislativu apod.</w:t>
      </w:r>
    </w:p>
    <w:p w:rsidR="00CA0D69" w:rsidRPr="00D5387F" w:rsidRDefault="00CA0D69" w:rsidP="005D6DEA">
      <w:r w:rsidRPr="00D5387F">
        <w:t>I zájmy jako takové se dají dělit do různých typů. Například Komise rozlišuje dvě skupiny zájmů, a to ziskové (právní poradci, firmy a konzultanti v oblasti veřejných vztahů a veřejných záležitostí) a neziskové (evropské a (mezi)národní asociace/federace).</w:t>
      </w:r>
      <w:r w:rsidRPr="00D5387F">
        <w:rPr>
          <w:rStyle w:val="Znakapoznpodarou"/>
        </w:rPr>
        <w:footnoteReference w:id="16"/>
      </w:r>
      <w:r w:rsidRPr="00D5387F">
        <w:t xml:space="preserve"> Zde se pak zájmy a zájmové skupiny liší v důsledku, který pro ně prosazený zájem přinese.</w:t>
      </w:r>
    </w:p>
    <w:p w:rsidR="00A7476D" w:rsidRPr="00D5387F" w:rsidRDefault="000564F3" w:rsidP="005D6DEA">
      <w:r>
        <w:t>Pro účely diplomové práce budou pojmy</w:t>
      </w:r>
      <w:r w:rsidR="00A7476D" w:rsidRPr="00D5387F">
        <w:t xml:space="preserve"> </w:t>
      </w:r>
      <w:r w:rsidR="00A7476D" w:rsidRPr="00D5387F">
        <w:rPr>
          <w:i/>
        </w:rPr>
        <w:t>lobbist</w:t>
      </w:r>
      <w:r>
        <w:rPr>
          <w:i/>
        </w:rPr>
        <w:t>é</w:t>
      </w:r>
      <w:r w:rsidR="00A7476D" w:rsidRPr="00D5387F">
        <w:t xml:space="preserve"> </w:t>
      </w:r>
      <w:r>
        <w:t>a</w:t>
      </w:r>
      <w:r w:rsidR="00A7476D" w:rsidRPr="00D5387F">
        <w:t xml:space="preserve"> </w:t>
      </w:r>
      <w:r>
        <w:rPr>
          <w:i/>
        </w:rPr>
        <w:t>zájmové skupiny</w:t>
      </w:r>
      <w:r>
        <w:t xml:space="preserve"> používány k</w:t>
      </w:r>
      <w:r w:rsidR="001F4976">
        <w:t> označení stejného subjektu</w:t>
      </w:r>
      <w:r w:rsidR="00A7476D" w:rsidRPr="00D5387F">
        <w:t xml:space="preserve">. </w:t>
      </w:r>
      <w:r w:rsidR="001F4976">
        <w:t xml:space="preserve">Je pravdou, </w:t>
      </w:r>
      <w:r w:rsidR="001F4976" w:rsidRPr="001F4976">
        <w:t>že</w:t>
      </w:r>
      <w:r w:rsidR="00A7476D" w:rsidRPr="001F4976">
        <w:t xml:space="preserve"> zájmové skupiny </w:t>
      </w:r>
      <w:r w:rsidR="001F4976" w:rsidRPr="001F4976">
        <w:t>jsou</w:t>
      </w:r>
      <w:r w:rsidR="001F4976">
        <w:t xml:space="preserve"> širším pojmem a ne každá z nich </w:t>
      </w:r>
      <w:r w:rsidR="00A7476D" w:rsidRPr="00D5387F">
        <w:t>musí nutně lobbovat</w:t>
      </w:r>
      <w:r w:rsidR="001F4976">
        <w:t xml:space="preserve"> v EU. Nicméně, </w:t>
      </w:r>
      <w:r w:rsidR="00A7476D" w:rsidRPr="001F4976">
        <w:t>lobbisté</w:t>
      </w:r>
      <w:r w:rsidR="00A7476D" w:rsidRPr="00D5387F">
        <w:t xml:space="preserve"> jsou vždy zástupci zájmových skupin</w:t>
      </w:r>
      <w:r w:rsidR="001F4976">
        <w:t xml:space="preserve">, </w:t>
      </w:r>
      <w:r w:rsidR="001F4976">
        <w:lastRenderedPageBreak/>
        <w:t>které reprezentují, a tudíž prosazování zájmů lobbistů přeneseně znamená prosazování zájmů zájmových skupin</w:t>
      </w:r>
      <w:r w:rsidR="00A7476D" w:rsidRPr="00D5387F">
        <w:t>.</w:t>
      </w:r>
    </w:p>
    <w:p w:rsidR="00094A19" w:rsidRPr="00D5387F" w:rsidRDefault="00094A19" w:rsidP="00EC23B7">
      <w:pPr>
        <w:pStyle w:val="Nadpis2"/>
      </w:pPr>
      <w:bookmarkStart w:id="14" w:name="_Toc330039539"/>
      <w:r w:rsidRPr="00D5387F">
        <w:t>Nejasná definice jako překážka v</w:t>
      </w:r>
      <w:r w:rsidR="00E30C1C" w:rsidRPr="00D5387F">
        <w:t> </w:t>
      </w:r>
      <w:r w:rsidRPr="00D5387F">
        <w:t>regulaci</w:t>
      </w:r>
      <w:bookmarkEnd w:id="14"/>
    </w:p>
    <w:p w:rsidR="00094A19" w:rsidRPr="00D5387F" w:rsidRDefault="00E73ECD" w:rsidP="001D48BE">
      <w:r w:rsidRPr="00D5387F">
        <w:t xml:space="preserve">Jak lze vyčíst z předchozí kapitoly </w:t>
      </w:r>
      <w:r w:rsidR="00AF63B5" w:rsidRPr="00D5387F">
        <w:t>1.1</w:t>
      </w:r>
      <w:r w:rsidRPr="00D5387F">
        <w:t xml:space="preserve">, není jednotně </w:t>
      </w:r>
      <w:r w:rsidR="00AF63B5" w:rsidRPr="00D5387F">
        <w:t>zavedeno</w:t>
      </w:r>
      <w:r w:rsidRPr="00D5387F">
        <w:t xml:space="preserve">, kdo všechno patří mezi lobbisty a kdo už je mimo tento rámec. </w:t>
      </w:r>
      <w:r w:rsidR="00CC7514" w:rsidRPr="00D5387F">
        <w:t>S</w:t>
      </w:r>
      <w:r w:rsidRPr="00D5387F">
        <w:t xml:space="preserve">hoda napříč institucemi </w:t>
      </w:r>
      <w:r w:rsidR="00BA2780" w:rsidRPr="00D5387F">
        <w:t xml:space="preserve">se teprve </w:t>
      </w:r>
      <w:r w:rsidRPr="00D5387F">
        <w:t>zač</w:t>
      </w:r>
      <w:r w:rsidR="00CC7514" w:rsidRPr="00D5387F">
        <w:t>íná rozvíjet</w:t>
      </w:r>
      <w:r w:rsidRPr="00D5387F">
        <w:t xml:space="preserve"> </w:t>
      </w:r>
      <w:r w:rsidR="00BA2780" w:rsidRPr="00D5387F">
        <w:t>například v rámci společ</w:t>
      </w:r>
      <w:r w:rsidR="00CC7514" w:rsidRPr="00D5387F">
        <w:t>ného rejstříku transparentnosti.</w:t>
      </w:r>
      <w:r w:rsidR="00BA2780" w:rsidRPr="00D5387F">
        <w:t xml:space="preserve"> </w:t>
      </w:r>
      <w:r w:rsidR="00CC7514" w:rsidRPr="00D5387F">
        <w:t>S</w:t>
      </w:r>
      <w:r w:rsidR="00BA2780" w:rsidRPr="00D5387F">
        <w:t>tále</w:t>
      </w:r>
      <w:r w:rsidR="00CC7514" w:rsidRPr="00D5387F">
        <w:t xml:space="preserve"> však</w:t>
      </w:r>
      <w:r w:rsidR="00BA2780" w:rsidRPr="00D5387F">
        <w:t xml:space="preserve"> ještě mají obě instituce, jak bylo vysvětleno v předchozí kapitole, odlišný pohled na tento pojem</w:t>
      </w:r>
      <w:r w:rsidRPr="00D5387F">
        <w:t>.</w:t>
      </w:r>
    </w:p>
    <w:p w:rsidR="00486CE2" w:rsidRPr="00D5387F" w:rsidRDefault="00254FF6" w:rsidP="00486CE2">
      <w:r w:rsidRPr="00D5387F">
        <w:t xml:space="preserve">Absence jednotného pojmosloví </w:t>
      </w:r>
      <w:r w:rsidR="009F28D2" w:rsidRPr="00D5387F">
        <w:t>znamená</w:t>
      </w:r>
      <w:r w:rsidRPr="00D5387F">
        <w:t xml:space="preserve"> překážku v tom, koh</w:t>
      </w:r>
      <w:r w:rsidR="00BA2780" w:rsidRPr="00D5387F">
        <w:t xml:space="preserve">o se týkají </w:t>
      </w:r>
      <w:r w:rsidR="009F28D2" w:rsidRPr="00D5387F">
        <w:t>analyzované</w:t>
      </w:r>
      <w:r w:rsidR="00BA2780" w:rsidRPr="00D5387F">
        <w:t xml:space="preserve"> druhy regulace, tedy zejména regulace společné napříč institucemi.</w:t>
      </w:r>
      <w:r w:rsidRPr="00D5387F">
        <w:t xml:space="preserve"> Takový nedostatek se mnohdy řeší dobrovolnost</w:t>
      </w:r>
      <w:r w:rsidR="00AF63B5" w:rsidRPr="00D5387F">
        <w:t>í</w:t>
      </w:r>
      <w:r w:rsidRPr="00D5387F">
        <w:t xml:space="preserve">, </w:t>
      </w:r>
      <w:r w:rsidR="00AF63B5" w:rsidRPr="00D5387F">
        <w:t>na jejímž základě</w:t>
      </w:r>
      <w:r w:rsidRPr="00D5387F">
        <w:t xml:space="preserve"> sám subjekt uzná za vhodné počítat se mez</w:t>
      </w:r>
      <w:r w:rsidR="009F28D2" w:rsidRPr="00D5387F">
        <w:t>i lobbisty a případně přistoupí</w:t>
      </w:r>
      <w:r w:rsidRPr="00D5387F">
        <w:t xml:space="preserve"> na regulaci.</w:t>
      </w:r>
      <w:r w:rsidR="00486CE2" w:rsidRPr="00D5387F">
        <w:t xml:space="preserve"> K vyjasnění některých </w:t>
      </w:r>
      <w:r w:rsidR="009F28D2" w:rsidRPr="00D5387F">
        <w:t>specifik</w:t>
      </w:r>
      <w:r w:rsidR="00486CE2" w:rsidRPr="00D5387F">
        <w:t xml:space="preserve"> </w:t>
      </w:r>
      <w:r w:rsidR="009F28D2" w:rsidRPr="00D5387F">
        <w:t>ve významu</w:t>
      </w:r>
      <w:r w:rsidR="00486CE2" w:rsidRPr="00D5387F">
        <w:t xml:space="preserve"> pojm</w:t>
      </w:r>
      <w:r w:rsidR="009F28D2" w:rsidRPr="00D5387F">
        <w:t>u</w:t>
      </w:r>
      <w:r w:rsidR="00486CE2" w:rsidRPr="00D5387F">
        <w:t xml:space="preserve"> lobbing</w:t>
      </w:r>
      <w:r w:rsidR="009F28D2" w:rsidRPr="00D5387F">
        <w:t>u</w:t>
      </w:r>
      <w:r w:rsidR="00486CE2" w:rsidRPr="00D5387F">
        <w:t xml:space="preserve"> v EU nepřímo dochází kodexem lobbistů. Jinými slovy, ten, kdo vyjádř</w:t>
      </w:r>
      <w:r w:rsidR="00AF63B5" w:rsidRPr="00D5387F">
        <w:t>í souhlas s kodexem a řídí se jí</w:t>
      </w:r>
      <w:r w:rsidR="00486CE2" w:rsidRPr="00D5387F">
        <w:t>m v jednání s institucemi, může být považován za lobbistu.</w:t>
      </w:r>
      <w:r w:rsidR="00FA045D" w:rsidRPr="00D5387F">
        <w:t xml:space="preserve"> Podobně </w:t>
      </w:r>
      <w:r w:rsidR="00AF63B5" w:rsidRPr="00D5387F">
        <w:t xml:space="preserve">je </w:t>
      </w:r>
      <w:r w:rsidR="00FA045D" w:rsidRPr="00D5387F">
        <w:t>tomu i u rejstříku transparentnosti, který v podstatě funguje na jakémsi „sebeprohlášení“ se lobbistou.</w:t>
      </w:r>
      <w:r w:rsidR="00FA045D" w:rsidRPr="00D5387F">
        <w:rPr>
          <w:rStyle w:val="Znakapoznpodarou"/>
        </w:rPr>
        <w:footnoteReference w:id="17"/>
      </w:r>
      <w:r w:rsidR="00FA045D" w:rsidRPr="00D5387F">
        <w:t xml:space="preserve"> Pokud se tedy kdokoliv registruje, může být</w:t>
      </w:r>
      <w:r w:rsidR="00F62D7E" w:rsidRPr="00D5387F">
        <w:t xml:space="preserve"> považován za lobbistu. Nicméně</w:t>
      </w:r>
      <w:r w:rsidR="00FA045D" w:rsidRPr="00D5387F">
        <w:t xml:space="preserve"> toto zařazování mezi lob</w:t>
      </w:r>
      <w:r w:rsidR="0073075B" w:rsidRPr="00D5387F">
        <w:t>bisty funguje pouze jednosměrně. Ten, kdo ve skutečnosti lobbuje a</w:t>
      </w:r>
      <w:r w:rsidR="00FA045D" w:rsidRPr="00D5387F">
        <w:t xml:space="preserve"> nepovažuje za vhodné o sobě tvrdit, že je </w:t>
      </w:r>
      <w:r w:rsidR="0073075B" w:rsidRPr="00D5387F">
        <w:t xml:space="preserve">lobbista, </w:t>
      </w:r>
      <w:r w:rsidR="00AF63B5" w:rsidRPr="00D5387F">
        <w:t xml:space="preserve">se </w:t>
      </w:r>
      <w:r w:rsidR="0073075B" w:rsidRPr="00D5387F">
        <w:t xml:space="preserve">nemusí registrovat, a to i přesto, že podle jiných definic </w:t>
      </w:r>
      <w:r w:rsidR="00F62D7E" w:rsidRPr="00D5387F">
        <w:t>mezi lobbisty</w:t>
      </w:r>
      <w:r w:rsidR="0073075B" w:rsidRPr="00D5387F">
        <w:t xml:space="preserve"> zapadá.</w:t>
      </w:r>
    </w:p>
    <w:p w:rsidR="00B40164" w:rsidRPr="00D5387F" w:rsidRDefault="00B40164" w:rsidP="00B40164">
      <w:r w:rsidRPr="00D5387F">
        <w:t xml:space="preserve">Právě </w:t>
      </w:r>
      <w:r w:rsidR="00AF63B5" w:rsidRPr="00D5387F">
        <w:t>tato skutečnost</w:t>
      </w:r>
      <w:r w:rsidRPr="00D5387F">
        <w:t xml:space="preserve"> může přestavovat určitý problém, jelikož řada zájmových skupin považuje za nevhodné označení „lobbista“.</w:t>
      </w:r>
      <w:r w:rsidRPr="00D5387F">
        <w:rPr>
          <w:rStyle w:val="Znakapoznpodarou"/>
        </w:rPr>
        <w:footnoteReference w:id="18"/>
      </w:r>
      <w:r w:rsidRPr="00D5387F">
        <w:t xml:space="preserve"> Bojí se totiž negativního chápání pojmu jak v očích veřejnosti, což pro ně nemusí být zase až tak důležité, ale také v očích institucí, které na základě negativní definice mohou k lobbistům přistupovat opatrně a s</w:t>
      </w:r>
      <w:r w:rsidR="0073075B" w:rsidRPr="00D5387F">
        <w:t> </w:t>
      </w:r>
      <w:r w:rsidRPr="00D5387F">
        <w:t xml:space="preserve">nedůvěrou. </w:t>
      </w:r>
      <w:r w:rsidR="00AF63B5" w:rsidRPr="00D5387F">
        <w:t>P</w:t>
      </w:r>
      <w:r w:rsidR="0073075B" w:rsidRPr="00D5387F">
        <w:t>oslední</w:t>
      </w:r>
      <w:r w:rsidR="00AF63B5" w:rsidRPr="00D5387F">
        <w:t xml:space="preserve"> zmíněné</w:t>
      </w:r>
      <w:r w:rsidRPr="00D5387F">
        <w:t xml:space="preserve"> se však nejspíše nebude dít v institucích evropských, kde je lobbing vnímán veskrze pozitivně a mnohdy i konstruktivně.</w:t>
      </w:r>
      <w:r w:rsidR="0073075B" w:rsidRPr="00D5387F">
        <w:t xml:space="preserve"> </w:t>
      </w:r>
      <w:r w:rsidR="00545C82" w:rsidRPr="00D5387F">
        <w:t>Hovoříme-li o nesouhlasu</w:t>
      </w:r>
      <w:r w:rsidR="0073075B" w:rsidRPr="00D5387F">
        <w:t xml:space="preserve"> sam</w:t>
      </w:r>
      <w:r w:rsidR="00545C82" w:rsidRPr="00D5387F">
        <w:t>otných</w:t>
      </w:r>
      <w:r w:rsidR="0073075B" w:rsidRPr="00D5387F">
        <w:t xml:space="preserve"> zájmový</w:t>
      </w:r>
      <w:r w:rsidR="00545C82" w:rsidRPr="00D5387F">
        <w:t>ch</w:t>
      </w:r>
      <w:r w:rsidR="0073075B" w:rsidRPr="00D5387F">
        <w:t xml:space="preserve"> skupin</w:t>
      </w:r>
      <w:r w:rsidR="00545C82" w:rsidRPr="00D5387F">
        <w:t xml:space="preserve"> s tvrzením</w:t>
      </w:r>
      <w:r w:rsidR="0073075B" w:rsidRPr="00D5387F">
        <w:t>, že</w:t>
      </w:r>
      <w:r w:rsidR="00545C82" w:rsidRPr="00D5387F">
        <w:t xml:space="preserve"> jejich</w:t>
      </w:r>
      <w:r w:rsidR="0073075B" w:rsidRPr="00D5387F">
        <w:t xml:space="preserve"> činnost spadá pod lobbing, </w:t>
      </w:r>
      <w:r w:rsidR="00545C82" w:rsidRPr="00D5387F">
        <w:t xml:space="preserve">měly by </w:t>
      </w:r>
      <w:r w:rsidR="0073075B" w:rsidRPr="00D5387F">
        <w:t>podle Komise námitky</w:t>
      </w:r>
      <w:r w:rsidR="00545C82" w:rsidRPr="00D5387F">
        <w:t xml:space="preserve"> </w:t>
      </w:r>
      <w:r w:rsidR="00545C82" w:rsidRPr="00D5387F">
        <w:lastRenderedPageBreak/>
        <w:t>podobného charakteru</w:t>
      </w:r>
      <w:r w:rsidR="0073075B" w:rsidRPr="00D5387F">
        <w:t xml:space="preserve"> padnout ujasněním formulací používaných v rejstříku a vytvořením zvláštní kategorie pro skupiny odborníků</w:t>
      </w:r>
      <w:r w:rsidR="00545C82" w:rsidRPr="00D5387F">
        <w:t xml:space="preserve"> (</w:t>
      </w:r>
      <w:r w:rsidR="005175B5" w:rsidRPr="00D5387F">
        <w:t xml:space="preserve">je </w:t>
      </w:r>
      <w:r w:rsidR="00545C82" w:rsidRPr="00D5387F">
        <w:t>tím myšleno rozšíření kategorií)</w:t>
      </w:r>
      <w:r w:rsidR="0073075B" w:rsidRPr="00D5387F">
        <w:t>.</w:t>
      </w:r>
      <w:r w:rsidR="0073075B" w:rsidRPr="00D5387F">
        <w:rPr>
          <w:rStyle w:val="Znakapoznpodarou"/>
        </w:rPr>
        <w:footnoteReference w:id="19"/>
      </w:r>
    </w:p>
    <w:p w:rsidR="001D48BE" w:rsidRPr="00D5387F" w:rsidRDefault="005175B5" w:rsidP="001D48BE">
      <w:r w:rsidRPr="00D5387F">
        <w:t>Proto</w:t>
      </w:r>
      <w:r w:rsidR="00094A19" w:rsidRPr="00D5387F">
        <w:t>že pojem lobbista nelze jednoznačně definovat, a tudíž ani nelze přesně určit, kdo jím ještě je a kdo není, je také jejich přímá regulace mnohem složitější. V některých ohledech může být takřka nemožná. Mnohem jednodušší je kontrolovat přístupové kanály k těm, kteří jsou lobbováni, tedy především k institucím EU.</w:t>
      </w:r>
      <w:r w:rsidR="00BA2780" w:rsidRPr="00D5387F">
        <w:t xml:space="preserve"> Jinými slovy, </w:t>
      </w:r>
      <w:r w:rsidR="00545C82" w:rsidRPr="00D5387F">
        <w:t xml:space="preserve">mluvíme o </w:t>
      </w:r>
      <w:r w:rsidR="00BA2780" w:rsidRPr="00D5387F">
        <w:t>nastavení jasný</w:t>
      </w:r>
      <w:r w:rsidR="00545C82" w:rsidRPr="00D5387F">
        <w:t>ch regulačních mechanismů</w:t>
      </w:r>
      <w:r w:rsidR="00BA2780" w:rsidRPr="00D5387F">
        <w:t xml:space="preserve"> pro všechny, </w:t>
      </w:r>
      <w:r w:rsidR="00B3258E" w:rsidRPr="00D5387F">
        <w:t>u koho je prosazován</w:t>
      </w:r>
      <w:r w:rsidR="00BA2780" w:rsidRPr="00D5387F">
        <w:t xml:space="preserve"> </w:t>
      </w:r>
      <w:r w:rsidR="00B3258E" w:rsidRPr="00D5387F">
        <w:t>nějaký</w:t>
      </w:r>
      <w:r w:rsidR="00BA2780" w:rsidRPr="00D5387F">
        <w:t xml:space="preserve"> zájem</w:t>
      </w:r>
      <w:r w:rsidR="00C640AA" w:rsidRPr="00D5387F">
        <w:t>.</w:t>
      </w:r>
    </w:p>
    <w:p w:rsidR="00FA045D" w:rsidRPr="00D5387F" w:rsidRDefault="00BA2780" w:rsidP="00FA045D">
      <w:r w:rsidRPr="00D5387F">
        <w:t xml:space="preserve">Je </w:t>
      </w:r>
      <w:r w:rsidR="00C640AA" w:rsidRPr="00D5387F">
        <w:t xml:space="preserve">také </w:t>
      </w:r>
      <w:r w:rsidRPr="00D5387F">
        <w:t xml:space="preserve">potřeba oddělit </w:t>
      </w:r>
      <w:r w:rsidR="00217BF3" w:rsidRPr="00D5387F">
        <w:t>pouhé</w:t>
      </w:r>
      <w:r w:rsidR="00545C82" w:rsidRPr="00D5387F">
        <w:t xml:space="preserve"> prosazování zájmů soukromými</w:t>
      </w:r>
      <w:r w:rsidRPr="00D5387F">
        <w:t xml:space="preserve"> subjekt</w:t>
      </w:r>
      <w:r w:rsidR="00545C82" w:rsidRPr="00D5387F">
        <w:t>y</w:t>
      </w:r>
      <w:r w:rsidRPr="00D5387F">
        <w:t xml:space="preserve"> od </w:t>
      </w:r>
      <w:r w:rsidR="00545C82" w:rsidRPr="00D5387F">
        <w:t>zájmů</w:t>
      </w:r>
      <w:r w:rsidRPr="00D5387F">
        <w:t xml:space="preserve"> zástupc</w:t>
      </w:r>
      <w:r w:rsidR="00545C82" w:rsidRPr="00D5387F">
        <w:t>ů</w:t>
      </w:r>
      <w:r w:rsidRPr="00D5387F">
        <w:t xml:space="preserve"> národních vlád, kde by se pravidla</w:t>
      </w:r>
      <w:r w:rsidR="00545C82" w:rsidRPr="00D5387F">
        <w:t xml:space="preserve"> přístupu a regulace</w:t>
      </w:r>
      <w:r w:rsidRPr="00D5387F">
        <w:t xml:space="preserve"> měla odlišovat. </w:t>
      </w:r>
      <w:r w:rsidR="003B64F2" w:rsidRPr="00D5387F">
        <w:t xml:space="preserve">Například britská stálá reprezentace </w:t>
      </w:r>
      <w:r w:rsidR="00E537E1" w:rsidRPr="00D5387F">
        <w:t>poměrně často</w:t>
      </w:r>
      <w:r w:rsidR="003B64F2" w:rsidRPr="00D5387F">
        <w:t xml:space="preserve"> lobb</w:t>
      </w:r>
      <w:r w:rsidR="00E537E1" w:rsidRPr="00D5387F">
        <w:t>uje</w:t>
      </w:r>
      <w:r w:rsidR="003B64F2" w:rsidRPr="00D5387F">
        <w:t xml:space="preserve"> klíčov</w:t>
      </w:r>
      <w:r w:rsidR="00E537E1" w:rsidRPr="00D5387F">
        <w:t>é</w:t>
      </w:r>
      <w:r w:rsidR="003B64F2" w:rsidRPr="00D5387F">
        <w:t xml:space="preserve"> poslanc</w:t>
      </w:r>
      <w:r w:rsidR="00E537E1" w:rsidRPr="00D5387F">
        <w:t>e</w:t>
      </w:r>
      <w:r w:rsidR="003B64F2" w:rsidRPr="00D5387F">
        <w:t xml:space="preserve"> EP (zpravodaj</w:t>
      </w:r>
      <w:r w:rsidR="00E537E1" w:rsidRPr="00D5387F">
        <w:t>e, koordinátory</w:t>
      </w:r>
      <w:r w:rsidR="003B64F2" w:rsidRPr="00D5387F">
        <w:t>) pracující na dokumentaci týkající se zájmů Velké Británie.</w:t>
      </w:r>
      <w:r w:rsidR="003B64F2" w:rsidRPr="00D5387F">
        <w:rPr>
          <w:rStyle w:val="Znakapoznpodarou"/>
        </w:rPr>
        <w:footnoteReference w:id="20"/>
      </w:r>
      <w:r w:rsidR="001D48BE" w:rsidRPr="00D5387F">
        <w:t xml:space="preserve"> Mnoho </w:t>
      </w:r>
      <w:r w:rsidR="008563F8">
        <w:t>stálých</w:t>
      </w:r>
      <w:r w:rsidR="001D48BE" w:rsidRPr="00D5387F">
        <w:t xml:space="preserve"> zástupců má parlamentního attaché zaměstnaného na plný úvazek</w:t>
      </w:r>
      <w:r w:rsidR="00545C82" w:rsidRPr="00D5387F">
        <w:t>.</w:t>
      </w:r>
      <w:r w:rsidR="001D48BE" w:rsidRPr="00D5387F">
        <w:t xml:space="preserve"> </w:t>
      </w:r>
      <w:r w:rsidR="00545C82" w:rsidRPr="00D5387F">
        <w:t>Ten</w:t>
      </w:r>
      <w:r w:rsidR="001D48BE" w:rsidRPr="00D5387F">
        <w:t xml:space="preserve"> pečlivě sleduje záležitosti EP a případně zprostředkovává kontakt s poslanci EP pocházejících z jejich země.</w:t>
      </w:r>
      <w:r w:rsidR="001D48BE" w:rsidRPr="00D5387F">
        <w:rPr>
          <w:rStyle w:val="Znakapoznpodarou"/>
        </w:rPr>
        <w:footnoteReference w:id="21"/>
      </w:r>
      <w:r w:rsidR="001D48BE" w:rsidRPr="00D5387F">
        <w:t xml:space="preserve"> Prosazování národních zájmů však není přímo tématem, kterým se tato práce zabývá.</w:t>
      </w:r>
      <w:r w:rsidR="00FA045D" w:rsidRPr="00D5387F">
        <w:t xml:space="preserve"> Důvodem je i to, že například z rejstříku jsou vynechány vlády členských států, vlády třetích států, mezinárodní mezivládní organi</w:t>
      </w:r>
      <w:r w:rsidR="00E537E1" w:rsidRPr="00D5387F">
        <w:t>zace a jejich diplomatické mise.</w:t>
      </w:r>
      <w:r w:rsidR="00FA045D" w:rsidRPr="00D5387F">
        <w:rPr>
          <w:rStyle w:val="Znakapoznpodarou"/>
        </w:rPr>
        <w:footnoteReference w:id="22"/>
      </w:r>
    </w:p>
    <w:p w:rsidR="00CE38EB" w:rsidRPr="00D5387F" w:rsidRDefault="00CE38EB">
      <w:pPr>
        <w:spacing w:after="0" w:line="240" w:lineRule="auto"/>
        <w:jc w:val="left"/>
        <w:rPr>
          <w:rFonts w:ascii="Cambria" w:eastAsia="Times New Roman" w:hAnsi="Cambria"/>
          <w:b/>
          <w:bCs/>
          <w:sz w:val="32"/>
          <w:szCs w:val="28"/>
        </w:rPr>
      </w:pPr>
      <w:r w:rsidRPr="00D5387F">
        <w:rPr>
          <w:sz w:val="32"/>
        </w:rPr>
        <w:br w:type="page"/>
      </w:r>
    </w:p>
    <w:p w:rsidR="00200C63" w:rsidRPr="00D5387F" w:rsidRDefault="00E86712" w:rsidP="00200C63">
      <w:pPr>
        <w:pStyle w:val="Nadpis1"/>
      </w:pPr>
      <w:bookmarkStart w:id="16" w:name="_Toc330039540"/>
      <w:r w:rsidRPr="00D5387F">
        <w:lastRenderedPageBreak/>
        <w:t>Význam transparentnosti lobbingu v EU a důvody pro jeho regulaci</w:t>
      </w:r>
      <w:bookmarkEnd w:id="16"/>
    </w:p>
    <w:p w:rsidR="00903448" w:rsidRPr="000A67E8" w:rsidRDefault="00AF157F" w:rsidP="00903448">
      <w:pPr>
        <w:rPr>
          <w:rFonts w:cs="Calibri"/>
          <w:szCs w:val="24"/>
        </w:rPr>
      </w:pPr>
      <w:r w:rsidRPr="000A67E8">
        <w:rPr>
          <w:rFonts w:cs="Calibri"/>
          <w:szCs w:val="24"/>
        </w:rPr>
        <w:t>Než se budeme zaobírat samotnou problematikou regulace, je vhodné na začátek naznačit, v čem spočívají důvody pro regulaci a proč je vůbec potřeba,</w:t>
      </w:r>
      <w:r w:rsidR="00903448" w:rsidRPr="000A67E8">
        <w:rPr>
          <w:rFonts w:cs="Calibri"/>
          <w:szCs w:val="24"/>
        </w:rPr>
        <w:t xml:space="preserve"> aby byl lobbing transparentní.</w:t>
      </w:r>
      <w:r w:rsidR="002A52C9" w:rsidRPr="000A67E8">
        <w:rPr>
          <w:rFonts w:cs="Calibri"/>
          <w:szCs w:val="24"/>
        </w:rPr>
        <w:t xml:space="preserve"> </w:t>
      </w:r>
      <w:r w:rsidR="002A52C9" w:rsidRPr="00D5387F">
        <w:t>Podle výzkumů</w:t>
      </w:r>
      <w:r w:rsidR="00C723BD" w:rsidRPr="00D5387F">
        <w:t xml:space="preserve"> </w:t>
      </w:r>
      <w:r w:rsidR="00BF55A8" w:rsidRPr="00D5387F">
        <w:t xml:space="preserve">Craiga </w:t>
      </w:r>
      <w:r w:rsidR="002A52C9" w:rsidRPr="00D5387F">
        <w:t xml:space="preserve">Holmana a </w:t>
      </w:r>
      <w:r w:rsidR="00BF55A8" w:rsidRPr="00D5387F">
        <w:t xml:space="preserve">Williama </w:t>
      </w:r>
      <w:r w:rsidR="002A52C9" w:rsidRPr="00D5387F">
        <w:t>Luneburga je nejčastějším citovaným důvodem, proč by měl být lobbing transparentní, přesvědčení veřejnosti, že se jedná o legitimní součást procesu tvorby politiky.</w:t>
      </w:r>
      <w:r w:rsidR="002A52C9" w:rsidRPr="00D5387F">
        <w:rPr>
          <w:rStyle w:val="Znakapoznpodarou"/>
        </w:rPr>
        <w:footnoteReference w:id="23"/>
      </w:r>
      <w:r w:rsidR="00903448" w:rsidRPr="000A67E8">
        <w:rPr>
          <w:rFonts w:cs="Calibri"/>
          <w:szCs w:val="24"/>
        </w:rPr>
        <w:t xml:space="preserve"> Podle Kerstin Hötzel z</w:t>
      </w:r>
      <w:r w:rsidR="00545C82" w:rsidRPr="000A67E8">
        <w:rPr>
          <w:rFonts w:cs="Calibri"/>
          <w:szCs w:val="24"/>
        </w:rPr>
        <w:t xml:space="preserve"> Academy of European Law</w:t>
      </w:r>
      <w:r w:rsidR="00C723BD" w:rsidRPr="000A67E8">
        <w:rPr>
          <w:rFonts w:cs="Calibri"/>
          <w:szCs w:val="24"/>
        </w:rPr>
        <w:t xml:space="preserve"> (ERA)</w:t>
      </w:r>
      <w:r w:rsidR="00903448" w:rsidRPr="000A67E8">
        <w:rPr>
          <w:rFonts w:cs="Calibri"/>
          <w:szCs w:val="24"/>
        </w:rPr>
        <w:t xml:space="preserve"> znamená transparentnost </w:t>
      </w:r>
      <w:r w:rsidR="00833287" w:rsidRPr="000A67E8">
        <w:rPr>
          <w:rFonts w:cs="Calibri"/>
          <w:szCs w:val="24"/>
        </w:rPr>
        <w:t>případ, kdy</w:t>
      </w:r>
      <w:r w:rsidR="00903448" w:rsidRPr="000A67E8">
        <w:rPr>
          <w:rFonts w:cs="Calibri"/>
          <w:szCs w:val="24"/>
        </w:rPr>
        <w:t xml:space="preserve"> si někdo přeje získat i</w:t>
      </w:r>
      <w:r w:rsidR="00833287" w:rsidRPr="000A67E8">
        <w:rPr>
          <w:rFonts w:cs="Calibri"/>
          <w:szCs w:val="24"/>
        </w:rPr>
        <w:t>nformaci o jednáních s úředníky a</w:t>
      </w:r>
      <w:r w:rsidR="00903448" w:rsidRPr="000A67E8">
        <w:rPr>
          <w:rFonts w:cs="Calibri"/>
          <w:szCs w:val="24"/>
        </w:rPr>
        <w:t xml:space="preserve"> bude k tomu mít</w:t>
      </w:r>
      <w:r w:rsidR="00833287" w:rsidRPr="000A67E8">
        <w:rPr>
          <w:rFonts w:cs="Calibri"/>
          <w:szCs w:val="24"/>
        </w:rPr>
        <w:t xml:space="preserve"> bezproblémový</w:t>
      </w:r>
      <w:r w:rsidR="00903448" w:rsidRPr="000A67E8">
        <w:rPr>
          <w:rFonts w:cs="Calibri"/>
          <w:szCs w:val="24"/>
        </w:rPr>
        <w:t xml:space="preserve"> přístup. Transparentnost je</w:t>
      </w:r>
      <w:r w:rsidR="00C723BD" w:rsidRPr="000A67E8">
        <w:rPr>
          <w:rFonts w:cs="Calibri"/>
          <w:szCs w:val="24"/>
        </w:rPr>
        <w:t xml:space="preserve"> podle ní</w:t>
      </w:r>
      <w:r w:rsidR="00903448" w:rsidRPr="000A67E8">
        <w:rPr>
          <w:rFonts w:cs="Calibri"/>
          <w:szCs w:val="24"/>
        </w:rPr>
        <w:t xml:space="preserve"> v kontextu EU nejčastěji používána k popisu faktu, že veřejnost může získat přístup k informaci o tom, co soukromý sektor dělá a jak komunikuje s evropskými úředníky.</w:t>
      </w:r>
      <w:r w:rsidR="00903448" w:rsidRPr="000A67E8">
        <w:rPr>
          <w:rStyle w:val="Znakapoznpodarou"/>
          <w:rFonts w:eastAsia="Times New Roman" w:cs="Calibri"/>
          <w:szCs w:val="24"/>
          <w:lang w:eastAsia="cs-CZ"/>
        </w:rPr>
        <w:footnoteReference w:id="24"/>
      </w:r>
      <w:r w:rsidR="00903448" w:rsidRPr="000A67E8">
        <w:rPr>
          <w:rFonts w:eastAsia="Times New Roman" w:cs="Calibri"/>
          <w:szCs w:val="24"/>
          <w:lang w:eastAsia="cs-CZ"/>
        </w:rPr>
        <w:t xml:space="preserve"> Transparentnost jako vlastnost získání informace o vztahu zájmové skupiny a instituce není jediná. Má totiž i jiný význam.</w:t>
      </w:r>
    </w:p>
    <w:p w:rsidR="00AF157F" w:rsidRPr="00D5387F" w:rsidRDefault="00AF157F" w:rsidP="005D6DEA">
      <w:r w:rsidRPr="00D5387F">
        <w:t xml:space="preserve">Řešíme-li problematiku v obecné rovině, </w:t>
      </w:r>
      <w:r w:rsidR="0094040E" w:rsidRPr="00D5387F">
        <w:t>instituce</w:t>
      </w:r>
      <w:r w:rsidRPr="00D5387F">
        <w:t xml:space="preserve"> musí na jednu stranu dohlížet na obecné blaho a snažit se vyvážit rozdílné, případně až konfliktní zájmy. Na druhou stranu, samy zájmové skupiny formulují specifický zájem a vyjednávají mezi svými klienty a zástupci </w:t>
      </w:r>
      <w:r w:rsidR="0094040E" w:rsidRPr="00D5387F">
        <w:t>v institucích</w:t>
      </w:r>
      <w:r w:rsidRPr="00D5387F">
        <w:t xml:space="preserve">. V závislosti na tom </w:t>
      </w:r>
      <w:r w:rsidR="008114FD" w:rsidRPr="00D5387F">
        <w:t xml:space="preserve">musí </w:t>
      </w:r>
      <w:r w:rsidRPr="00D5387F">
        <w:t>zástupci v politické sféře přesně znát, s jakým zájmem jsou konfrontováni, aby jej mohli co nejlépe odhadnout, analyzovat a reagovat na něj. Pro jednodušší pochopení jejich záměrů je transparentnost lobbistických organizací a lobbistů nutnost.</w:t>
      </w:r>
      <w:r w:rsidRPr="00D5387F">
        <w:rPr>
          <w:rStyle w:val="Znakapoznpodarou"/>
        </w:rPr>
        <w:footnoteReference w:id="25"/>
      </w:r>
      <w:r w:rsidRPr="00D5387F">
        <w:t xml:space="preserve"> </w:t>
      </w:r>
      <w:r w:rsidR="00CD67F5" w:rsidRPr="00D5387F">
        <w:t>Je pravda, že c</w:t>
      </w:r>
      <w:r w:rsidRPr="00D5387F">
        <w:t>ílem regulace je mimo jiné přispět ke změně vnímání lobbingu veřejností odkrytím skutečné podstaty každodenního procesu prosazování zájmů a jeho otevřeným uznáním jako legitimní aktivity.</w:t>
      </w:r>
      <w:r w:rsidRPr="00D5387F">
        <w:rPr>
          <w:rStyle w:val="Znakapoznpodarou"/>
        </w:rPr>
        <w:footnoteReference w:id="26"/>
      </w:r>
      <w:r w:rsidR="00CF6A2B" w:rsidRPr="00D5387F">
        <w:t xml:space="preserve"> Hötzel na otázku, proč by zájmové skupiny měly či neměly být regulovány, odpověděla: „Osobně jsem pro regulaci, protože je dobré, když veřejnost může znát, kdo s kým mluví a proč. Je také vhodné vidět, kolik peněz je použito </w:t>
      </w:r>
      <w:r w:rsidR="008114FD" w:rsidRPr="00D5387F">
        <w:t>na</w:t>
      </w:r>
      <w:r w:rsidR="00CF6A2B" w:rsidRPr="00D5387F">
        <w:t xml:space="preserve"> </w:t>
      </w:r>
      <w:r w:rsidR="00CF6A2B" w:rsidRPr="00D5387F">
        <w:lastRenderedPageBreak/>
        <w:t>konzultace zájmové reprezentace.“</w:t>
      </w:r>
      <w:r w:rsidR="00836669" w:rsidRPr="00D5387F">
        <w:rPr>
          <w:rStyle w:val="Znakapoznpodarou"/>
        </w:rPr>
        <w:footnoteReference w:id="27"/>
      </w:r>
      <w:r w:rsidR="00836669" w:rsidRPr="00D5387F">
        <w:t xml:space="preserve"> </w:t>
      </w:r>
      <w:r w:rsidRPr="00D5387F">
        <w:t>Transparentnost však nemusí být nutně výrazem přehlednosti pro veřejnost, ale skýtá v sobě daleko praktičtější důvod, tedy, jak bylo řečeno, lepší pochopení zájmů a záměrů lobbistů.</w:t>
      </w:r>
    </w:p>
    <w:p w:rsidR="00AF157F" w:rsidRPr="00D5387F" w:rsidRDefault="00AF157F" w:rsidP="005D6DEA">
      <w:r w:rsidRPr="00D5387F">
        <w:t>Jak ale takové transparentnosti docílit, pokud se nepočítá s tím, že všechny</w:t>
      </w:r>
      <w:r w:rsidR="001D415E" w:rsidRPr="00D5387F">
        <w:t>,</w:t>
      </w:r>
      <w:r w:rsidRPr="00D5387F">
        <w:t xml:space="preserve"> nebo alespoň podstatná část zájmových skupin bude chtít sama odhalit svou činnost, vykázat finance investované do lobbingu apod.? Jako nejvhodnější prostředek, jak přinutit zájmové skupiny být transparentní</w:t>
      </w:r>
      <w:r w:rsidR="001D415E" w:rsidRPr="00D5387F">
        <w:t>,</w:t>
      </w:r>
      <w:r w:rsidRPr="00D5387F">
        <w:t xml:space="preserve"> se jeví jejich regulace. Jedná se o to, že pokud nebudou aktivity zájmových skupin regulovány, mohou mít na politický proces negativní efekt. Ten se může dostavit nejen z hlediska veřejnosti, ale i samotných aktérů, tedy institucí, úředníků nebo politických představitelů.</w:t>
      </w:r>
    </w:p>
    <w:p w:rsidR="00AF157F" w:rsidRPr="00D5387F" w:rsidRDefault="00AF157F" w:rsidP="005D6DEA">
      <w:pPr>
        <w:rPr>
          <w:szCs w:val="24"/>
        </w:rPr>
      </w:pPr>
      <w:r w:rsidRPr="00D5387F">
        <w:rPr>
          <w:szCs w:val="24"/>
        </w:rPr>
        <w:t>Regulace může lobbingu výrazně pomoct, byť se nemusí zdát, že bude mít až takový vliv. Zlegalizuje a legitimizuje totiž lobbistickou činnost,</w:t>
      </w:r>
      <w:r w:rsidRPr="00D5387F">
        <w:rPr>
          <w:rStyle w:val="Znakapoznpodarou"/>
          <w:szCs w:val="24"/>
        </w:rPr>
        <w:footnoteReference w:id="28"/>
      </w:r>
      <w:r w:rsidRPr="00D5387F">
        <w:rPr>
          <w:szCs w:val="24"/>
        </w:rPr>
        <w:t xml:space="preserve"> a tím ji posune do sféry běžného procesu, který v některých oblastech usnadňuje činnost institucí. Je-li lobbing transparentní, jasněji se vymezí oproti nekalým praktikám s ním běžně spojovaným, jako jsou korupce, nepotismus nebo klientelismus.</w:t>
      </w:r>
      <w:r w:rsidR="00A31A56" w:rsidRPr="00D5387F">
        <w:rPr>
          <w:szCs w:val="24"/>
        </w:rPr>
        <w:t xml:space="preserve"> Jinými slovy, regulac</w:t>
      </w:r>
      <w:r w:rsidR="001D415E" w:rsidRPr="00D5387F">
        <w:rPr>
          <w:szCs w:val="24"/>
        </w:rPr>
        <w:t>í</w:t>
      </w:r>
      <w:r w:rsidR="00A31A56" w:rsidRPr="00D5387F">
        <w:rPr>
          <w:szCs w:val="24"/>
        </w:rPr>
        <w:t xml:space="preserve"> </w:t>
      </w:r>
      <w:r w:rsidR="001D415E" w:rsidRPr="00D5387F">
        <w:rPr>
          <w:szCs w:val="24"/>
        </w:rPr>
        <w:t>se rozumí</w:t>
      </w:r>
      <w:r w:rsidR="00A31A56" w:rsidRPr="00D5387F">
        <w:rPr>
          <w:szCs w:val="24"/>
        </w:rPr>
        <w:t xml:space="preserve"> druhy činnosti, které zamezují vnímání lobbingu jako negativní záležitosti.</w:t>
      </w:r>
      <w:r w:rsidR="00AF43A5" w:rsidRPr="00D5387F">
        <w:rPr>
          <w:szCs w:val="24"/>
        </w:rPr>
        <w:t xml:space="preserve"> Tento názor sdílí i ti, kteří lobbing využívají v praxi. Podle Hötzel je lepší porozumění prosazovaného zájmu institucemi EU právě to, co se označuje jako „lobbing“, a ten nemusí být nutně vnímán jako špatná věc.</w:t>
      </w:r>
      <w:r w:rsidR="00AF43A5" w:rsidRPr="00D5387F">
        <w:rPr>
          <w:rStyle w:val="Znakapoznpodarou"/>
          <w:rFonts w:ascii="Trebuchet MS" w:eastAsia="Times New Roman" w:hAnsi="Trebuchet MS" w:cs="Arial"/>
          <w:szCs w:val="24"/>
          <w:lang w:val="en-GB" w:eastAsia="cs-CZ"/>
        </w:rPr>
        <w:footnoteReference w:id="29"/>
      </w:r>
    </w:p>
    <w:p w:rsidR="00AF157F" w:rsidRPr="00F64B5A" w:rsidRDefault="00AF157F" w:rsidP="005D6DEA">
      <w:r w:rsidRPr="00D5387F">
        <w:t xml:space="preserve">Nelegální praktiky a tajnosti v lobbistické oblasti mohou </w:t>
      </w:r>
      <w:r w:rsidR="00CD67F5" w:rsidRPr="00D5387F">
        <w:t>u</w:t>
      </w:r>
      <w:r w:rsidRPr="00D5387F">
        <w:t xml:space="preserve"> veřejnosti podkopat legitimitu politického systému a důvěru v instituce. Samozřejmě nezáleží pouze na nelegálnosti jako takové.</w:t>
      </w:r>
      <w:r w:rsidR="001D415E" w:rsidRPr="00D5387F">
        <w:t xml:space="preserve"> Nekalé jednání musí také vyplynout na povrch a následně musí být adekvátně </w:t>
      </w:r>
      <w:r w:rsidR="009E1B39" w:rsidRPr="00D5387F">
        <w:t>diskutováno</w:t>
      </w:r>
      <w:r w:rsidR="001D415E" w:rsidRPr="00D5387F">
        <w:t>.</w:t>
      </w:r>
      <w:r w:rsidRPr="00D5387F">
        <w:t xml:space="preserve"> Přílišný dopad</w:t>
      </w:r>
      <w:r w:rsidR="001D415E" w:rsidRPr="00D5387F">
        <w:t xml:space="preserve"> na odstranění nekalých praktik</w:t>
      </w:r>
      <w:r w:rsidRPr="00D5387F">
        <w:t xml:space="preserve"> se nedá očekávat, pokud </w:t>
      </w:r>
      <w:r w:rsidR="001D415E" w:rsidRPr="00D5387F">
        <w:t>nedojde k vyvolání</w:t>
      </w:r>
      <w:r w:rsidRPr="00D5387F">
        <w:t xml:space="preserve"> </w:t>
      </w:r>
      <w:r w:rsidR="001D415E" w:rsidRPr="00D5387F">
        <w:t>určitých reakcí na popisované chování</w:t>
      </w:r>
      <w:r w:rsidRPr="00D5387F">
        <w:t>. Proto dále záleží na indikátorech nebo spouštěcích mechanismech, jako je například činnost médií, boj specializovaných zájmových skupin za větší transparentnost (například ALTER-EU), nespokojenost institucí s daným nastavení</w:t>
      </w:r>
      <w:bookmarkStart w:id="19" w:name="OLE_LINK21"/>
      <w:r w:rsidR="006C7F40" w:rsidRPr="00D5387F">
        <w:t xml:space="preserve">m úrovně transparentnosti apod. Podobné </w:t>
      </w:r>
      <w:r w:rsidR="001D415E" w:rsidRPr="00D5387F">
        <w:t>indikátory</w:t>
      </w:r>
      <w:r w:rsidR="006C7F40" w:rsidRPr="00D5387F">
        <w:t xml:space="preserve"> můžeme najít i v jin</w:t>
      </w:r>
      <w:r w:rsidR="001D415E" w:rsidRPr="00D5387F">
        <w:t>ých organizacích</w:t>
      </w:r>
      <w:r w:rsidR="006C7F40" w:rsidRPr="00D5387F">
        <w:t xml:space="preserve">. Například </w:t>
      </w:r>
      <w:bookmarkStart w:id="20" w:name="OLE_LINK22"/>
      <w:r w:rsidR="006C7F40" w:rsidRPr="00D5387F">
        <w:t>z</w:t>
      </w:r>
      <w:r w:rsidRPr="00D5387F">
        <w:t>práva výboru Parlamentního shromáždění Rady Evropy z června 2009</w:t>
      </w:r>
      <w:bookmarkEnd w:id="20"/>
      <w:r w:rsidRPr="00D5387F">
        <w:t xml:space="preserve"> </w:t>
      </w:r>
      <w:bookmarkEnd w:id="19"/>
      <w:r w:rsidRPr="00D5387F">
        <w:t xml:space="preserve">tvrdila, že veřejná důvěra v politiku v mnoha </w:t>
      </w:r>
      <w:r w:rsidRPr="00D5387F">
        <w:lastRenderedPageBreak/>
        <w:t>členských státech Rady Evropy upadla a vyvozovala závěry, že nedostatek transparentnosti v politickém lobbingu může být jedním z důvodů tohoto jevu.</w:t>
      </w:r>
      <w:r w:rsidRPr="00D5387F">
        <w:rPr>
          <w:rStyle w:val="Znakapoznpodarou"/>
        </w:rPr>
        <w:footnoteReference w:id="30"/>
      </w:r>
    </w:p>
    <w:p w:rsidR="00AF157F" w:rsidRPr="00D5387F" w:rsidRDefault="00AF157F" w:rsidP="005D6DEA">
      <w:r w:rsidRPr="00D5387F">
        <w:t>Považujeme-li za správné regulovat lobbing z důvodu větší transparentnosti, který povede k</w:t>
      </w:r>
      <w:r w:rsidR="001D415E" w:rsidRPr="00D5387F">
        <w:t>e</w:t>
      </w:r>
      <w:r w:rsidRPr="00D5387F">
        <w:t> snadnějšímu pochopení zájmů a záměrů, je logické, že tak budou postupovat i instituce. Problémem však je, že v těchto postupech existují nedostatky a mnohdy i nevole, i když občas náležitě argumentovaná.</w:t>
      </w:r>
      <w:r w:rsidR="009E1B39" w:rsidRPr="00D5387F">
        <w:t xml:space="preserve"> </w:t>
      </w:r>
      <w:r w:rsidRPr="00D5387F">
        <w:t>Například Komise zavádí přístup, který se sice oficiálně snaží o transparentnost, ale ve výsledku se vyhýbá transparentnosti skutečné, tedy takové, která opravdu přispěje k přehlednosti činnosti zájmových skupin.</w:t>
      </w:r>
      <w:r w:rsidR="005E05B3">
        <w:rPr>
          <w:rStyle w:val="Znakapoznpodarou"/>
        </w:rPr>
        <w:footnoteReference w:id="31"/>
      </w:r>
      <w:r w:rsidRPr="00D5387F">
        <w:t xml:space="preserve"> Podle ALTER-EU</w:t>
      </w:r>
      <w:r w:rsidR="009B3ACF" w:rsidRPr="00D5387F">
        <w:t>, zájmové skupiny prosazující větší transparentnost v oblasti lobbingu,</w:t>
      </w:r>
      <w:r w:rsidRPr="00D5387F">
        <w:t xml:space="preserve"> je jediným efektem hlavního prostředku transparentnosti – registru – pouhá iluze transparentnosti lobbistického procesu. Za tímto dojmem se skrývají závažné nedostatky, které musí podle ALTER-EU Komise odstranit, pokud nechce, aby rejstřík získal špatnou pověst neefektivního nástroje.</w:t>
      </w:r>
      <w:r w:rsidRPr="00D5387F">
        <w:rPr>
          <w:rStyle w:val="Znakapoznpodarou"/>
        </w:rPr>
        <w:footnoteReference w:id="32"/>
      </w:r>
      <w:r w:rsidRPr="00D5387F">
        <w:t xml:space="preserve"> Více se k přístupům jednotlivých institucí vyjadřuje kapitola </w:t>
      </w:r>
      <w:r w:rsidR="005B386F">
        <w:t>4</w:t>
      </w:r>
      <w:r w:rsidRPr="00D5387F">
        <w:t>.</w:t>
      </w:r>
    </w:p>
    <w:p w:rsidR="00AF157F" w:rsidRPr="00D5387F" w:rsidRDefault="00AF157F" w:rsidP="005D6DEA">
      <w:r w:rsidRPr="00D5387F">
        <w:t>Existují také spekulace, především mezi i</w:t>
      </w:r>
      <w:r w:rsidR="008F369A" w:rsidRPr="00D5387F">
        <w:t>nstitucemi, ale i mezi akademickými autory</w:t>
      </w:r>
      <w:r w:rsidR="007A781C" w:rsidRPr="00D5387F">
        <w:t xml:space="preserve"> či lobbujícími subjekty</w:t>
      </w:r>
      <w:r w:rsidRPr="00D5387F">
        <w:t xml:space="preserve">, zda má být regulace dobrovolná či povinná. </w:t>
      </w:r>
      <w:r w:rsidR="00D96B99" w:rsidRPr="00D5387F">
        <w:t>Například p</w:t>
      </w:r>
      <w:r w:rsidRPr="00D5387F">
        <w:t>odle</w:t>
      </w:r>
      <w:r w:rsidR="00AD6397" w:rsidRPr="00D5387F">
        <w:t xml:space="preserve"> Heiko Kretschmera a Hans-Jörga Schmedese </w:t>
      </w:r>
      <w:r w:rsidR="00D96B99" w:rsidRPr="00D5387F">
        <w:t>chybí dostatečný</w:t>
      </w:r>
      <w:r w:rsidRPr="00D5387F">
        <w:t xml:space="preserve"> právní základ, který </w:t>
      </w:r>
      <w:r w:rsidR="00D96B99" w:rsidRPr="00D5387F">
        <w:t xml:space="preserve">by umožnil vytvořit mechanismus povinné regulace na úrovni EU podobný tomu, který původně požadovala </w:t>
      </w:r>
      <w:bookmarkStart w:id="22" w:name="OLE_LINK24"/>
      <w:r w:rsidRPr="00D5387F">
        <w:t>Pracovní skupina pro společný rejstřík a lobbistický kodex</w:t>
      </w:r>
      <w:bookmarkEnd w:id="22"/>
      <w:r w:rsidR="00903448" w:rsidRPr="00D5387F">
        <w:t>.</w:t>
      </w:r>
      <w:r w:rsidR="00903448" w:rsidRPr="00D5387F">
        <w:rPr>
          <w:rStyle w:val="Znakapoznpodarou"/>
        </w:rPr>
        <w:footnoteReference w:id="33"/>
      </w:r>
      <w:r w:rsidR="009E1B39" w:rsidRPr="00D5387F">
        <w:t xml:space="preserve"> </w:t>
      </w:r>
      <w:r w:rsidRPr="00D5387F">
        <w:t>Skupiny v opozici vůči regulaci podporovaly především dobrovolný systém regulace.</w:t>
      </w:r>
      <w:r w:rsidRPr="00D5387F">
        <w:rPr>
          <w:rStyle w:val="Znakapoznpodarou"/>
        </w:rPr>
        <w:footnoteReference w:id="34"/>
      </w:r>
      <w:r w:rsidRPr="00D5387F">
        <w:t xml:space="preserve"> Důvod je velmi prostý. V případě dobrovolnosti se nemusí </w:t>
      </w:r>
      <w:r w:rsidR="009E1B39" w:rsidRPr="00D5387F">
        <w:t>regulace účastnit, čímž se vyhnou</w:t>
      </w:r>
      <w:r w:rsidRPr="00D5387F">
        <w:t xml:space="preserve"> celému systému. Naopak povinnost připojit se znamená pro skupinu omezení. Nicméně, právě ty skupiny, které se dobrovolného systému účastnit nechtějí, jsou hlavním cílem </w:t>
      </w:r>
      <w:r w:rsidR="009E1B39" w:rsidRPr="00D5387F">
        <w:t>snahy</w:t>
      </w:r>
      <w:r w:rsidRPr="00D5387F">
        <w:t xml:space="preserve"> o větší transparentnost.</w:t>
      </w:r>
    </w:p>
    <w:p w:rsidR="00CE38EB" w:rsidRPr="00D5387F" w:rsidRDefault="00AF157F" w:rsidP="00E474C6">
      <w:r w:rsidRPr="00D5387F">
        <w:lastRenderedPageBreak/>
        <w:t>Součástí systému regulace transparentnosti je i zveřejňování odhadů finančních prostředků vynaložených na lobbistickou činnost.</w:t>
      </w:r>
      <w:r w:rsidR="00CF548E" w:rsidRPr="00D5387F">
        <w:t xml:space="preserve"> J</w:t>
      </w:r>
      <w:r w:rsidRPr="00D5387F">
        <w:t xml:space="preserve">edná </w:t>
      </w:r>
      <w:r w:rsidR="009E1B39" w:rsidRPr="00D5387F">
        <w:t xml:space="preserve">se </w:t>
      </w:r>
      <w:r w:rsidRPr="00D5387F">
        <w:t xml:space="preserve">o velmi citlivou záležitost, </w:t>
      </w:r>
      <w:r w:rsidR="00CF548E" w:rsidRPr="00D5387F">
        <w:t>což do</w:t>
      </w:r>
      <w:r w:rsidRPr="00D5387F">
        <w:t xml:space="preserve">kazuje i to, že aktéři </w:t>
      </w:r>
      <w:r w:rsidR="009E1B39" w:rsidRPr="00D5387F">
        <w:t>považují</w:t>
      </w:r>
      <w:r w:rsidR="00CF548E" w:rsidRPr="00D5387F">
        <w:t xml:space="preserve"> zveřejňování</w:t>
      </w:r>
      <w:r w:rsidRPr="00D5387F">
        <w:t xml:space="preserve"> za velmi problematické a v rozporu s ochranou os</w:t>
      </w:r>
      <w:r w:rsidR="00CF548E" w:rsidRPr="00D5387F">
        <w:t>obních údajů</w:t>
      </w:r>
      <w:r w:rsidRPr="00D5387F">
        <w:t>.</w:t>
      </w:r>
      <w:r w:rsidRPr="00D5387F">
        <w:rPr>
          <w:rStyle w:val="Znakapoznpodarou"/>
        </w:rPr>
        <w:footnoteReference w:id="35"/>
      </w:r>
      <w:r w:rsidRPr="00D5387F">
        <w:t xml:space="preserve"> Přesto všechno, jakkoliv se tato část regulace jeví důležitou, jejím důsledkem je spíše přehlednost pro veřejnost a</w:t>
      </w:r>
      <w:r w:rsidR="0061331E" w:rsidRPr="00D5387F">
        <w:t xml:space="preserve"> dojem</w:t>
      </w:r>
      <w:r w:rsidRPr="00D5387F">
        <w:t xml:space="preserve"> zamezení nelegální činnosti. Na </w:t>
      </w:r>
      <w:r w:rsidR="00CF548E" w:rsidRPr="00D5387F">
        <w:t>jeden z podstatných</w:t>
      </w:r>
      <w:r w:rsidRPr="00D5387F">
        <w:t xml:space="preserve"> důvod</w:t>
      </w:r>
      <w:r w:rsidR="00CF548E" w:rsidRPr="00D5387F">
        <w:t>ů</w:t>
      </w:r>
      <w:r w:rsidRPr="00D5387F">
        <w:t xml:space="preserve"> transparentnosti, </w:t>
      </w:r>
      <w:r w:rsidR="00CF548E" w:rsidRPr="00D5387F">
        <w:t>což je le</w:t>
      </w:r>
      <w:r w:rsidRPr="00D5387F">
        <w:t>p</w:t>
      </w:r>
      <w:r w:rsidR="00CF548E" w:rsidRPr="00D5387F">
        <w:t>ší</w:t>
      </w:r>
      <w:r w:rsidRPr="00D5387F">
        <w:t xml:space="preserve"> pochopen</w:t>
      </w:r>
      <w:r w:rsidR="00CF548E" w:rsidRPr="00D5387F">
        <w:t>í zájmů</w:t>
      </w:r>
      <w:r w:rsidRPr="00D5387F">
        <w:t xml:space="preserve"> lobbistů</w:t>
      </w:r>
      <w:r w:rsidR="00CF548E" w:rsidRPr="00D5387F">
        <w:t xml:space="preserve"> institucemi</w:t>
      </w:r>
      <w:r w:rsidRPr="00D5387F">
        <w:t xml:space="preserve">, to takový vliv nemá. </w:t>
      </w:r>
      <w:r w:rsidR="0061331E" w:rsidRPr="00D5387F">
        <w:t>Instituce mohou pouze o</w:t>
      </w:r>
      <w:r w:rsidRPr="00D5387F">
        <w:t>dhadnout míru důležitosti zájmu podle finančních prostředků vynaložených</w:t>
      </w:r>
      <w:r w:rsidR="002A52C9" w:rsidRPr="00D5387F">
        <w:t xml:space="preserve"> na</w:t>
      </w:r>
      <w:r w:rsidRPr="00D5387F">
        <w:t xml:space="preserve"> jeho prosazování. V takovém případě by finanční výkaz smysl měl. Nicméně</w:t>
      </w:r>
      <w:r w:rsidR="002A52C9" w:rsidRPr="00D5387F">
        <w:t>,</w:t>
      </w:r>
      <w:r w:rsidRPr="00D5387F">
        <w:t xml:space="preserve"> nejspíše nikdy nebude tak podrobný, aby bylo možné takovouto informaci u každého prosazovaného zájmu zjistit.</w:t>
      </w:r>
      <w:r w:rsidR="00CE38EB" w:rsidRPr="00D5387F">
        <w:rPr>
          <w:sz w:val="32"/>
        </w:rPr>
        <w:br w:type="page"/>
      </w:r>
    </w:p>
    <w:p w:rsidR="001F371F" w:rsidRDefault="001F371F" w:rsidP="001F371F">
      <w:pPr>
        <w:pStyle w:val="Nadpis1"/>
      </w:pPr>
      <w:bookmarkStart w:id="23" w:name="_Toc330039541"/>
      <w:r w:rsidRPr="00D5387F">
        <w:lastRenderedPageBreak/>
        <w:t>Analýza postoje institucí k problematice lobbingu</w:t>
      </w:r>
      <w:bookmarkEnd w:id="23"/>
    </w:p>
    <w:p w:rsidR="001F371F" w:rsidRPr="001412ED" w:rsidRDefault="001F371F" w:rsidP="001F371F">
      <w:r>
        <w:t>Tato kapitola má za úkol vysvětlit, jak se k regulačním mechanismům staví instituce EU. Cílem je rovněž ukázat vývoj a různé silné i slabé stránky institucí v aplikaci regulace lobbingu. Ujasněna je také hranice mezi regulací lobbistů jako takových a institucí ve vztahu k zájmovým skupinám.</w:t>
      </w:r>
    </w:p>
    <w:p w:rsidR="001F371F" w:rsidRPr="00D5387F" w:rsidRDefault="001F371F" w:rsidP="001F371F">
      <w:pPr>
        <w:pStyle w:val="Nadpis2"/>
      </w:pPr>
      <w:bookmarkStart w:id="24" w:name="_Toc330039542"/>
      <w:r w:rsidRPr="00D5387F">
        <w:t>Evropský parlament</w:t>
      </w:r>
      <w:bookmarkEnd w:id="24"/>
    </w:p>
    <w:p w:rsidR="001F371F" w:rsidRPr="00D5387F" w:rsidRDefault="001F371F" w:rsidP="001F371F">
      <w:pPr>
        <w:pStyle w:val="Nadpis3"/>
      </w:pPr>
      <w:bookmarkStart w:id="25" w:name="_Toc330039543"/>
      <w:r w:rsidRPr="00D5387F">
        <w:t>Popis a zhodnocení vývoje postoje</w:t>
      </w:r>
      <w:bookmarkEnd w:id="25"/>
    </w:p>
    <w:p w:rsidR="001F371F" w:rsidRPr="00D5387F" w:rsidRDefault="001F371F" w:rsidP="001F371F">
      <w:r w:rsidRPr="00D5387F">
        <w:t>EP je v regulaci lobbingu nejrestriktivnější ze všech institucí. To je dáno několika faktory, zejména negativními zkušenostmi poslanců z vlastních zemí, kde lobbing spíše než poskytování informací představoval snahu ovlivnit dění. Navázán je další důvod, tedy že poslanci si jakožto volení lidem EU snaží alespoň v očích veřejnosti zachovat nezávislost.</w:t>
      </w:r>
      <w:r w:rsidRPr="00D5387F">
        <w:rPr>
          <w:rStyle w:val="Znakapoznpodarou"/>
        </w:rPr>
        <w:footnoteReference w:id="36"/>
      </w:r>
    </w:p>
    <w:p w:rsidR="001F371F" w:rsidRPr="00D5387F" w:rsidRDefault="001F371F" w:rsidP="001F371F">
      <w:pPr>
        <w:rPr>
          <w:szCs w:val="24"/>
        </w:rPr>
      </w:pPr>
      <w:r w:rsidRPr="00D5387F">
        <w:rPr>
          <w:szCs w:val="24"/>
        </w:rPr>
        <w:t>EP se snaží oprostit od možného nařčení z jeho ovlivňování jinými subjekty, než je lid, který jej zvolil. Proto se snaží o vylepšení pozitivního obrazu evropského lobbingu, což je možné právě i jeho regulací. Lobbing je v EP akceptován, ale pouze jako podpůrná záležitost.</w:t>
      </w:r>
      <w:r w:rsidRPr="00D5387F">
        <w:rPr>
          <w:rStyle w:val="Znakapoznpodarou"/>
          <w:szCs w:val="24"/>
        </w:rPr>
        <w:footnoteReference w:id="37"/>
      </w:r>
      <w:r w:rsidRPr="00D5387F">
        <w:rPr>
          <w:szCs w:val="24"/>
        </w:rPr>
        <w:t xml:space="preserve"> Používána je především akreditace lobbistů, kteří chtějí kontaktovat některého poslance či pracovníka EP.</w:t>
      </w:r>
      <w:r w:rsidRPr="00D5387F">
        <w:rPr>
          <w:rStyle w:val="Znakapoznpodarou"/>
          <w:szCs w:val="24"/>
        </w:rPr>
        <w:footnoteReference w:id="38"/>
      </w:r>
      <w:r w:rsidRPr="00D5387F">
        <w:rPr>
          <w:szCs w:val="24"/>
        </w:rPr>
        <w:t xml:space="preserve"> Po vzniku společného rejstříku EP a Komise došlo k navázání akreditace právě na rejstřík.</w:t>
      </w:r>
      <w:r w:rsidRPr="00D5387F">
        <w:rPr>
          <w:rStyle w:val="Znakapoznpodarou"/>
          <w:szCs w:val="24"/>
        </w:rPr>
        <w:footnoteReference w:id="39"/>
      </w:r>
      <w:r w:rsidRPr="00D5387F">
        <w:rPr>
          <w:szCs w:val="24"/>
        </w:rPr>
        <w:t xml:space="preserve"> Proto, i když bylo registrování zájmových skupin původně záležitostí Komise, můžeme rejstřík uvádět i jako regulaci v rámci EP. </w:t>
      </w:r>
      <w:r w:rsidR="00FB5EAA">
        <w:rPr>
          <w:szCs w:val="24"/>
        </w:rPr>
        <w:t>Mimo to je nejnověji zavedenou</w:t>
      </w:r>
      <w:r w:rsidRPr="00D5387F">
        <w:rPr>
          <w:szCs w:val="24"/>
        </w:rPr>
        <w:t xml:space="preserve"> regulací této instituce</w:t>
      </w:r>
      <w:r w:rsidR="00FB5EAA">
        <w:rPr>
          <w:szCs w:val="24"/>
        </w:rPr>
        <w:t xml:space="preserve"> </w:t>
      </w:r>
      <w:r w:rsidRPr="00D5387F">
        <w:rPr>
          <w:szCs w:val="24"/>
        </w:rPr>
        <w:t>kodex</w:t>
      </w:r>
      <w:r w:rsidR="00FB5EAA">
        <w:rPr>
          <w:szCs w:val="24"/>
        </w:rPr>
        <w:t xml:space="preserve"> chování</w:t>
      </w:r>
      <w:r w:rsidRPr="00D5387F">
        <w:rPr>
          <w:szCs w:val="24"/>
        </w:rPr>
        <w:t xml:space="preserve"> EP.</w:t>
      </w:r>
      <w:r w:rsidRPr="00D5387F">
        <w:rPr>
          <w:rStyle w:val="Znakapoznpodarou"/>
          <w:szCs w:val="24"/>
        </w:rPr>
        <w:footnoteReference w:id="40"/>
      </w:r>
    </w:p>
    <w:p w:rsidR="001F371F" w:rsidRPr="00D5387F" w:rsidRDefault="001B76C0" w:rsidP="001F371F">
      <w:pPr>
        <w:rPr>
          <w:szCs w:val="24"/>
        </w:rPr>
      </w:pPr>
      <w:r>
        <w:rPr>
          <w:szCs w:val="24"/>
        </w:rPr>
        <w:t>Tato instituce</w:t>
      </w:r>
      <w:r w:rsidR="001F371F" w:rsidRPr="00D5387F">
        <w:rPr>
          <w:szCs w:val="24"/>
        </w:rPr>
        <w:t xml:space="preserve"> nechce na veřejnost působit jako příliš ovlivňována zájmovými skupinami. Přesto jsou lobbisté vítanými hosty v kancelářích zaneprázdněných poslanců. Je totiž logické, že lobbista, jakožto zástupce jakéhokoliv subjektu, může poslanci nabídnout užitečné informace či řešení. Bez této nabídky by byl poslanec zbytečně zaneprázdněn sháněním a analyzováním podobných řešení. Navíc, lobbista představuje tlumočníka, který poskytne ucelenější pohled na to, co zájmové skupiny, kterých se daná problematika týká, </w:t>
      </w:r>
      <w:r w:rsidR="001F371F" w:rsidRPr="00D5387F">
        <w:rPr>
          <w:szCs w:val="24"/>
        </w:rPr>
        <w:lastRenderedPageBreak/>
        <w:t>skutečně vyžadují. Výsledkem tak může být podpora zákona, který je řešenému problému nejvíce na míru. Tento pohled na přístup EP k lobbingu je relativně zřejmým důkazem určité schizofrenie. Na jednu stranu se poslanci snaží přesvědčit své voliče</w:t>
      </w:r>
      <w:r w:rsidR="00B245D5">
        <w:rPr>
          <w:szCs w:val="24"/>
        </w:rPr>
        <w:t xml:space="preserve"> o minimálním lobbingu praktikovaném v EP</w:t>
      </w:r>
      <w:r w:rsidR="001F371F" w:rsidRPr="00D5387F">
        <w:rPr>
          <w:szCs w:val="24"/>
        </w:rPr>
        <w:t>. Na druhou stranu však praxe představuje častý lobbing, který díky zastínění oficiálním stanoviskem může v tichosti přerůst v nekalou korupci.</w:t>
      </w:r>
    </w:p>
    <w:p w:rsidR="001F371F" w:rsidRPr="00D5387F" w:rsidRDefault="001F371F" w:rsidP="001F371F">
      <w:r w:rsidRPr="00D5387F">
        <w:rPr>
          <w:szCs w:val="24"/>
        </w:rPr>
        <w:t>Nyní je potřeba vymezit, koho lobbisté v EP kontaktují nejčastěji, čímž se ujasní dopad jednotlivých</w:t>
      </w:r>
      <w:r w:rsidRPr="00D5387F">
        <w:t xml:space="preserve"> specifik regulací. Za hlavní osoby, které mají vliv na směřování návrhů, jsou považováni zpravodaj a předseda výboru. Odpovídající pozice ve výboru je v podstatě považována za mnohem důležitější než odpovídající pozice v politické skupině.</w:t>
      </w:r>
      <w:r w:rsidRPr="00D5387F">
        <w:rPr>
          <w:rStyle w:val="Znakapoznpodarou"/>
        </w:rPr>
        <w:footnoteReference w:id="41"/>
      </w:r>
      <w:r w:rsidRPr="00D5387F">
        <w:t xml:space="preserve"> Naopak pracovníci kolem poslance EP jsou považování za méně významné pro konzultaci zájmů, jelikož samotní poslanci mnohdy nevěnují dostatečnou pozornost názorům těchto pracovníků.</w:t>
      </w:r>
      <w:r w:rsidRPr="00D5387F">
        <w:rPr>
          <w:rStyle w:val="Znakapoznpodarou"/>
        </w:rPr>
        <w:footnoteReference w:id="42"/>
      </w:r>
    </w:p>
    <w:p w:rsidR="001F371F" w:rsidRPr="00D5387F" w:rsidRDefault="001F371F" w:rsidP="001F371F">
      <w:r w:rsidRPr="00D5387F">
        <w:t xml:space="preserve">Jak tedy bylo ujasněno, velkou pravděpodobnost prosazení svých zájmů, v podstatě výměnou za usnadnění práce a poskytnutí informací, mají lobbisté především u zpravodajů EP. Zpravodajové mají totiž pouze několik měsíců pro připravení své zprávy, a proto jsou výbory zpravodajů a stínoví zpravodajové obvyklými lobbistickými cíli. Z toho důvodu, když píšou zprávu, opírají se o zájmové skupiny kvůli informacím, jak bylo popsáno v předchozím odstavci. Komplexní a technické informace lobbisté zpravodajům v podstatě překládají do srozumitelných poznámek. Bez této pomoci nemohou pracovat ani jejich asistenti a političtí poradci. Zájmové skupiny jim pomáhají ucelit jejich pohled. Podle </w:t>
      </w:r>
      <w:r w:rsidR="00E410FC">
        <w:rPr>
          <w:szCs w:val="24"/>
        </w:rPr>
        <w:t>Davida Judge a Davida Earnshawa</w:t>
      </w:r>
      <w:r w:rsidRPr="00D5387F">
        <w:t xml:space="preserve"> </w:t>
      </w:r>
      <w:r w:rsidR="00E410FC">
        <w:t xml:space="preserve">75 až </w:t>
      </w:r>
      <w:r w:rsidRPr="00D5387F">
        <w:t>80 % všech návrhů ve výborech pochází přímo od zástupců</w:t>
      </w:r>
      <w:r w:rsidR="00B245D5">
        <w:t xml:space="preserve"> zájmových skupin</w:t>
      </w:r>
      <w:r w:rsidRPr="00D5387F">
        <w:t xml:space="preserve">, kteří </w:t>
      </w:r>
      <w:r w:rsidR="00B245D5">
        <w:t>se tímto způsobem snaží prosadit své stanovisko</w:t>
      </w:r>
      <w:r w:rsidRPr="00D5387F">
        <w:t>.</w:t>
      </w:r>
      <w:r w:rsidRPr="00D5387F">
        <w:rPr>
          <w:rStyle w:val="Znakapoznpodarou"/>
        </w:rPr>
        <w:footnoteReference w:id="43"/>
      </w:r>
    </w:p>
    <w:p w:rsidR="001F371F" w:rsidRPr="00D5387F" w:rsidRDefault="001C168F" w:rsidP="001F371F">
      <w:pPr>
        <w:pStyle w:val="Nadpis3"/>
      </w:pPr>
      <w:bookmarkStart w:id="26" w:name="_Toc330039544"/>
      <w:r>
        <w:t>Praktický případ: k</w:t>
      </w:r>
      <w:r w:rsidR="001F371F" w:rsidRPr="00D5387F">
        <w:t>auza „peníze za zákony“</w:t>
      </w:r>
      <w:bookmarkEnd w:id="26"/>
    </w:p>
    <w:p w:rsidR="001F371F" w:rsidRPr="00D5387F" w:rsidRDefault="001F371F" w:rsidP="001F371F">
      <w:r w:rsidRPr="00D5387F">
        <w:t xml:space="preserve">Řešíme-li nekalou činnost v rámci lobbování v EP a její regulaci, vyskytl se v minulosti příklad, na kterém lze jasně ukázat, jaká regulace je nedostatečná, a jaká by podobným událostem zamezila. Tímto příkladem je myšlena tzv. kauza „peníze za zákony“ z roku 2011. Kauza spočívala v tom, že se reportéři The Sunday Times vydávali za fiktivní lobbistickou </w:t>
      </w:r>
      <w:r w:rsidRPr="00D5387F">
        <w:lastRenderedPageBreak/>
        <w:t>společnost Taylor Jones Public Affairs a zkoušeli u poslanců EP prosadit své zájmy výměnou za úplatek.</w:t>
      </w:r>
      <w:r w:rsidRPr="00D5387F">
        <w:rPr>
          <w:rStyle w:val="Znakapoznpodarou"/>
        </w:rPr>
        <w:footnoteReference w:id="44"/>
      </w:r>
      <w:r w:rsidRPr="00D5387F">
        <w:t xml:space="preserve"> Proto kontaktovali 60 poslanců EP a nabídli jim peníze za to, že předloží pozměňovací návrhy k návrhům právních předpisů týkajících se bankovních regulací.</w:t>
      </w:r>
      <w:r w:rsidRPr="00D5387F">
        <w:rPr>
          <w:rStyle w:val="Znakapoznpodarou"/>
        </w:rPr>
        <w:footnoteReference w:id="45"/>
      </w:r>
      <w:r w:rsidRPr="00D5387F">
        <w:t xml:space="preserve"> Na tuto nabídku nakonec přistoupili čtyři poslanci EP.</w:t>
      </w:r>
      <w:r w:rsidRPr="00D5387F">
        <w:rPr>
          <w:rStyle w:val="Znakapoznpodarou"/>
        </w:rPr>
        <w:footnoteReference w:id="46"/>
      </w:r>
    </w:p>
    <w:p w:rsidR="001F371F" w:rsidRPr="00D5387F" w:rsidRDefault="001F371F" w:rsidP="001F371F">
      <w:r w:rsidRPr="00D5387F">
        <w:t>Jako první je potřeba zmínit závažnost aféry. Na jednu stranu se jednalo o pouhý zlomek čtyř z 60 poslanců, nicméně na druhou stranu jde o velmi závažný precedens, podle kterého není regulace nastavena dodatečně silně, aby předcházela takovýmto situacím. V podstatě, ani ke korupci těch čtyř poslanců nemělo dojít. V každém případě měla kauza za následek důležité a hlavně věcné činy v oblasti regulace.</w:t>
      </w:r>
    </w:p>
    <w:p w:rsidR="001F371F" w:rsidRPr="00D5387F" w:rsidRDefault="001F371F" w:rsidP="001F371F">
      <w:r w:rsidRPr="00D5387F">
        <w:t>Výsledkem zkoumané kauzy bylo ustanovení pracovní skupiny tehdejším předsedou EP Jerzy Buzkem. Ta měla navrhnout nový soubor pravidel řešících přístup a chování lobbistů a formulovat kodex chování poslanců EP. Celkem se zabývala sedmi návrhy předloženými Buzkem, které mimo jiné obsahovaly i povinný rejstřík lobbistů pro všechny instituce EU, revizi a upřesnění deklarací poslanců EP o finančních zájmech s frekventovanějšími aktualizacemi, „legislativní stopu“ pro zpravodajce a přísnější sankce za nedodržení těchto pravidel.</w:t>
      </w:r>
      <w:r w:rsidRPr="00D5387F">
        <w:rPr>
          <w:rStyle w:val="Znakapoznpodarou"/>
        </w:rPr>
        <w:footnoteReference w:id="47"/>
      </w:r>
      <w:r w:rsidRPr="00D5387F">
        <w:t xml:space="preserve"> I když návrh reformy v tomto znění nabízí značné zlepšení pravidel EP, přesto nezašel dostatečně daleko. Reálným výsledkem totiž byl pouze vznik kodexu chování poslanců EP.</w:t>
      </w:r>
      <w:r w:rsidRPr="00D5387F">
        <w:rPr>
          <w:rStyle w:val="Znakapoznpodarou"/>
        </w:rPr>
        <w:footnoteReference w:id="48"/>
      </w:r>
    </w:p>
    <w:p w:rsidR="001F371F" w:rsidRPr="00D5387F" w:rsidRDefault="001F371F" w:rsidP="001F371F">
      <w:r w:rsidRPr="00D5387F">
        <w:t xml:space="preserve">Přes výše uvedené lze na tomto incidentu ukázat, že spoléhat se na pouhou seberegulaci lobbistů není dostatečné. Navíc ani pouhá regulace samotných lobbistů nemusí být dostatečná. Reportéři figurující v kauze, kteří se vydávali za lobbisty, se očividně bez problémů akreditovali, nebo našli jiný vhodný způsob, jak se jednoduše dostat k poslanci. Poslance pak k odmítnutí nelegální nabídky přinutí pouze jeho čest, tedy to, že si je vědom významu své funkce a jedná podle toho, nebo přísná pravidla, která v nekalém jednání brání, </w:t>
      </w:r>
      <w:r w:rsidRPr="00D5387F">
        <w:lastRenderedPageBreak/>
        <w:t>a díky kterým mu hrozí výrazné potrestání například v podobě sankcí. Nevýhodou však je, že i přesto je obtížné předejít samotnému nabízení úplatku. Může tomu zamezit například vykazování poslancových výdajů, ve kterém by se toto obohacování určitým způsobem projevilo. Jak ostatně Buzek navrhoval ve svém antikorupčním plánu, poslanci EP by měli povinně aktualizovat své deklarace o zájmech pokaždé, když se změní situace, jelikož podle jeho názoru frekvence jednou ročně nestačí.</w:t>
      </w:r>
      <w:r w:rsidRPr="00D5387F">
        <w:rPr>
          <w:rStyle w:val="Znakapoznpodarou"/>
        </w:rPr>
        <w:footnoteReference w:id="49"/>
      </w:r>
    </w:p>
    <w:p w:rsidR="001F371F" w:rsidRPr="00D5387F" w:rsidRDefault="001F371F" w:rsidP="001F371F">
      <w:pPr>
        <w:pStyle w:val="Nadpis3"/>
      </w:pPr>
      <w:bookmarkStart w:id="27" w:name="_Toc330039545"/>
      <w:r w:rsidRPr="00D5387F">
        <w:t>Zamezení slabým stránkám regulace lobbingu v EP</w:t>
      </w:r>
      <w:bookmarkEnd w:id="27"/>
    </w:p>
    <w:p w:rsidR="001F371F" w:rsidRPr="00D5387F" w:rsidRDefault="001F371F" w:rsidP="001F371F">
      <w:pPr>
        <w:rPr>
          <w:szCs w:val="24"/>
        </w:rPr>
      </w:pPr>
      <w:r w:rsidRPr="00D5387F">
        <w:rPr>
          <w:szCs w:val="24"/>
        </w:rPr>
        <w:t>Patrně nejdůležitější slabou stránkou stávajícího nastavení regulace lobbingu v EP je její zaměření se na lobbing probíhající uvnitř parlamentní budovy. Ti, kdo chtěli lobbovat poslance EP mimo budovu EP, registraci nepotřebují.</w:t>
      </w:r>
      <w:r w:rsidRPr="00D5387F">
        <w:rPr>
          <w:rStyle w:val="Znakapoznpodarou"/>
          <w:szCs w:val="24"/>
        </w:rPr>
        <w:footnoteReference w:id="50"/>
      </w:r>
      <w:r w:rsidRPr="00D5387F">
        <w:rPr>
          <w:szCs w:val="24"/>
        </w:rPr>
        <w:t xml:space="preserve"> Už od počátku, kdy byla zavedena akreditace, nebyla zavazující pro ty, kteří poslance dokázali oslovit mimo budovu, a poslanec je byl ochotný přijmout.</w:t>
      </w:r>
    </w:p>
    <w:p w:rsidR="001F371F" w:rsidRPr="00D5387F" w:rsidRDefault="00B0762D" w:rsidP="001F371F">
      <w:pPr>
        <w:rPr>
          <w:szCs w:val="24"/>
        </w:rPr>
      </w:pPr>
      <w:r>
        <w:rPr>
          <w:szCs w:val="24"/>
        </w:rPr>
        <w:t>Další slabá stránka souvisí s tím, jaké informace se od lobbistů k poslancům dostanou. Je pochopitelné, že</w:t>
      </w:r>
      <w:r w:rsidR="001F371F" w:rsidRPr="00D5387F">
        <w:rPr>
          <w:szCs w:val="24"/>
        </w:rPr>
        <w:t xml:space="preserve"> EP využívá </w:t>
      </w:r>
      <w:r>
        <w:rPr>
          <w:szCs w:val="24"/>
        </w:rPr>
        <w:t>postojů poskytovaných</w:t>
      </w:r>
      <w:r w:rsidR="001F371F" w:rsidRPr="00D5387F">
        <w:rPr>
          <w:szCs w:val="24"/>
        </w:rPr>
        <w:t xml:space="preserve"> lobbisty k zauje</w:t>
      </w:r>
      <w:r>
        <w:rPr>
          <w:szCs w:val="24"/>
        </w:rPr>
        <w:t>tí svého postoje k řešené legislativě.</w:t>
      </w:r>
      <w:r w:rsidR="001F371F" w:rsidRPr="00D5387F">
        <w:rPr>
          <w:szCs w:val="24"/>
        </w:rPr>
        <w:t xml:space="preserve"> </w:t>
      </w:r>
      <w:r>
        <w:rPr>
          <w:szCs w:val="24"/>
        </w:rPr>
        <w:t>V případě přísunu informací ze zdroje tohoto typu lze nalézt</w:t>
      </w:r>
      <w:r w:rsidR="001F371F" w:rsidRPr="00D5387F">
        <w:rPr>
          <w:szCs w:val="24"/>
        </w:rPr>
        <w:t xml:space="preserve"> jeden </w:t>
      </w:r>
      <w:r>
        <w:rPr>
          <w:szCs w:val="24"/>
        </w:rPr>
        <w:t>nedostatek</w:t>
      </w:r>
      <w:r w:rsidR="001F371F" w:rsidRPr="00D5387F">
        <w:rPr>
          <w:szCs w:val="24"/>
        </w:rPr>
        <w:t xml:space="preserve">, </w:t>
      </w:r>
      <w:r>
        <w:rPr>
          <w:szCs w:val="24"/>
        </w:rPr>
        <w:t>tedy že</w:t>
      </w:r>
      <w:r w:rsidR="001F371F" w:rsidRPr="00D5387F">
        <w:rPr>
          <w:szCs w:val="24"/>
        </w:rPr>
        <w:t xml:space="preserve"> kvalita poskytovaných informací</w:t>
      </w:r>
      <w:r>
        <w:rPr>
          <w:szCs w:val="24"/>
        </w:rPr>
        <w:t xml:space="preserve"> nebude mít potřebnou úroveň</w:t>
      </w:r>
      <w:r w:rsidR="001F371F" w:rsidRPr="00D5387F">
        <w:rPr>
          <w:szCs w:val="24"/>
        </w:rPr>
        <w:t>.</w:t>
      </w:r>
      <w:r>
        <w:rPr>
          <w:szCs w:val="24"/>
        </w:rPr>
        <w:t xml:space="preserve"> </w:t>
      </w:r>
      <w:r w:rsidR="001F371F" w:rsidRPr="00D5387F">
        <w:rPr>
          <w:szCs w:val="24"/>
        </w:rPr>
        <w:t xml:space="preserve">Podle výzkumů agentury Donath-Burson-Marsteller je kvalita </w:t>
      </w:r>
      <w:r>
        <w:rPr>
          <w:szCs w:val="24"/>
        </w:rPr>
        <w:t>těchto</w:t>
      </w:r>
      <w:r w:rsidR="001F371F" w:rsidRPr="00D5387F">
        <w:rPr>
          <w:szCs w:val="24"/>
        </w:rPr>
        <w:t xml:space="preserve"> informací největším problémem, a to průřezově v různých zkoumaných letech od 2001 do 2009.</w:t>
      </w:r>
      <w:r w:rsidR="001F371F" w:rsidRPr="00D5387F">
        <w:rPr>
          <w:rStyle w:val="Znakapoznpodarou"/>
          <w:szCs w:val="24"/>
        </w:rPr>
        <w:footnoteReference w:id="51"/>
      </w:r>
      <w:r w:rsidR="001F371F" w:rsidRPr="00D5387F">
        <w:rPr>
          <w:szCs w:val="24"/>
        </w:rPr>
        <w:t xml:space="preserve"> Podle agentury jsou informace příliš povrchní a neužitečné. Zástupci zájmových skupin nejsou schopni jasně pojmenovat cíle a priority. Přestože zkoumaný rozsah je pouhých osm let, je to dostatečně dlouhá doba na to, aby bylo možné tvrdit, že se jedná o stálý problém.</w:t>
      </w:r>
      <w:r>
        <w:rPr>
          <w:szCs w:val="24"/>
        </w:rPr>
        <w:t xml:space="preserve"> Úroveň informací lze mimo jiné ovlivnit i nastavením regulačního mechanismu, který může zamezit nebo naopak umožnit přísun kvalitních </w:t>
      </w:r>
      <w:r w:rsidR="00AE77B7">
        <w:rPr>
          <w:szCs w:val="24"/>
        </w:rPr>
        <w:t>zpráv a postojů</w:t>
      </w:r>
      <w:r>
        <w:rPr>
          <w:szCs w:val="24"/>
        </w:rPr>
        <w:t>.</w:t>
      </w:r>
      <w:r w:rsidR="001F371F" w:rsidRPr="00D5387F">
        <w:rPr>
          <w:szCs w:val="24"/>
        </w:rPr>
        <w:t xml:space="preserve"> Nicméně regulací, jakou má EP nastavenou, nelze </w:t>
      </w:r>
      <w:r w:rsidR="00AE77B7">
        <w:rPr>
          <w:szCs w:val="24"/>
        </w:rPr>
        <w:t>zajistit odpovídající kvalitu</w:t>
      </w:r>
      <w:r w:rsidR="001F371F" w:rsidRPr="00D5387F">
        <w:rPr>
          <w:szCs w:val="24"/>
        </w:rPr>
        <w:t xml:space="preserve">. Je pouze na poslanci či pracovníkovi samotném, zda je natolik schopný, aby si třídil nabízené informace a vybral z nich pouze ty relevantní a kvalitní. Co však </w:t>
      </w:r>
      <w:r w:rsidR="00AE77B7">
        <w:rPr>
          <w:szCs w:val="24"/>
        </w:rPr>
        <w:t xml:space="preserve">nastavená </w:t>
      </w:r>
      <w:r w:rsidR="001F371F" w:rsidRPr="00D5387F">
        <w:rPr>
          <w:szCs w:val="24"/>
        </w:rPr>
        <w:t xml:space="preserve">regulace podchytit může, je nelegální podbízení některých informací. Toto </w:t>
      </w:r>
      <w:r w:rsidR="001F371F" w:rsidRPr="00D5387F">
        <w:rPr>
          <w:szCs w:val="24"/>
        </w:rPr>
        <w:lastRenderedPageBreak/>
        <w:t>podbízení lze spatřovat v různých formách úplatků či nátlaku. Je vhodné zamezit situaci, kdy poslanec zařadí informace mezi relevantní, i když jimi nejsou. Regulace pouze zajišťuje co největší prostor k tomu, aby poslanec vybíral informace od lobbistů nezaujatě a čistě podle svého uvážení.</w:t>
      </w:r>
    </w:p>
    <w:p w:rsidR="001F371F" w:rsidRPr="00D5387F" w:rsidRDefault="00AE77B7" w:rsidP="001F371F">
      <w:pPr>
        <w:rPr>
          <w:szCs w:val="24"/>
        </w:rPr>
      </w:pPr>
      <w:r>
        <w:rPr>
          <w:szCs w:val="24"/>
        </w:rPr>
        <w:t>Je možné</w:t>
      </w:r>
      <w:r w:rsidR="001F371F" w:rsidRPr="00D5387F">
        <w:rPr>
          <w:szCs w:val="24"/>
        </w:rPr>
        <w:t>,</w:t>
      </w:r>
      <w:r>
        <w:rPr>
          <w:szCs w:val="24"/>
        </w:rPr>
        <w:t xml:space="preserve"> že</w:t>
      </w:r>
      <w:r w:rsidR="001F371F" w:rsidRPr="00D5387F">
        <w:rPr>
          <w:szCs w:val="24"/>
        </w:rPr>
        <w:t xml:space="preserve"> kvalitní a relevantní informace se k poslancům </w:t>
      </w:r>
      <w:r>
        <w:rPr>
          <w:szCs w:val="24"/>
        </w:rPr>
        <w:t>nedostanou</w:t>
      </w:r>
      <w:r w:rsidR="001F371F" w:rsidRPr="00D5387F">
        <w:rPr>
          <w:szCs w:val="24"/>
        </w:rPr>
        <w:t xml:space="preserve"> </w:t>
      </w:r>
      <w:r w:rsidRPr="00D5387F">
        <w:rPr>
          <w:szCs w:val="24"/>
        </w:rPr>
        <w:t xml:space="preserve">ani </w:t>
      </w:r>
      <w:r w:rsidR="001F371F" w:rsidRPr="00D5387F">
        <w:rPr>
          <w:szCs w:val="24"/>
        </w:rPr>
        <w:t>skrze zavedenou regulaci, která může být až příliš přísná a lobbisté ji nebudou ochotni z jakýchkoliv důvodů akceptovat</w:t>
      </w:r>
      <w:r>
        <w:rPr>
          <w:szCs w:val="24"/>
        </w:rPr>
        <w:t xml:space="preserve"> a podrobit se ji</w:t>
      </w:r>
      <w:r w:rsidR="001F371F" w:rsidRPr="00D5387F">
        <w:rPr>
          <w:szCs w:val="24"/>
        </w:rPr>
        <w:t>. Nicméně zájem, který je potřeba prosadit, je</w:t>
      </w:r>
      <w:r>
        <w:rPr>
          <w:szCs w:val="24"/>
        </w:rPr>
        <w:t xml:space="preserve"> pro lobbisty</w:t>
      </w:r>
      <w:r w:rsidR="001F371F" w:rsidRPr="00D5387F">
        <w:rPr>
          <w:szCs w:val="24"/>
        </w:rPr>
        <w:t xml:space="preserve"> v podstatě prioritou. I když nemusí souhlasit s regulačními mechanismy, budou je</w:t>
      </w:r>
      <w:r>
        <w:rPr>
          <w:szCs w:val="24"/>
        </w:rPr>
        <w:t xml:space="preserve"> spíše</w:t>
      </w:r>
      <w:r w:rsidR="001F371F" w:rsidRPr="00D5387F">
        <w:rPr>
          <w:szCs w:val="24"/>
        </w:rPr>
        <w:t xml:space="preserve"> ochotni podstoupit, pokud je to pro prosazení jejich zájmů nezbytné. Zůstává tak individuálně na poslancích EP, zda se rozhodnou konzultovat relevantní zúčastněné strany, kterých se legislativní akt týká. To však s regulací nemá nic společného. Proto se jeví jako nepravdivé, že s množstvím regulace roste transparentnost, ale klesá přístupnost komunikačních kanálů mezi lobbisty a institucemi.</w:t>
      </w:r>
    </w:p>
    <w:p w:rsidR="001F371F" w:rsidRPr="00D5387F" w:rsidRDefault="001F371F" w:rsidP="001F371F">
      <w:pPr>
        <w:rPr>
          <w:szCs w:val="24"/>
        </w:rPr>
      </w:pPr>
      <w:r w:rsidRPr="00D5387F">
        <w:rPr>
          <w:szCs w:val="24"/>
        </w:rPr>
        <w:t>Je však možné jedno řešení nabízené Rasmussenovou, a to, že by klíčoví poslanci EP měli povinně konzultovat zúčastněné strany bez ohledu na skutečnost, zda souhlasí s jejich postojem. Mezi způsoby, jak tyto vzájemné diskuze řešit, patří složka na webové stránce každého výboru, kde by zájmové skupiny mohly nahrát dokument se svojí pozicí, připomínkami a doporučením pro hlasování. Na nahrání by měli předem stanovenou dobu.</w:t>
      </w:r>
      <w:r w:rsidRPr="00D5387F">
        <w:rPr>
          <w:rStyle w:val="Znakapoznpodarou"/>
          <w:szCs w:val="24"/>
        </w:rPr>
        <w:footnoteReference w:id="52"/>
      </w:r>
      <w:r w:rsidRPr="00D5387F">
        <w:rPr>
          <w:szCs w:val="24"/>
        </w:rPr>
        <w:t xml:space="preserve"> Zájmové skupiny jsou tak schopny upozornit poslance EP na aspekty návrhů Komise, kterých si původně nemuseli všimnout. Tento způsob je dosud nepoužitým druhem regulace institucí, který by však byl dostatečně transparentní a efektivní.</w:t>
      </w:r>
    </w:p>
    <w:p w:rsidR="001F371F" w:rsidRDefault="001F371F" w:rsidP="001F371F">
      <w:pPr>
        <w:pStyle w:val="Nadpis2"/>
      </w:pPr>
      <w:bookmarkStart w:id="29" w:name="_Toc330039546"/>
      <w:r w:rsidRPr="00D5387F">
        <w:t>Komise</w:t>
      </w:r>
      <w:bookmarkEnd w:id="29"/>
    </w:p>
    <w:p w:rsidR="000C775D" w:rsidRPr="000C775D" w:rsidRDefault="000C775D" w:rsidP="000C775D">
      <w:pPr>
        <w:pStyle w:val="Nadpis3"/>
      </w:pPr>
      <w:bookmarkStart w:id="30" w:name="_Toc330039547"/>
      <w:r>
        <w:t>Popis a zhodnocení vývoje postoje</w:t>
      </w:r>
      <w:bookmarkEnd w:id="30"/>
    </w:p>
    <w:p w:rsidR="001F371F" w:rsidRPr="00D5387F" w:rsidRDefault="001F371F" w:rsidP="001F371F">
      <w:r>
        <w:t>Evropská komise často stráví 3–</w:t>
      </w:r>
      <w:r w:rsidRPr="00D5387F">
        <w:t>4 roky přípravou návrhu s radami velkého množství expertů a skupin na vysoké úrovni.</w:t>
      </w:r>
      <w:r w:rsidRPr="00D5387F">
        <w:rPr>
          <w:rStyle w:val="Znakapoznpodarou"/>
        </w:rPr>
        <w:footnoteReference w:id="53"/>
      </w:r>
      <w:r w:rsidRPr="00D5387F">
        <w:t xml:space="preserve"> Význam Komise jako zdroje pro lobbování je jednoduše odvoditelný. Je totiž zodpovědná za vytváření legislativních návrhů. Jelikož má v této oblasti monopol, je samozřejmé, že se stává terčem zájmových skupin. Pro Komisi však lobbing zájmových skupin není negativem, protože pro přípravu legislativy musí mít kvalitní a hlavně </w:t>
      </w:r>
      <w:r w:rsidRPr="00D5387F">
        <w:lastRenderedPageBreak/>
        <w:t>aktuální informace. Zdroje pro získání těchto informací, čímž je myšleno jak finanční, tak personální, jsou však omezené.</w:t>
      </w:r>
      <w:r w:rsidR="002F3686">
        <w:t xml:space="preserve"> Informativní lobbing je pro Komisi téměř typický. Jedná se o důležitý nástroj, kterým zájmové skupiny mohou účinně vyvinout nátlak na různá rozhodnutí instituce.</w:t>
      </w:r>
      <w:r w:rsidR="002F3686">
        <w:rPr>
          <w:rStyle w:val="Znakapoznpodarou"/>
        </w:rPr>
        <w:footnoteReference w:id="54"/>
      </w:r>
      <w:r w:rsidRPr="00D5387F">
        <w:t xml:space="preserve"> Proto se Komise snaží překonat deficit mimo jiné i konzultacemi se zájmovými skupinami. Logicky tak nemá potřebu omezovat svůj zdroj informací složitou regulací, když je pro ni vhodnější, aby se k ní dostalo více zdrojů, které si pak sama vyselektuje podle toho, jak uzná za vhodné (za předpokladu, že tato selekce bude probíhat v souladu s tím, co je legální). Její zdrženlivý postoj k zavedení formální regulace zájmových skupin po vzoru EP může být vysvětlován i obavou ze snížení vlivu a legitimity vlastního rozhodování.</w:t>
      </w:r>
      <w:r w:rsidRPr="00D5387F">
        <w:rPr>
          <w:rStyle w:val="Znakapoznpodarou"/>
        </w:rPr>
        <w:footnoteReference w:id="55"/>
      </w:r>
      <w:r w:rsidRPr="00D5387F">
        <w:t xml:space="preserve"> Jinak řečeno, takto se může opřít o určitou podporu zájmových skupin, které za legislativní návrh lobbovaly. Navíc, Komise jakožto instituce nevolena přímo občany se jím také nemusí zodpovídat. Nemusí tak být tak vyhraněná k lobbingu jako EP.</w:t>
      </w:r>
    </w:p>
    <w:p w:rsidR="001F371F" w:rsidRPr="00D5387F" w:rsidRDefault="001F371F" w:rsidP="001F371F">
      <w:r w:rsidRPr="00D5387F">
        <w:t>Z přístupu Komise je patrná záměrná laxnost v zavádění regulace, zejména z důvodů uvedených v předchozím odstavci. Preferuje tedy minimalistický přístup k jakékoliv formě regulace. Je si však vědoma potřeby alespoň nějakého regulování, a to spíše kvůli transparentnosti pro veřejnost a přehlednosti pro svou práci s lobbisty jakožto informačními kanály. Proto už od roku 1992 prosazuje zavedení seberegulace zájmových skupin, čehož výstupem je dobrovolný rejstřík, který se v roce 2011 stal společný i pro EP.</w:t>
      </w:r>
      <w:r w:rsidRPr="00D5387F">
        <w:rPr>
          <w:rStyle w:val="Znakapoznpodarou"/>
        </w:rPr>
        <w:footnoteReference w:id="56"/>
      </w:r>
      <w:r w:rsidRPr="00D5387F">
        <w:t xml:space="preserve"> Součástí regulace v rámci Komise je kodex chování komisařů.</w:t>
      </w:r>
      <w:r w:rsidRPr="00D5387F">
        <w:rPr>
          <w:rStyle w:val="Znakapoznpodarou"/>
        </w:rPr>
        <w:footnoteReference w:id="57"/>
      </w:r>
    </w:p>
    <w:p w:rsidR="001F371F" w:rsidRPr="00D5387F" w:rsidRDefault="001F371F" w:rsidP="001F371F">
      <w:r w:rsidRPr="00D5387F">
        <w:t xml:space="preserve">O jeden z prvních nástinů principů transparentnosti se Komise pokoušela v </w:t>
      </w:r>
      <w:r w:rsidRPr="00840865">
        <w:rPr>
          <w:i/>
        </w:rPr>
        <w:t>Bílé knize o evropském vládnutí</w:t>
      </w:r>
      <w:r w:rsidRPr="00D5387F">
        <w:t xml:space="preserve"> z roku 2001, která se zmiňovala o efektivnějších a transparentnějších konzultacích jakožto jádra vytváření politiky EU.</w:t>
      </w:r>
      <w:r w:rsidRPr="00D5387F">
        <w:rPr>
          <w:rStyle w:val="Znakapoznpodarou"/>
        </w:rPr>
        <w:footnoteReference w:id="58"/>
      </w:r>
      <w:r w:rsidRPr="00D5387F">
        <w:t xml:space="preserve"> Reakci na tento dokument bylo zejména vytvoření databáze CONECCS,</w:t>
      </w:r>
      <w:r w:rsidRPr="00D5387F">
        <w:rPr>
          <w:rStyle w:val="Znakapoznpodarou"/>
        </w:rPr>
        <w:footnoteReference w:id="59"/>
      </w:r>
      <w:r w:rsidRPr="00D5387F">
        <w:t xml:space="preserve"> což je předchůdce dnešního rejstříku. Výraznou změnu v poměrně laxním přístupu měla odstartovat </w:t>
      </w:r>
      <w:r w:rsidRPr="00840865">
        <w:rPr>
          <w:i/>
        </w:rPr>
        <w:t xml:space="preserve">Zelená kniha o evropské iniciativě pro </w:t>
      </w:r>
      <w:r w:rsidRPr="00840865">
        <w:rPr>
          <w:i/>
        </w:rPr>
        <w:lastRenderedPageBreak/>
        <w:t>transparentnost</w:t>
      </w:r>
      <w:r w:rsidRPr="00D5387F">
        <w:t xml:space="preserve"> z 3. května 2006.</w:t>
      </w:r>
      <w:r w:rsidRPr="00D5387F">
        <w:rPr>
          <w:rStyle w:val="Znakapoznpodarou"/>
        </w:rPr>
        <w:t xml:space="preserve"> </w:t>
      </w:r>
      <w:r w:rsidRPr="00D5387F">
        <w:t>Tento dokument přinesl vymezení pojmu lobbing, jak ho vnímá Komise a jeho zařazení mezi legitimní součást systému.</w:t>
      </w:r>
      <w:r w:rsidRPr="00D5387F">
        <w:rPr>
          <w:rStyle w:val="Znakapoznpodarou"/>
        </w:rPr>
        <w:footnoteReference w:id="60"/>
      </w:r>
      <w:r w:rsidRPr="00D5387F">
        <w:t xml:space="preserve"> Jinak kromě požadavků na zlepšení funkce registru a vytvoření kodexu chování lobbistů nepřináší nic převratného, co by učinilo výraznější posun vpřed. Navíc už samotný charakter Zelené knihy představuje pouhou deklaraci, „co by mohlo být“. Další nedostatek dobře vystihnul Erik Wesselius z Corporate Europe Observatory, který se vyjádřil ohledně návrhů, jak přimět lobbisty dobrovolně se zaregistrovat – jsou podle něj slabé a nepřesvědčivé.</w:t>
      </w:r>
      <w:r w:rsidRPr="00D5387F">
        <w:rPr>
          <w:rStyle w:val="Znakapoznpodarou"/>
        </w:rPr>
        <w:footnoteReference w:id="61"/>
      </w:r>
      <w:r w:rsidRPr="00D5387F">
        <w:t xml:space="preserve"> I zde tedy byl jasně viditelný záměr udržet regulaci na bázi dobrovolnosti, která však nebyla, jak kritika napovídá, dostatečně účinná.</w:t>
      </w:r>
    </w:p>
    <w:p w:rsidR="001F371F" w:rsidRDefault="001F371F" w:rsidP="001F371F">
      <w:r w:rsidRPr="00D5387F">
        <w:t xml:space="preserve">Otázkou je, jak můžeme vnímat přístup Komise k regulaci, co se dobrovolnosti týče. Jestliže je transparentnost skutečně vyžadovaným cílem, proč by rejstřík nemohl fungovat na povinné bázi společně s propracovaným systémem zamezujícím problému „otáčivých dveří“ popsaným v kapitole </w:t>
      </w:r>
      <w:r w:rsidR="005B386F">
        <w:t>5</w:t>
      </w:r>
      <w:r w:rsidRPr="00D5387F">
        <w:t>.3? Komise není bohužel ochotna rozvinout systém regulací na něco skutečně fungujícího, což je znát na přístupu ve vydaných dokumentech, které jsou popsány výše v předchozích odstavcích, a jejím obecném postoji preferujícím seberegulaci.</w:t>
      </w:r>
    </w:p>
    <w:p w:rsidR="000C775D" w:rsidRDefault="000C775D" w:rsidP="000C775D">
      <w:pPr>
        <w:pStyle w:val="Nadpis3"/>
      </w:pPr>
      <w:bookmarkStart w:id="33" w:name="_Toc330039548"/>
      <w:r>
        <w:t xml:space="preserve">Praktický </w:t>
      </w:r>
      <w:r w:rsidR="001C168F">
        <w:t>případ:</w:t>
      </w:r>
      <w:r>
        <w:t xml:space="preserve"> „otáčiv</w:t>
      </w:r>
      <w:r w:rsidR="001C168F">
        <w:t>é</w:t>
      </w:r>
      <w:r>
        <w:t xml:space="preserve"> dveř</w:t>
      </w:r>
      <w:r w:rsidR="001C168F">
        <w:t>e</w:t>
      </w:r>
      <w:r>
        <w:t>“</w:t>
      </w:r>
      <w:r w:rsidR="00BF06D6">
        <w:t xml:space="preserve"> v Komisi</w:t>
      </w:r>
      <w:bookmarkEnd w:id="33"/>
    </w:p>
    <w:p w:rsidR="00913B97" w:rsidRDefault="00997AED" w:rsidP="001F371F">
      <w:r>
        <w:t>Problém „otáčivých dveří“ se týká všech institucí, avšak u Komise, která zastupuje zájmy EU, je tento problém velmi klíčový a dokonce i některé zájmové skupiny jako ALTER-EU proti tomu brojí. Lze nalézt spoustu příkladů,</w:t>
      </w:r>
      <w:r w:rsidR="00BF06D6">
        <w:rPr>
          <w:rStyle w:val="Znakapoznpodarou"/>
        </w:rPr>
        <w:footnoteReference w:id="62"/>
      </w:r>
      <w:r>
        <w:t xml:space="preserve"> kdy bývalý člen Komise začal pracovat pro nějakou společnost, avšak pro účely diplomové práce nejvíce vyhovuje případ Charlieho McC</w:t>
      </w:r>
      <w:r w:rsidR="00913B97">
        <w:t xml:space="preserve">reevyho, který je vůbec první svého druhu, kde </w:t>
      </w:r>
      <w:r w:rsidR="00C15CAB">
        <w:t>bylo postupováno podle kodexu chování komisařů</w:t>
      </w:r>
      <w:r w:rsidR="00730F80">
        <w:t xml:space="preserve"> a ustanovená ad-hoc komise se vyjádřila proti dalším aktivitám komisaře. Nicméně, ve výsledku nebyl postup vůči komisaři zcela účinný a ten se znovu zachoval stejným způsobem</w:t>
      </w:r>
      <w:r w:rsidR="00C15CAB">
        <w:t>.</w:t>
      </w:r>
    </w:p>
    <w:p w:rsidR="00810B72" w:rsidRDefault="00730F80" w:rsidP="001F371F">
      <w:r>
        <w:lastRenderedPageBreak/>
        <w:t>McCreevy</w:t>
      </w:r>
      <w:r w:rsidR="000D180E">
        <w:t xml:space="preserve"> obdržel </w:t>
      </w:r>
      <w:r>
        <w:t xml:space="preserve">během funkčního období Barrosovy komise </w:t>
      </w:r>
      <w:r w:rsidR="000D180E">
        <w:t>silný post komisaře pro vnitřní trh a služby.</w:t>
      </w:r>
      <w:r w:rsidR="00EF534A">
        <w:rPr>
          <w:rStyle w:val="Znakapoznpodarou"/>
        </w:rPr>
        <w:footnoteReference w:id="63"/>
      </w:r>
      <w:r w:rsidR="000D180E">
        <w:t xml:space="preserve"> </w:t>
      </w:r>
      <w:r w:rsidR="00C22FF3">
        <w:t>Pro přiblížení jeho osoby, b</w:t>
      </w:r>
      <w:r w:rsidR="000D180E">
        <w:t>ěhem období intenzivní liberalizace finančního sektoru</w:t>
      </w:r>
      <w:r w:rsidR="00EF534A">
        <w:t xml:space="preserve"> byl zodpovědný</w:t>
      </w:r>
      <w:r w:rsidR="000D180E">
        <w:t xml:space="preserve"> za zranitelný finanční systém bez adekvátní kontroly</w:t>
      </w:r>
      <w:r w:rsidR="00EF534A">
        <w:t>, což bohužel vedlo ke kolapsu</w:t>
      </w:r>
      <w:r w:rsidR="00B05D2C">
        <w:t>.</w:t>
      </w:r>
      <w:r w:rsidR="00EF534A">
        <w:rPr>
          <w:rStyle w:val="Znakapoznpodarou"/>
        </w:rPr>
        <w:footnoteReference w:id="64"/>
      </w:r>
      <w:r w:rsidR="00B05D2C">
        <w:t xml:space="preserve"> Později přiznal, že subjekty, které měly největší výdaje na lobbing, měly velký</w:t>
      </w:r>
      <w:r w:rsidR="00C22FF3">
        <w:t xml:space="preserve"> také</w:t>
      </w:r>
      <w:r w:rsidR="00B05D2C">
        <w:t xml:space="preserve"> vliv na evropskou legislativu.</w:t>
      </w:r>
      <w:r w:rsidR="001B4A20">
        <w:rPr>
          <w:rStyle w:val="Znakapoznpodarou"/>
        </w:rPr>
        <w:footnoteReference w:id="65"/>
      </w:r>
      <w:r w:rsidR="00913B97">
        <w:t xml:space="preserve"> </w:t>
      </w:r>
      <w:r w:rsidR="00810B72">
        <w:t>V případě Mc</w:t>
      </w:r>
      <w:r>
        <w:t>C</w:t>
      </w:r>
      <w:r w:rsidR="00810B72">
        <w:t>reevyho doc</w:t>
      </w:r>
      <w:r w:rsidR="00C22FF3">
        <w:t>házelo ke kumulaci dvou postů v relativně</w:t>
      </w:r>
      <w:r w:rsidR="00810B72">
        <w:t xml:space="preserve"> </w:t>
      </w:r>
      <w:r w:rsidR="00C22FF3">
        <w:t>podobné oblasti</w:t>
      </w:r>
      <w:r w:rsidR="00810B72">
        <w:t xml:space="preserve">. I přes zapojení ve </w:t>
      </w:r>
      <w:bookmarkStart w:id="35" w:name="OLE_LINK36"/>
      <w:r w:rsidR="00810B72">
        <w:t xml:space="preserve">finančním </w:t>
      </w:r>
      <w:bookmarkEnd w:id="35"/>
      <w:r w:rsidR="00810B72">
        <w:t xml:space="preserve">sektoru jako komisař </w:t>
      </w:r>
      <w:r w:rsidR="00C22FF3">
        <w:t xml:space="preserve">totiž </w:t>
      </w:r>
      <w:r w:rsidR="00810B72">
        <w:t xml:space="preserve">zaujímal štědře placenou pozici člena představenstva </w:t>
      </w:r>
      <w:r w:rsidR="00810B72" w:rsidRPr="00810B72">
        <w:t>NBNK Investments PLC</w:t>
      </w:r>
      <w:r w:rsidR="00810B72">
        <w:t>, investiční společnosti zaměřené na nákup finančních aktiv, které sám pomáhal vytvořit.</w:t>
      </w:r>
      <w:r w:rsidR="00C22FF3">
        <w:rPr>
          <w:rStyle w:val="Znakapoznpodarou"/>
        </w:rPr>
        <w:footnoteReference w:id="66"/>
      </w:r>
    </w:p>
    <w:p w:rsidR="00913B97" w:rsidRDefault="00913B97" w:rsidP="001F371F">
      <w:r>
        <w:t>Zde však lze vidět jasnou ukázku toho, jak by měla regulace v takovém případě fungovat. Tento konflikt zájmů vedl k ustanovení ad-hoc etické komise</w:t>
      </w:r>
      <w:r w:rsidR="00C15CAB">
        <w:t>, jak je uvedeno v bodě 1.2. kodexu chování komisařů.</w:t>
      </w:r>
      <w:r w:rsidR="00C15CAB">
        <w:rPr>
          <w:rStyle w:val="Znakapoznpodarou"/>
        </w:rPr>
        <w:footnoteReference w:id="67"/>
      </w:r>
      <w:r w:rsidR="00C15CAB">
        <w:t xml:space="preserve"> Ta vůbec poprvé vyjádřila negativní stanovisko</w:t>
      </w:r>
      <w:r w:rsidR="009C59D8">
        <w:t xml:space="preserve"> k otázce slučitelnosti dvou funkcí</w:t>
      </w:r>
      <w:r w:rsidR="00C15CAB">
        <w:t>.</w:t>
      </w:r>
      <w:r w:rsidR="009C59D8">
        <w:rPr>
          <w:rStyle w:val="Znakapoznpodarou"/>
        </w:rPr>
        <w:footnoteReference w:id="68"/>
      </w:r>
      <w:r w:rsidR="00C15CAB">
        <w:t xml:space="preserve"> Avšak Mc</w:t>
      </w:r>
      <w:r w:rsidR="00730F80">
        <w:t>C</w:t>
      </w:r>
      <w:r w:rsidR="00C15CAB">
        <w:t>reevy ignoroval vyjádření etické komise, která požadovala vzdání se postu mimo Komisi. Došlo proto k nátlaku na Mc</w:t>
      </w:r>
      <w:r w:rsidR="00730F80">
        <w:t>C</w:t>
      </w:r>
      <w:r w:rsidR="00C15CAB">
        <w:t>reevyho,</w:t>
      </w:r>
      <w:r w:rsidR="000B3DD5">
        <w:t xml:space="preserve"> a to veřejností i Komisí,</w:t>
      </w:r>
      <w:r w:rsidR="00C15CAB">
        <w:t xml:space="preserve"> které vadil zejména nepřiznaný podíl v NBNK.</w:t>
      </w:r>
      <w:r w:rsidR="000B3DD5">
        <w:rPr>
          <w:rStyle w:val="Znakapoznpodarou"/>
        </w:rPr>
        <w:footnoteReference w:id="69"/>
      </w:r>
    </w:p>
    <w:p w:rsidR="00C15CAB" w:rsidRDefault="00C15CAB" w:rsidP="001F371F">
      <w:r>
        <w:t>Avšak v jiném případě, kdy Mc</w:t>
      </w:r>
      <w:r w:rsidR="00730F80">
        <w:t>C</w:t>
      </w:r>
      <w:r>
        <w:t>reevy získal pozici v letecké společnosti Ryan</w:t>
      </w:r>
      <w:r w:rsidR="003D7251">
        <w:t>air, dostal od ad-hoc k</w:t>
      </w:r>
      <w:r>
        <w:t>omise zelenou.</w:t>
      </w:r>
      <w:r w:rsidR="003D7251">
        <w:t xml:space="preserve"> Její závěr zněl, že Mc</w:t>
      </w:r>
      <w:r w:rsidR="00730F80">
        <w:t>C</w:t>
      </w:r>
      <w:r w:rsidR="003D7251">
        <w:t>reevy sice měl podíl na rozhodnutí v této záležitosti, nicméně nebyl přímým účastníkem.</w:t>
      </w:r>
      <w:r w:rsidR="00CA4207">
        <w:t xml:space="preserve"> </w:t>
      </w:r>
      <w:r w:rsidR="003D7251">
        <w:t>Zde</w:t>
      </w:r>
      <w:r w:rsidR="00CA4207">
        <w:t xml:space="preserve"> Mc</w:t>
      </w:r>
      <w:r w:rsidR="00730F80">
        <w:t>C</w:t>
      </w:r>
      <w:r w:rsidR="00CA4207">
        <w:t xml:space="preserve">reevy využil svého postavení a ve sporu vedeném proti Ryanair se rozhodl neodvolat se proti rozhodnutí Evropského soudního dvora, které bylo </w:t>
      </w:r>
      <w:r w:rsidR="003D7251">
        <w:t>výhodné pro Ryanair.</w:t>
      </w:r>
      <w:r w:rsidR="000B3DD5">
        <w:rPr>
          <w:rStyle w:val="Znakapoznpodarou"/>
        </w:rPr>
        <w:footnoteReference w:id="70"/>
      </w:r>
    </w:p>
    <w:p w:rsidR="00BF06D6" w:rsidRPr="00D5387F" w:rsidRDefault="00BF06D6" w:rsidP="001F371F">
      <w:r>
        <w:lastRenderedPageBreak/>
        <w:t>Na tomto případě lze poměrně dobře vidět, jakým způsobem pracují regulační mechanismy v Komisi ve vztahu vůči zájmovým skupinám.</w:t>
      </w:r>
      <w:r w:rsidR="000B3DD5">
        <w:t xml:space="preserve"> Ne všechny případy působení na dvou pozicích, či okamžitého zaměstnání bývalého komisaře zájmovou skupinou jsou prošetřeny s výsledkem neslučitelnosti, a to i v případě, kdy daný střet zájmů budí kontroverze.</w:t>
      </w:r>
      <w:r>
        <w:t xml:space="preserve"> Posílení v oblasti problematiky „otáčivých dveří“ je </w:t>
      </w:r>
      <w:r w:rsidR="000B3DD5">
        <w:t xml:space="preserve">proto </w:t>
      </w:r>
      <w:r>
        <w:t xml:space="preserve">v případě Komise velmi potřebné. Je totiž zřejmé, že pouhá ustanovení v kodexu chování komisařů </w:t>
      </w:r>
      <w:r w:rsidR="000B3DD5">
        <w:t>nejsou</w:t>
      </w:r>
      <w:r>
        <w:t xml:space="preserve"> dostačující.</w:t>
      </w:r>
    </w:p>
    <w:p w:rsidR="001F371F" w:rsidRPr="00D5387F" w:rsidRDefault="001F371F" w:rsidP="001F371F">
      <w:pPr>
        <w:pStyle w:val="Nadpis2"/>
      </w:pPr>
      <w:bookmarkStart w:id="36" w:name="_Toc330039549"/>
      <w:r w:rsidRPr="00D5387F">
        <w:t>Rada</w:t>
      </w:r>
      <w:bookmarkEnd w:id="36"/>
    </w:p>
    <w:p w:rsidR="001F371F" w:rsidRPr="00D5387F" w:rsidRDefault="001F371F" w:rsidP="001F371F">
      <w:r w:rsidRPr="00D5387F">
        <w:t>O regulaci lobbingu v Radě nelze mluvit, jelikož nevede žádný soupis lobbistů ani neprovozuje jiný způsob omezení přístupu zájmových skupin. Rada byla v roce 2009 dokonce kritizována Siimem Kallasem, komisařem pro administrativní záležitosti, za opatrný přístup ke zvýšení transparentnosti v oblasti lobbingu.</w:t>
      </w:r>
      <w:r w:rsidRPr="00D5387F">
        <w:rPr>
          <w:rStyle w:val="Znakapoznpodarou"/>
        </w:rPr>
        <w:footnoteReference w:id="71"/>
      </w:r>
      <w:r w:rsidRPr="00D5387F">
        <w:t xml:space="preserve"> Jonas Högström ze stálého zastoupení Švédska při EU, které drželo předsednictví, na tuto kritiku reagoval tvrzením, že Rada upřednostňuje vyčkávací taktiku zejména v oblasti skutečného uplatnění registru v praxi.</w:t>
      </w:r>
      <w:r w:rsidRPr="00D5387F">
        <w:rPr>
          <w:rStyle w:val="Znakapoznpodarou"/>
        </w:rPr>
        <w:footnoteReference w:id="72"/>
      </w:r>
      <w:r w:rsidRPr="00D5387F">
        <w:t xml:space="preserve"> Malý zájem o regulaci lobbingu je tedy více než zřejmý, nicméně na první pohled má jasný důvod. Regulace není tak potřebná jako v případě EP nebo Komise. Ministerské zástupce je náročnější zastihnout, a tak u nich není v poměru k jiným pracovníkům v rozsáhlé míře lobbováno.</w:t>
      </w:r>
      <w:r w:rsidRPr="00D5387F">
        <w:rPr>
          <w:rStyle w:val="Znakapoznpodarou"/>
        </w:rPr>
        <w:footnoteReference w:id="73"/>
      </w:r>
      <w:r w:rsidRPr="00D5387F">
        <w:t xml:space="preserve"> Rada je obecně považovaná za nejhůře přístupnou institucí pro lobbisty.</w:t>
      </w:r>
      <w:r w:rsidRPr="00D5387F">
        <w:rPr>
          <w:rStyle w:val="Znakapoznpodarou"/>
        </w:rPr>
        <w:footnoteReference w:id="74"/>
      </w:r>
      <w:r w:rsidRPr="00D5387F">
        <w:t xml:space="preserve"> Pravděpodobně z tohoto důvodu se o této možnosti ovlivňování některá literatura zaměřena na evropský lobbing ani nezmiňuje.</w:t>
      </w:r>
    </w:p>
    <w:p w:rsidR="001F371F" w:rsidRPr="00D5387F" w:rsidRDefault="001F371F" w:rsidP="001F371F">
      <w:r w:rsidRPr="00D5387F">
        <w:t xml:space="preserve">Omezenou přístupnost lze spatřovat v několika důvodech. U Rady dochází k propojení národního a evropského lobbingu, jelikož zájmové skupiny se snaží ovlivňovat především členy národních vlád. Lobbista musí například často za vládním expertem cestovat do členské země, protože ten nežije v Bruselu. Tím se zvyšují náklady, a to jak finanční, tak časové. I </w:t>
      </w:r>
      <w:r w:rsidRPr="00D5387F">
        <w:lastRenderedPageBreak/>
        <w:t>z těchto důvodů jsou v lobbování v Radě nejúspěšnější velké a finančně zajištěnější společnosti.</w:t>
      </w:r>
      <w:r w:rsidRPr="00D5387F">
        <w:rPr>
          <w:rStyle w:val="Znakapoznpodarou"/>
        </w:rPr>
        <w:footnoteReference w:id="75"/>
      </w:r>
    </w:p>
    <w:p w:rsidR="001F371F" w:rsidRPr="00D5387F" w:rsidRDefault="001F371F" w:rsidP="001F371F">
      <w:pPr>
        <w:rPr>
          <w:szCs w:val="24"/>
        </w:rPr>
      </w:pPr>
      <w:r w:rsidRPr="00D5387F">
        <w:rPr>
          <w:szCs w:val="24"/>
        </w:rPr>
        <w:t>Je tedy velice náročné lobbovat člena Rady. Už to lze v podstatě považovat za určitou základní seberegulaci. Případy, kdy lobbista kontaktuje ministra v jeho domácím státě, spadají spíše do oblasti regulace lobbingu samotným státem, čemuž se tato práce nevěnuje. Významnější je tedy lobbing ve výborech a pracovních skupinách.</w:t>
      </w:r>
    </w:p>
    <w:p w:rsidR="001F371F" w:rsidRPr="004D4FED" w:rsidRDefault="001F371F" w:rsidP="004D4FED">
      <w:r w:rsidRPr="00D5387F">
        <w:t>Radu ale netvoří pouze ministři jednotlivých rezortů, nýbrž rozsáhlý administrativní aparát. Vzhledem k aspektům, jako je fungování a přístupnost Rady, je pro lobbisty mnohem snazší a také účinnější ovlivňovat tam, kde je legislativa diskutována nejvíce. Tím se dostáváme k národním expertům jmenovaných národními členy vlád, kteří pracují v různých výborech a pracovních skupinách, které může zájmová skupina kontaktovat. Hlavním úkolem lobbisty se tak stává kontaktování se s vládním zástupcem, který je členem pracovní skupiny. Úspěšnější jsou zde pochopitelně lobbisté ze stejné země, ze které vládní zástupce pochází. Znají totiž způsob práce a požadavky zástupců, působí pro ně věrohodněji a mohou je tedy i lépe přesvědčit. Velkou výhodou pro lobbisty v jejich práci zde je, že pracovní skupiny mnohdy začnou vytvářet návrh, aniž by čekaly na vyjádření výborů nebo EP.</w:t>
      </w:r>
      <w:r w:rsidRPr="00D5387F">
        <w:rPr>
          <w:rStyle w:val="Znakapoznpodarou"/>
        </w:rPr>
        <w:footnoteReference w:id="76"/>
      </w:r>
      <w:r w:rsidRPr="00D5387F">
        <w:t xml:space="preserve"> To lobbistům umožňuje ovlivnit návrh ještě předtím, než je ovlivn</w:t>
      </w:r>
      <w:r w:rsidR="004D4FED">
        <w:t>ěn pozicí evropských institucí.</w:t>
      </w:r>
      <w:r w:rsidRPr="00D5387F">
        <w:br w:type="page"/>
      </w:r>
    </w:p>
    <w:p w:rsidR="005D74BD" w:rsidRPr="00D5387F" w:rsidRDefault="005D74BD" w:rsidP="005D74BD">
      <w:pPr>
        <w:pStyle w:val="Nadpis1"/>
      </w:pPr>
      <w:bookmarkStart w:id="37" w:name="_Toc330039550"/>
      <w:r w:rsidRPr="00D5387F">
        <w:lastRenderedPageBreak/>
        <w:t>Závislost typů regulací na využitelnosti pro kontrolovaný lobbing</w:t>
      </w:r>
      <w:bookmarkEnd w:id="37"/>
    </w:p>
    <w:p w:rsidR="005D74BD" w:rsidRPr="00D5387F" w:rsidRDefault="00A07F85" w:rsidP="005D74BD">
      <w:r w:rsidRPr="00D5387F">
        <w:t>Základní otázkou je, j</w:t>
      </w:r>
      <w:r w:rsidR="005D74BD" w:rsidRPr="00D5387F">
        <w:t xml:space="preserve">akým způsobem jsou regulovány aktivity </w:t>
      </w:r>
      <w:r w:rsidRPr="00D5387F">
        <w:t>zájmových skupin lobbující</w:t>
      </w:r>
      <w:r w:rsidR="00357F5B" w:rsidRPr="00D5387F">
        <w:t>ch</w:t>
      </w:r>
      <w:r w:rsidRPr="00D5387F">
        <w:t xml:space="preserve"> v EU.</w:t>
      </w:r>
      <w:r w:rsidR="005D74BD" w:rsidRPr="00D5387F">
        <w:t xml:space="preserve"> Obecně se za regulaci lobbingu v EU podle různých autorů zabývajících se </w:t>
      </w:r>
      <w:r w:rsidRPr="00D5387F">
        <w:t>tématem</w:t>
      </w:r>
      <w:r w:rsidR="005D74BD" w:rsidRPr="00D5387F">
        <w:t xml:space="preserve"> považují </w:t>
      </w:r>
      <w:r w:rsidR="00357F5B" w:rsidRPr="00D5387F">
        <w:t xml:space="preserve">především </w:t>
      </w:r>
      <w:r w:rsidR="005D74BD" w:rsidRPr="00D5387F">
        <w:t>následující způsoby,</w:t>
      </w:r>
      <w:r w:rsidRPr="00D5387F">
        <w:t xml:space="preserve"> které jsou analyzovány v</w:t>
      </w:r>
      <w:r w:rsidR="005D74BD" w:rsidRPr="00D5387F">
        <w:t> rámci diplomové práce</w:t>
      </w:r>
      <w:r w:rsidR="00441EEF" w:rsidRPr="00D5387F">
        <w:t>:</w:t>
      </w:r>
      <w:r w:rsidR="005D74BD" w:rsidRPr="00D5387F">
        <w:t xml:space="preserve"> rejstřík zástupců zájmových skupin, akreditace v </w:t>
      </w:r>
      <w:r w:rsidR="002A52C9" w:rsidRPr="00D5387F">
        <w:t>EP</w:t>
      </w:r>
      <w:r w:rsidR="005D74BD" w:rsidRPr="00D5387F">
        <w:t xml:space="preserve">, lobbistické </w:t>
      </w:r>
      <w:r w:rsidR="00441EEF" w:rsidRPr="00D5387F">
        <w:t>a institucionální kodexy chování a</w:t>
      </w:r>
      <w:r w:rsidR="00357F5B" w:rsidRPr="00D5387F">
        <w:t xml:space="preserve"> dočasný zákaz lobbingu bývalými úředníky</w:t>
      </w:r>
      <w:r w:rsidR="005D74BD" w:rsidRPr="00D5387F">
        <w:t xml:space="preserve"> EU. </w:t>
      </w:r>
      <w:r w:rsidR="00441EEF" w:rsidRPr="00D5387F">
        <w:t>S rejstříkem d</w:t>
      </w:r>
      <w:r w:rsidR="005D74BD" w:rsidRPr="00D5387F">
        <w:t xml:space="preserve">o určité míry souvisí </w:t>
      </w:r>
      <w:r w:rsidR="00441EEF" w:rsidRPr="00D5387F">
        <w:t>zveřejňování informací o lobbistech</w:t>
      </w:r>
      <w:r w:rsidR="005D74BD" w:rsidRPr="00D5387F">
        <w:t xml:space="preserve"> (je totiž veřejný)</w:t>
      </w:r>
      <w:r w:rsidR="00441EEF" w:rsidRPr="00D5387F">
        <w:t xml:space="preserve">. </w:t>
      </w:r>
      <w:r w:rsidR="00357F5B" w:rsidRPr="00D5387F">
        <w:t>Přesto</w:t>
      </w:r>
      <w:r w:rsidR="00441EEF" w:rsidRPr="00D5387F">
        <w:t xml:space="preserve"> může být chápan </w:t>
      </w:r>
      <w:r w:rsidR="00357F5B" w:rsidRPr="00D5387F">
        <w:t xml:space="preserve">dvojím způsobem – </w:t>
      </w:r>
      <w:r w:rsidR="00441EEF" w:rsidRPr="00D5387F">
        <w:t>jako</w:t>
      </w:r>
      <w:r w:rsidR="005D74BD" w:rsidRPr="00D5387F">
        <w:t xml:space="preserve"> </w:t>
      </w:r>
      <w:r w:rsidR="00441EEF" w:rsidRPr="00D5387F">
        <w:t>zveřejňování</w:t>
      </w:r>
      <w:r w:rsidR="005D74BD" w:rsidRPr="00D5387F">
        <w:t xml:space="preserve"> informací v něm obsažených </w:t>
      </w:r>
      <w:r w:rsidR="00441EEF" w:rsidRPr="00D5387F">
        <w:t>a jako nástroj k</w:t>
      </w:r>
      <w:r w:rsidR="005D74BD" w:rsidRPr="00D5387F">
        <w:t xml:space="preserve"> využití </w:t>
      </w:r>
      <w:r w:rsidR="00441EEF" w:rsidRPr="00D5387F">
        <w:t>pro práci evropských úředníků, kteří tak získají základní potřebné informace o zájmové skupině.</w:t>
      </w:r>
      <w:r w:rsidR="00284853" w:rsidRPr="00D5387F">
        <w:t xml:space="preserve"> Možnosti a druhy regulace jsou popsány v následujících podkapitolách. Na konci celé kapitoly </w:t>
      </w:r>
      <w:r w:rsidR="005B386F">
        <w:t>5</w:t>
      </w:r>
      <w:r w:rsidR="00284853" w:rsidRPr="00D5387F">
        <w:t xml:space="preserve"> se nachází shrnující tabulka.</w:t>
      </w:r>
    </w:p>
    <w:p w:rsidR="00147C2D" w:rsidRPr="00D5387F" w:rsidRDefault="00147C2D" w:rsidP="00147C2D">
      <w:r w:rsidRPr="00D5387F">
        <w:t>Pro podporu hypotézy, že regulace institucí EU a jejich přístupu k lobbistům ovlivňuje fungování vzájemné interakce mezi lobbisty a institucemi více než regulace samotných</w:t>
      </w:r>
      <w:r w:rsidR="00357F5B" w:rsidRPr="00D5387F">
        <w:t xml:space="preserve"> lobbistů, je také nutné přesně</w:t>
      </w:r>
      <w:r w:rsidRPr="00D5387F">
        <w:t xml:space="preserve"> vyjádřit, kudy probíhá pomyslná hranice mezi těmito dvěma typy regulací.</w:t>
      </w:r>
    </w:p>
    <w:p w:rsidR="00147C2D" w:rsidRPr="00D5387F" w:rsidRDefault="00147C2D" w:rsidP="00147C2D">
      <w:r w:rsidRPr="00D5387F">
        <w:t>Vzhledem k tomu, že instituce potřebují regulovat množství a kvalitu přístupových kanálů, které zájmové skupiny představují, musí zavádět různé způsoby, jakými této regulace dosáhnout. Rovněž potřebují zamezit i tomu, aby nebyly těmito skupinami ovlivněny až příliš, tedy ve smyslu velkého nátlaku, finančních a dalších nekalých výhod. Na regulaci evropských institucí lze pohlížet jako na nepřímou regulaci lobbistů.</w:t>
      </w:r>
      <w:r w:rsidR="00E474C6" w:rsidRPr="00D5387F">
        <w:t xml:space="preserve"> Avšak dosavadní snahy o regulaci a transparentnost mohou být vnímány jako neefektivní a málo řešící kroky, které je potřeba zlepšit. Pokud zavedeme příliš přísná pravidla, omezí se možnosti ovlivňování institucí, které v některých aspektech může být ku prospěchu, ale některé klíčové zájmové skupiny tím ztratí přístup – přeruší se tím komunikační kanál.</w:t>
      </w:r>
    </w:p>
    <w:p w:rsidR="00147C2D" w:rsidRPr="00D5387F" w:rsidRDefault="00147C2D" w:rsidP="00147C2D">
      <w:r w:rsidRPr="00D5387F">
        <w:t>Přesto však existuje velmi tenká hranice mezi tím, co</w:t>
      </w:r>
      <w:r w:rsidR="002A52C9" w:rsidRPr="00D5387F">
        <w:t xml:space="preserve"> je</w:t>
      </w:r>
      <w:r w:rsidRPr="00D5387F">
        <w:t xml:space="preserve"> považováno za regulování institucí a co</w:t>
      </w:r>
      <w:r w:rsidR="002A52C9" w:rsidRPr="00D5387F">
        <w:t xml:space="preserve"> za</w:t>
      </w:r>
      <w:r w:rsidRPr="00D5387F">
        <w:t xml:space="preserve"> regulování zájmových skupin. </w:t>
      </w:r>
      <w:r w:rsidR="00357F5B" w:rsidRPr="00D5387F">
        <w:t xml:space="preserve">Proto </w:t>
      </w:r>
      <w:r w:rsidRPr="00D5387F">
        <w:t xml:space="preserve">je </w:t>
      </w:r>
      <w:r w:rsidR="00357F5B" w:rsidRPr="00D5387F">
        <w:t xml:space="preserve">důležité </w:t>
      </w:r>
      <w:r w:rsidR="002A52C9" w:rsidRPr="00D5387F">
        <w:t>přinést jasnější vhled do rozlišování</w:t>
      </w:r>
      <w:r w:rsidRPr="00D5387F">
        <w:t>, jaká regulace</w:t>
      </w:r>
      <w:r w:rsidR="00726EDF" w:rsidRPr="00D5387F">
        <w:t xml:space="preserve"> je</w:t>
      </w:r>
      <w:r w:rsidRPr="00D5387F">
        <w:t xml:space="preserve"> ve své podstatě </w:t>
      </w:r>
      <w:r w:rsidR="00726EDF" w:rsidRPr="00D5387F">
        <w:t>mířena na instituce a jaká na lobbisty</w:t>
      </w:r>
      <w:r w:rsidRPr="00D5387F">
        <w:t xml:space="preserve">. </w:t>
      </w:r>
      <w:r w:rsidR="00726EDF" w:rsidRPr="00D5387F">
        <w:t>Díky tomu</w:t>
      </w:r>
      <w:r w:rsidRPr="00D5387F">
        <w:t xml:space="preserve"> je pak snazší hodnotit vlastnosti </w:t>
      </w:r>
      <w:r w:rsidR="00726EDF" w:rsidRPr="00D5387F">
        <w:t>jednotlivých regulací,</w:t>
      </w:r>
      <w:r w:rsidRPr="00D5387F">
        <w:t xml:space="preserve"> jako je například efektivnost, šíře záběru dopadu na zájmové skupiny apod.</w:t>
      </w:r>
    </w:p>
    <w:p w:rsidR="00147C2D" w:rsidRPr="00D5387F" w:rsidRDefault="00147C2D" w:rsidP="00147C2D">
      <w:r w:rsidRPr="00D5387F">
        <w:lastRenderedPageBreak/>
        <w:t xml:space="preserve">V základu lze hranici spatřovat tam, kde regulace zavazuje zájmové skupiny, ale instituce neovlivní a naopak kde zavazuje instituce, ale zájmové skupiny ovlivní až v momentě kontaktu s úředníky, kteří jednají podle </w:t>
      </w:r>
      <w:r w:rsidR="00726EDF" w:rsidRPr="00D5387F">
        <w:t>svých pravidel (</w:t>
      </w:r>
      <w:r w:rsidRPr="00D5387F">
        <w:t>co jim je povoleno, doporučeno či zakázáno</w:t>
      </w:r>
      <w:r w:rsidR="00726EDF" w:rsidRPr="00D5387F">
        <w:t>)</w:t>
      </w:r>
      <w:r w:rsidRPr="00D5387F">
        <w:t>. V praxi se však oba subjekty úzce protínají, takže je potřeba problematiku podrobněji vysvětlit.</w:t>
      </w:r>
      <w:r w:rsidR="00726EDF" w:rsidRPr="00D5387F">
        <w:t xml:space="preserve"> To je mimo jiné obsahem následujících </w:t>
      </w:r>
      <w:r w:rsidR="00357F5B" w:rsidRPr="00D5387F">
        <w:t>pod</w:t>
      </w:r>
      <w:r w:rsidR="00726EDF" w:rsidRPr="00D5387F">
        <w:t>kapitol.</w:t>
      </w:r>
    </w:p>
    <w:p w:rsidR="005D74BD" w:rsidRPr="00D5387F" w:rsidRDefault="005D74BD" w:rsidP="00EC23B7">
      <w:pPr>
        <w:pStyle w:val="Nadpis2"/>
      </w:pPr>
      <w:bookmarkStart w:id="38" w:name="_Toc330039551"/>
      <w:r w:rsidRPr="00D5387F">
        <w:t>Registrování a zveřejňo</w:t>
      </w:r>
      <w:r w:rsidR="00726EDF" w:rsidRPr="00D5387F">
        <w:t>vání informací o lobbistech</w:t>
      </w:r>
      <w:bookmarkEnd w:id="38"/>
    </w:p>
    <w:p w:rsidR="005D74BD" w:rsidRPr="00D5387F" w:rsidRDefault="005D74BD" w:rsidP="00EC23B7">
      <w:pPr>
        <w:pStyle w:val="Nadpis3"/>
      </w:pPr>
      <w:bookmarkStart w:id="39" w:name="_Toc330039552"/>
      <w:r w:rsidRPr="00D5387F">
        <w:t>Rejstřík</w:t>
      </w:r>
      <w:bookmarkEnd w:id="39"/>
    </w:p>
    <w:p w:rsidR="005D74BD" w:rsidRPr="00D5387F" w:rsidRDefault="005D74BD" w:rsidP="005D74BD">
      <w:r w:rsidRPr="00D5387F">
        <w:t>Prvním způsobem regulace lobbistů v EU, kterým se diplomová práce zabývá, je zavedení jejich registrace. Tzv. rejstřík lobbistických skupin pomáhá evropským institucím v regulování přístupových kanálů mezi nimi a lobbisty tím způsobem, že umožňuje zájmovým skupinám zadat do něj některé údaje o sobě a své činnosti. Ty jsou pak veřejně přístupné na webové adrese &lt;</w:t>
      </w:r>
      <w:hyperlink r:id="rId9" w:history="1">
        <w:r w:rsidRPr="00D5387F">
          <w:t>http://europa.eu/transparency-register/index_en.htm</w:t>
        </w:r>
      </w:hyperlink>
      <w:r w:rsidRPr="00D5387F">
        <w:t>&gt;. Registrací dávají zájmové skupiny najevo, že jsou ochotny jednat transparentně. Je to svým způsobem akt přístupnosti na pravidla regulace. Rejstřík je patrně n</w:t>
      </w:r>
      <w:r w:rsidR="00357F5B" w:rsidRPr="00D5387F">
        <w:t>ejdůležitějším prvkem regulačního mechanismu</w:t>
      </w:r>
      <w:r w:rsidR="00726EDF" w:rsidRPr="00D5387F">
        <w:t>,</w:t>
      </w:r>
      <w:r w:rsidR="00357F5B" w:rsidRPr="00D5387F">
        <w:t xml:space="preserve"> na který</w:t>
      </w:r>
      <w:r w:rsidRPr="00D5387F">
        <w:t xml:space="preserve"> ostatní úpravy víceméně navazují. Z tohoto důvodu byl této kapitole věnován výraznější prostor.</w:t>
      </w:r>
    </w:p>
    <w:p w:rsidR="00BE5E72" w:rsidRPr="00D5387F" w:rsidRDefault="00EE1470" w:rsidP="00BE5E72">
      <w:r w:rsidRPr="00D5387F">
        <w:t>R</w:t>
      </w:r>
      <w:r w:rsidR="005D74BD" w:rsidRPr="00D5387F">
        <w:t>ejstřík</w:t>
      </w:r>
      <w:r w:rsidRPr="00D5387F">
        <w:t xml:space="preserve"> transparentnosti</w:t>
      </w:r>
      <w:r w:rsidR="005D74BD" w:rsidRPr="00D5387F">
        <w:t xml:space="preserve"> měla do června 2011 každá instituce vlastní</w:t>
      </w:r>
      <w:r w:rsidR="00830B8B" w:rsidRPr="00D5387F">
        <w:rPr>
          <w:rStyle w:val="Znakapoznpodarou"/>
        </w:rPr>
        <w:footnoteReference w:id="77"/>
      </w:r>
      <w:r w:rsidR="00830B8B" w:rsidRPr="00D5387F">
        <w:t xml:space="preserve"> (EP v podobě akreditace)</w:t>
      </w:r>
      <w:r w:rsidR="005D74BD" w:rsidRPr="00D5387F">
        <w:t xml:space="preserve">, což znamenalo  určitou nepřehlednost nejen o celkovém stavu zájmových skupin, ale také to znesnadnilo koordinaci regulace mezi institucemi. Dne </w:t>
      </w:r>
      <w:bookmarkStart w:id="40" w:name="OLE_LINK27"/>
      <w:r w:rsidR="005D74BD" w:rsidRPr="00D5387F">
        <w:t>16. prosince 2008</w:t>
      </w:r>
      <w:bookmarkEnd w:id="40"/>
      <w:r w:rsidR="005D74BD" w:rsidRPr="00D5387F">
        <w:t xml:space="preserve"> Komise oznámila, že zahajuje rozhovory s EP o společném registru lobbistů s jednotným přístupem pro veřejnost.</w:t>
      </w:r>
      <w:r w:rsidR="00830B8B" w:rsidRPr="00D5387F">
        <w:rPr>
          <w:rStyle w:val="Znakapoznpodarou"/>
        </w:rPr>
        <w:footnoteReference w:id="78"/>
      </w:r>
      <w:r w:rsidR="005D74BD" w:rsidRPr="00D5387F">
        <w:t xml:space="preserve"> </w:t>
      </w:r>
      <w:r w:rsidR="00D01CDA">
        <w:t>D</w:t>
      </w:r>
      <w:r w:rsidR="00D01CDA" w:rsidRPr="00D5387F">
        <w:t xml:space="preserve">ala </w:t>
      </w:r>
      <w:r w:rsidR="00D01CDA">
        <w:t>také</w:t>
      </w:r>
      <w:r w:rsidR="00D01CDA" w:rsidRPr="00D5387F">
        <w:t xml:space="preserve"> několikrát najevo, že by v případě nedostatečného pokrytí cílových skupin</w:t>
      </w:r>
      <w:r w:rsidR="00D01CDA">
        <w:t xml:space="preserve"> v rejstříku</w:t>
      </w:r>
      <w:r w:rsidR="00D01CDA" w:rsidRPr="00D5387F">
        <w:t xml:space="preserve"> uvažovala o zavedení přísnějších opatření jako povinné registrace či oznamování údajů.</w:t>
      </w:r>
      <w:r w:rsidR="00D01CDA" w:rsidRPr="00D5387F">
        <w:rPr>
          <w:rStyle w:val="Znakapoznpodarou"/>
        </w:rPr>
        <w:footnoteReference w:id="79"/>
      </w:r>
      <w:r w:rsidR="00D01CDA">
        <w:t xml:space="preserve"> Existoval však</w:t>
      </w:r>
      <w:r w:rsidR="005D74BD" w:rsidRPr="00D5387F">
        <w:t xml:space="preserve"> vysok</w:t>
      </w:r>
      <w:r w:rsidR="00D01CDA">
        <w:t>ý</w:t>
      </w:r>
      <w:r w:rsidR="005D74BD" w:rsidRPr="00D5387F">
        <w:t xml:space="preserve"> poč</w:t>
      </w:r>
      <w:r w:rsidR="00D01CDA">
        <w:t>e</w:t>
      </w:r>
      <w:r w:rsidR="005D74BD" w:rsidRPr="00D5387F">
        <w:t>t těch, kdo se do</w:t>
      </w:r>
      <w:r w:rsidR="00D01CDA">
        <w:t xml:space="preserve"> starého</w:t>
      </w:r>
      <w:r w:rsidR="005D74BD" w:rsidRPr="00D5387F">
        <w:t xml:space="preserve"> rejstříku schválně nezapsali a </w:t>
      </w:r>
      <w:r w:rsidR="00D01CDA">
        <w:t>společný rejstřík jim nevyhovoval.</w:t>
      </w:r>
      <w:r w:rsidR="005D74BD" w:rsidRPr="00D5387F">
        <w:t xml:space="preserve"> Nezapsaní lobbisté se tak </w:t>
      </w:r>
      <w:r w:rsidR="005D74BD" w:rsidRPr="00D5387F">
        <w:lastRenderedPageBreak/>
        <w:t>obáva</w:t>
      </w:r>
      <w:r w:rsidR="00D035F5" w:rsidRPr="00D5387F">
        <w:t xml:space="preserve">li celkového zpřísnění pravidel, a tak dodatečně vyjádřili podporu stávajícímu rejstříku </w:t>
      </w:r>
      <w:r w:rsidR="00830B8B" w:rsidRPr="00D5387F">
        <w:t xml:space="preserve">jednoduše </w:t>
      </w:r>
      <w:r w:rsidR="00D035F5" w:rsidRPr="00D5387F">
        <w:t>tím, že se na poslední chvíli registrovali.</w:t>
      </w:r>
      <w:r w:rsidR="00830B8B" w:rsidRPr="00D5387F">
        <w:rPr>
          <w:rStyle w:val="Znakapoznpodarou"/>
        </w:rPr>
        <w:footnoteReference w:id="80"/>
      </w:r>
      <w:r w:rsidR="00CC4138" w:rsidRPr="00D5387F">
        <w:t xml:space="preserve"> </w:t>
      </w:r>
      <w:r w:rsidR="00D01CDA" w:rsidRPr="00D01CDA">
        <w:t xml:space="preserve">Prohlášení </w:t>
      </w:r>
      <w:r w:rsidR="00D01CDA">
        <w:t>tedy</w:t>
      </w:r>
      <w:r w:rsidR="00D01CDA" w:rsidRPr="00D01CDA">
        <w:t xml:space="preserve"> znamenalo tlak na prokázání efektivity dobrovolného systému registrace. </w:t>
      </w:r>
      <w:r w:rsidR="002041A6">
        <w:t>Lobbisté</w:t>
      </w:r>
      <w:r w:rsidR="00D01CDA">
        <w:t xml:space="preserve"> </w:t>
      </w:r>
      <w:r w:rsidR="00CC4138" w:rsidRPr="00D5387F">
        <w:t xml:space="preserve">totiž </w:t>
      </w:r>
      <w:r w:rsidR="00D01CDA">
        <w:t>n</w:t>
      </w:r>
      <w:r w:rsidR="00D01CDA" w:rsidRPr="00D5387F">
        <w:t xml:space="preserve">echtěli </w:t>
      </w:r>
      <w:r w:rsidR="00CC4138" w:rsidRPr="00D5387F">
        <w:t xml:space="preserve">žádnou revizi, která by mohla znamenat povinnost registrace, a tudíž i větší kontrolu dodržování regulačních systémů a případné sankce. Navíc by mohlo dojít například k upřesnění, jaká finanční data a </w:t>
      </w:r>
      <w:r w:rsidR="002041A6">
        <w:t>jak podrobná</w:t>
      </w:r>
      <w:r w:rsidR="00CC4138" w:rsidRPr="00D5387F">
        <w:t xml:space="preserve"> je nutné do rejstříku vkládat.</w:t>
      </w:r>
      <w:r w:rsidR="00BE5E72" w:rsidRPr="00D5387F">
        <w:t xml:space="preserve"> Existují však i zájmové skupiny, které transparentnost v podobě </w:t>
      </w:r>
      <w:r w:rsidR="00D035F5" w:rsidRPr="00D5387F">
        <w:t>povinného rejstříku podporují.</w:t>
      </w:r>
      <w:r w:rsidR="00BE5E72" w:rsidRPr="00D5387F">
        <w:t xml:space="preserve"> U nevládních organizací se výrazně projevoval rozpor nad tím, zda registrace do </w:t>
      </w:r>
      <w:r w:rsidR="00B65F77" w:rsidRPr="00D5387F">
        <w:t xml:space="preserve">stávajícího </w:t>
      </w:r>
      <w:r w:rsidR="00BE5E72" w:rsidRPr="00D5387F">
        <w:t>rejstříku, který neodpovídá jejich představě transparentního registrů lobbistů, nesníží jejich naděje na vznik povinného registru v blízké budoucnosti.</w:t>
      </w:r>
      <w:r w:rsidR="00BE5E72" w:rsidRPr="00D5387F">
        <w:rPr>
          <w:rStyle w:val="Znakapoznpodarou"/>
        </w:rPr>
        <w:footnoteReference w:id="81"/>
      </w:r>
      <w:r w:rsidR="00B65F77" w:rsidRPr="00D5387F">
        <w:t xml:space="preserve"> </w:t>
      </w:r>
    </w:p>
    <w:p w:rsidR="005D74BD" w:rsidRPr="00D5387F" w:rsidRDefault="005D74BD" w:rsidP="005D74BD">
      <w:r w:rsidRPr="00D5387F">
        <w:t>Dva a půl roku od oznámení, dne 23. č</w:t>
      </w:r>
      <w:r w:rsidR="00CF62AD" w:rsidRPr="00D5387F">
        <w:t xml:space="preserve">ervna 2011 </w:t>
      </w:r>
      <w:r w:rsidR="002041A6" w:rsidRPr="00D5387F">
        <w:t xml:space="preserve">podepsali </w:t>
      </w:r>
      <w:r w:rsidR="00CF62AD" w:rsidRPr="00D5387F">
        <w:t xml:space="preserve">EP a Komise </w:t>
      </w:r>
      <w:r w:rsidRPr="00D5387F">
        <w:t>interinstitucionální dohodu o vytvoření společného rejstříku transparentnosti,</w:t>
      </w:r>
      <w:r w:rsidR="00830B8B" w:rsidRPr="00D5387F">
        <w:rPr>
          <w:rStyle w:val="Znakapoznpodarou"/>
        </w:rPr>
        <w:footnoteReference w:id="82"/>
      </w:r>
      <w:r w:rsidRPr="00D5387F">
        <w:t xml:space="preserve"> čímž některé překážky v regula</w:t>
      </w:r>
      <w:r w:rsidR="00CF62AD" w:rsidRPr="00D5387F">
        <w:t>ci padly, protože rejstřík spojil</w:t>
      </w:r>
      <w:r w:rsidRPr="00D5387F">
        <w:t xml:space="preserve"> stávající regulace EP a Komise, a to nejen v podobě rejstříku či akreditace, ale i kodexů chování.</w:t>
      </w:r>
      <w:r w:rsidR="00F15DAE" w:rsidRPr="00D5387F">
        <w:t xml:space="preserve"> </w:t>
      </w:r>
      <w:r w:rsidRPr="00D5387F">
        <w:t>Nyní se tedy mohou jednotlivci i organizace registrovat v novém rejstříku transparentnosti. Starý rejstřík postupně přestá</w:t>
      </w:r>
      <w:r w:rsidR="00830B8B" w:rsidRPr="00D5387F">
        <w:t>val</w:t>
      </w:r>
      <w:r w:rsidRPr="00D5387F">
        <w:t xml:space="preserve"> být udržován a využíván. To znamená, že </w:t>
      </w:r>
      <w:r w:rsidR="00CF62AD" w:rsidRPr="00D5387F">
        <w:t>byl</w:t>
      </w:r>
      <w:r w:rsidRPr="00D5387F">
        <w:t xml:space="preserve"> </w:t>
      </w:r>
      <w:r w:rsidR="00CF62AD" w:rsidRPr="00D5387F">
        <w:t>postupně převáděn</w:t>
      </w:r>
      <w:r w:rsidRPr="00D5387F">
        <w:t xml:space="preserve"> do registru nového a na webových stránkách registru m</w:t>
      </w:r>
      <w:r w:rsidR="00F15DAE" w:rsidRPr="00D5387F">
        <w:t>ěl</w:t>
      </w:r>
      <w:r w:rsidRPr="00D5387F">
        <w:t xml:space="preserve"> samostatnou sekci.</w:t>
      </w:r>
    </w:p>
    <w:p w:rsidR="005D74BD" w:rsidRPr="00D5387F" w:rsidRDefault="005D74BD" w:rsidP="005D74BD">
      <w:r w:rsidRPr="00D5387F">
        <w:t>Jak stanoví bod 29 interinstitucionální dohody, „přechod ze stávajících rejstříků stran dohody na nový společný rejstřík proběhne během dvanáctiměsíčního přechodného období počínaje dnem zahájen</w:t>
      </w:r>
      <w:r w:rsidR="004C0E2F" w:rsidRPr="00D5387F">
        <w:t>í činnosti společného rejstříku</w:t>
      </w:r>
      <w:r w:rsidRPr="00D5387F">
        <w:t xml:space="preserve"> </w:t>
      </w:r>
      <w:r w:rsidR="004C0E2F" w:rsidRPr="00D5387F">
        <w:t>[</w:t>
      </w:r>
      <w:r w:rsidRPr="00D5387F">
        <w:t>23. června 2011</w:t>
      </w:r>
      <w:r w:rsidR="004C0E2F" w:rsidRPr="00D5387F">
        <w:t>]</w:t>
      </w:r>
      <w:r w:rsidRPr="00D5387F">
        <w:t>. Všechny organizace i jednotlivc</w:t>
      </w:r>
      <w:r w:rsidR="004C0E2F" w:rsidRPr="00D5387F">
        <w:t>i registrování v jiném systému [</w:t>
      </w:r>
      <w:r w:rsidRPr="00D5387F">
        <w:t>hlavně tedy starý rejstřík Komise</w:t>
      </w:r>
      <w:r w:rsidR="004C0E2F" w:rsidRPr="00D5387F">
        <w:t>]</w:t>
      </w:r>
      <w:r w:rsidRPr="00D5387F">
        <w:t xml:space="preserve"> byli vyzváni, aby obnovili svou registraci ve společném systému.</w:t>
      </w:r>
      <w:r w:rsidR="004C0E2F" w:rsidRPr="00D5387F">
        <w:t>“</w:t>
      </w:r>
      <w:r w:rsidR="004C0E2F" w:rsidRPr="00D5387F">
        <w:rPr>
          <w:rStyle w:val="Znakapoznpodarou"/>
        </w:rPr>
        <w:footnoteReference w:id="83"/>
      </w:r>
      <w:r w:rsidRPr="00D5387F">
        <w:t xml:space="preserve"> Od spuštění společného rejstříku mohou subjekty změnit svou stávající registraci na registraci ve společném rejstříku k datu dle svého uvážení. Nejpozději tak ale mohou učinit do konce dvanáctiměsíčního období od jeho </w:t>
      </w:r>
      <w:r w:rsidRPr="00D5387F">
        <w:lastRenderedPageBreak/>
        <w:t>spuštění.</w:t>
      </w:r>
      <w:r w:rsidR="00421E2D" w:rsidRPr="00D5387F">
        <w:rPr>
          <w:rStyle w:val="Znakapoznpodarou"/>
        </w:rPr>
        <w:footnoteReference w:id="84"/>
      </w:r>
      <w:r w:rsidRPr="00D5387F">
        <w:t xml:space="preserve"> Pokud se subjekt registruje po spuštění nového společného rejstříku nebo aktualizuje své stávající údaje, musí tak učinit pouze jeho prostřednictvím. Přes starý rejstřík už toto není možné.</w:t>
      </w:r>
    </w:p>
    <w:p w:rsidR="00F15DAE" w:rsidRPr="00D5387F" w:rsidRDefault="005D74BD" w:rsidP="005D74BD">
      <w:r w:rsidRPr="00D5387F">
        <w:t xml:space="preserve">Společný rejstřík vznikl </w:t>
      </w:r>
      <w:r w:rsidR="00421E2D" w:rsidRPr="00D5387F">
        <w:t>rovněž</w:t>
      </w:r>
      <w:r w:rsidRPr="00D5387F">
        <w:t xml:space="preserve"> z důvodu přehlednosti nejen pro veřejnost, ale i pro instituce, kterým nabízí základní informace o přijímaných lobbistech. Otázkou však je, jaké relevantní informace instituce z tohoto rejstříku získají. Může se totiž stát, že bude obsahovat ne úplně </w:t>
      </w:r>
      <w:r w:rsidR="00F15DAE" w:rsidRPr="00D5387F">
        <w:t>přesné</w:t>
      </w:r>
      <w:r w:rsidRPr="00D5387F">
        <w:t xml:space="preserve"> informace, které sice zdánlivě uspokojí širokou veřejnost, pro kterou </w:t>
      </w:r>
      <w:r w:rsidR="00F15DAE" w:rsidRPr="00D5387F">
        <w:t>je</w:t>
      </w:r>
      <w:r w:rsidRPr="00D5387F">
        <w:t xml:space="preserve"> rejstřík rovněž přístupný, ale </w:t>
      </w:r>
      <w:r w:rsidR="00F15DAE" w:rsidRPr="00D5387F">
        <w:t>institucím</w:t>
      </w:r>
      <w:r w:rsidRPr="00D5387F">
        <w:t xml:space="preserve"> k pochopení záměrů lobbistů příliš nepomohou.</w:t>
      </w:r>
      <w:r w:rsidR="00F15DAE" w:rsidRPr="00D5387F">
        <w:t xml:space="preserve"> </w:t>
      </w:r>
      <w:r w:rsidRPr="00D5387F">
        <w:t xml:space="preserve">Informace mohou být nepřesné, v případě finančních výkazů </w:t>
      </w:r>
      <w:r w:rsidR="00F15DAE" w:rsidRPr="00D5387F">
        <w:t>půjde o pouhé odhady registrovaných zájmových skupin.</w:t>
      </w:r>
      <w:r w:rsidRPr="00D5387F">
        <w:t xml:space="preserve"> </w:t>
      </w:r>
      <w:r w:rsidR="00F15DAE" w:rsidRPr="00D5387F">
        <w:t>D</w:t>
      </w:r>
      <w:r w:rsidRPr="00D5387F">
        <w:t xml:space="preserve">ále také </w:t>
      </w:r>
      <w:r w:rsidR="00F15DAE" w:rsidRPr="00D5387F">
        <w:t xml:space="preserve">mohou být </w:t>
      </w:r>
      <w:r w:rsidRPr="00D5387F">
        <w:t>nesjednocené (údaje za různá období apod.). Dalším problémem je, že poskytnuté informace nemusí být úplně vypovídající pro jejich dobrovolnost a nulovou zpětnou kontrolu. Jediný</w:t>
      </w:r>
      <w:r w:rsidR="00421E2D" w:rsidRPr="00D5387F">
        <w:t xml:space="preserve"> hrozící</w:t>
      </w:r>
      <w:r w:rsidRPr="00D5387F">
        <w:t xml:space="preserve"> postih </w:t>
      </w:r>
      <w:r w:rsidR="00421E2D" w:rsidRPr="00D5387F">
        <w:t>pro</w:t>
      </w:r>
      <w:r w:rsidRPr="00D5387F">
        <w:t xml:space="preserve"> lobbist</w:t>
      </w:r>
      <w:r w:rsidR="00421E2D" w:rsidRPr="00D5387F">
        <w:t>y</w:t>
      </w:r>
      <w:r w:rsidRPr="00D5387F">
        <w:t xml:space="preserve"> je vyškrtnutí z rejstříku, což sice může znamenat komplikace v případě žádosti o akreditaci do EP, pro kterou musí být lobbista zaregistrován, ale jinak mu v zásadě nic nehrozí.</w:t>
      </w:r>
      <w:r w:rsidRPr="00D5387F">
        <w:rPr>
          <w:rStyle w:val="Znakapoznpodarou"/>
        </w:rPr>
        <w:footnoteReference w:id="85"/>
      </w:r>
      <w:r w:rsidRPr="00D5387F">
        <w:t xml:space="preserve"> </w:t>
      </w:r>
      <w:r w:rsidR="00CF62AD" w:rsidRPr="00D5387F">
        <w:t>I</w:t>
      </w:r>
      <w:r w:rsidRPr="00D5387F">
        <w:t xml:space="preserve">nstituce </w:t>
      </w:r>
      <w:r w:rsidR="00421E2D" w:rsidRPr="00D5387F">
        <w:t xml:space="preserve">k vyškrtávání </w:t>
      </w:r>
      <w:r w:rsidR="00CF62AD" w:rsidRPr="00D5387F">
        <w:t>zájmových skupin z rejstříku</w:t>
      </w:r>
      <w:r w:rsidR="00421E2D" w:rsidRPr="00D5387F">
        <w:t xml:space="preserve"> ani neinklinují</w:t>
      </w:r>
      <w:r w:rsidRPr="00D5387F">
        <w:t xml:space="preserve">, </w:t>
      </w:r>
      <w:r w:rsidR="00CF62AD" w:rsidRPr="00D5387F">
        <w:t>protože</w:t>
      </w:r>
      <w:r w:rsidRPr="00D5387F">
        <w:t xml:space="preserve"> </w:t>
      </w:r>
      <w:r w:rsidR="00CF62AD" w:rsidRPr="00D5387F">
        <w:t>takový akt by v podstatě</w:t>
      </w:r>
      <w:r w:rsidRPr="00D5387F">
        <w:t xml:space="preserve"> </w:t>
      </w:r>
      <w:r w:rsidR="00CF62AD" w:rsidRPr="00D5387F">
        <w:t>odporoval plánu mít mezi lobbujícími zájmovými skupinami přehled.</w:t>
      </w:r>
      <w:r w:rsidRPr="00D5387F">
        <w:t xml:space="preserve"> </w:t>
      </w:r>
      <w:r w:rsidR="00CF62AD" w:rsidRPr="00D5387F">
        <w:t>Vyškrtnutím by s</w:t>
      </w:r>
      <w:r w:rsidRPr="00D5387F">
        <w:t>ubjekt zůstal mimo dosah regulace.</w:t>
      </w:r>
      <w:r w:rsidR="00F15DAE" w:rsidRPr="00D5387F">
        <w:t xml:space="preserve"> Je vhodnější ponechat subjekt registrován, </w:t>
      </w:r>
      <w:r w:rsidR="00CF62AD" w:rsidRPr="00D5387F">
        <w:t xml:space="preserve">než jej vyškrtnout a ztratit o něm přehled úplně, </w:t>
      </w:r>
      <w:r w:rsidR="00F15DAE" w:rsidRPr="00D5387F">
        <w:t xml:space="preserve">byť </w:t>
      </w:r>
      <w:r w:rsidR="00AD4D1B" w:rsidRPr="00D5387F">
        <w:t>ne všechny</w:t>
      </w:r>
      <w:r w:rsidR="00CF62AD" w:rsidRPr="00D5387F">
        <w:t xml:space="preserve"> jim poskytnuté informace budou přesné.</w:t>
      </w:r>
    </w:p>
    <w:p w:rsidR="005D74BD" w:rsidRPr="00D5387F" w:rsidRDefault="005D74BD" w:rsidP="005D74BD">
      <w:r w:rsidRPr="00D5387F">
        <w:t>Už v říjnu 2009 tvrdil člen EP Richard Corbett, že dobrovolný systém nemůže fungovat. Podle něj ti, které chce Komise v rejstříku mít (významn</w:t>
      </w:r>
      <w:r w:rsidR="00DE1D85" w:rsidRPr="00D5387F">
        <w:t>í</w:t>
      </w:r>
      <w:r w:rsidRPr="00D5387F">
        <w:t xml:space="preserve"> aktéři a společnosti, nejproblematičtější lobbisté preferující spíše korupci), se nebudou chtít registrovat</w:t>
      </w:r>
      <w:r w:rsidR="00AD4D1B" w:rsidRPr="00D5387F">
        <w:rPr>
          <w:rStyle w:val="Znakapoznpodarou"/>
        </w:rPr>
        <w:footnoteReference w:id="86"/>
      </w:r>
      <w:r w:rsidRPr="00D5387F">
        <w:t>. Pokud je tedy rejstřík veden na dobrovolné bázi, jak tedy docílit toho, aby se do něj lobbisté zaregistrovali? Možnost</w:t>
      </w:r>
      <w:r w:rsidR="00A90E55" w:rsidRPr="00D5387F">
        <w:t>i</w:t>
      </w:r>
      <w:r w:rsidRPr="00D5387F">
        <w:t>, jak je k tomu přesvědčit, pokud není r</w:t>
      </w:r>
      <w:r w:rsidR="00A90E55" w:rsidRPr="00D5387F">
        <w:t>egistrace povinná, jsou</w:t>
      </w:r>
      <w:r w:rsidR="00CF62AD" w:rsidRPr="00D5387F">
        <w:t xml:space="preserve"> dostatečn</w:t>
      </w:r>
      <w:r w:rsidR="00A90E55" w:rsidRPr="00D5387F">
        <w:t>é</w:t>
      </w:r>
      <w:r w:rsidRPr="00D5387F">
        <w:t xml:space="preserve"> motiv</w:t>
      </w:r>
      <w:r w:rsidR="00CF62AD" w:rsidRPr="00D5387F">
        <w:t>ace</w:t>
      </w:r>
      <w:r w:rsidRPr="00D5387F">
        <w:t xml:space="preserve">. </w:t>
      </w:r>
      <w:r w:rsidR="00A90E55" w:rsidRPr="00D5387F">
        <w:t xml:space="preserve">První z nich je pragmatické využití zápisu </w:t>
      </w:r>
      <w:r w:rsidRPr="00D5387F">
        <w:t xml:space="preserve">do rejstříku </w:t>
      </w:r>
      <w:r w:rsidR="00A90E55" w:rsidRPr="00D5387F">
        <w:t>některými zájmovými skupinami za účelem</w:t>
      </w:r>
      <w:r w:rsidRPr="00D5387F">
        <w:t> rozšíření povědomí o vlastní existenci a aktivitách.</w:t>
      </w:r>
      <w:r w:rsidRPr="00D5387F">
        <w:rPr>
          <w:rStyle w:val="Znakapoznpodarou"/>
        </w:rPr>
        <w:footnoteReference w:id="87"/>
      </w:r>
      <w:r w:rsidRPr="00D5387F">
        <w:t xml:space="preserve"> Jinými </w:t>
      </w:r>
      <w:r w:rsidRPr="00D5387F">
        <w:lastRenderedPageBreak/>
        <w:t>slovy, jedná se v podstatě o malou reklamu. To však platí pro malé či úzce specializované zájmové skupiny. Velké zájmové skupiny nebo ty s výrazně vyššími finančními prostředky se buď registrovat ani nechtějí, nebo se sice registrují, ale ne z důvodu zviditelnění se.</w:t>
      </w:r>
    </w:p>
    <w:p w:rsidR="005D74BD" w:rsidRPr="00D5387F" w:rsidRDefault="00525059" w:rsidP="005D74BD">
      <w:r w:rsidRPr="00D5387F">
        <w:t>Dalším</w:t>
      </w:r>
      <w:r w:rsidR="005D74BD" w:rsidRPr="00D5387F">
        <w:t xml:space="preserve"> důvod</w:t>
      </w:r>
      <w:r w:rsidR="00710564" w:rsidRPr="00D5387F">
        <w:t>em</w:t>
      </w:r>
      <w:r w:rsidR="005D74BD" w:rsidRPr="00D5387F">
        <w:t xml:space="preserve"> </w:t>
      </w:r>
      <w:r w:rsidR="00710564" w:rsidRPr="00D5387F">
        <w:t xml:space="preserve">k </w:t>
      </w:r>
      <w:r w:rsidR="005D74BD" w:rsidRPr="00D5387F">
        <w:t>registrac</w:t>
      </w:r>
      <w:r w:rsidR="00710564" w:rsidRPr="00D5387F">
        <w:t>i</w:t>
      </w:r>
      <w:r w:rsidR="005D74BD" w:rsidRPr="00D5387F">
        <w:t xml:space="preserve"> je, že subjekty v databázi jsou automaticky upozorňovány na blížící se konzultaci spojenou se sférou jejich zájmů. Už u </w:t>
      </w:r>
      <w:r w:rsidRPr="00D5387F">
        <w:t xml:space="preserve">předchozího </w:t>
      </w:r>
      <w:r w:rsidR="005D74BD" w:rsidRPr="00D5387F">
        <w:t xml:space="preserve">rejstříku </w:t>
      </w:r>
      <w:r w:rsidRPr="00D5387F">
        <w:t xml:space="preserve">bylo rozesílání elektronické informace o chystaných konzultacích </w:t>
      </w:r>
      <w:r w:rsidR="005D74BD" w:rsidRPr="00D5387F">
        <w:t>Komise motivací zájmových skupin pro registraci.</w:t>
      </w:r>
      <w:r w:rsidR="005D74BD" w:rsidRPr="00D5387F">
        <w:rPr>
          <w:rStyle w:val="Znakapoznpodarou"/>
        </w:rPr>
        <w:footnoteReference w:id="88"/>
      </w:r>
      <w:r w:rsidR="005D74BD" w:rsidRPr="00D5387F">
        <w:t xml:space="preserve"> Zájmové skupiny tak získávají dostatečné </w:t>
      </w:r>
      <w:r w:rsidR="00AD4D1B" w:rsidRPr="00D5387F">
        <w:t>aktualizace</w:t>
      </w:r>
      <w:r w:rsidR="005D74BD" w:rsidRPr="00D5387F">
        <w:t xml:space="preserve"> a mohou lépe reagovat na dění v institucích.</w:t>
      </w:r>
      <w:r w:rsidR="00710564" w:rsidRPr="00D5387F">
        <w:t xml:space="preserve"> Podle Pitrové a Zatloukalové jsou</w:t>
      </w:r>
      <w:r w:rsidR="005D74BD" w:rsidRPr="00D5387F">
        <w:t xml:space="preserve"> však jedin</w:t>
      </w:r>
      <w:r w:rsidR="00710564" w:rsidRPr="00D5387F">
        <w:t>ými</w:t>
      </w:r>
      <w:r w:rsidR="005D74BD" w:rsidRPr="00D5387F">
        <w:t xml:space="preserve"> skupin</w:t>
      </w:r>
      <w:r w:rsidR="00710564" w:rsidRPr="00D5387F">
        <w:t>ami</w:t>
      </w:r>
      <w:r w:rsidR="005D74BD" w:rsidRPr="00D5387F">
        <w:t>, pro kter</w:t>
      </w:r>
      <w:r w:rsidR="00710564" w:rsidRPr="00D5387F">
        <w:t>é</w:t>
      </w:r>
      <w:r w:rsidR="005D74BD" w:rsidRPr="00D5387F">
        <w:t xml:space="preserve"> je včasné upozornění na blížící se konzultaci dostatečně motivující, kategorie</w:t>
      </w:r>
      <w:r w:rsidRPr="00D5387F">
        <w:rPr>
          <w:rStyle w:val="Znakapoznpodarou"/>
        </w:rPr>
        <w:footnoteReference w:id="89"/>
      </w:r>
      <w:r w:rsidR="005D74BD" w:rsidRPr="00D5387F">
        <w:t xml:space="preserve"> nevládních organizací a think-tanků, a kategorie „jiné organizace“</w:t>
      </w:r>
      <w:r w:rsidRPr="00D5387F">
        <w:t>.</w:t>
      </w:r>
      <w:r w:rsidR="00AD4D1B" w:rsidRPr="00D5387F">
        <w:rPr>
          <w:rStyle w:val="Znakapoznpodarou"/>
        </w:rPr>
        <w:footnoteReference w:id="90"/>
      </w:r>
      <w:r w:rsidRPr="00D5387F">
        <w:t xml:space="preserve"> </w:t>
      </w:r>
      <w:r w:rsidR="005240A3" w:rsidRPr="00D5387F">
        <w:t>Rejstřík za vodítko k lobbistické činnosti nepovažují ani sami zástupci zájmových skupin.</w:t>
      </w:r>
      <w:r w:rsidR="005240A3" w:rsidRPr="00D5387F">
        <w:rPr>
          <w:rStyle w:val="Znakapoznpodarou"/>
        </w:rPr>
        <w:footnoteReference w:id="91"/>
      </w:r>
    </w:p>
    <w:p w:rsidR="00A0635A" w:rsidRPr="00D5387F" w:rsidRDefault="005D74BD" w:rsidP="005D74BD">
      <w:r w:rsidRPr="00D5387F">
        <w:t xml:space="preserve">Mezi motivace k registrování lze </w:t>
      </w:r>
      <w:r w:rsidR="00710564" w:rsidRPr="00D5387F">
        <w:t>přiřadit</w:t>
      </w:r>
      <w:r w:rsidRPr="00D5387F">
        <w:t xml:space="preserve"> i nezatíženost žádnými administrativními povinnostmi v podobě doložení určitých dokumentů.</w:t>
      </w:r>
      <w:r w:rsidRPr="00D5387F">
        <w:rPr>
          <w:rStyle w:val="Znakapoznpodarou"/>
        </w:rPr>
        <w:footnoteReference w:id="92"/>
      </w:r>
      <w:r w:rsidRPr="00D5387F">
        <w:t xml:space="preserve"> </w:t>
      </w:r>
      <w:r w:rsidR="00525059" w:rsidRPr="00D5387F">
        <w:t xml:space="preserve">Tuto výhodu lze očekávat </w:t>
      </w:r>
      <w:r w:rsidR="00710564" w:rsidRPr="00D5387F">
        <w:t xml:space="preserve">pouze u nepovinné </w:t>
      </w:r>
      <w:r w:rsidRPr="00D5387F">
        <w:t>regulace</w:t>
      </w:r>
      <w:r w:rsidR="00A0635A" w:rsidRPr="00D5387F">
        <w:t>. Uvedená motivace však nutně nezaručí ochotu se do rejstříku zapojit, což lze vyvodit z jejího charakteru. To, že se lobbista nezaregistruje, neznamená, že musí jakékoliv dokumenty dokládat.</w:t>
      </w:r>
      <w:r w:rsidR="00717827" w:rsidRPr="00D5387F">
        <w:t xml:space="preserve"> Proč by se tedy regulace účastnil, když se pro něj nic nezmění?</w:t>
      </w:r>
      <w:r w:rsidR="00A0635A" w:rsidRPr="00D5387F">
        <w:t xml:space="preserve"> </w:t>
      </w:r>
      <w:r w:rsidR="00717827" w:rsidRPr="00D5387F">
        <w:t>Zkoumanou motivaci</w:t>
      </w:r>
      <w:r w:rsidR="00A0635A" w:rsidRPr="00D5387F">
        <w:t xml:space="preserve"> tak </w:t>
      </w:r>
      <w:r w:rsidR="00717827" w:rsidRPr="00D5387F">
        <w:t xml:space="preserve">můžeme </w:t>
      </w:r>
      <w:r w:rsidR="00A0635A" w:rsidRPr="00D5387F">
        <w:t>považovat za okrajovou. Je pravděpodobné, že pokud by byla registrace povinná, není potřeba zájmové skupiny k zapsání se motivovat</w:t>
      </w:r>
      <w:r w:rsidR="00525059" w:rsidRPr="00D5387F">
        <w:t>.</w:t>
      </w:r>
      <w:r w:rsidR="00A0635A" w:rsidRPr="00D5387F">
        <w:t xml:space="preserve"> </w:t>
      </w:r>
      <w:r w:rsidR="00525059" w:rsidRPr="00D5387F">
        <w:t>Navíc</w:t>
      </w:r>
      <w:r w:rsidR="00A0635A" w:rsidRPr="00D5387F">
        <w:t xml:space="preserve"> nic nebrání zavedení nutnosti dokládání dokumentů, aby se údaje </w:t>
      </w:r>
      <w:r w:rsidR="00525059" w:rsidRPr="00D5387F">
        <w:t xml:space="preserve">vložené </w:t>
      </w:r>
      <w:r w:rsidR="00A0635A" w:rsidRPr="00D5387F">
        <w:t>do rejstříku ověřily. Nevýhodu však představuje zatíženost administrativního aparátu, který by dokumenty musel zpracovávat. I přesto tak dojde ke zvýšení spolehlivosti a přesnosti údajů uváděných v rejstříku, což znamená nárůst transparentnosti.</w:t>
      </w:r>
    </w:p>
    <w:p w:rsidR="005D74BD" w:rsidRPr="00D5387F" w:rsidRDefault="005D74BD" w:rsidP="005D74BD">
      <w:r w:rsidRPr="00D5387F">
        <w:t>Změnil tedy rejstřík styl práce evropských institucí? Podle některých ohlasů určitě. Jak tvrdí komisař Siim Kallas, úředníci sami preferují schůzku s registrovaným lobbistou. Některé orgány došly tak daleko, že neregistrované lobbisty vymazaly ze svých interních databází.</w:t>
      </w:r>
      <w:r w:rsidRPr="00D5387F">
        <w:rPr>
          <w:rStyle w:val="Znakapoznpodarou"/>
        </w:rPr>
        <w:footnoteReference w:id="93"/>
      </w:r>
    </w:p>
    <w:p w:rsidR="005D74BD" w:rsidRPr="00D5387F" w:rsidRDefault="005D74BD" w:rsidP="005D74BD">
      <w:r w:rsidRPr="00D5387F">
        <w:lastRenderedPageBreak/>
        <w:t>Rejstřík je poslední dobou velice</w:t>
      </w:r>
      <w:r w:rsidR="00A81F79" w:rsidRPr="00D5387F">
        <w:t xml:space="preserve"> diskutovaným způsobem regulace</w:t>
      </w:r>
      <w:r w:rsidRPr="00D5387F">
        <w:t xml:space="preserve"> zvláště pro jeho meziinstitucionální spojení. Dobrovolnost rejstříku je trnem v patě celé této regulace. Pokud se nevyřeší, jak přinutit zájmové skupiny, aby se registrovaly a </w:t>
      </w:r>
      <w:r w:rsidR="00A81F79" w:rsidRPr="00D5387F">
        <w:t>přesně</w:t>
      </w:r>
      <w:r w:rsidRPr="00D5387F">
        <w:t xml:space="preserve"> uváděly veškeré požadované informace, půjde stále jen o zoufalý pokus regulovat. Bohužel, systém motivace, který je nabízen, není dostačující. Každopádně, jednou z možností, jak lobbisty přinutit k registraci, je stanovisko institucí a jiných přístupových bodů, že nebudou jednat se zájmovými skupinami mimo těch uvedených v rejstříku. Výrazně by se tím mohlo přispět i k vyjasnění pojm</w:t>
      </w:r>
      <w:r w:rsidR="00A81F79" w:rsidRPr="00D5387F">
        <w:t>u</w:t>
      </w:r>
      <w:r w:rsidRPr="00D5387F">
        <w:t xml:space="preserve"> </w:t>
      </w:r>
      <w:r w:rsidR="00A81F79" w:rsidRPr="00D5387F">
        <w:t>„</w:t>
      </w:r>
      <w:r w:rsidRPr="00D5387F">
        <w:t>lobbista</w:t>
      </w:r>
      <w:r w:rsidR="00A81F79" w:rsidRPr="00D5387F">
        <w:t>“</w:t>
      </w:r>
      <w:r w:rsidRPr="00D5387F">
        <w:t>, protože za něj by b</w:t>
      </w:r>
      <w:r w:rsidR="00A81F79" w:rsidRPr="00D5387F">
        <w:t>yl</w:t>
      </w:r>
      <w:r w:rsidRPr="00D5387F">
        <w:t xml:space="preserve"> považován každý, kdo se zaregistruje. Má totiž nějaký zájem, který chce prosadit u daných přístupových bodů. </w:t>
      </w:r>
      <w:r w:rsidR="00C14C99" w:rsidRPr="00D5387F">
        <w:t>Na základě předchozích argumentů</w:t>
      </w:r>
      <w:r w:rsidRPr="00D5387F">
        <w:t xml:space="preserve"> lze říci, že k takovému selektování lobbistů evropskými institucemi, tedy zejména v EP, dochází. Učinit z toho povinnou záležitost by vneslo větší transparentnost do prosazování zájmů lobbisty.</w:t>
      </w:r>
    </w:p>
    <w:p w:rsidR="002B172F" w:rsidRPr="00D5387F" w:rsidRDefault="002B172F" w:rsidP="002B172F">
      <w:r w:rsidRPr="00D5387F">
        <w:t>Seznam zájmových skupin nemusí zahrnovat všechny kategorie zájmových skupin, které mají v Bruselu důležité post</w:t>
      </w:r>
      <w:r w:rsidR="002960F3">
        <w:t xml:space="preserve">avení. Jak vysvětluje kapitola </w:t>
      </w:r>
      <w:r w:rsidR="005B386F">
        <w:t>5</w:t>
      </w:r>
      <w:r w:rsidRPr="00D5387F">
        <w:t>.1.4, některé velké a pro evropský trh klíčové společnosti nejsou příliš nakloněny registrování se. Rejstřík tak nefunguje jako transparentní přehled lobbingu v EU, i když i přesto částečně pomáhá v práci evropským institucím. Jinými slovy, je to spíše záležitost regulační, nikoliv však dostatečně transparentní.</w:t>
      </w:r>
    </w:p>
    <w:p w:rsidR="00AA32E6" w:rsidRPr="00D5387F" w:rsidRDefault="00AA32E6" w:rsidP="00AA32E6">
      <w:r w:rsidRPr="00D5387F">
        <w:t xml:space="preserve">Kde se tedy nachází hranice mezi regulováním institucí a zájmových skupin? V rejstříku transparentnosti je na první pohled regulován zejména lobbista. Ten může být motivován k zápisu do rejstříku ať už sám od sebe, či na základě motivačního mechanismu institucí EU. Dobrovolným zápisem reguluje sám sebe. Pokud by ale </w:t>
      </w:r>
      <w:r w:rsidR="00A81F79" w:rsidRPr="00D5387F">
        <w:t xml:space="preserve">byl </w:t>
      </w:r>
      <w:r w:rsidRPr="00D5387F">
        <w:t xml:space="preserve">rejstřík povinný, lobbista </w:t>
      </w:r>
      <w:r w:rsidR="002A7125" w:rsidRPr="00D5387F">
        <w:t xml:space="preserve">by </w:t>
      </w:r>
      <w:r w:rsidRPr="00D5387F">
        <w:t>se mus</w:t>
      </w:r>
      <w:r w:rsidR="002A7125" w:rsidRPr="00D5387F">
        <w:t>el</w:t>
      </w:r>
      <w:r w:rsidRPr="00D5387F">
        <w:t xml:space="preserve"> zapsat a úředník </w:t>
      </w:r>
      <w:r w:rsidR="002A7125" w:rsidRPr="00D5387F">
        <w:t>by jednal</w:t>
      </w:r>
      <w:r w:rsidRPr="00D5387F">
        <w:t xml:space="preserve"> pouze s těmi v rejstříku. Buď mu to bude nařízeno interním předpisem, nebo bude považovat rejstřík za směrodatný nástroj. Rejstříkem je však do jisté míry regulována i instituce. Úředník může být motivován ke kontrole lobbistů v rejstříku, čímž sám sebe reguluje ve výběru subjektů vhodných ke komunikaci o zájmu. Motivace je o to silnější, pokud se rejstřík stane povinným.</w:t>
      </w:r>
    </w:p>
    <w:p w:rsidR="005D74BD" w:rsidRPr="00D5387F" w:rsidRDefault="005D74BD" w:rsidP="00EC23B7">
      <w:pPr>
        <w:pStyle w:val="Nadpis3"/>
      </w:pPr>
      <w:bookmarkStart w:id="42" w:name="_Toc330039553"/>
      <w:r w:rsidRPr="00D5387F">
        <w:t>Zveř</w:t>
      </w:r>
      <w:r w:rsidR="00940528" w:rsidRPr="00D5387F">
        <w:t xml:space="preserve">ejňování informací o lobbistech (zejména </w:t>
      </w:r>
      <w:r w:rsidR="001C168F">
        <w:t xml:space="preserve">o </w:t>
      </w:r>
      <w:r w:rsidR="00940528" w:rsidRPr="00D5387F">
        <w:t>jejich financování)</w:t>
      </w:r>
      <w:bookmarkEnd w:id="42"/>
    </w:p>
    <w:p w:rsidR="00940528" w:rsidRPr="00D5387F" w:rsidRDefault="00940528" w:rsidP="005E29B6">
      <w:pPr>
        <w:rPr>
          <w:b/>
        </w:rPr>
      </w:pPr>
      <w:r w:rsidRPr="00D5387F">
        <w:t xml:space="preserve">Jednou z vlastností rejstříku je zveřejňování různých informací o registrovaných zájmových skupinách. Veřejné jsou jednak základní údaje, jako je název, kategorie činnosti či kontaktní údaje. Také jsou uvedeny vedoucí osoby či osoby pověřeny vztahy s EU. Tyto </w:t>
      </w:r>
      <w:r w:rsidRPr="00D5387F">
        <w:lastRenderedPageBreak/>
        <w:t>základní údaje jsou nutné a nepanuje v nich žádný rozpor. Jiné to však je u údajů, které zájmová skupina vyplňuje podle svého uvážení, tedy záleží na ní, co přesně napíše. Je tím myšlen popis cílů a úkolů, popis činnosti a v neposlední řadě finanční údaje. Poslední jmenované se často stává terčem kritiky</w:t>
      </w:r>
      <w:r w:rsidR="00AD02A6" w:rsidRPr="00D5387F">
        <w:t>.</w:t>
      </w:r>
      <w:r w:rsidRPr="00D5387F">
        <w:t xml:space="preserve"> </w:t>
      </w:r>
      <w:r w:rsidR="00C14C99" w:rsidRPr="00D5387F">
        <w:t>Ú</w:t>
      </w:r>
      <w:r w:rsidRPr="00D5387F">
        <w:t>daje by</w:t>
      </w:r>
      <w:r w:rsidR="00C14C99" w:rsidRPr="00D5387F">
        <w:t xml:space="preserve"> měly být</w:t>
      </w:r>
      <w:r w:rsidRPr="00D5387F">
        <w:t xml:space="preserve"> jednotné, jasné a zakláda</w:t>
      </w:r>
      <w:r w:rsidR="00C14C99" w:rsidRPr="00D5387F">
        <w:t>t</w:t>
      </w:r>
      <w:r w:rsidRPr="00D5387F">
        <w:t xml:space="preserve"> se na skutečnostech.</w:t>
      </w:r>
    </w:p>
    <w:p w:rsidR="001778C3" w:rsidRPr="00D5387F" w:rsidRDefault="001778C3" w:rsidP="001778C3">
      <w:r w:rsidRPr="00D5387F">
        <w:t>Podle různých autorů je u lobbistů problém s výkazem financí.</w:t>
      </w:r>
      <w:r w:rsidR="00E81EC3" w:rsidRPr="00D5387F">
        <w:rPr>
          <w:rStyle w:val="Znakapoznpodarou"/>
        </w:rPr>
        <w:footnoteReference w:id="94"/>
      </w:r>
      <w:r w:rsidRPr="00D5387F">
        <w:t xml:space="preserve"> Jednou z možností pro veřejnost, jak se dostat k přehledu financí lobbistů, je rejstřík. Zde ale každá ze zájmových skupin uvádí jiné údaje. Tím je myšleno, že zde uvádějí různá období, odlišná mezi registracemi navzájem</w:t>
      </w:r>
      <w:r w:rsidR="009726E7" w:rsidRPr="00D5387F">
        <w:t>. Namátkou</w:t>
      </w:r>
      <w:r w:rsidR="008E0A19">
        <w:rPr>
          <w:rStyle w:val="Znakapoznpodarou"/>
        </w:rPr>
        <w:footnoteReference w:id="95"/>
      </w:r>
      <w:r w:rsidR="009726E7" w:rsidRPr="00D5387F">
        <w:t xml:space="preserve"> byly</w:t>
      </w:r>
      <w:r w:rsidR="008E0A19">
        <w:t xml:space="preserve"> v rejstříku</w:t>
      </w:r>
      <w:r w:rsidR="009726E7" w:rsidRPr="00D5387F">
        <w:t xml:space="preserve"> vybrány společnosti Germanwatch, která uvádí finanční výkaz z roku 2009</w:t>
      </w:r>
      <w:r w:rsidR="009726E7" w:rsidRPr="00D5387F">
        <w:rPr>
          <w:rStyle w:val="Znakapoznpodarou"/>
        </w:rPr>
        <w:footnoteReference w:id="96"/>
      </w:r>
      <w:r w:rsidR="009726E7" w:rsidRPr="00D5387F">
        <w:t>, a OGP GAZ-SYSTÉM S.A., která zadala údaje z roku 2011</w:t>
      </w:r>
      <w:r w:rsidR="009726E7" w:rsidRPr="00D5387F">
        <w:rPr>
          <w:rStyle w:val="Znakapoznpodarou"/>
        </w:rPr>
        <w:footnoteReference w:id="97"/>
      </w:r>
      <w:r w:rsidR="00E81EC3" w:rsidRPr="00D5387F">
        <w:t>.</w:t>
      </w:r>
      <w:r w:rsidR="009726E7" w:rsidRPr="00D5387F">
        <w:t xml:space="preserve"> Jiným nedostatkem </w:t>
      </w:r>
      <w:r w:rsidR="00AD02A6" w:rsidRPr="00D5387F">
        <w:t>jsou</w:t>
      </w:r>
      <w:r w:rsidR="009726E7" w:rsidRPr="00D5387F">
        <w:t xml:space="preserve"> vý</w:t>
      </w:r>
      <w:r w:rsidRPr="00D5387F">
        <w:t>k</w:t>
      </w:r>
      <w:r w:rsidR="009726E7" w:rsidRPr="00D5387F">
        <w:t>azy příjmů a výdajů</w:t>
      </w:r>
      <w:r w:rsidRPr="00D5387F">
        <w:t xml:space="preserve"> z jiných oblastí.</w:t>
      </w:r>
      <w:r w:rsidR="009726E7" w:rsidRPr="00D5387F">
        <w:t xml:space="preserve"> Srovnáme-li znovu tyto dvě společnosti, Germanwatch uvádí poměrně podrobnou zprávu o příjmech a výdajích, kdežto OGP GAZ-SYSTÉM S.A. se o financích téměř nezmiňuje (kromě odhadovaných nákladů a grantů).</w:t>
      </w:r>
      <w:r w:rsidRPr="00D5387F">
        <w:t xml:space="preserve"> </w:t>
      </w:r>
      <w:r w:rsidR="00AD02A6" w:rsidRPr="00D5387F">
        <w:t>To poukazuje na</w:t>
      </w:r>
      <w:r w:rsidRPr="00D5387F">
        <w:t xml:space="preserve"> nejednotnost v pravidlech, co přesně uvádět do sekcí</w:t>
      </w:r>
      <w:r w:rsidR="00AD02A6" w:rsidRPr="00D5387F">
        <w:t>, které se vyplňují během registrace</w:t>
      </w:r>
      <w:r w:rsidRPr="00D5387F">
        <w:t xml:space="preserve">. Lobbistům je ponechána </w:t>
      </w:r>
      <w:r w:rsidR="009726E7" w:rsidRPr="00D5387F">
        <w:t>až přílišná a zbytečná volnost.</w:t>
      </w:r>
      <w:r w:rsidR="007D3506" w:rsidRPr="00D5387F">
        <w:t xml:space="preserve"> </w:t>
      </w:r>
      <w:r w:rsidRPr="00D5387F">
        <w:t xml:space="preserve">Rejstřík, u kterého </w:t>
      </w:r>
      <w:r w:rsidR="007D3506" w:rsidRPr="00D5387F">
        <w:t>by se o</w:t>
      </w:r>
      <w:r w:rsidRPr="00D5387F">
        <w:t>čekáv</w:t>
      </w:r>
      <w:r w:rsidR="007D3506" w:rsidRPr="00D5387F">
        <w:t>alo</w:t>
      </w:r>
      <w:r w:rsidRPr="00D5387F">
        <w:t xml:space="preserve">, že bude nejpřehlednější existující veřejný zdroj informací a finančních výdajů </w:t>
      </w:r>
      <w:r w:rsidR="00E81EC3" w:rsidRPr="00D5387F">
        <w:t xml:space="preserve">lobbujících </w:t>
      </w:r>
      <w:r w:rsidRPr="00D5387F">
        <w:t>zájmových skupin, v této funkci ztroskotal. Neexistuje totiž nic, co by nutilo lobbisty aktualizovat po</w:t>
      </w:r>
      <w:r w:rsidR="007D3506" w:rsidRPr="00D5387F">
        <w:t>skytované informace.</w:t>
      </w:r>
    </w:p>
    <w:p w:rsidR="00CA2B58" w:rsidRPr="00D5387F" w:rsidRDefault="0026179C" w:rsidP="00CA2B58">
      <w:r w:rsidRPr="00D5387F">
        <w:t>Dochází tedy k laxnosti a</w:t>
      </w:r>
      <w:r w:rsidR="00275E49" w:rsidRPr="00D5387F">
        <w:t xml:space="preserve"> nekvalitního uvedení finančních údajů do rej</w:t>
      </w:r>
      <w:r w:rsidRPr="00D5387F">
        <w:t>stříku</w:t>
      </w:r>
      <w:r w:rsidR="00275E49" w:rsidRPr="00D5387F">
        <w:t xml:space="preserve">. </w:t>
      </w:r>
      <w:r w:rsidR="005E29B6" w:rsidRPr="00D5387F">
        <w:t xml:space="preserve">Revize pravidel o zveřejňování </w:t>
      </w:r>
      <w:r w:rsidRPr="00D5387F">
        <w:t>financí</w:t>
      </w:r>
      <w:r w:rsidR="00275E49" w:rsidRPr="00D5387F">
        <w:t xml:space="preserve"> by</w:t>
      </w:r>
      <w:r w:rsidR="00CA2B58" w:rsidRPr="00D5387F">
        <w:t xml:space="preserve"> tak</w:t>
      </w:r>
      <w:r w:rsidR="00275E49" w:rsidRPr="00D5387F">
        <w:t xml:space="preserve"> vyřešila některé nejasnosti.</w:t>
      </w:r>
      <w:r w:rsidR="005E29B6" w:rsidRPr="00D5387F">
        <w:rPr>
          <w:rStyle w:val="Znakapoznpodarou"/>
        </w:rPr>
        <w:footnoteReference w:id="98"/>
      </w:r>
      <w:r w:rsidR="00275E49" w:rsidRPr="00D5387F">
        <w:t xml:space="preserve"> V případě zveřejňování informací o lobbistech </w:t>
      </w:r>
      <w:r w:rsidR="00CA2B58" w:rsidRPr="00D5387F">
        <w:t>může</w:t>
      </w:r>
      <w:r w:rsidR="00275E49" w:rsidRPr="00D5387F">
        <w:t xml:space="preserve"> být vyžadov</w:t>
      </w:r>
      <w:r w:rsidR="00CA2B58" w:rsidRPr="00D5387F">
        <w:t>áno</w:t>
      </w:r>
      <w:r w:rsidR="00275E49" w:rsidRPr="00D5387F">
        <w:t xml:space="preserve"> povinné a pravidelné zveřejňování údajů o činnosti lobbistů.</w:t>
      </w:r>
      <w:r w:rsidR="00CA2B58" w:rsidRPr="00D5387F">
        <w:t xml:space="preserve"> Dalším východiskem je, že citlivé informace v registru budou sloužit jen </w:t>
      </w:r>
      <w:r w:rsidR="00CA2B58" w:rsidRPr="00D5387F">
        <w:lastRenderedPageBreak/>
        <w:t xml:space="preserve">čistě pro potřeby lobbovaných, tedy institucí. Instituce se </w:t>
      </w:r>
      <w:r w:rsidR="00761C15" w:rsidRPr="00D5387F">
        <w:t>mohou</w:t>
      </w:r>
      <w:r w:rsidR="00CA2B58" w:rsidRPr="00D5387F">
        <w:t xml:space="preserve"> spokojit pouze s přibližnými výdaji na lobbing, ale stejně tak mohou požadovat detailnější výpis s doložením odpovídajících dokumentů. Podle požadavků by tak zájmové skupiny doplňovaly potřebné informace, ale už by se nemusely obávat zveřejňování. </w:t>
      </w:r>
      <w:r w:rsidR="00DC3E28" w:rsidRPr="00D5387F">
        <w:t>T</w:t>
      </w:r>
      <w:r w:rsidR="00761C15" w:rsidRPr="00D5387F">
        <w:t>ato možnost</w:t>
      </w:r>
      <w:r w:rsidR="00DC3E28" w:rsidRPr="00D5387F">
        <w:t xml:space="preserve"> by</w:t>
      </w:r>
      <w:r w:rsidR="00761C15" w:rsidRPr="00D5387F">
        <w:t xml:space="preserve"> lépe posloužila transparentnosti ve smyslu pochopení zájmů institucemi</w:t>
      </w:r>
      <w:r w:rsidR="00CA2B58" w:rsidRPr="00D5387F">
        <w:t>, nicmén</w:t>
      </w:r>
      <w:r w:rsidR="00DC3E28" w:rsidRPr="00D5387F">
        <w:t>ě její význam transparentního přehledu pro veřejnost by oslabil</w:t>
      </w:r>
      <w:r w:rsidR="00CA2B58" w:rsidRPr="00D5387F">
        <w:t>.</w:t>
      </w:r>
      <w:r w:rsidR="00DC3E28" w:rsidRPr="00D5387F">
        <w:rPr>
          <w:rStyle w:val="Znakapoznpodarou"/>
        </w:rPr>
        <w:footnoteReference w:id="99"/>
      </w:r>
    </w:p>
    <w:p w:rsidR="005D74BD" w:rsidRPr="00D5387F" w:rsidRDefault="00DC3E28" w:rsidP="005D74BD">
      <w:r w:rsidRPr="00D5387F">
        <w:t>Ne vždy se veřejné informace</w:t>
      </w:r>
      <w:r w:rsidR="00275E49" w:rsidRPr="00D5387F">
        <w:t xml:space="preserve"> o lobbistech týk</w:t>
      </w:r>
      <w:r w:rsidRPr="00D5387F">
        <w:t>ají</w:t>
      </w:r>
      <w:r w:rsidR="00275E49" w:rsidRPr="00D5387F">
        <w:t xml:space="preserve"> pouze rejstříku transparentnosti.</w:t>
      </w:r>
      <w:r w:rsidR="00CA2B58" w:rsidRPr="00D5387F">
        <w:t xml:space="preserve"> Poskytování či zveřejňování údajů je jednou stránkou věci. Tou druhou </w:t>
      </w:r>
      <w:r w:rsidRPr="00D5387F">
        <w:t xml:space="preserve">je </w:t>
      </w:r>
      <w:r w:rsidR="00CA2B58" w:rsidRPr="00D5387F">
        <w:t>pak přehled činnosti zájmových skupin</w:t>
      </w:r>
      <w:r w:rsidRPr="00D5387F">
        <w:t xml:space="preserve"> v interakci</w:t>
      </w:r>
      <w:r w:rsidR="00CA2B58" w:rsidRPr="00D5387F">
        <w:t xml:space="preserve"> s institucemi. A právě tato část přispěje k transparentnosti největší mírou.</w:t>
      </w:r>
      <w:r w:rsidR="00275E49" w:rsidRPr="00D5387F">
        <w:t xml:space="preserve"> </w:t>
      </w:r>
      <w:r w:rsidR="00CA2B58" w:rsidRPr="00D5387F">
        <w:t>Instituce by měly</w:t>
      </w:r>
      <w:r w:rsidR="005D74BD" w:rsidRPr="00D5387F">
        <w:t xml:space="preserve"> usnadnit</w:t>
      </w:r>
      <w:r w:rsidRPr="00D5387F">
        <w:t xml:space="preserve"> zveřejnění informací o tom</w:t>
      </w:r>
      <w:r w:rsidR="00CA2B58" w:rsidRPr="00D5387F">
        <w:t xml:space="preserve">, které zástupce zájmových skupin </w:t>
      </w:r>
      <w:r w:rsidR="00D200F2" w:rsidRPr="00D5387F">
        <w:t>instituce</w:t>
      </w:r>
      <w:r w:rsidR="005D74BD" w:rsidRPr="00D5387F">
        <w:t xml:space="preserve"> konzultují. Dřívější finský poslanec EP Alexander Stubb navrhl tzv. „legislativní stopu“, podle které by zpravodajové pracující na legislativním textu museli zapsat do seznamu všechny jednotlivce a zájmové skupiny, které konzultovali nebo od kterých obdrželi radu během připravování jejich návrhu.</w:t>
      </w:r>
      <w:r w:rsidR="005D74BD" w:rsidRPr="00D5387F">
        <w:rPr>
          <w:rStyle w:val="Znakapoznpodarou"/>
        </w:rPr>
        <w:footnoteReference w:id="100"/>
      </w:r>
      <w:r w:rsidR="00D200F2" w:rsidRPr="00D5387F">
        <w:t xml:space="preserve"> </w:t>
      </w:r>
      <w:r w:rsidR="00AC723C" w:rsidRPr="00D5387F">
        <w:t>Znamenalo by to</w:t>
      </w:r>
      <w:r w:rsidR="00D200F2" w:rsidRPr="00D5387F">
        <w:t xml:space="preserve"> výrazné zvýšení </w:t>
      </w:r>
      <w:r w:rsidR="00B20178" w:rsidRPr="00D5387F">
        <w:t>transparentnosti</w:t>
      </w:r>
      <w:r w:rsidR="00D200F2" w:rsidRPr="00D5387F">
        <w:t xml:space="preserve"> lobbingu, který by </w:t>
      </w:r>
      <w:r w:rsidR="00AC723C" w:rsidRPr="00D5387F">
        <w:t>byl závislý na informacích poskytnutých úředníky</w:t>
      </w:r>
      <w:r w:rsidR="00D7127E" w:rsidRPr="00D5387F">
        <w:t>, bez závislosti na datech dodaných</w:t>
      </w:r>
      <w:r w:rsidR="00D200F2" w:rsidRPr="00D5387F">
        <w:t xml:space="preserve"> zájmov</w:t>
      </w:r>
      <w:r w:rsidR="00D7127E" w:rsidRPr="00D5387F">
        <w:t>ými</w:t>
      </w:r>
      <w:r w:rsidR="00D200F2" w:rsidRPr="00D5387F">
        <w:t xml:space="preserve"> skupina</w:t>
      </w:r>
      <w:r w:rsidR="00D7127E" w:rsidRPr="00D5387F">
        <w:t>mi</w:t>
      </w:r>
      <w:r w:rsidR="00D200F2" w:rsidRPr="00D5387F">
        <w:t xml:space="preserve">. </w:t>
      </w:r>
      <w:r w:rsidR="00BC3D4E" w:rsidRPr="00D5387F">
        <w:t>D</w:t>
      </w:r>
      <w:r w:rsidR="00D200F2" w:rsidRPr="00D5387F">
        <w:t xml:space="preserve">ocházelo </w:t>
      </w:r>
      <w:r w:rsidR="00D7127E" w:rsidRPr="00D5387F">
        <w:t xml:space="preserve">by </w:t>
      </w:r>
      <w:r w:rsidR="00BC3D4E" w:rsidRPr="00D5387F">
        <w:t xml:space="preserve">hlavně </w:t>
      </w:r>
      <w:r w:rsidR="00D200F2" w:rsidRPr="00D5387F">
        <w:t>k regulaci jak lobbistů, tak samotných institucí.</w:t>
      </w:r>
    </w:p>
    <w:p w:rsidR="00AA32E6" w:rsidRPr="00D5387F" w:rsidRDefault="00AA32E6" w:rsidP="00AA32E6">
      <w:r w:rsidRPr="00D5387F">
        <w:t>Zveřejňování informací o lobbistech je velmi úzce propojeno s</w:t>
      </w:r>
      <w:r w:rsidR="00D200F2" w:rsidRPr="00D5387F">
        <w:t> </w:t>
      </w:r>
      <w:r w:rsidRPr="00D5387F">
        <w:t>rejstříkem</w:t>
      </w:r>
      <w:r w:rsidR="00D200F2" w:rsidRPr="00D5387F">
        <w:t xml:space="preserve">, ale </w:t>
      </w:r>
      <w:r w:rsidR="00B20178" w:rsidRPr="00D5387F">
        <w:t xml:space="preserve">nemusí tomu </w:t>
      </w:r>
      <w:r w:rsidR="00D200F2" w:rsidRPr="00D5387F">
        <w:t>tak</w:t>
      </w:r>
      <w:r w:rsidR="00B20178" w:rsidRPr="00D5387F">
        <w:t xml:space="preserve"> nutně</w:t>
      </w:r>
      <w:r w:rsidR="00D200F2" w:rsidRPr="00D5387F">
        <w:t xml:space="preserve"> být</w:t>
      </w:r>
      <w:r w:rsidRPr="00D5387F">
        <w:t xml:space="preserve">. Je </w:t>
      </w:r>
      <w:r w:rsidR="00A55641" w:rsidRPr="00D5387F">
        <w:t>zde</w:t>
      </w:r>
      <w:r w:rsidRPr="00D5387F">
        <w:t xml:space="preserve"> zejména snaha o posílení transparentnosti směrem k evropským občanům. Na lobbistu má</w:t>
      </w:r>
      <w:r w:rsidR="00D200F2" w:rsidRPr="00D5387F">
        <w:t xml:space="preserve"> zveřejnění informací</w:t>
      </w:r>
      <w:r w:rsidRPr="00D5387F">
        <w:t xml:space="preserve"> regulační vliv v tom smyslu, že je mnohem opatrnější a méně využívá nelegálních způsobů prosazování zájmů. Úředník</w:t>
      </w:r>
      <w:r w:rsidR="00D200F2" w:rsidRPr="00D5387F">
        <w:t>, poslanec EP atd.</w:t>
      </w:r>
      <w:r w:rsidRPr="00D5387F">
        <w:t xml:space="preserve"> je</w:t>
      </w:r>
      <w:r w:rsidR="00BC3D4E" w:rsidRPr="00D5387F">
        <w:t xml:space="preserve"> tak</w:t>
      </w:r>
      <w:r w:rsidRPr="00D5387F">
        <w:t xml:space="preserve"> rozvážnější v </w:t>
      </w:r>
      <w:r w:rsidR="00EB2F59" w:rsidRPr="00D5387F">
        <w:t>otázkách</w:t>
      </w:r>
      <w:r w:rsidRPr="00D5387F">
        <w:t xml:space="preserve">, o </w:t>
      </w:r>
      <w:r w:rsidR="00EB2F59" w:rsidRPr="00D5387F">
        <w:t>kterých</w:t>
      </w:r>
      <w:r w:rsidRPr="00D5387F">
        <w:t xml:space="preserve"> </w:t>
      </w:r>
      <w:r w:rsidR="00EB2F59" w:rsidRPr="00D5387F">
        <w:t xml:space="preserve">bude </w:t>
      </w:r>
      <w:r w:rsidRPr="00D5387F">
        <w:t xml:space="preserve">s lobbistou jednat. Roste pravděpodobnost, že se nenechá nelegálně ovlivnit, protože mu hrozí odhalení s následkem </w:t>
      </w:r>
      <w:r w:rsidR="00BC3D4E" w:rsidRPr="00D5387F">
        <w:t>sankce</w:t>
      </w:r>
      <w:r w:rsidRPr="00D5387F">
        <w:t>.</w:t>
      </w:r>
    </w:p>
    <w:p w:rsidR="005D74BD" w:rsidRPr="00D5387F" w:rsidRDefault="005D74BD" w:rsidP="00EC23B7">
      <w:pPr>
        <w:pStyle w:val="Nadpis3"/>
      </w:pPr>
      <w:bookmarkStart w:id="46" w:name="_Toc330039554"/>
      <w:r w:rsidRPr="00D5387F">
        <w:t>Akreditace u Evropského parlamentu</w:t>
      </w:r>
      <w:bookmarkEnd w:id="46"/>
    </w:p>
    <w:p w:rsidR="005D74BD" w:rsidRPr="00D5387F" w:rsidRDefault="00FA1727" w:rsidP="005D74BD">
      <w:r w:rsidRPr="00D5387F">
        <w:t>Z</w:t>
      </w:r>
      <w:r w:rsidR="005D74BD" w:rsidRPr="00D5387F">
        <w:t>a jeden z prvních způsobů, jakým se začaly registrovat zájmové skupiny, lze</w:t>
      </w:r>
      <w:r w:rsidRPr="00D5387F">
        <w:t xml:space="preserve"> </w:t>
      </w:r>
      <w:r w:rsidR="005D74BD" w:rsidRPr="00D5387F">
        <w:t xml:space="preserve">považovat akreditaci u EP. Ještě před reformou regulace </w:t>
      </w:r>
      <w:r w:rsidR="00283E55" w:rsidRPr="00D5387F">
        <w:t xml:space="preserve">zájmových skupin </w:t>
      </w:r>
      <w:r w:rsidR="005D74BD" w:rsidRPr="00D5387F">
        <w:t xml:space="preserve">fungoval tento systém samostatně a jeho funkcí bylo zpřehlednit sféru </w:t>
      </w:r>
      <w:r w:rsidR="00283E55" w:rsidRPr="00D5387F">
        <w:t xml:space="preserve">lobbistů </w:t>
      </w:r>
      <w:r w:rsidR="005D74BD" w:rsidRPr="00D5387F">
        <w:t>kontaktujících poslance EP</w:t>
      </w:r>
      <w:r w:rsidRPr="00D5387F">
        <w:t xml:space="preserve">. </w:t>
      </w:r>
      <w:r w:rsidRPr="00D5387F">
        <w:lastRenderedPageBreak/>
        <w:t>Akreditace sloužila</w:t>
      </w:r>
      <w:r w:rsidR="005D74BD" w:rsidRPr="00D5387F">
        <w:t xml:space="preserve"> zejména pro potřeby EP. </w:t>
      </w:r>
      <w:r w:rsidRPr="00D5387F">
        <w:t>Poslanci i ú</w:t>
      </w:r>
      <w:r w:rsidR="005D74BD" w:rsidRPr="00D5387F">
        <w:t>ředníci se naučili tento systém využívat a mnohdy se</w:t>
      </w:r>
      <w:r w:rsidR="001F58FB">
        <w:t xml:space="preserve"> se</w:t>
      </w:r>
      <w:r w:rsidR="005D74BD" w:rsidRPr="00D5387F">
        <w:t xml:space="preserve"> zástupcem zájmové skupiny, který se neakreditoval, </w:t>
      </w:r>
      <w:r w:rsidRPr="00D5387F">
        <w:t>nebyli</w:t>
      </w:r>
      <w:r w:rsidR="005D74BD" w:rsidRPr="00D5387F">
        <w:t xml:space="preserve"> ochotní sejít. Akreditace navíc slouží i jako propustka do prostorů EP, čímž se v podstatě stává nezbytnou.</w:t>
      </w:r>
    </w:p>
    <w:p w:rsidR="00A94006" w:rsidRPr="00D5387F" w:rsidRDefault="00FA1727" w:rsidP="00A94006">
      <w:r w:rsidRPr="00D5387F">
        <w:t>V současnosti, po reformě celého regulačního systému</w:t>
      </w:r>
      <w:r w:rsidR="00EB2F59" w:rsidRPr="00D5387F">
        <w:t>,</w:t>
      </w:r>
      <w:r w:rsidRPr="00D5387F">
        <w:t xml:space="preserve"> funguje c</w:t>
      </w:r>
      <w:r w:rsidR="005D74BD" w:rsidRPr="00D5387F">
        <w:t>elý systém tak, že zájmová skupina musí ještě před požádáním o akreditaci provést svou registraci v rejstříku. Jakmile tak učiní, je možné požádat o akreditaci nebo o obnovení akreditace u EP. Akreditační údaje se objeví na stránkách rejstříku transparentnosti</w:t>
      </w:r>
      <w:r w:rsidR="00A66289" w:rsidRPr="00D5387F">
        <w:t xml:space="preserve"> u profilu subjektu, který o akreditaci zažádal</w:t>
      </w:r>
      <w:r w:rsidR="005D74BD" w:rsidRPr="00D5387F">
        <w:t xml:space="preserve">. </w:t>
      </w:r>
      <w:r w:rsidRPr="00D5387F">
        <w:t>Během doby souběžného fungování s</w:t>
      </w:r>
      <w:r w:rsidR="005D74BD" w:rsidRPr="00D5387F">
        <w:t>taré</w:t>
      </w:r>
      <w:r w:rsidRPr="00D5387F">
        <w:t>ho</w:t>
      </w:r>
      <w:r w:rsidR="005D74BD" w:rsidRPr="00D5387F">
        <w:t xml:space="preserve"> rejstříku akreditovaných lobbistů v</w:t>
      </w:r>
      <w:r w:rsidRPr="00D5387F">
        <w:t> </w:t>
      </w:r>
      <w:r w:rsidR="005D74BD" w:rsidRPr="00D5387F">
        <w:t>EP</w:t>
      </w:r>
      <w:r w:rsidRPr="00D5387F">
        <w:t xml:space="preserve"> se v něm již neobjevovaly</w:t>
      </w:r>
      <w:r w:rsidR="005D74BD" w:rsidRPr="00D5387F">
        <w:t xml:space="preserve">. </w:t>
      </w:r>
      <w:r w:rsidRPr="00D5387F">
        <w:t>Obě regulace, tedy rejstřík a akreditace u EP</w:t>
      </w:r>
      <w:r w:rsidR="005D74BD" w:rsidRPr="00D5387F">
        <w:t xml:space="preserve"> </w:t>
      </w:r>
      <w:r w:rsidRPr="00D5387F">
        <w:t xml:space="preserve">jsou </w:t>
      </w:r>
      <w:r w:rsidR="005D74BD" w:rsidRPr="00D5387F">
        <w:t>již takto propojen</w:t>
      </w:r>
      <w:r w:rsidRPr="00D5387F">
        <w:t>y</w:t>
      </w:r>
      <w:r w:rsidR="005D74BD" w:rsidRPr="00D5387F">
        <w:t>.</w:t>
      </w:r>
      <w:r w:rsidRPr="00D5387F">
        <w:t xml:space="preserve"> </w:t>
      </w:r>
      <w:r w:rsidR="00A66289" w:rsidRPr="00D5387F">
        <w:t>Díky tomuto propojení mohou o</w:t>
      </w:r>
      <w:r w:rsidR="005D74BD" w:rsidRPr="00D5387F">
        <w:t xml:space="preserve"> přístupovou kartu žádat pouze ofic</w:t>
      </w:r>
      <w:r w:rsidRPr="00D5387F">
        <w:t>iální zástupci zájmových skupin, kteří bývají v rejstříku transparentnosti</w:t>
      </w:r>
      <w:r w:rsidR="00A66289" w:rsidRPr="00D5387F">
        <w:t xml:space="preserve"> uvedeni</w:t>
      </w:r>
      <w:r w:rsidRPr="00D5387F">
        <w:t>.</w:t>
      </w:r>
      <w:r w:rsidR="00A94006" w:rsidRPr="00D5387F">
        <w:t xml:space="preserve"> Výhodou akreditace v EP je to, že každý, kdo chce mít přístup k poslancům, musí popsanou regulaci projít. Právě vlastnost povinnosti, bez které nemá lobbista do budov EP přístup, je v rámci akreditace ve své</w:t>
      </w:r>
      <w:r w:rsidR="00EB2F59" w:rsidRPr="00D5387F">
        <w:t xml:space="preserve"> podstatě účinnou regulací.</w:t>
      </w:r>
    </w:p>
    <w:p w:rsidR="00957166" w:rsidRPr="00D5387F" w:rsidRDefault="00FA1727" w:rsidP="00957166">
      <w:r w:rsidRPr="00D5387F">
        <w:t>I v praxi je p</w:t>
      </w:r>
      <w:r w:rsidR="005D74BD" w:rsidRPr="00D5387F">
        <w:t>řístup zájmových skupin do EP náležitě ošetřen a zodpovědnost za něj nesou tzv. kvestoři, pro které spravuje vyřizování žádostí o přístup do budov jimi pověřené akreditační oddělení.</w:t>
      </w:r>
      <w:r w:rsidRPr="00D5387F">
        <w:t xml:space="preserve"> </w:t>
      </w:r>
      <w:r w:rsidR="005D74BD" w:rsidRPr="00D5387F">
        <w:t>Kolegium kvestorů v podstatě představuje strážce vnitřní regulace v EP. Tyto osoby dohlíží na implementaci pravidel o působení zájmových skupin v EP. Individuální propustky, které kvestoři udělují lobbistům, jsou platné maximálně na období jednoho roku.</w:t>
      </w:r>
      <w:r w:rsidRPr="00D5387F">
        <w:rPr>
          <w:rStyle w:val="Znakapoznpodarou"/>
        </w:rPr>
        <w:footnoteReference w:id="101"/>
      </w:r>
      <w:r w:rsidRPr="00D5387F">
        <w:t xml:space="preserve"> </w:t>
      </w:r>
      <w:bookmarkStart w:id="47" w:name="OLE_LINK16"/>
      <w:bookmarkStart w:id="48" w:name="OLE_LINK17"/>
      <w:r w:rsidR="005D74BD" w:rsidRPr="00D5387F">
        <w:t>Lobbista může být své propustky i zbaven</w:t>
      </w:r>
      <w:bookmarkEnd w:id="47"/>
      <w:bookmarkEnd w:id="48"/>
      <w:r w:rsidR="005D74BD" w:rsidRPr="00D5387F">
        <w:t>, a to pouze na základě podnětu lobbovaných poslanců.</w:t>
      </w:r>
      <w:r w:rsidR="001F408C" w:rsidRPr="00D5387F">
        <w:t xml:space="preserve"> Stížnosti se postupují Společnému sekretariátu registru transparentnosti.</w:t>
      </w:r>
      <w:r w:rsidR="005D74BD" w:rsidRPr="00D5387F">
        <w:rPr>
          <w:rStyle w:val="Znakapoznpodarou"/>
        </w:rPr>
        <w:footnoteReference w:id="102"/>
      </w:r>
      <w:r w:rsidR="005D74BD" w:rsidRPr="00D5387F">
        <w:t xml:space="preserve"> Při porušení pravidel je sice sankcí odebrání akreditace, nicméně k tomu v praxi téměř nedochází.</w:t>
      </w:r>
      <w:r w:rsidR="00283E55" w:rsidRPr="00D5387F">
        <w:t xml:space="preserve"> </w:t>
      </w:r>
      <w:r w:rsidR="00957166" w:rsidRPr="00D5387F">
        <w:t>Svěření této pravomoci kvestorům má však i svá negativa, či lépe nevýhody. Kvestoři totiž mohou nedostatečně kontrolovat, komu akreditační propustku udělují, a tím v praxi k regulaci nemusí docházet. Tento problém došel tak daleko, že</w:t>
      </w:r>
      <w:r w:rsidR="001F408C" w:rsidRPr="00D5387F">
        <w:t xml:space="preserve"> nerozvážné udílení propustek kvestory společně s nárůstem lobbistických aktivit </w:t>
      </w:r>
      <w:r w:rsidR="001F58FB">
        <w:t>přineslo</w:t>
      </w:r>
      <w:r w:rsidR="001F408C" w:rsidRPr="00D5387F">
        <w:t xml:space="preserve"> </w:t>
      </w:r>
      <w:r w:rsidR="001F408C" w:rsidRPr="00D5387F">
        <w:lastRenderedPageBreak/>
        <w:t>zneužívání přístupu do prostor EP. To mělo za následek zavedení některých regulací touto institucí.</w:t>
      </w:r>
      <w:r w:rsidR="00957166" w:rsidRPr="00D5387F">
        <w:rPr>
          <w:rStyle w:val="Znakapoznpodarou"/>
        </w:rPr>
        <w:footnoteReference w:id="103"/>
      </w:r>
    </w:p>
    <w:p w:rsidR="006E4BB2" w:rsidRPr="00D5387F" w:rsidRDefault="00957166" w:rsidP="005D74BD">
      <w:r w:rsidRPr="00D5387F">
        <w:t>Jak již bylo naznačeno vý</w:t>
      </w:r>
      <w:r w:rsidR="005D74BD" w:rsidRPr="00D5387F">
        <w:t>še</w:t>
      </w:r>
      <w:r w:rsidRPr="00D5387F">
        <w:t>,</w:t>
      </w:r>
      <w:r w:rsidR="005D74BD" w:rsidRPr="00D5387F">
        <w:t xml:space="preserve"> popsaný systém</w:t>
      </w:r>
      <w:r w:rsidRPr="00D5387F">
        <w:t xml:space="preserve"> akreditace</w:t>
      </w:r>
      <w:r w:rsidR="005D74BD" w:rsidRPr="00D5387F">
        <w:t xml:space="preserve"> byl poměrně nedávno upraven. Postup pro poskytování přístupových karet byl revidován v roce 2011. Než došlo k zavedení nových pravidel, byla zástupcům zájmových skupin vydána pro každou návštěvu EP dočasná přístupová karta. Ta však měla platnost jedn</w:t>
      </w:r>
      <w:r w:rsidR="00EB2F59" w:rsidRPr="00D5387F">
        <w:t>oho</w:t>
      </w:r>
      <w:r w:rsidR="005D74BD" w:rsidRPr="00D5387F">
        <w:t xml:space="preserve"> dn</w:t>
      </w:r>
      <w:r w:rsidR="00EB2F59" w:rsidRPr="00D5387F">
        <w:t>e</w:t>
      </w:r>
      <w:r w:rsidR="005D74BD" w:rsidRPr="00D5387F">
        <w:t xml:space="preserve"> a </w:t>
      </w:r>
      <w:r w:rsidR="00EB2F59" w:rsidRPr="00D5387F">
        <w:t xml:space="preserve">to </w:t>
      </w:r>
      <w:r w:rsidR="005D74BD" w:rsidRPr="00D5387F">
        <w:t>pouze v obdobích, kdy EP vykonávala svou činnost.</w:t>
      </w:r>
      <w:r w:rsidR="006E4BB2" w:rsidRPr="00D5387F">
        <w:t xml:space="preserve"> Nyní, po zavedení nových pravidel, dostane lobbista povolení ke vstupu s platností na 12 měsíců. S tímto povolením si mohou nechat vystavit jednodenní vstupní kartu</w:t>
      </w:r>
      <w:r w:rsidR="00EC7696" w:rsidRPr="00D5387F">
        <w:t xml:space="preserve">, </w:t>
      </w:r>
      <w:r w:rsidR="001F58FB">
        <w:t>teprve</w:t>
      </w:r>
      <w:r w:rsidR="00EC7696" w:rsidRPr="00D5387F">
        <w:t xml:space="preserve"> která jim umožní dostat se do budov EP.</w:t>
      </w:r>
      <w:r w:rsidR="00EC7696" w:rsidRPr="00D5387F">
        <w:rPr>
          <w:rStyle w:val="Znakapoznpodarou"/>
        </w:rPr>
        <w:footnoteReference w:id="104"/>
      </w:r>
    </w:p>
    <w:p w:rsidR="005D74BD" w:rsidRPr="00D5387F" w:rsidRDefault="00EC7696" w:rsidP="005D74BD">
      <w:r w:rsidRPr="00D5387F">
        <w:t>Zavedení nových pravidel</w:t>
      </w:r>
      <w:r w:rsidR="00BB4D12" w:rsidRPr="00D5387F">
        <w:t xml:space="preserve"> </w:t>
      </w:r>
      <w:r w:rsidR="006E4BB2" w:rsidRPr="00D5387F">
        <w:t>však představuje</w:t>
      </w:r>
      <w:r w:rsidR="00BB4D12" w:rsidRPr="00D5387F">
        <w:t xml:space="preserve"> určitý nedostate</w:t>
      </w:r>
      <w:r w:rsidR="00283E55" w:rsidRPr="00D5387F">
        <w:t>k. Nejlépe jej vystihuje Hötzel:</w:t>
      </w:r>
      <w:r w:rsidR="00BB4D12" w:rsidRPr="00D5387F">
        <w:t xml:space="preserve"> „[…] </w:t>
      </w:r>
      <w:r w:rsidR="00283E55" w:rsidRPr="00D5387F">
        <w:t>s</w:t>
      </w:r>
      <w:r w:rsidR="00BB4D12" w:rsidRPr="00D5387F">
        <w:t xml:space="preserve"> novým systémem již nemůžeme získat dlouhodobé propustky do EP. To znamená, že ERA je registrovaná v rejstříku transparentnosti, ale pokud chceme vstoupit do EP, musíme kvůli jednodenní propustce pokaždé stát frontu. To je obrovskou ztrátou času jak pro nás, tak pro bezpečnostní personál EP. Předtím jsme mohli vstoupit do EP pouhým ukázáním dlouhodobé propustky (s platností na jeden rok) a projitím skenerem.“</w:t>
      </w:r>
      <w:r w:rsidR="00BB4D12" w:rsidRPr="00D5387F">
        <w:rPr>
          <w:rStyle w:val="Znakapoznpodarou"/>
        </w:rPr>
        <w:footnoteReference w:id="105"/>
      </w:r>
      <w:r w:rsidR="00BB4D12" w:rsidRPr="00D5387F">
        <w:t xml:space="preserve"> </w:t>
      </w:r>
      <w:r w:rsidR="00134E7C" w:rsidRPr="00D5387F">
        <w:t xml:space="preserve">Pokud tedy lobbista navštěvuje EP často, ztratí spoustu času zbytečným čekáním ve frontě. </w:t>
      </w:r>
      <w:r w:rsidR="00BB4D12" w:rsidRPr="00D5387F">
        <w:t xml:space="preserve">Tato zkušenost poukazuje na nedomyšlenost celého systému </w:t>
      </w:r>
      <w:r w:rsidRPr="00D5387F">
        <w:t>regulace, kdy až přehnaná snaha o regulaci brání efektivitě a zpomaluje přístupnost lobbistických kanálů směrem k institucím.</w:t>
      </w:r>
    </w:p>
    <w:p w:rsidR="008B3E85" w:rsidRPr="00D5387F" w:rsidRDefault="008B3E85" w:rsidP="008B3E85">
      <w:r w:rsidRPr="00D5387F">
        <w:t>V případě akreditace u EP je hranice mezi regulac</w:t>
      </w:r>
      <w:r w:rsidR="00EB2F59" w:rsidRPr="00D5387F">
        <w:t>í institucí</w:t>
      </w:r>
      <w:r w:rsidRPr="00D5387F">
        <w:t xml:space="preserve"> a zájmových skupin docela jasná. Lobbista totiž může kontaktovat EP pouze s akreditací, čímž pro něj v podstatě vzniká povinnost se akreditovat. Naopak EP </w:t>
      </w:r>
      <w:r w:rsidR="00A94006" w:rsidRPr="00D5387F">
        <w:t>by měl</w:t>
      </w:r>
      <w:r w:rsidRPr="00D5387F">
        <w:t xml:space="preserve"> jednat pouze s těmi, kdo se akreditují</w:t>
      </w:r>
      <w:r w:rsidR="00EB2F59" w:rsidRPr="00D5387F">
        <w:t>, k čemuž nemusí docházet mimo budovu EP</w:t>
      </w:r>
      <w:r w:rsidRPr="00D5387F">
        <w:t xml:space="preserve">. </w:t>
      </w:r>
      <w:r w:rsidR="00EB2F59" w:rsidRPr="00D5387F">
        <w:t>Takový postup tvoří součást interních</w:t>
      </w:r>
      <w:r w:rsidRPr="00D5387F">
        <w:t xml:space="preserve"> pravid</w:t>
      </w:r>
      <w:r w:rsidR="00EB2F59" w:rsidRPr="00D5387F">
        <w:t>el</w:t>
      </w:r>
      <w:r w:rsidRPr="00D5387F">
        <w:t xml:space="preserve"> instituce, které</w:t>
      </w:r>
      <w:r w:rsidR="00EB2F59" w:rsidRPr="00D5387F">
        <w:t xml:space="preserve"> poslanec</w:t>
      </w:r>
      <w:r w:rsidRPr="00D5387F">
        <w:t xml:space="preserve"> musí dodržovat. EP je akreditací v tomto smyslu také regulována.</w:t>
      </w:r>
      <w:r w:rsidR="00A94006" w:rsidRPr="00D5387F">
        <w:t xml:space="preserve"> </w:t>
      </w:r>
      <w:r w:rsidR="00EB2F59" w:rsidRPr="00D5387F">
        <w:t>Jak bylo naznačeno, n</w:t>
      </w:r>
      <w:r w:rsidR="00A94006" w:rsidRPr="00D5387F">
        <w:t xml:space="preserve">egativem je, že </w:t>
      </w:r>
      <w:r w:rsidR="00EB2F59" w:rsidRPr="00D5387F">
        <w:t xml:space="preserve">se </w:t>
      </w:r>
      <w:r w:rsidR="00A94006" w:rsidRPr="00D5387F">
        <w:t xml:space="preserve">lobbista </w:t>
      </w:r>
      <w:r w:rsidR="00EB2F59" w:rsidRPr="00D5387F">
        <w:t xml:space="preserve">může </w:t>
      </w:r>
      <w:r w:rsidR="00A94006" w:rsidRPr="00D5387F">
        <w:t xml:space="preserve">k poslanci dostat jinou </w:t>
      </w:r>
      <w:r w:rsidR="00EB2F59" w:rsidRPr="00D5387F">
        <w:t>cestou</w:t>
      </w:r>
      <w:r w:rsidR="00A94006" w:rsidRPr="00D5387F">
        <w:t>, tedy schůzkou mimo budovu, v jeho domácím státě, pomocí pošty či telefonu apod.</w:t>
      </w:r>
    </w:p>
    <w:p w:rsidR="00A834D9" w:rsidRPr="00D5387F" w:rsidRDefault="00A834D9" w:rsidP="00EC23B7">
      <w:pPr>
        <w:pStyle w:val="Nadpis3"/>
      </w:pPr>
      <w:bookmarkStart w:id="49" w:name="_Toc330039555"/>
      <w:r w:rsidRPr="00D5387F">
        <w:lastRenderedPageBreak/>
        <w:t>Příklad na velkých společnostech</w:t>
      </w:r>
      <w:bookmarkEnd w:id="49"/>
    </w:p>
    <w:p w:rsidR="00A834D9" w:rsidRPr="00D5387F" w:rsidRDefault="00A834D9" w:rsidP="00A834D9">
      <w:r w:rsidRPr="00D5387F">
        <w:t xml:space="preserve">Velká část největších evropských společností </w:t>
      </w:r>
      <w:r w:rsidR="00D86435" w:rsidRPr="00D5387F">
        <w:t xml:space="preserve">se </w:t>
      </w:r>
      <w:r w:rsidRPr="00D5387F">
        <w:t xml:space="preserve">stejně </w:t>
      </w:r>
      <w:r w:rsidR="00D86435" w:rsidRPr="00D5387F">
        <w:t>nezapojuje do</w:t>
      </w:r>
      <w:r w:rsidRPr="00D5387F">
        <w:t xml:space="preserve"> regulace. Podle studie z roku 2008 až 20 z 50 evropských společností, které v EU lobbují, ve zkoumaném období v rejstříku transparentnosti chyběly.</w:t>
      </w:r>
      <w:r w:rsidRPr="00D5387F">
        <w:rPr>
          <w:rStyle w:val="Znakapoznpodarou"/>
        </w:rPr>
        <w:footnoteReference w:id="106"/>
      </w:r>
      <w:r w:rsidRPr="00D5387F">
        <w:t xml:space="preserve"> A právě tyto společnosti </w:t>
      </w:r>
      <w:r w:rsidR="00D86435" w:rsidRPr="00D5387F">
        <w:t xml:space="preserve">EU </w:t>
      </w:r>
      <w:r w:rsidRPr="00D5387F">
        <w:t>potřebuje regulovat.</w:t>
      </w:r>
    </w:p>
    <w:p w:rsidR="00A834D9" w:rsidRPr="00F64B5A" w:rsidRDefault="00A834D9" w:rsidP="00A834D9">
      <w:r w:rsidRPr="00D5387F">
        <w:t>Například Vodafone v roce 2008 v rejstříku nebyl.</w:t>
      </w:r>
      <w:r w:rsidR="0006462D" w:rsidRPr="00D5387F">
        <w:rPr>
          <w:rStyle w:val="Znakapoznpodarou"/>
        </w:rPr>
        <w:footnoteReference w:id="107"/>
      </w:r>
      <w:r w:rsidRPr="00D5387F">
        <w:t xml:space="preserve"> Přesto </w:t>
      </w:r>
      <w:r w:rsidR="00EB2F59" w:rsidRPr="00D5387F">
        <w:t xml:space="preserve">je </w:t>
      </w:r>
      <w:r w:rsidRPr="00D5387F">
        <w:t xml:space="preserve">však </w:t>
      </w:r>
      <w:r w:rsidR="00EB2F59" w:rsidRPr="00D5387F">
        <w:t>zřejmé</w:t>
      </w:r>
      <w:r w:rsidRPr="00D5387F">
        <w:t>, že telekomunikační lobby je velice aktivní, protože Vodafone je členem GSMA Europe, která reprezentuje zájem světového průmyslu v mobilních komunikacích.</w:t>
      </w:r>
      <w:r w:rsidR="0006462D" w:rsidRPr="00D5387F">
        <w:rPr>
          <w:rStyle w:val="Znakapoznpodarou"/>
        </w:rPr>
        <w:footnoteReference w:id="108"/>
      </w:r>
      <w:r w:rsidRPr="00D5387F">
        <w:t xml:space="preserve"> Ta je v novém rejstříku z</w:t>
      </w:r>
      <w:r w:rsidR="0006462D" w:rsidRPr="00D5387F">
        <w:t>aregistrovaná od listopadu 2011</w:t>
      </w:r>
      <w:r w:rsidR="0006462D" w:rsidRPr="00D5387F">
        <w:rPr>
          <w:rStyle w:val="Znakapoznpodarou"/>
        </w:rPr>
        <w:footnoteReference w:id="109"/>
      </w:r>
      <w:r w:rsidR="0006462D" w:rsidRPr="00D5387F">
        <w:t>,</w:t>
      </w:r>
      <w:r w:rsidRPr="00D5387F">
        <w:t xml:space="preserve"> a ve starém rejstříku Komise byla uvedena i v roce 2008</w:t>
      </w:r>
      <w:r w:rsidR="0006462D" w:rsidRPr="00D5387F">
        <w:rPr>
          <w:rStyle w:val="Znakapoznpodarou"/>
        </w:rPr>
        <w:footnoteReference w:id="110"/>
      </w:r>
      <w:r w:rsidRPr="00D5387F">
        <w:t>. Oproti tomu samotný Vodafone v roce 2008 v rejstříku uveden nebyl.</w:t>
      </w:r>
      <w:r w:rsidR="0006462D" w:rsidRPr="00D5387F">
        <w:rPr>
          <w:rStyle w:val="Znakapoznpodarou"/>
        </w:rPr>
        <w:footnoteReference w:id="111"/>
      </w:r>
      <w:r w:rsidRPr="00D5387F">
        <w:t xml:space="preserve"> Vyskytuje se </w:t>
      </w:r>
      <w:r w:rsidR="0006462D" w:rsidRPr="00D5387F">
        <w:t>zde</w:t>
      </w:r>
      <w:r w:rsidRPr="00D5387F">
        <w:t xml:space="preserve"> až od dubna 2010.</w:t>
      </w:r>
      <w:r w:rsidR="0006462D" w:rsidRPr="00D5387F">
        <w:rPr>
          <w:rStyle w:val="Znakapoznpodarou"/>
        </w:rPr>
        <w:footnoteReference w:id="112"/>
      </w:r>
      <w:r w:rsidRPr="00D5387F">
        <w:t xml:space="preserve"> Tvrzení, že i tehdy měl Vodafone výdaje na lobbování, upevňuje i </w:t>
      </w:r>
      <w:r w:rsidR="00EB2F59" w:rsidRPr="00D5387F">
        <w:t>fakt</w:t>
      </w:r>
      <w:r w:rsidRPr="00D5387F">
        <w:t>, že v </w:t>
      </w:r>
      <w:r w:rsidR="00EB2F59" w:rsidRPr="00D5387F">
        <w:t>dané</w:t>
      </w:r>
      <w:r w:rsidRPr="00D5387F">
        <w:t xml:space="preserve"> době Komise připravovala soustavu reforem pro harmonizování poplatků za volání pro uživatele mobilních telefonů v EU.</w:t>
      </w:r>
      <w:r w:rsidR="0006462D" w:rsidRPr="00D5387F">
        <w:rPr>
          <w:rStyle w:val="Znakapoznpodarou"/>
        </w:rPr>
        <w:footnoteReference w:id="113"/>
      </w:r>
    </w:p>
    <w:p w:rsidR="00A834D9" w:rsidRPr="00D5387F" w:rsidRDefault="00EB2F59" w:rsidP="00A834D9">
      <w:r w:rsidRPr="00D5387F">
        <w:t>V podobné situaci byla</w:t>
      </w:r>
      <w:r w:rsidR="00A834D9" w:rsidRPr="00D5387F">
        <w:t xml:space="preserve"> i potravinová společnos</w:t>
      </w:r>
      <w:r w:rsidR="00AC1650" w:rsidRPr="00D5387F">
        <w:t>t Nestlé</w:t>
      </w:r>
      <w:r w:rsidR="00A834D9" w:rsidRPr="00D5387F">
        <w:t>. V roce 2008 nebyla v rejstříku</w:t>
      </w:r>
      <w:r w:rsidR="0006462D" w:rsidRPr="00D5387F">
        <w:t xml:space="preserve"> registrovaná</w:t>
      </w:r>
      <w:r w:rsidR="00A834D9" w:rsidRPr="00D5387F">
        <w:t>, nicméně měla čtyři akreditace u EP, tudíž svůj zájem u evropských institucí prosazovala.</w:t>
      </w:r>
      <w:r w:rsidR="0006462D" w:rsidRPr="00D5387F">
        <w:rPr>
          <w:rStyle w:val="Znakapoznpodarou"/>
        </w:rPr>
        <w:footnoteReference w:id="114"/>
      </w:r>
      <w:r w:rsidR="00A834D9" w:rsidRPr="00D5387F">
        <w:t xml:space="preserve"> Navíc v lednu roku 2008 byla navržena nová regulace označování potravin. V rámci </w:t>
      </w:r>
      <w:r w:rsidR="00AC1650" w:rsidRPr="00D5387F">
        <w:t>návrhu</w:t>
      </w:r>
      <w:r w:rsidR="00A834D9" w:rsidRPr="00D5387F">
        <w:t xml:space="preserve"> </w:t>
      </w:r>
      <w:r w:rsidR="00AC1650" w:rsidRPr="00D5387F">
        <w:t>požadovala Nestlé</w:t>
      </w:r>
      <w:r w:rsidR="00A834D9" w:rsidRPr="00D5387F">
        <w:t xml:space="preserve"> vyjasn</w:t>
      </w:r>
      <w:r w:rsidR="00AC1650" w:rsidRPr="00D5387F">
        <w:t>ění</w:t>
      </w:r>
      <w:r w:rsidR="00A834D9" w:rsidRPr="00D5387F">
        <w:t>, které informace budou povinné, které dobrovolné, a jaké nutriční hodnoty by měl z obalu spotřebitel vyčíst.</w:t>
      </w:r>
      <w:r w:rsidR="0006462D" w:rsidRPr="00D5387F">
        <w:rPr>
          <w:rStyle w:val="Znakapoznpodarou"/>
        </w:rPr>
        <w:footnoteReference w:id="115"/>
      </w:r>
      <w:r w:rsidR="00A834D9" w:rsidRPr="00D5387F">
        <w:t xml:space="preserve"> Pro tak významnou společnost byla </w:t>
      </w:r>
      <w:r w:rsidR="00AC1650" w:rsidRPr="00D5387F">
        <w:t>navrhovaná</w:t>
      </w:r>
      <w:r w:rsidR="00A834D9" w:rsidRPr="00D5387F">
        <w:t xml:space="preserve"> legislativa příliš významná, než aby se ji nesnažila ovlivnit. I kdyby se jednalo o podobný případ jako v předchozím odstavci, kdy společnost byla součástí větší asociace, která za ni zájmy prosazovala, je zde určitý rozpor. Konfederace potravinového a nápojového </w:t>
      </w:r>
      <w:r w:rsidR="00AC1650" w:rsidRPr="00D5387F">
        <w:t>průmyslu (CIAA), jehož je Nestlé</w:t>
      </w:r>
      <w:r w:rsidR="00A834D9" w:rsidRPr="00D5387F">
        <w:t xml:space="preserve"> členem, rovněž tehdy nebyla </w:t>
      </w:r>
      <w:r w:rsidR="00A834D9" w:rsidRPr="00D5387F">
        <w:lastRenderedPageBreak/>
        <w:t>uvedena v rejstříku.</w:t>
      </w:r>
      <w:r w:rsidR="0006462D" w:rsidRPr="00D5387F">
        <w:rPr>
          <w:rStyle w:val="Znakapoznpodarou"/>
        </w:rPr>
        <w:footnoteReference w:id="116"/>
      </w:r>
      <w:r w:rsidR="00A834D9" w:rsidRPr="00D5387F">
        <w:t xml:space="preserve"> Zajímavé je, že CIAA podporovala minimální označování potravinových výrobků.</w:t>
      </w:r>
      <w:r w:rsidR="0006462D" w:rsidRPr="00D5387F">
        <w:rPr>
          <w:rStyle w:val="Znakapoznpodarou"/>
        </w:rPr>
        <w:footnoteReference w:id="117"/>
      </w:r>
      <w:r w:rsidR="00A834D9" w:rsidRPr="00D5387F">
        <w:t xml:space="preserve"> Od února 2011 je však Nestl</w:t>
      </w:r>
      <w:r w:rsidR="00AC1650" w:rsidRPr="00D5387F">
        <w:t>é</w:t>
      </w:r>
      <w:r w:rsidR="00A834D9" w:rsidRPr="00D5387F">
        <w:t xml:space="preserve"> zaregistrována, ale CIAA nikoliv.</w:t>
      </w:r>
      <w:r w:rsidR="0006462D" w:rsidRPr="00D5387F">
        <w:rPr>
          <w:rStyle w:val="Znakapoznpodarou"/>
        </w:rPr>
        <w:footnoteReference w:id="118"/>
      </w:r>
    </w:p>
    <w:p w:rsidR="00A834D9" w:rsidRPr="00D5387F" w:rsidRDefault="00A834D9" w:rsidP="00A834D9">
      <w:r w:rsidRPr="00D5387F">
        <w:t xml:space="preserve">Jak </w:t>
      </w:r>
      <w:r w:rsidR="00AC1650" w:rsidRPr="00D5387F">
        <w:t xml:space="preserve">lze </w:t>
      </w:r>
      <w:r w:rsidRPr="00D5387F">
        <w:t>tedy vysvětlit, že tak velké společ</w:t>
      </w:r>
      <w:r w:rsidR="00AC1650" w:rsidRPr="00D5387F">
        <w:t>nosti jako je Vodafone či Nestlé změnily</w:t>
      </w:r>
      <w:r w:rsidRPr="00D5387F">
        <w:t xml:space="preserve"> svůj přístup a podvolil</w:t>
      </w:r>
      <w:r w:rsidR="00AC1650" w:rsidRPr="00D5387F">
        <w:t>y</w:t>
      </w:r>
      <w:r w:rsidRPr="00D5387F">
        <w:t xml:space="preserve"> se regulaci svých lobbistických aktivit? Prvním možným vysvětlením je, že předchozí rejstřík Komise sice </w:t>
      </w:r>
      <w:r w:rsidR="0006462D" w:rsidRPr="00D5387F">
        <w:t>nabádal</w:t>
      </w:r>
      <w:r w:rsidRPr="00D5387F">
        <w:t xml:space="preserve"> ke zveřejňování informací, ale </w:t>
      </w:r>
      <w:r w:rsidR="00D812EA" w:rsidRPr="00D5387F">
        <w:t xml:space="preserve">pouze </w:t>
      </w:r>
      <w:r w:rsidRPr="00D5387F">
        <w:t>dobrovolně. Tudíž velké společnosti usoudily, že je pro ně zbytečné se do regulace zapojovat, když z toho nemají žádný praktický užitek. Od té doby se však systém regulace vyvíjel a pro společnosti se stalo prospěšnější se připojit. Díky účasti v systému jsou například lépe informované o dění prostřednictvím hromadného zasílání informací. Rovněž akreditace, která je pro přístup k EP povinná, je propojena s rejstříkem, a tak se do něj zaregistrují.</w:t>
      </w:r>
    </w:p>
    <w:p w:rsidR="00A834D9" w:rsidRPr="00D5387F" w:rsidRDefault="00A834D9" w:rsidP="00A834D9">
      <w:r w:rsidRPr="00D5387F">
        <w:t xml:space="preserve">Byl zde však ještě jeden důvod, proč se velké společnosti </w:t>
      </w:r>
      <w:r w:rsidR="00D812EA" w:rsidRPr="00D5387F">
        <w:t xml:space="preserve">začaly </w:t>
      </w:r>
      <w:r w:rsidRPr="00D5387F">
        <w:t>zapojovat do regulace. Komise totiž hrozila, že pokud nebude mít současné nastavení dostatečnou odezvu a zapojení, zpřísní regulační pravidla například povinováním registrace v rejstříku.</w:t>
      </w:r>
      <w:r w:rsidR="0006462D" w:rsidRPr="00D5387F">
        <w:rPr>
          <w:rStyle w:val="Znakapoznpodarou"/>
        </w:rPr>
        <w:footnoteReference w:id="119"/>
      </w:r>
      <w:r w:rsidRPr="00D5387F">
        <w:t xml:space="preserve"> Z tohoto důvodu </w:t>
      </w:r>
      <w:r w:rsidR="00D812EA" w:rsidRPr="00D5387F">
        <w:t xml:space="preserve">společnosti </w:t>
      </w:r>
      <w:r w:rsidRPr="00D5387F">
        <w:t>vyvinul</w:t>
      </w:r>
      <w:r w:rsidR="00D812EA" w:rsidRPr="00D5387F">
        <w:t>y</w:t>
      </w:r>
      <w:r w:rsidRPr="00D5387F">
        <w:t xml:space="preserve"> větší aktivitu v podpoře stávajícího nastavení a dobrovolně se nechal</w:t>
      </w:r>
      <w:r w:rsidR="00D812EA" w:rsidRPr="00D5387F">
        <w:t>y</w:t>
      </w:r>
      <w:r w:rsidRPr="00D5387F">
        <w:t xml:space="preserve"> i registrovat. Komise se s EP nakonec dohodli, že registrace přest</w:t>
      </w:r>
      <w:r w:rsidR="00D812EA" w:rsidRPr="00D5387F">
        <w:t>o nebude povinná a je jen otázkou</w:t>
      </w:r>
      <w:r w:rsidRPr="00D5387F">
        <w:t xml:space="preserve">, do jaké míry měla vliv zvýšená aktivita zájmových skupin. Každopádně, </w:t>
      </w:r>
      <w:r w:rsidR="00D812EA" w:rsidRPr="00D5387F">
        <w:t>jedná se o důkaz tvrzení</w:t>
      </w:r>
      <w:r w:rsidRPr="00D5387F">
        <w:t xml:space="preserve">, že povinnou regulací by se zájmové skupiny cítily </w:t>
      </w:r>
      <w:r w:rsidR="00D812EA" w:rsidRPr="00D5387F">
        <w:t xml:space="preserve">výrazněji </w:t>
      </w:r>
      <w:r w:rsidRPr="00D5387F">
        <w:t>regulovány.</w:t>
      </w:r>
    </w:p>
    <w:p w:rsidR="00BF40E4" w:rsidRPr="00D5387F" w:rsidRDefault="00BF40E4" w:rsidP="00BF40E4">
      <w:r w:rsidRPr="00D5387F">
        <w:t>Velké společnosti se nechtějí nechat regulovat v takové míře, jakou by si instituce EU představovaly.</w:t>
      </w:r>
      <w:r w:rsidR="00E81EC3" w:rsidRPr="00D5387F">
        <w:t xml:space="preserve"> Reagují na regulaci podle toho, co jim přinese z hlediska jejich trhu.</w:t>
      </w:r>
      <w:r w:rsidR="003B6797" w:rsidRPr="00D5387F">
        <w:rPr>
          <w:rStyle w:val="Znakapoznpodarou"/>
        </w:rPr>
        <w:footnoteReference w:id="120"/>
      </w:r>
      <w:r w:rsidRPr="00D5387F">
        <w:t xml:space="preserve"> To je pochopitelné. Chtějí využít výhod nízké transparentnosti, kterou přináší práce „za scénou“. Také chtějí uchovat v tajnosti, kolik utratily pro konkrétního klienta, s kým se scházely a kvůli komu se scházely. Informace a znalosti jsou hybnou s</w:t>
      </w:r>
      <w:r w:rsidR="00D812EA" w:rsidRPr="00D5387F">
        <w:t>i</w:t>
      </w:r>
      <w:r w:rsidRPr="00D5387F">
        <w:t>lou</w:t>
      </w:r>
      <w:r w:rsidR="00D812EA" w:rsidRPr="00D5387F">
        <w:t>,</w:t>
      </w:r>
      <w:r w:rsidRPr="00D5387F">
        <w:t xml:space="preserve"> a čím více veřejnost ví o lobbistických aktivitách, tím méně efektivní lobbing je.</w:t>
      </w:r>
      <w:r w:rsidRPr="00D5387F">
        <w:rPr>
          <w:rStyle w:val="Znakapoznpodarou"/>
        </w:rPr>
        <w:footnoteReference w:id="121"/>
      </w:r>
    </w:p>
    <w:p w:rsidR="005D74BD" w:rsidRPr="00D5387F" w:rsidRDefault="005D74BD" w:rsidP="00EC23B7">
      <w:pPr>
        <w:pStyle w:val="Nadpis2"/>
      </w:pPr>
      <w:bookmarkStart w:id="50" w:name="_Toc330039556"/>
      <w:r w:rsidRPr="00D5387F">
        <w:lastRenderedPageBreak/>
        <w:t>Kvalita pravidel pro předcházení ne</w:t>
      </w:r>
      <w:r w:rsidR="00D812EA" w:rsidRPr="00D5387F">
        <w:t>kalým praktikám v lobbování</w:t>
      </w:r>
      <w:bookmarkEnd w:id="50"/>
    </w:p>
    <w:p w:rsidR="005D74BD" w:rsidRPr="00D5387F" w:rsidRDefault="005D74BD" w:rsidP="00EC23B7">
      <w:pPr>
        <w:pStyle w:val="Nadpis3"/>
      </w:pPr>
      <w:bookmarkStart w:id="51" w:name="_Toc330039557"/>
      <w:r w:rsidRPr="00D5387F">
        <w:t>Kodex lobbistů</w:t>
      </w:r>
      <w:bookmarkEnd w:id="51"/>
    </w:p>
    <w:p w:rsidR="005D74BD" w:rsidRPr="00F64B5A" w:rsidRDefault="005D74BD" w:rsidP="005D74BD">
      <w:r w:rsidRPr="00D5387F">
        <w:t xml:space="preserve">Ze všech institucí uplatňují kodex </w:t>
      </w:r>
      <w:r w:rsidR="006637B1" w:rsidRPr="00D5387F">
        <w:t>lobbistů pouze</w:t>
      </w:r>
      <w:r w:rsidRPr="00D5387F">
        <w:t xml:space="preserve"> </w:t>
      </w:r>
      <w:r w:rsidR="009F49F6" w:rsidRPr="00D5387F">
        <w:t>Komise</w:t>
      </w:r>
      <w:r w:rsidRPr="00D5387F">
        <w:t xml:space="preserve"> a EP. Každá instituce uplatňovala svůj vlastní </w:t>
      </w:r>
      <w:r w:rsidR="009F49F6" w:rsidRPr="00D5387F">
        <w:t xml:space="preserve">lobbistický </w:t>
      </w:r>
      <w:r w:rsidRPr="00D5387F">
        <w:t>kodex, nicméně počínaje prosincem 2008 probíhaly jednání mezi EP a Komisí s cílem přezkoumat proveditelnost vytvoření jednotného kodexu chování.</w:t>
      </w:r>
      <w:r w:rsidRPr="00D5387F">
        <w:rPr>
          <w:rStyle w:val="Znakapoznpodarou"/>
        </w:rPr>
        <w:footnoteReference w:id="122"/>
      </w:r>
      <w:r w:rsidRPr="00D5387F">
        <w:t xml:space="preserve"> Nový společný kodex lobbistů se stal součástí </w:t>
      </w:r>
      <w:r w:rsidR="009F49F6" w:rsidRPr="00D5387F">
        <w:t>r</w:t>
      </w:r>
      <w:r w:rsidR="006637B1" w:rsidRPr="00D5387F">
        <w:t>ejstříku transparentnosti.</w:t>
      </w:r>
      <w:r w:rsidRPr="00D5387F">
        <w:t xml:space="preserve"> </w:t>
      </w:r>
      <w:r w:rsidR="006637B1" w:rsidRPr="00D5387F">
        <w:t>P</w:t>
      </w:r>
      <w:r w:rsidRPr="00D5387F">
        <w:t>odmínkou registrace</w:t>
      </w:r>
      <w:r w:rsidR="006637B1" w:rsidRPr="00D5387F">
        <w:t xml:space="preserve"> v rejstříku</w:t>
      </w:r>
      <w:r w:rsidRPr="00D5387F">
        <w:t xml:space="preserve"> </w:t>
      </w:r>
      <w:r w:rsidR="006637B1" w:rsidRPr="00D5387F">
        <w:t>je</w:t>
      </w:r>
      <w:r w:rsidRPr="00D5387F">
        <w:t xml:space="preserve"> následné přijetí závazku dodržovat při výkonu lobbistické činnosti pravidla obsažená v kodexu chování.</w:t>
      </w:r>
      <w:r w:rsidRPr="00D5387F">
        <w:rPr>
          <w:rStyle w:val="Znakapoznpodarou"/>
        </w:rPr>
        <w:footnoteReference w:id="123"/>
      </w:r>
      <w:r w:rsidRPr="00D5387F">
        <w:t xml:space="preserve"> Kromě toho má každá </w:t>
      </w:r>
      <w:r w:rsidR="006637B1" w:rsidRPr="00D5387F">
        <w:t xml:space="preserve">z těchto </w:t>
      </w:r>
      <w:r w:rsidRPr="00D5387F">
        <w:t>instituc</w:t>
      </w:r>
      <w:r w:rsidR="006637B1" w:rsidRPr="00D5387F">
        <w:t>í</w:t>
      </w:r>
      <w:r w:rsidRPr="00D5387F">
        <w:t xml:space="preserve"> svůj vlastní kod</w:t>
      </w:r>
      <w:r w:rsidR="006637B1" w:rsidRPr="00D5387F">
        <w:t>ex pro své zaměstnance a členy.</w:t>
      </w:r>
      <w:r w:rsidR="006637B1" w:rsidRPr="00D5387F">
        <w:rPr>
          <w:rStyle w:val="Znakapoznpodarou"/>
        </w:rPr>
        <w:footnoteReference w:id="124"/>
      </w:r>
    </w:p>
    <w:p w:rsidR="005D74BD" w:rsidRPr="00D5387F" w:rsidRDefault="00331822" w:rsidP="005D74BD">
      <w:r>
        <w:t>Společný l</w:t>
      </w:r>
      <w:r w:rsidR="005D74BD" w:rsidRPr="00D5387F">
        <w:t xml:space="preserve">obbistický kodex je </w:t>
      </w:r>
      <w:r w:rsidR="00D812EA" w:rsidRPr="00D5387F">
        <w:t>poměrně</w:t>
      </w:r>
      <w:r w:rsidR="005D74BD" w:rsidRPr="00D5387F">
        <w:t xml:space="preserve"> vágní</w:t>
      </w:r>
      <w:r w:rsidR="006637B1" w:rsidRPr="00D5387F">
        <w:rPr>
          <w:rStyle w:val="Znakapoznpodarou"/>
        </w:rPr>
        <w:footnoteReference w:id="125"/>
      </w:r>
      <w:r w:rsidR="005D74BD" w:rsidRPr="00D5387F">
        <w:t xml:space="preserve"> a mnohdy pouze opakuje </w:t>
      </w:r>
      <w:r w:rsidR="00D812EA" w:rsidRPr="00D5387F">
        <w:t>pravidla</w:t>
      </w:r>
      <w:r w:rsidR="005D74BD" w:rsidRPr="00D5387F">
        <w:t>, kter</w:t>
      </w:r>
      <w:r w:rsidR="00D812EA" w:rsidRPr="00D5387F">
        <w:t>á</w:t>
      </w:r>
      <w:r w:rsidR="005D74BD" w:rsidRPr="00D5387F">
        <w:t xml:space="preserve"> lobbisté mají dodržovat</w:t>
      </w:r>
      <w:r w:rsidR="00D812EA" w:rsidRPr="00D5387F">
        <w:t>,</w:t>
      </w:r>
      <w:r w:rsidR="005D74BD" w:rsidRPr="00D5387F">
        <w:t xml:space="preserve"> </w:t>
      </w:r>
      <w:r w:rsidR="00D812EA" w:rsidRPr="00D5387F">
        <w:t>a vyplývají i z</w:t>
      </w:r>
      <w:r w:rsidR="005D74BD" w:rsidRPr="00D5387F">
        <w:t xml:space="preserve"> jiných souborů pravidel. Příkladem jsou odkazy na dodržování různých článků jednacího řádu EP v bodech j) a k).</w:t>
      </w:r>
      <w:r w:rsidR="006637B1" w:rsidRPr="00D5387F">
        <w:rPr>
          <w:rStyle w:val="Znakapoznpodarou"/>
        </w:rPr>
        <w:footnoteReference w:id="126"/>
      </w:r>
      <w:r w:rsidR="005D74BD" w:rsidRPr="00D5387F">
        <w:t xml:space="preserve"> Kritiku lze obrátit i na textový rozsah kodex</w:t>
      </w:r>
      <w:r w:rsidR="00D812EA" w:rsidRPr="00D5387F">
        <w:t>u</w:t>
      </w:r>
      <w:r w:rsidR="005D74BD" w:rsidRPr="00D5387F">
        <w:t xml:space="preserve"> lobbistů. Ten totiž tvoří pouhých 12 bodů. Ve srovnání s kodexem Komise, který je tvořen osmi stranami bez příloh,</w:t>
      </w:r>
      <w:r w:rsidR="005D74BD" w:rsidRPr="00D5387F">
        <w:rPr>
          <w:rStyle w:val="Znakapoznpodarou"/>
        </w:rPr>
        <w:footnoteReference w:id="127"/>
      </w:r>
      <w:r w:rsidR="005D74BD" w:rsidRPr="00D5387F">
        <w:t xml:space="preserve"> je to velice málo. Kodex EP obsahuje devět článků, které jsou však rozepsané podrobněji než kodex lobbistů.</w:t>
      </w:r>
      <w:r w:rsidR="005D74BD" w:rsidRPr="00D5387F">
        <w:rPr>
          <w:rStyle w:val="Znakapoznpodarou"/>
        </w:rPr>
        <w:footnoteReference w:id="128"/>
      </w:r>
      <w:r w:rsidR="00C51899" w:rsidRPr="00D5387F">
        <w:t xml:space="preserve"> </w:t>
      </w:r>
      <w:r w:rsidR="005D74BD" w:rsidRPr="00D5387F">
        <w:t>Důvodem kritiky rozsahu je zejména fakt, že díky tak malé</w:t>
      </w:r>
      <w:r w:rsidR="00A46CE0" w:rsidRPr="00D5387F">
        <w:t>mu</w:t>
      </w:r>
      <w:r w:rsidR="005D74BD" w:rsidRPr="00D5387F">
        <w:t xml:space="preserve"> počtu bodů neobsahuje kodex lobbistů více relevantních pravidel.</w:t>
      </w:r>
      <w:r w:rsidR="002F1C87" w:rsidRPr="00D5387F">
        <w:t xml:space="preserve"> Otázkou je, která z pravidel jsou v lobbis</w:t>
      </w:r>
      <w:r w:rsidR="00044A46" w:rsidRPr="00D5387F">
        <w:t>tickém kodexu potřebná. Odpověď je vysvětlena v kapitole</w:t>
      </w:r>
      <w:r w:rsidR="002F1C87" w:rsidRPr="00D5387F">
        <w:t xml:space="preserve"> </w:t>
      </w:r>
      <w:r w:rsidR="005B386F">
        <w:t>5</w:t>
      </w:r>
      <w:r w:rsidR="002F1C87" w:rsidRPr="00D5387F">
        <w:t>.2.3, v</w:t>
      </w:r>
      <w:r w:rsidR="00A46CE0" w:rsidRPr="00D5387F">
        <w:t>e</w:t>
      </w:r>
      <w:r w:rsidR="002F1C87" w:rsidRPr="00D5387F">
        <w:t> které jsou analyzován</w:t>
      </w:r>
      <w:r w:rsidR="00A46CE0" w:rsidRPr="00D5387F">
        <w:t>a</w:t>
      </w:r>
      <w:r w:rsidR="002F1C87" w:rsidRPr="00D5387F">
        <w:t xml:space="preserve"> právě ta pravidla, která v kodexu skutečně mají smysl.</w:t>
      </w:r>
    </w:p>
    <w:p w:rsidR="005D74BD" w:rsidRPr="00D5387F" w:rsidRDefault="005D74BD" w:rsidP="005D74BD">
      <w:r w:rsidRPr="00D5387F">
        <w:lastRenderedPageBreak/>
        <w:t xml:space="preserve">Kodex v podstatě představuje společný prvek </w:t>
      </w:r>
      <w:r w:rsidR="000927FC" w:rsidRPr="00D5387F">
        <w:t>EP</w:t>
      </w:r>
      <w:r w:rsidRPr="00D5387F">
        <w:t xml:space="preserve"> a Komise.</w:t>
      </w:r>
      <w:r w:rsidRPr="00D5387F">
        <w:rPr>
          <w:rStyle w:val="Znakapoznpodarou"/>
        </w:rPr>
        <w:footnoteReference w:id="129"/>
      </w:r>
      <w:r w:rsidRPr="00D5387F">
        <w:t xml:space="preserve"> V tom tkví jeho význam. Stojí za ním dvě významné instituce, které vyžadují jeho dodržování a společnou koordinací se jim to také daří. Kodex sám o sobě není povinný, ale </w:t>
      </w:r>
      <w:r w:rsidR="00974E43" w:rsidRPr="00D5387F">
        <w:t>celkový mechanismus</w:t>
      </w:r>
      <w:r w:rsidRPr="00D5387F">
        <w:t xml:space="preserve"> regulace je nastaven tak, že </w:t>
      </w:r>
      <w:r w:rsidR="00974E43" w:rsidRPr="00D5387F">
        <w:t xml:space="preserve">se </w:t>
      </w:r>
      <w:r w:rsidRPr="00D5387F">
        <w:t xml:space="preserve">lobbisté v podstatě podpisu kodexu nevyhnou. Pomocí nástrojů donucení souhlasu lobbistů s kodexem je jeho dopad mnohem </w:t>
      </w:r>
      <w:r w:rsidR="00974E43" w:rsidRPr="00D5387F">
        <w:t>širší</w:t>
      </w:r>
      <w:r w:rsidRPr="00D5387F">
        <w:t>. Lze</w:t>
      </w:r>
      <w:r w:rsidR="00974E43" w:rsidRPr="00D5387F">
        <w:t xml:space="preserve"> </w:t>
      </w:r>
      <w:r w:rsidR="00A46CE0" w:rsidRPr="00D5387F">
        <w:t>však</w:t>
      </w:r>
      <w:r w:rsidRPr="00D5387F">
        <w:t xml:space="preserve"> říci, že </w:t>
      </w:r>
      <w:r w:rsidR="00974E43" w:rsidRPr="00D5387F">
        <w:t>i tak se</w:t>
      </w:r>
      <w:r w:rsidR="00A46CE0" w:rsidRPr="00D5387F">
        <w:t xml:space="preserve"> kodex</w:t>
      </w:r>
      <w:r w:rsidRPr="00D5387F">
        <w:t xml:space="preserve"> </w:t>
      </w:r>
      <w:r w:rsidR="00974E43" w:rsidRPr="00D5387F">
        <w:t>ne</w:t>
      </w:r>
      <w:r w:rsidRPr="00D5387F">
        <w:t>dotýká takové</w:t>
      </w:r>
      <w:r w:rsidR="00974E43" w:rsidRPr="00D5387F">
        <w:t>ho</w:t>
      </w:r>
      <w:r w:rsidRPr="00D5387F">
        <w:t xml:space="preserve"> dosahu, jaký by měl jakožto závazná norma pro všechny zájmové skupiny bez ohledu na souhlas</w:t>
      </w:r>
      <w:r w:rsidR="00A46CE0" w:rsidRPr="00D5387F">
        <w:t xml:space="preserve"> těchto skupin</w:t>
      </w:r>
      <w:r w:rsidRPr="00D5387F">
        <w:t xml:space="preserve">. </w:t>
      </w:r>
      <w:r w:rsidR="00974E43" w:rsidRPr="00D5387F">
        <w:t>U</w:t>
      </w:r>
      <w:r w:rsidRPr="00D5387F">
        <w:t xml:space="preserve"> kodexu</w:t>
      </w:r>
      <w:r w:rsidR="00974E43" w:rsidRPr="00D5387F">
        <w:t xml:space="preserve"> totiž</w:t>
      </w:r>
      <w:r w:rsidRPr="00D5387F">
        <w:t xml:space="preserve"> existuje podobný problém v dobrovolnosti jako u rejstříku. </w:t>
      </w:r>
      <w:r w:rsidR="00974E43" w:rsidRPr="00D5387F">
        <w:t>K podpisu mohou sice být vedeni až nepřímo přinuceni, ale k</w:t>
      </w:r>
      <w:r w:rsidRPr="00D5387F">
        <w:t> dodržování je nikdo nedonutí, jelikož kodex je dobrovolný a nevynutitelný</w:t>
      </w:r>
      <w:r w:rsidR="00974E43" w:rsidRPr="00D5387F">
        <w:t xml:space="preserve"> odpovídajícími sankcemi</w:t>
      </w:r>
      <w:r w:rsidRPr="00D5387F">
        <w:t xml:space="preserve">. Nejedná se o žádnou závaznou zákonnou regulaci, ale pouze o doporučení, jak by měli lobbisté postupovat. Dodržování kodexu je spíše otázkou cti vůči veřejnosti a </w:t>
      </w:r>
      <w:r w:rsidR="001B7FAB" w:rsidRPr="00D5387F">
        <w:t>záleží na lobbistech, zda</w:t>
      </w:r>
      <w:r w:rsidRPr="00D5387F">
        <w:t xml:space="preserve"> trvají na jejich pozitivním vnímání u veřejnosti. Cíl jejich zájmu je však pořád pro ně pochopitelně mnohem důležitější</w:t>
      </w:r>
      <w:r w:rsidR="00044A46" w:rsidRPr="00D5387F">
        <w:t>.</w:t>
      </w:r>
      <w:r w:rsidRPr="00D5387F">
        <w:t xml:space="preserve"> </w:t>
      </w:r>
      <w:r w:rsidR="00044A46" w:rsidRPr="00D5387F">
        <w:t>Z</w:t>
      </w:r>
      <w:r w:rsidRPr="00D5387F">
        <w:t xml:space="preserve">působ, jakým svého cíle dosáhnou, je sice také důležitý (aby se předešlo zdiskreditování), nicméně až druhořadý. To samozřejmě neznamená, že by se kodexem nikdo neřídil. Lze předpokládat snahu o respektování ustanovení v kodexu, protože nedodržování by mimo jiné vedlo k vyloučení participace zájmové skupiny na tvorbě politiky. Většina zájmových skupin v kodexu pravděpodobně najde </w:t>
      </w:r>
      <w:r w:rsidR="00A46CE0" w:rsidRPr="00D5387F">
        <w:t>ustanovení</w:t>
      </w:r>
      <w:r w:rsidRPr="00D5387F">
        <w:t xml:space="preserve">, </w:t>
      </w:r>
      <w:r w:rsidR="00A46CE0" w:rsidRPr="00D5387F">
        <w:t>které</w:t>
      </w:r>
      <w:r w:rsidRPr="00D5387F">
        <w:t xml:space="preserve"> jim nevyhovuje, a </w:t>
      </w:r>
      <w:r w:rsidR="00A46CE0" w:rsidRPr="00D5387F">
        <w:t>tak jej</w:t>
      </w:r>
      <w:r w:rsidRPr="00D5387F">
        <w:t xml:space="preserve"> budou ignorovat. Nelze však očekávat, že se tak bude dít viditelně.</w:t>
      </w:r>
    </w:p>
    <w:p w:rsidR="005D74BD" w:rsidRPr="00D5387F" w:rsidRDefault="005D74BD" w:rsidP="005D74BD">
      <w:r w:rsidRPr="00D5387F">
        <w:t xml:space="preserve">Regulace zájmových skupin kodexem je v EU poměrně jedinečná záležitost. Vždyť </w:t>
      </w:r>
      <w:r w:rsidR="001B7FAB" w:rsidRPr="00D5387F">
        <w:t xml:space="preserve">ze členských států jej vnitrostátně </w:t>
      </w:r>
      <w:r w:rsidRPr="00D5387F">
        <w:t>používají pouze Francie a Litva.</w:t>
      </w:r>
      <w:r w:rsidRPr="00D5387F">
        <w:rPr>
          <w:rStyle w:val="Znakapoznpodarou"/>
        </w:rPr>
        <w:footnoteReference w:id="130"/>
      </w:r>
      <w:r w:rsidRPr="00D5387F">
        <w:t xml:space="preserve"> Přesto je to pravděpodobně nejjednodušeji prosaditelná regulace, jelikož i přes značnou míru dobrovolnosti existuje mechanismus, jak zájmovou skupinu přinutit kode</w:t>
      </w:r>
      <w:r w:rsidR="00A46CE0" w:rsidRPr="00D5387F">
        <w:t>x přijmout. Odlišnou záležitostí</w:t>
      </w:r>
      <w:r w:rsidRPr="00D5387F">
        <w:t xml:space="preserve"> </w:t>
      </w:r>
      <w:r w:rsidR="00A46CE0" w:rsidRPr="00D5387F">
        <w:t xml:space="preserve">je </w:t>
      </w:r>
      <w:r w:rsidRPr="00D5387F">
        <w:t xml:space="preserve">však jeho efektivita a dopad na transparentnost komunikace lobbistů s institucemi. Příklad, kdy podobný způsob regulace nefungoval, lze nalézt i ve členském státě EU. Publikovaná </w:t>
      </w:r>
      <w:bookmarkStart w:id="52" w:name="OLE_LINK10"/>
      <w:bookmarkStart w:id="53" w:name="OLE_LINK11"/>
      <w:r w:rsidRPr="00D5387F">
        <w:t>studie zájmových skupin a lobbingu v Litvě</w:t>
      </w:r>
      <w:bookmarkEnd w:id="52"/>
      <w:bookmarkEnd w:id="53"/>
      <w:r w:rsidRPr="00D5387F">
        <w:t xml:space="preserve"> poukázala na neefektivnost přijatého zákona v praxi.</w:t>
      </w:r>
      <w:r w:rsidR="001B7FAB" w:rsidRPr="00D5387F">
        <w:rPr>
          <w:rStyle w:val="Znakapoznpodarou"/>
        </w:rPr>
        <w:footnoteReference w:id="131"/>
      </w:r>
      <w:r w:rsidRPr="00D5387F">
        <w:t xml:space="preserve"> Většina lobbistických aktivit</w:t>
      </w:r>
      <w:r w:rsidR="00A46CE0" w:rsidRPr="00D5387F">
        <w:t>,</w:t>
      </w:r>
      <w:r w:rsidRPr="00D5387F">
        <w:t xml:space="preserve"> i přes platný zákon a etický kodex</w:t>
      </w:r>
      <w:r w:rsidR="00A46CE0" w:rsidRPr="00D5387F">
        <w:t>,</w:t>
      </w:r>
      <w:r w:rsidRPr="00D5387F">
        <w:t xml:space="preserve"> probíhala neregulována a netransparentní cestou.</w:t>
      </w:r>
    </w:p>
    <w:p w:rsidR="00AA32E6" w:rsidRPr="00D5387F" w:rsidRDefault="00AA32E6" w:rsidP="005D74BD">
      <w:r w:rsidRPr="00D5387F">
        <w:lastRenderedPageBreak/>
        <w:t>Kodex lobbistů v podstatě znamená, že zájmová skupina má jen morální povinnost se jim řídit. Souhlas s tímto kodexem je vyjadřován v souvislosti se zápisem do rejstříku a podobně jako rejstřík není ob</w:t>
      </w:r>
      <w:r w:rsidR="00A46CE0" w:rsidRPr="00D5387F">
        <w:t>ligatorní v případě řízení se jí</w:t>
      </w:r>
      <w:r w:rsidRPr="00D5387F">
        <w:t xml:space="preserve">m. Pokud však lobbista </w:t>
      </w:r>
      <w:r w:rsidR="00A46CE0" w:rsidRPr="00D5387F">
        <w:t>vyjádří souhlas s kodexem, je jí</w:t>
      </w:r>
      <w:r w:rsidRPr="00D5387F">
        <w:t>m řízen pouze on. Na institucích záleží, zda preferují jednání s lobbisty, kteří se ke kodexu vyjádřili souhlasně. V praxi se tak však nemusí dít. Podle Koena Rooverse, koordinátora ALTER-EU, vyjádření souhlasu s kodexem lobbistů, ani registrování se v rejstříku transparentnosti nezlepšilo přístup institucí k jejich skupině.</w:t>
      </w:r>
      <w:r w:rsidRPr="00D5387F">
        <w:rPr>
          <w:rStyle w:val="Znakapoznpodarou"/>
        </w:rPr>
        <w:footnoteReference w:id="132"/>
      </w:r>
      <w:r w:rsidR="00CA0006" w:rsidRPr="00D5387F">
        <w:t xml:space="preserve"> V podstatě se</w:t>
      </w:r>
      <w:r w:rsidRPr="00D5387F">
        <w:t xml:space="preserve"> jejich interakce s institucemi nijak nezměnila.</w:t>
      </w:r>
    </w:p>
    <w:p w:rsidR="005D74BD" w:rsidRPr="00D5387F" w:rsidRDefault="00FE23BF" w:rsidP="00EC23B7">
      <w:pPr>
        <w:pStyle w:val="Nadpis3"/>
      </w:pPr>
      <w:bookmarkStart w:id="54" w:name="_Toc330039558"/>
      <w:r w:rsidRPr="00D5387F">
        <w:t>Ostatní</w:t>
      </w:r>
      <w:r w:rsidR="005D74BD" w:rsidRPr="00D5387F">
        <w:t xml:space="preserve"> kodexy (institucí, vlastní lobbistické)</w:t>
      </w:r>
      <w:bookmarkEnd w:id="54"/>
    </w:p>
    <w:p w:rsidR="001440C6" w:rsidRPr="00D5387F" w:rsidRDefault="00EF625F" w:rsidP="005D74BD">
      <w:r w:rsidRPr="00D5387F">
        <w:t>Z</w:t>
      </w:r>
      <w:r w:rsidR="005D74BD" w:rsidRPr="00D5387F">
        <w:t xml:space="preserve">ástupci zájmových skupin </w:t>
      </w:r>
      <w:r w:rsidRPr="00D5387F">
        <w:t>se při registraci do rejstříku transparentnosti</w:t>
      </w:r>
      <w:r w:rsidR="005D74BD" w:rsidRPr="00D5387F">
        <w:t xml:space="preserve"> </w:t>
      </w:r>
      <w:r w:rsidRPr="00D5387F">
        <w:t>za</w:t>
      </w:r>
      <w:r w:rsidR="005D74BD" w:rsidRPr="00D5387F">
        <w:t>v</w:t>
      </w:r>
      <w:r w:rsidRPr="00D5387F">
        <w:t>a</w:t>
      </w:r>
      <w:r w:rsidR="005D74BD" w:rsidRPr="00D5387F">
        <w:t>z</w:t>
      </w:r>
      <w:r w:rsidRPr="00D5387F">
        <w:t>ují</w:t>
      </w:r>
      <w:r w:rsidR="005D74BD" w:rsidRPr="00D5387F">
        <w:t xml:space="preserve"> pravidly vycházejícími z etického kodexu lobbistů. Není však pro ně nezbytně nutné </w:t>
      </w:r>
      <w:r w:rsidRPr="00D5387F">
        <w:t>vyjadřovat souhlas s</w:t>
      </w:r>
      <w:r w:rsidR="005D74BD" w:rsidRPr="00D5387F">
        <w:t xml:space="preserve"> t</w:t>
      </w:r>
      <w:r w:rsidRPr="00D5387F">
        <w:t>ímto</w:t>
      </w:r>
      <w:r w:rsidR="005D74BD" w:rsidRPr="00D5387F">
        <w:t xml:space="preserve"> kodex</w:t>
      </w:r>
      <w:r w:rsidRPr="00D5387F">
        <w:t>em</w:t>
      </w:r>
      <w:r w:rsidR="005D74BD" w:rsidRPr="00D5387F">
        <w:t>, jestliže přistoupí na možné alternativní řešení. To má podobu doložení institutu seberegulace. Jinými slovy, pokud zájmová skupina disponuje kodexem chování s podobnými či přísnějšími pravidly, pak se zaváže předložit jej Komisi nebo EP na vyžádání.</w:t>
      </w:r>
      <w:r w:rsidR="005D74BD" w:rsidRPr="00D5387F">
        <w:rPr>
          <w:rStyle w:val="Znakapoznpodarou"/>
        </w:rPr>
        <w:footnoteReference w:id="133"/>
      </w:r>
      <w:r w:rsidR="001440C6" w:rsidRPr="00D5387F">
        <w:t xml:space="preserve"> Své interní kodexy tedy mohou mít i lobbisté v rámci společností, které zastupují. Mohou jim sice zadávat instrukce, jak v některých případech postupovat, ale je vysoce nepravděpodobné, že je budou regulovat, protože společnosti přece jen nebudou klást překážky svým zástupcům v prosazování jejich zájmů.</w:t>
      </w:r>
    </w:p>
    <w:p w:rsidR="00401C01" w:rsidRPr="00D5387F" w:rsidRDefault="00F17F52" w:rsidP="005D74BD">
      <w:r w:rsidRPr="00D5387F">
        <w:t>Daleko propracovanější pravidla pro omezení nekalé činnosti v oblasti vzájemné komunikace s lobbisty mají samotné instituce. Jejich institucionální kodexy jsou, jednak rozsáhlejší co se obsahu týče, a jednak konkrétnější v mnoha aspektech.</w:t>
      </w:r>
      <w:r w:rsidR="00BF550F" w:rsidRPr="00D5387F">
        <w:t xml:space="preserve"> </w:t>
      </w:r>
      <w:r w:rsidR="00012D61" w:rsidRPr="00D5387F">
        <w:t>Kodex chování komisařů byl 20. dubna 2011 revidován do stávající podoby.</w:t>
      </w:r>
      <w:r w:rsidR="00BF550F" w:rsidRPr="00D5387F">
        <w:rPr>
          <w:rStyle w:val="Znakapoznpodarou"/>
        </w:rPr>
        <w:footnoteReference w:id="134"/>
      </w:r>
      <w:r w:rsidR="00012D61" w:rsidRPr="00D5387F">
        <w:t xml:space="preserve"> </w:t>
      </w:r>
      <w:r w:rsidR="00BF550F" w:rsidRPr="00D5387F">
        <w:t xml:space="preserve">Hlavním důvodem byla </w:t>
      </w:r>
      <w:r w:rsidR="00935761" w:rsidRPr="00D5387F">
        <w:t>problematika „otáčivých dveří“,</w:t>
      </w:r>
      <w:r w:rsidR="00935761" w:rsidRPr="00D5387F">
        <w:rPr>
          <w:rStyle w:val="Znakapoznpodarou"/>
        </w:rPr>
        <w:footnoteReference w:id="135"/>
      </w:r>
      <w:r w:rsidR="00BF550F" w:rsidRPr="00D5387F">
        <w:t xml:space="preserve"> kdy komisař po skončení svého funkčního období přejde pracovat pro lobbistickou společnost.</w:t>
      </w:r>
      <w:r w:rsidR="00BF550F" w:rsidRPr="00D5387F">
        <w:rPr>
          <w:rStyle w:val="Znakapoznpodarou"/>
        </w:rPr>
        <w:footnoteReference w:id="136"/>
      </w:r>
      <w:r w:rsidR="00BF550F" w:rsidRPr="00D5387F">
        <w:t xml:space="preserve"> V současnosti je považován za jeden z nejpřísnějších </w:t>
      </w:r>
      <w:r w:rsidR="00BF550F" w:rsidRPr="00D5387F">
        <w:lastRenderedPageBreak/>
        <w:t>kodexů, které se týkají osob zastávajících veřejný úřad.</w:t>
      </w:r>
      <w:r w:rsidR="00BF550F" w:rsidRPr="00D5387F">
        <w:rPr>
          <w:rStyle w:val="Znakapoznpodarou"/>
        </w:rPr>
        <w:footnoteReference w:id="137"/>
      </w:r>
      <w:r w:rsidR="00BF550F" w:rsidRPr="00D5387F">
        <w:t xml:space="preserve"> </w:t>
      </w:r>
      <w:r w:rsidR="00401C01" w:rsidRPr="00D5387F">
        <w:t xml:space="preserve">Kodex chování EP, jehož příprava trvala pouhých deset týdnů, byl přijat </w:t>
      </w:r>
      <w:r w:rsidR="00012D61" w:rsidRPr="00D5387F">
        <w:t>1. prosince</w:t>
      </w:r>
      <w:r w:rsidR="00401C01" w:rsidRPr="00D5387F">
        <w:t xml:space="preserve"> 2011.</w:t>
      </w:r>
      <w:r w:rsidR="00401C01" w:rsidRPr="00D5387F">
        <w:rPr>
          <w:rStyle w:val="Znakapoznpodarou"/>
        </w:rPr>
        <w:footnoteReference w:id="138"/>
      </w:r>
      <w:r w:rsidR="00401C01" w:rsidRPr="00D5387F">
        <w:t xml:space="preserve"> Jedná se o jasnou odpověď na kauzu „peníze za zákony“, která je rozebíraná </w:t>
      </w:r>
      <w:r w:rsidR="002960F3">
        <w:t xml:space="preserve">výše v kapitole </w:t>
      </w:r>
      <w:r w:rsidR="005B386F">
        <w:t>4</w:t>
      </w:r>
      <w:r w:rsidR="00401C01" w:rsidRPr="00D5387F">
        <w:t>.1.2</w:t>
      </w:r>
      <w:r w:rsidR="001F58FB">
        <w:t>.</w:t>
      </w:r>
      <w:r w:rsidRPr="00D5387F">
        <w:t xml:space="preserve"> Základní přednost</w:t>
      </w:r>
      <w:r w:rsidR="001F58FB">
        <w:t>í</w:t>
      </w:r>
      <w:r w:rsidRPr="00D5387F">
        <w:t xml:space="preserve"> kodexu je obrovský důraz na transparentnost, jejíž nedostatek se projevil právě ve </w:t>
      </w:r>
      <w:r w:rsidR="00935761" w:rsidRPr="00D5387F">
        <w:t>zmíněné</w:t>
      </w:r>
      <w:r w:rsidRPr="00D5387F">
        <w:t xml:space="preserve"> kauze.</w:t>
      </w:r>
    </w:p>
    <w:p w:rsidR="005276EC" w:rsidRPr="00D5387F" w:rsidRDefault="005276EC" w:rsidP="005276EC">
      <w:r w:rsidRPr="00D5387F">
        <w:t>Vnitřní předpisy</w:t>
      </w:r>
      <w:r w:rsidR="00401C01" w:rsidRPr="00D5387F">
        <w:t>, mezi které lze kodexy institucí zařadit,</w:t>
      </w:r>
      <w:r w:rsidRPr="00D5387F">
        <w:t xml:space="preserve"> jsou závazné</w:t>
      </w:r>
      <w:r w:rsidR="00401C01" w:rsidRPr="00D5387F">
        <w:t xml:space="preserve"> a vynutitelné sankcemi</w:t>
      </w:r>
      <w:r w:rsidRPr="00D5387F">
        <w:t xml:space="preserve">. Pokud jsou v nich uvedena pravidla pro komunikaci s lobbisty, je </w:t>
      </w:r>
      <w:r w:rsidR="00F17F52" w:rsidRPr="00D5387F">
        <w:t xml:space="preserve">poslancovou či </w:t>
      </w:r>
      <w:r w:rsidRPr="00D5387F">
        <w:t xml:space="preserve">úředníkovou povinností tak jednat. V opačném případě se vystavuje možnému potrestání. </w:t>
      </w:r>
      <w:r w:rsidR="00F17F52" w:rsidRPr="00D5387F">
        <w:t xml:space="preserve">Kodexy institucí nepřímo regulují i chování lobbistů. </w:t>
      </w:r>
      <w:r w:rsidRPr="00D5387F">
        <w:t>Pokud</w:t>
      </w:r>
      <w:r w:rsidR="00F17F52" w:rsidRPr="00D5387F">
        <w:t xml:space="preserve"> totiž nedojde k tomu, že</w:t>
      </w:r>
      <w:r w:rsidRPr="00D5387F">
        <w:t xml:space="preserve"> </w:t>
      </w:r>
      <w:r w:rsidR="00F17F52" w:rsidRPr="00D5387F">
        <w:t xml:space="preserve">poslanec nebo </w:t>
      </w:r>
      <w:r w:rsidRPr="00D5387F">
        <w:t xml:space="preserve">úředník poruší pravidla, </w:t>
      </w:r>
      <w:r w:rsidR="00F17F52" w:rsidRPr="00D5387F">
        <w:t>je lobbista</w:t>
      </w:r>
      <w:r w:rsidRPr="00D5387F">
        <w:t xml:space="preserve"> regulován</w:t>
      </w:r>
      <w:r w:rsidR="00F17F52" w:rsidRPr="00D5387F">
        <w:t>, protože musí adekvátně reagovat na chování úředníků, kteří se řídí kodexem</w:t>
      </w:r>
      <w:r w:rsidRPr="00D5387F">
        <w:t>.</w:t>
      </w:r>
      <w:r w:rsidR="00F17F52" w:rsidRPr="00D5387F">
        <w:t xml:space="preserve"> Jinými slovy, pro lobbistu je náročnější postupovat nelegálním způsobem, protože mu to pracovník instituce</w:t>
      </w:r>
      <w:r w:rsidR="00935761" w:rsidRPr="00D5387F">
        <w:t xml:space="preserve"> na základě řízení se kodexem</w:t>
      </w:r>
      <w:r w:rsidR="00F17F52" w:rsidRPr="00D5387F">
        <w:t xml:space="preserve"> nedovolí.</w:t>
      </w:r>
    </w:p>
    <w:p w:rsidR="00F17F52" w:rsidRPr="00D5387F" w:rsidRDefault="00F17F52" w:rsidP="00F17F52">
      <w:r w:rsidRPr="00D5387F">
        <w:t>Lobbistický kodex a kodex institucí jsou velice odlišné</w:t>
      </w:r>
      <w:r w:rsidR="00BF550F" w:rsidRPr="00D5387F">
        <w:t>.</w:t>
      </w:r>
      <w:r w:rsidRPr="00D5387F">
        <w:t xml:space="preserve"> Jejich obsahová stránka je ana</w:t>
      </w:r>
      <w:r w:rsidR="002960F3">
        <w:t xml:space="preserve">lyzována níže v kapitole </w:t>
      </w:r>
      <w:r w:rsidR="005B386F">
        <w:t>5</w:t>
      </w:r>
      <w:r w:rsidRPr="00D5387F">
        <w:t>.2.3.</w:t>
      </w:r>
    </w:p>
    <w:p w:rsidR="005D74BD" w:rsidRDefault="005D74BD" w:rsidP="00EC23B7">
      <w:pPr>
        <w:pStyle w:val="Nadpis3"/>
      </w:pPr>
      <w:bookmarkStart w:id="55" w:name="_Toc330039559"/>
      <w:r w:rsidRPr="00D5387F">
        <w:t>Srovnání jednotlivých kodexů</w:t>
      </w:r>
      <w:bookmarkEnd w:id="55"/>
    </w:p>
    <w:p w:rsidR="00935292" w:rsidRPr="00935292" w:rsidRDefault="00935292" w:rsidP="00935292">
      <w:r>
        <w:t>Na začátku této kapitoly 5 byly uvedeny jednotlivé druhy kodexů, které se v rámci předcházení nekalým praktikám v lobbingu v EU vyskytují. Kapitola 5.2.3 se zaměřuje na lobbistický kodex a kodexy EP a Komise a srovnává jejich vlastnosti mezi sebou na základě toho, jak se ve svém obsahu zmiňují o střetu zájmů, podplácení dary, poskytování informací, přecházení úředníků k lobbistům a sankcích.</w:t>
      </w:r>
    </w:p>
    <w:p w:rsidR="005D74BD" w:rsidRPr="00D5387F" w:rsidRDefault="005D74BD" w:rsidP="00EC23B7">
      <w:pPr>
        <w:pStyle w:val="Nadpis4"/>
      </w:pPr>
      <w:bookmarkStart w:id="56" w:name="_Toc330039560"/>
      <w:r w:rsidRPr="00D5387F">
        <w:t>Střet zájmů</w:t>
      </w:r>
      <w:bookmarkEnd w:id="56"/>
    </w:p>
    <w:p w:rsidR="005D74BD" w:rsidRPr="00D5387F" w:rsidRDefault="005D74BD" w:rsidP="005D74BD">
      <w:r w:rsidRPr="00D5387F">
        <w:t xml:space="preserve">Kodex lobbistů se snaží na možný střet zájmů poměrně dobře, i když nepřímo, upozornit. </w:t>
      </w:r>
      <w:r w:rsidR="00CA0006" w:rsidRPr="00D5387F">
        <w:t>Ostatně podívejme se na b</w:t>
      </w:r>
      <w:r w:rsidRPr="00D5387F">
        <w:t xml:space="preserve">od a): „[subjekty zapsané v registru] vždy oznámí své jméno a subjekt či subjekty, pro něž pracují nebo které zastupují; oznámí zájmy, cíle či účely </w:t>
      </w:r>
      <w:r w:rsidRPr="00D5387F">
        <w:lastRenderedPageBreak/>
        <w:t>a případně klienty nebo členy, které zastupují“</w:t>
      </w:r>
      <w:r w:rsidRPr="00D5387F">
        <w:rPr>
          <w:rStyle w:val="Znakapoznpodarou"/>
        </w:rPr>
        <w:footnoteReference w:id="139"/>
      </w:r>
      <w:r w:rsidR="00935761" w:rsidRPr="00D5387F">
        <w:t>.</w:t>
      </w:r>
      <w:r w:rsidRPr="00D5387F">
        <w:t xml:space="preserve"> Není zde přímo uvedeno, že lobbista má zabránit střetu zájmů, ale samotné poskytnutí informací nechává na institucích, aby tento případný střet posoudily a podle toho podnikly patřičné kroky.</w:t>
      </w:r>
    </w:p>
    <w:p w:rsidR="005D74BD" w:rsidRPr="00D5387F" w:rsidRDefault="005D74BD" w:rsidP="005D74BD">
      <w:r w:rsidRPr="00D5387F">
        <w:t xml:space="preserve">První část kodexu, tak jak je napsaná, se snaží zabránit negativním dopadům lobbingu. V podstatě </w:t>
      </w:r>
      <w:r w:rsidR="00D46CA0" w:rsidRPr="00D5387F">
        <w:t xml:space="preserve">je </w:t>
      </w:r>
      <w:r w:rsidRPr="00D5387F">
        <w:t>zde nepřímo definován správný lobbing, tedy jak mají zájm</w:t>
      </w:r>
      <w:r w:rsidR="00D46CA0" w:rsidRPr="00D5387F">
        <w:t>ové skupiny jednat, aby umožnily</w:t>
      </w:r>
      <w:r w:rsidRPr="00D5387F">
        <w:t xml:space="preserve"> transparentnost. Již z bodu a)</w:t>
      </w:r>
      <w:r w:rsidR="00935761" w:rsidRPr="00D5387F">
        <w:rPr>
          <w:rStyle w:val="Znakapoznpodarou"/>
        </w:rPr>
        <w:footnoteReference w:id="140"/>
      </w:r>
      <w:r w:rsidRPr="00D5387F">
        <w:t xml:space="preserve"> kodexu je jasné, že transparentnost tímto získaná má za účel nápomoci institucím pochopit prosazovaný zájem a zjistit, kým je prosazován, a to nejen </w:t>
      </w:r>
      <w:r w:rsidR="00D46CA0" w:rsidRPr="00D5387F">
        <w:t>ve smyslu, kdo je</w:t>
      </w:r>
      <w:r w:rsidRPr="00D5387F">
        <w:t xml:space="preserve"> lobbistick</w:t>
      </w:r>
      <w:r w:rsidR="00D46CA0" w:rsidRPr="00D5387F">
        <w:t>ým</w:t>
      </w:r>
      <w:r w:rsidRPr="00D5387F">
        <w:t xml:space="preserve"> zástupce</w:t>
      </w:r>
      <w:r w:rsidR="00D46CA0" w:rsidRPr="00D5387F">
        <w:t>m</w:t>
      </w:r>
      <w:r w:rsidRPr="00D5387F">
        <w:t xml:space="preserve">, ale i </w:t>
      </w:r>
      <w:r w:rsidR="00D46CA0" w:rsidRPr="00D5387F">
        <w:t>kdo je jeho klient</w:t>
      </w:r>
      <w:r w:rsidRPr="00D5387F">
        <w:t xml:space="preserve">. Ten totiž </w:t>
      </w:r>
      <w:r w:rsidR="00D46CA0" w:rsidRPr="00D5387F">
        <w:t>může</w:t>
      </w:r>
      <w:r w:rsidRPr="00D5387F">
        <w:t xml:space="preserve"> </w:t>
      </w:r>
      <w:r w:rsidR="00D46CA0" w:rsidRPr="00D5387F">
        <w:t>chtít</w:t>
      </w:r>
      <w:r w:rsidRPr="00D5387F">
        <w:t xml:space="preserve"> </w:t>
      </w:r>
      <w:r w:rsidR="00D46CA0" w:rsidRPr="00D5387F">
        <w:t>z obavy možného střetu zájmů nebo z důvodu citlivosti projednávané otázky zůstat v anonymitě.</w:t>
      </w:r>
    </w:p>
    <w:p w:rsidR="005D74BD" w:rsidRPr="00D5387F" w:rsidRDefault="005D74BD" w:rsidP="005D74BD">
      <w:r w:rsidRPr="00D5387F">
        <w:t>Podobně jako bod a) lze vyložit i bod i), podle kterého lobbisté „informují jakékoli osoby, jež zastupují, o svých povinnostech vůči orgánům EU“</w:t>
      </w:r>
      <w:r w:rsidR="00935761" w:rsidRPr="00D5387F">
        <w:rPr>
          <w:rStyle w:val="Znakapoznpodarou"/>
        </w:rPr>
        <w:footnoteReference w:id="141"/>
      </w:r>
      <w:r w:rsidRPr="00D5387F">
        <w:t>. Tou</w:t>
      </w:r>
      <w:r w:rsidR="00D46CA0" w:rsidRPr="00D5387F">
        <w:t>to</w:t>
      </w:r>
      <w:r w:rsidRPr="00D5387F">
        <w:t xml:space="preserve"> povinností je například bod l), který už o možnosti případného střetu zájmů pojednává: </w:t>
      </w:r>
      <w:r w:rsidR="00935761" w:rsidRPr="00D5387F">
        <w:t>„[</w:t>
      </w:r>
      <w:r w:rsidRPr="00D5387F">
        <w:t>lobbisté</w:t>
      </w:r>
      <w:r w:rsidR="00935761" w:rsidRPr="00D5387F">
        <w:t xml:space="preserve">] </w:t>
      </w:r>
      <w:r w:rsidRPr="00D5387F">
        <w:t xml:space="preserve">získají předběžný souhlas dotyčného poslance nebo poslanců </w:t>
      </w:r>
      <w:r w:rsidR="00D46CA0" w:rsidRPr="00D5387F">
        <w:t>EP</w:t>
      </w:r>
      <w:r w:rsidRPr="00D5387F">
        <w:t>, pokud jde o smluvní vztah s asistentem poslance nebo o pracovní poměr, s cílem zabránit možnému střetu zájmů, a následně tento souhlas zanesou do rejstříku“</w:t>
      </w:r>
      <w:r w:rsidRPr="00D5387F">
        <w:rPr>
          <w:rStyle w:val="Znakapoznpodarou"/>
        </w:rPr>
        <w:footnoteReference w:id="142"/>
      </w:r>
      <w:r w:rsidRPr="00D5387F">
        <w:t xml:space="preserve">. Předběžný souhlas poslance je sice snahou o zamezení střetu zájmů, nicméně může dojít k situaci, kdy poslanec dá souhlas, ale ke střetu zájmů </w:t>
      </w:r>
      <w:r w:rsidR="00176850" w:rsidRPr="00D5387F">
        <w:t xml:space="preserve">přesto </w:t>
      </w:r>
      <w:r w:rsidRPr="00D5387F">
        <w:t xml:space="preserve">dojde. </w:t>
      </w:r>
      <w:r w:rsidR="00176850" w:rsidRPr="00D5387F">
        <w:t>Zabránilo by tomu</w:t>
      </w:r>
      <w:r w:rsidRPr="00D5387F">
        <w:t xml:space="preserve"> zanesení souhlasu do rejstříku, čímž se souhlas </w:t>
      </w:r>
      <w:r w:rsidR="00176850" w:rsidRPr="00D5387F">
        <w:t>stane</w:t>
      </w:r>
      <w:r w:rsidRPr="00D5387F">
        <w:t xml:space="preserve"> viditelným a zároveň transparentním. Poslanec tak hypoteticky jedná čestně</w:t>
      </w:r>
      <w:r w:rsidR="00935761" w:rsidRPr="00D5387F">
        <w:t xml:space="preserve"> nebo</w:t>
      </w:r>
      <w:r w:rsidRPr="00D5387F">
        <w:t xml:space="preserve"> s obavou, že by se mohl jinak zdiskreditovat.</w:t>
      </w:r>
    </w:p>
    <w:p w:rsidR="005D74BD" w:rsidRPr="00D5387F" w:rsidRDefault="00176850" w:rsidP="005D74BD">
      <w:r w:rsidRPr="00D5387F">
        <w:t>V případě k</w:t>
      </w:r>
      <w:r w:rsidR="005D74BD" w:rsidRPr="00D5387F">
        <w:t>odexu Komise se střetem zájmů zabývá jeho podstatná část, konkrétněji</w:t>
      </w:r>
      <w:r w:rsidRPr="00D5387F">
        <w:t xml:space="preserve"> body</w:t>
      </w:r>
      <w:r w:rsidR="005D74BD" w:rsidRPr="00D5387F">
        <w:t xml:space="preserve"> 1.1. až 1.6.</w:t>
      </w:r>
      <w:r w:rsidR="005D74BD" w:rsidRPr="00D5387F">
        <w:rPr>
          <w:rStyle w:val="Znakapoznpodarou"/>
        </w:rPr>
        <w:footnoteReference w:id="143"/>
      </w:r>
      <w:r w:rsidR="005D74BD" w:rsidRPr="00D5387F">
        <w:t xml:space="preserve"> Předejití konfliktu zájmů </w:t>
      </w:r>
      <w:r w:rsidRPr="00D5387F">
        <w:t>je zde</w:t>
      </w:r>
      <w:r w:rsidR="005D74BD" w:rsidRPr="00D5387F">
        <w:t xml:space="preserve"> řešeno jasným způsobem v podobě zákazu přijetí platby za téměř jakoukoliv činnost mimo rámec mandátu Komisaře. V tom je kodex velmi přísný, protože nedovoluje přijmout jakýkoliv druh platby ani za činnost jako je napsání článku, vydání knihy, pronesení řeči či účast na konferencích. Také musí deklarovat jakékoliv finanční zájmy nebo aktiva, která mohou způsobit konflikt zájmů ve výkonu jejich funkcí. Kodex se v</w:t>
      </w:r>
      <w:r w:rsidR="00CD276B" w:rsidRPr="00D5387F">
        <w:t>šak neomezuje pouze na samotné</w:t>
      </w:r>
      <w:r w:rsidR="00935761" w:rsidRPr="00D5387F">
        <w:t xml:space="preserve"> k</w:t>
      </w:r>
      <w:r w:rsidR="005D74BD" w:rsidRPr="00D5387F">
        <w:t>omisaře. Pro zabránění jakémukoli</w:t>
      </w:r>
      <w:r w:rsidR="00935761" w:rsidRPr="00D5387F">
        <w:t xml:space="preserve">v </w:t>
      </w:r>
      <w:r w:rsidR="00935761" w:rsidRPr="00D5387F">
        <w:lastRenderedPageBreak/>
        <w:t>potenciálnímu konfliktu zájmů musí k</w:t>
      </w:r>
      <w:r w:rsidR="005D74BD" w:rsidRPr="00D5387F">
        <w:t>omisaři deklarovat profesní aktivity a relevantní finanční holdingy jejich manželek či manželů.</w:t>
      </w:r>
    </w:p>
    <w:p w:rsidR="005D74BD" w:rsidRPr="00D5387F" w:rsidRDefault="005D74BD" w:rsidP="005D74BD">
      <w:r w:rsidRPr="00D5387F">
        <w:t xml:space="preserve">Přes přísné a podrobné řešení možného střetu zájmů v podobě zákazu přijetí peněz však kodex neřeší střet v podobě zájmů, které </w:t>
      </w:r>
      <w:r w:rsidR="00671CEC" w:rsidRPr="00D5387F">
        <w:t>k</w:t>
      </w:r>
      <w:r w:rsidRPr="00D5387F">
        <w:t xml:space="preserve">omisař může mít bez ohledu na finanční perspektivu. Podle kodexu totiž může držet čestný post v politických, kulturních, uměleckých a charitativních nadacích a podobných tělesech. Účastí na těchto činnostech může cítit vnitřní povinnost </w:t>
      </w:r>
      <w:r w:rsidR="00671CEC" w:rsidRPr="00D5387F">
        <w:t>pr</w:t>
      </w:r>
      <w:r w:rsidRPr="00D5387F">
        <w:t>eferovat zájmové skupiny s tímto zaměřením. Aniž by z toho pro něj plynuly finanční výhody, dochází tak ke střetu zájmů.</w:t>
      </w:r>
    </w:p>
    <w:p w:rsidR="005D74BD" w:rsidRPr="00D5387F" w:rsidRDefault="005D74BD" w:rsidP="005D74BD">
      <w:r w:rsidRPr="00D5387F">
        <w:t>Kodex EP věnuje střetu zájmů celý článek 3.</w:t>
      </w:r>
      <w:r w:rsidRPr="00D5387F">
        <w:rPr>
          <w:rStyle w:val="Znakapoznpodarou"/>
        </w:rPr>
        <w:footnoteReference w:id="144"/>
      </w:r>
      <w:r w:rsidRPr="00D5387F">
        <w:t xml:space="preserve"> V první řadě je v odstavci 1 samotný střet zájmů definován, což nedělá ani jeden z </w:t>
      </w:r>
      <w:r w:rsidR="00671CEC" w:rsidRPr="00D5387F">
        <w:t>ostatních</w:t>
      </w:r>
      <w:r w:rsidRPr="00D5387F">
        <w:t xml:space="preserve"> zkoumaných kodexů. Střet zájmů </w:t>
      </w:r>
      <w:r w:rsidR="00D74EC2" w:rsidRPr="00D5387F">
        <w:t>je zde uveden jako</w:t>
      </w:r>
      <w:r w:rsidRPr="00D5387F">
        <w:t xml:space="preserve"> činnost nevhodně ovlivňující výkon povinností poslance. Definice je navíc i negativní, jelikož vysvětluje, že střetem zájmů není výhoda plynoucí z příslušnosti k určitému obyvatelstvu nebo široké kategorii osob. V odstavci 2 jsou pak instrukce, jak má poslanec v případě střetu zájmů postupovat. Odstavec 3 popisuje prevenci </w:t>
      </w:r>
      <w:r w:rsidR="00D74EC2" w:rsidRPr="00D5387F">
        <w:t>určenou zejména poslancům</w:t>
      </w:r>
      <w:r w:rsidRPr="00D5387F">
        <w:t xml:space="preserve">, </w:t>
      </w:r>
      <w:r w:rsidR="00D74EC2" w:rsidRPr="00D5387F">
        <w:t>kteří</w:t>
      </w:r>
      <w:r w:rsidRPr="00D5387F">
        <w:t xml:space="preserve"> zastávají funkci, u které něco takového hrozí. Prevence spočívá ve zveřejnění možného střetu zájmů.</w:t>
      </w:r>
    </w:p>
    <w:p w:rsidR="005D74BD" w:rsidRPr="00D5387F" w:rsidRDefault="005D74BD" w:rsidP="005D74BD">
      <w:r w:rsidRPr="00D5387F">
        <w:t xml:space="preserve">Jak je tedy vidět, kodex EP se snaží pojmout problematiku střetu zájmů ze všech úhlů, tedy pojmově, prevencí a následným postupem. Ve srovnání s kodexem Komise je toto </w:t>
      </w:r>
      <w:r w:rsidR="00D74EC2" w:rsidRPr="00D5387F">
        <w:t xml:space="preserve">pojetí </w:t>
      </w:r>
      <w:r w:rsidRPr="00D5387F">
        <w:t xml:space="preserve">mnohem komplexnější. Kodex Komise je sice podrobný, ale zabývá se pouze jedním úhlem pohledu, tedy z hlediska finančního obohacení. Kodex lobbistů je </w:t>
      </w:r>
      <w:r w:rsidR="00D74EC2" w:rsidRPr="00D5387F">
        <w:t xml:space="preserve">v této problematice </w:t>
      </w:r>
      <w:r w:rsidRPr="00D5387F">
        <w:t>velice stručný. Navíc se zabývá také jen jedním úhlem pohledu, což je prevence.</w:t>
      </w:r>
    </w:p>
    <w:p w:rsidR="005D74BD" w:rsidRPr="00D5387F" w:rsidRDefault="005D74BD" w:rsidP="00EC23B7">
      <w:pPr>
        <w:pStyle w:val="Nadpis4"/>
      </w:pPr>
      <w:bookmarkStart w:id="57" w:name="_Toc330039561"/>
      <w:r w:rsidRPr="00D5387F">
        <w:t>Podplácení dary</w:t>
      </w:r>
      <w:bookmarkEnd w:id="57"/>
    </w:p>
    <w:p w:rsidR="005D74BD" w:rsidRPr="00D5387F" w:rsidRDefault="00D74EC2" w:rsidP="005D74BD">
      <w:r w:rsidRPr="00D5387F">
        <w:t>O</w:t>
      </w:r>
      <w:r w:rsidR="005D74BD" w:rsidRPr="00D5387F">
        <w:t xml:space="preserve"> podplácení a nabízení darů se kodex lobbistů zmiňuje stroze</w:t>
      </w:r>
      <w:r w:rsidRPr="00D5387F">
        <w:t>, co se rozsahu textu a detailnosti týče.</w:t>
      </w:r>
      <w:r w:rsidR="005D74BD" w:rsidRPr="00D5387F">
        <w:t xml:space="preserve"> </w:t>
      </w:r>
      <w:r w:rsidRPr="00D5387F">
        <w:t>N</w:t>
      </w:r>
      <w:r w:rsidR="005D74BD" w:rsidRPr="00D5387F">
        <w:t xml:space="preserve">icméně </w:t>
      </w:r>
      <w:r w:rsidRPr="00D5387F">
        <w:t>i v tomto krátkém textu se snaží danou problematiku pojmout co nejširším způsobem</w:t>
      </w:r>
      <w:r w:rsidR="005D74BD" w:rsidRPr="00D5387F">
        <w:t>. V bodě b), který říká, že lobbisté „nezískávají ani se nesnaží získat informace či jakákoli rozhodnutí nečestným způsobem nebo využitím neoprávněné</w:t>
      </w:r>
      <w:r w:rsidR="00671CEC" w:rsidRPr="00D5387F">
        <w:t>ho tlaku či nevhodného chování“</w:t>
      </w:r>
      <w:r w:rsidR="005D74BD" w:rsidRPr="00D5387F">
        <w:rPr>
          <w:rStyle w:val="Znakapoznpodarou"/>
        </w:rPr>
        <w:footnoteReference w:id="145"/>
      </w:r>
      <w:r w:rsidR="00671CEC" w:rsidRPr="00D5387F">
        <w:t>,</w:t>
      </w:r>
      <w:r w:rsidR="005D74BD" w:rsidRPr="00D5387F">
        <w:t xml:space="preserve"> se odděluje pozitivní lobbing od korupčního jednání, </w:t>
      </w:r>
      <w:r w:rsidRPr="00D5387F">
        <w:t>což</w:t>
      </w:r>
      <w:r w:rsidR="005D74BD" w:rsidRPr="00D5387F">
        <w:t xml:space="preserve"> je mnohdy předmětem kritiky široké veřejnosti, která tuto činnost </w:t>
      </w:r>
      <w:r w:rsidRPr="00D5387F">
        <w:t xml:space="preserve">takto </w:t>
      </w:r>
      <w:r w:rsidR="005D74BD" w:rsidRPr="00D5387F">
        <w:t xml:space="preserve">vnímá. Negativum </w:t>
      </w:r>
      <w:r w:rsidR="005D74BD" w:rsidRPr="00D5387F">
        <w:lastRenderedPageBreak/>
        <w:t xml:space="preserve">tohoto bodu je </w:t>
      </w:r>
      <w:r w:rsidRPr="00D5387F">
        <w:t>tvořeno zejména snahou</w:t>
      </w:r>
      <w:r w:rsidR="005D74BD" w:rsidRPr="00D5387F">
        <w:t xml:space="preserve"> o široké vymezení nekalého jednání. Jednoduše, není přesně vymezeno, co znamenají pojmy „nečestný způsob“, „neoprávněný tlak“ a „nevhodné chování“. </w:t>
      </w:r>
      <w:r w:rsidR="00D1271B" w:rsidRPr="00D5387F">
        <w:t xml:space="preserve">Není tak jasné, zda do těchto pojmů patří </w:t>
      </w:r>
      <w:r w:rsidR="005D74BD" w:rsidRPr="00D5387F">
        <w:t>i finanční a vě</w:t>
      </w:r>
      <w:r w:rsidR="00D1271B" w:rsidRPr="00D5387F">
        <w:t>cné dary nebo pouze vydírání.</w:t>
      </w:r>
      <w:r w:rsidR="005D74BD" w:rsidRPr="00D5387F">
        <w:t xml:space="preserve"> Je </w:t>
      </w:r>
      <w:r w:rsidR="00D1271B" w:rsidRPr="00D5387F">
        <w:t>proto</w:t>
      </w:r>
      <w:r w:rsidR="005D74BD" w:rsidRPr="00D5387F">
        <w:t xml:space="preserve"> mnoh</w:t>
      </w:r>
      <w:r w:rsidR="00D1271B" w:rsidRPr="00D5387F">
        <w:t>e</w:t>
      </w:r>
      <w:r w:rsidR="005D74BD" w:rsidRPr="00D5387F">
        <w:t>m náročnější dokázat, že lobbista jednal v rozporu s kodexem.</w:t>
      </w:r>
    </w:p>
    <w:p w:rsidR="005D74BD" w:rsidRPr="00D5387F" w:rsidRDefault="005D74BD" w:rsidP="005D74BD">
      <w:r w:rsidRPr="00D5387F">
        <w:t>Kodex Komise je už ohledně darů přesnější a v tomto případě je vymezení finanční částkou velice vhodným způsobem. Není totiž potřeba zabývat</w:t>
      </w:r>
      <w:r w:rsidR="00D1271B" w:rsidRPr="00D5387F">
        <w:t xml:space="preserve"> se otázkou</w:t>
      </w:r>
      <w:r w:rsidRPr="00D5387F">
        <w:t>, o jaký dar se jedná</w:t>
      </w:r>
      <w:r w:rsidR="00D1271B" w:rsidRPr="00D5387F">
        <w:t>.</w:t>
      </w:r>
      <w:r w:rsidRPr="00D5387F">
        <w:t xml:space="preserve"> </w:t>
      </w:r>
      <w:r w:rsidR="00D1271B" w:rsidRPr="00D5387F">
        <w:t>R</w:t>
      </w:r>
      <w:r w:rsidRPr="00D5387F">
        <w:t>oli hraje až jeho hodnota, čímž se předchází řadě sporů o to, zda je daný dar</w:t>
      </w:r>
      <w:r w:rsidR="00D1271B" w:rsidRPr="00D5387F">
        <w:t xml:space="preserve"> (z hlediska jeho charakteru)</w:t>
      </w:r>
      <w:r w:rsidRPr="00D5387F">
        <w:t xml:space="preserve"> už příliš, nebo ještě ak</w:t>
      </w:r>
      <w:r w:rsidR="00D1271B" w:rsidRPr="00D5387F">
        <w:t>ceptovatelný. Podle bodu 1.11. k</w:t>
      </w:r>
      <w:r w:rsidRPr="00D5387F">
        <w:t>omisaři nesmí přijmout dar hodnoty vyšší než 150 euro.</w:t>
      </w:r>
      <w:r w:rsidRPr="00D5387F">
        <w:rPr>
          <w:rStyle w:val="Znakapoznpodarou"/>
        </w:rPr>
        <w:footnoteReference w:id="146"/>
      </w:r>
      <w:r w:rsidRPr="00D5387F">
        <w:t xml:space="preserve"> Dar vyšší hodnoty musí předat protokolárnímu oddělení. </w:t>
      </w:r>
      <w:r w:rsidR="00671CEC" w:rsidRPr="00D5387F">
        <w:t>T</w:t>
      </w:r>
      <w:r w:rsidRPr="00D5387F">
        <w:t xml:space="preserve">oto oddělení by </w:t>
      </w:r>
      <w:r w:rsidR="00671CEC" w:rsidRPr="00D5387F">
        <w:t xml:space="preserve">navíc </w:t>
      </w:r>
      <w:r w:rsidRPr="00D5387F">
        <w:t>mělo dary hodnoty vyšší než 150 euro registrovat. Mezi dary je Komisí řazeno i ocenění, o kterém musí Komisař informovat předsedu Komise. Toto ocenění totiž mnohdy znamená i určitý finanční dar. Ten má Komisař podle kodexu věnovat charitě podle svého uvážení.</w:t>
      </w:r>
    </w:p>
    <w:p w:rsidR="005D74BD" w:rsidRPr="00D5387F" w:rsidRDefault="005D74BD" w:rsidP="005D74BD">
      <w:r w:rsidRPr="00D5387F">
        <w:t>Zákaz přijetí daru finanční hodnoty vyšší než 150 euro platí i pro poslance EP, jejichž kodex se dary zabývá v článku 5.</w:t>
      </w:r>
      <w:r w:rsidR="00671CEC" w:rsidRPr="00D5387F">
        <w:rPr>
          <w:rStyle w:val="Znakapoznpodarou"/>
        </w:rPr>
        <w:footnoteReference w:id="147"/>
      </w:r>
      <w:r w:rsidRPr="00D5387F">
        <w:t xml:space="preserve"> Oproti Komisi je zde však ještě jedno specifikum, a </w:t>
      </w:r>
      <w:r w:rsidR="00D1271B" w:rsidRPr="00D5387F">
        <w:t>to</w:t>
      </w:r>
      <w:r w:rsidRPr="00D5387F">
        <w:t xml:space="preserve"> že dar musí být projevem zdvořilosti. Tento dovětek pomáhá vymezovat dar oproti úplatku lépe než u Komise. Jestliže si </w:t>
      </w:r>
      <w:r w:rsidR="006C2509" w:rsidRPr="00D5387F">
        <w:t>k</w:t>
      </w:r>
      <w:r w:rsidRPr="00D5387F">
        <w:t>omisař může dar do 150 euro ponechat, poslanec EP jej naopak musí předat předsedovi EP. V článku 5 se také nachází negativní vymezení toho, co dar není. Nejedná se tak zejména o cestovní výdaje. Článek si však v problematice nechává určitou rezervu v podobě odkazu na prováděcí opatření, která jej mohou měnit či specifikovat. V tomto je kodex EP o krok napřed oproti ostatním kodexům, jelikož je flexibilní a může reagovat na aktuální situace.</w:t>
      </w:r>
    </w:p>
    <w:p w:rsidR="005D74BD" w:rsidRPr="00D5387F" w:rsidRDefault="005D74BD" w:rsidP="00EC23B7">
      <w:pPr>
        <w:pStyle w:val="Nadpis4"/>
      </w:pPr>
      <w:bookmarkStart w:id="58" w:name="_Toc330039562"/>
      <w:r w:rsidRPr="00D5387F">
        <w:t>Poskytování informací</w:t>
      </w:r>
      <w:bookmarkEnd w:id="58"/>
    </w:p>
    <w:p w:rsidR="005D74BD" w:rsidRPr="00D5387F" w:rsidRDefault="00D1271B" w:rsidP="005D74BD">
      <w:r w:rsidRPr="00D5387F">
        <w:t>Problematika poskytování informací je d</w:t>
      </w:r>
      <w:r w:rsidR="005D74BD" w:rsidRPr="00D5387F">
        <w:t xml:space="preserve">ůležitým hlediskem kvality a použitelnosti </w:t>
      </w:r>
      <w:r w:rsidRPr="00D5387F">
        <w:t>kodexů</w:t>
      </w:r>
      <w:r w:rsidR="005D74BD" w:rsidRPr="00D5387F">
        <w:t xml:space="preserve">. V případě kodexu lobbistů </w:t>
      </w:r>
      <w:r w:rsidRPr="00D5387F">
        <w:t xml:space="preserve">není </w:t>
      </w:r>
      <w:r w:rsidR="005D74BD" w:rsidRPr="00D5387F">
        <w:t xml:space="preserve">tato záležitost </w:t>
      </w:r>
      <w:r w:rsidRPr="00D5387F">
        <w:t>dostatečně</w:t>
      </w:r>
      <w:r w:rsidR="005D74BD" w:rsidRPr="00D5387F">
        <w:t xml:space="preserve"> upravena. Co se toků informací od institucí k lobbistům týče, není zde žádná úprava. Je tedy jasné, že veškerá pravidla o poskytování informací musí dodržovat úředníci. Zajímavé však je, vzhledem </w:t>
      </w:r>
      <w:r w:rsidR="005D74BD" w:rsidRPr="00D5387F">
        <w:lastRenderedPageBreak/>
        <w:t xml:space="preserve">k preventivnímu směřování lobbistického kodexu, že </w:t>
      </w:r>
      <w:r w:rsidRPr="00D5387F">
        <w:t xml:space="preserve">lobbisté </w:t>
      </w:r>
      <w:r w:rsidR="005D74BD" w:rsidRPr="00D5387F">
        <w:t xml:space="preserve">nejsou nabádáni, aby nepožadovali po úřednících informace, které jim nejsou pravomocní poskytnout. V tomto smyslu je upraven pouze tok mezi lobbistou a klientem, jelikož podle bodu g) </w:t>
      </w:r>
      <w:r w:rsidR="00B706C0" w:rsidRPr="00D5387F">
        <w:t>„</w:t>
      </w:r>
      <w:r w:rsidR="005D74BD" w:rsidRPr="00D5387F">
        <w:t>lobbisté [nesmí prodat] třetím stranám kopie dokumentů získaných od kteréhokoli orgánu EU</w:t>
      </w:r>
      <w:r w:rsidR="00B706C0" w:rsidRPr="00D5387F">
        <w:t>“</w:t>
      </w:r>
      <w:r w:rsidR="00B706C0" w:rsidRPr="00D5387F">
        <w:rPr>
          <w:rStyle w:val="Znakapoznpodarou"/>
        </w:rPr>
        <w:footnoteReference w:id="148"/>
      </w:r>
      <w:r w:rsidR="005D74BD" w:rsidRPr="00D5387F">
        <w:t>. Očividně jim však nic nebrání je získat. Kodex v tomto smyslu pamatuje pouze na bývalé zaměstnance institucí. V bodě h) jsou lobbisté nabádáni, aby „[dodržovali] veškerá pravidla upravující práva a povinnosti bývalých poslanců Evropského parlamentu a členů Evropské komise“</w:t>
      </w:r>
      <w:r w:rsidR="00B706C0" w:rsidRPr="00D5387F">
        <w:rPr>
          <w:rStyle w:val="Znakapoznpodarou"/>
        </w:rPr>
        <w:footnoteReference w:id="149"/>
      </w:r>
      <w:r w:rsidR="005D74BD" w:rsidRPr="00D5387F">
        <w:t xml:space="preserve">. </w:t>
      </w:r>
    </w:p>
    <w:p w:rsidR="005D74BD" w:rsidRPr="00D5387F" w:rsidRDefault="005D74BD" w:rsidP="005D74BD">
      <w:r w:rsidRPr="00D5387F">
        <w:t xml:space="preserve">Kodex Komise se poskytováním informací příliš nezabývá. Obdobně na tom je i </w:t>
      </w:r>
      <w:r w:rsidR="00B706C0" w:rsidRPr="00D5387F">
        <w:t xml:space="preserve">kodex </w:t>
      </w:r>
      <w:r w:rsidRPr="00D5387F">
        <w:t>EP.</w:t>
      </w:r>
    </w:p>
    <w:p w:rsidR="005D74BD" w:rsidRPr="00D5387F" w:rsidRDefault="00935292" w:rsidP="00EC23B7">
      <w:pPr>
        <w:pStyle w:val="Nadpis4"/>
      </w:pPr>
      <w:bookmarkStart w:id="59" w:name="_Toc330039563"/>
      <w:r>
        <w:t>Přecházení</w:t>
      </w:r>
      <w:r w:rsidR="005D74BD" w:rsidRPr="00D5387F">
        <w:t xml:space="preserve"> úředníků k lobbistům</w:t>
      </w:r>
      <w:r w:rsidR="00331822">
        <w:rPr>
          <w:rStyle w:val="Znakapoznpodarou"/>
        </w:rPr>
        <w:footnoteReference w:id="150"/>
      </w:r>
      <w:bookmarkEnd w:id="59"/>
    </w:p>
    <w:p w:rsidR="005D74BD" w:rsidRPr="00D5387F" w:rsidRDefault="005D74BD" w:rsidP="005D74BD">
      <w:r w:rsidRPr="00D5387F">
        <w:t xml:space="preserve">Kodexy se také snaží reflektovat přecházení bývalých úředníků k lobbistům. Konkrétně kodex lobbistů se tímto zabývá hned v několika </w:t>
      </w:r>
      <w:r w:rsidR="00C81DE1" w:rsidRPr="00D5387F">
        <w:t>částech</w:t>
      </w:r>
      <w:r w:rsidRPr="00D5387F">
        <w:t>. Nejdříve se v bodech c), d), e)</w:t>
      </w:r>
      <w:r w:rsidRPr="00D5387F">
        <w:rPr>
          <w:rStyle w:val="Znakapoznpodarou"/>
        </w:rPr>
        <w:footnoteReference w:id="151"/>
      </w:r>
      <w:r w:rsidRPr="00D5387F">
        <w:t xml:space="preserve"> snaží oddělit lobbing od oficiální činnosti institucí. Jinými slovy poukazuje na to, že lobbista není zástupce evropských institucí, který má právo jednat jejich jménem, ale naopak jej staví do vztahu dvou odlišných stran, které spolu vyjednávají na konkrétní téma. Lobbista zde má být v pozici zástupce klienta, tedy například firmy, nevládní organizace apod. </w:t>
      </w:r>
      <w:r w:rsidR="00B706C0" w:rsidRPr="00D5387F">
        <w:t>To lze</w:t>
      </w:r>
      <w:r w:rsidRPr="00D5387F">
        <w:t xml:space="preserve"> považovat za definici hranice mezi oběma subjekty. Body f) až i)</w:t>
      </w:r>
      <w:r w:rsidRPr="00D5387F">
        <w:rPr>
          <w:rStyle w:val="Znakapoznpodarou"/>
        </w:rPr>
        <w:t xml:space="preserve"> </w:t>
      </w:r>
      <w:r w:rsidRPr="00D5387F">
        <w:rPr>
          <w:rStyle w:val="Znakapoznpodarou"/>
        </w:rPr>
        <w:footnoteReference w:id="152"/>
      </w:r>
      <w:r w:rsidRPr="00D5387F">
        <w:t xml:space="preserve"> slouží hlavně pro podporu vnitřních pravidel institucí, které regulují úředníky. </w:t>
      </w:r>
      <w:r w:rsidR="00B706C0" w:rsidRPr="00D5387F">
        <w:t>Zde jsou z</w:t>
      </w:r>
      <w:r w:rsidRPr="00D5387F">
        <w:t>ahrnuta především opatření proti problému „otáčivých dveří“</w:t>
      </w:r>
      <w:r w:rsidR="00BB509A" w:rsidRPr="00D5387F">
        <w:rPr>
          <w:rStyle w:val="Znakapoznpodarou"/>
        </w:rPr>
        <w:footnoteReference w:id="153"/>
      </w:r>
      <w:r w:rsidRPr="00D5387F">
        <w:t>. V bodě f) je nepřímo popsána prevence proti navádění úředníků, aby opustili své posty a přešli k lobbistům. Bod g) lobbisty upozorňuje na povinnost bývalých úředníků dodržovat pravidla jako je například mlčenlivost. Je</w:t>
      </w:r>
      <w:r w:rsidR="00B706C0" w:rsidRPr="00D5387F">
        <w:t xml:space="preserve"> to</w:t>
      </w:r>
      <w:r w:rsidRPr="00D5387F">
        <w:t xml:space="preserve"> v podstatě pojistka, aby bývalí zaměstnanci skutečně nevyzradili citlivé informace. </w:t>
      </w:r>
      <w:r w:rsidR="00B706C0" w:rsidRPr="00D5387F">
        <w:t>Podobná záležitost je ještě jednou připomenuta</w:t>
      </w:r>
      <w:r w:rsidRPr="00D5387F">
        <w:t xml:space="preserve"> v bodě h), podle kterého musí lobbisté „[dodržovat] </w:t>
      </w:r>
      <w:r w:rsidRPr="00D5387F">
        <w:lastRenderedPageBreak/>
        <w:t>veškerá pravidla upravující práva a povinnosti bývalých poslanců Evropského parlamentu a členů Evropské komise“</w:t>
      </w:r>
      <w:r w:rsidRPr="00D5387F">
        <w:rPr>
          <w:rStyle w:val="Znakapoznpodarou"/>
        </w:rPr>
        <w:footnoteReference w:id="154"/>
      </w:r>
      <w:r w:rsidRPr="00D5387F">
        <w:t>.</w:t>
      </w:r>
    </w:p>
    <w:p w:rsidR="005D74BD" w:rsidRPr="00D5387F" w:rsidRDefault="005D74BD" w:rsidP="005D74BD">
      <w:r w:rsidRPr="00D5387F">
        <w:t>Kodex Komise věnuje pravidlům v případě ukončení činnosti v instituci sekci 1.2.</w:t>
      </w:r>
      <w:r w:rsidR="00BB509A" w:rsidRPr="00D5387F">
        <w:rPr>
          <w:rStyle w:val="Znakapoznpodarou"/>
        </w:rPr>
        <w:footnoteReference w:id="155"/>
      </w:r>
      <w:r w:rsidRPr="00D5387F">
        <w:t xml:space="preserve"> Do 18 měsíců v úřadu mají</w:t>
      </w:r>
      <w:r w:rsidR="00B706C0" w:rsidRPr="00D5387F">
        <w:t xml:space="preserve"> komisaři</w:t>
      </w:r>
      <w:r w:rsidRPr="00D5387F">
        <w:t xml:space="preserve"> nejpozději čtyři týdny před ukončením činnosti informovat Komisi</w:t>
      </w:r>
      <w:r w:rsidR="00B706C0" w:rsidRPr="00D5387F">
        <w:t xml:space="preserve"> kvůli</w:t>
      </w:r>
      <w:r w:rsidRPr="00D5387F">
        <w:t xml:space="preserve"> zhodno</w:t>
      </w:r>
      <w:r w:rsidR="00B706C0" w:rsidRPr="00D5387F">
        <w:t>cení</w:t>
      </w:r>
      <w:r w:rsidRPr="00D5387F">
        <w:t xml:space="preserve"> prostředí dalšího plánovaného zaměstnání. V případě </w:t>
      </w:r>
      <w:r w:rsidR="00B706C0" w:rsidRPr="00D5387F">
        <w:t>podobnosti</w:t>
      </w:r>
      <w:r w:rsidRPr="00D5387F">
        <w:t xml:space="preserve"> zaměstnání </w:t>
      </w:r>
      <w:r w:rsidR="00B706C0" w:rsidRPr="00D5387F">
        <w:t xml:space="preserve">s tím </w:t>
      </w:r>
      <w:r w:rsidRPr="00D5387F">
        <w:t>předchozím</w:t>
      </w:r>
      <w:r w:rsidR="00B706C0" w:rsidRPr="00D5387F">
        <w:t xml:space="preserve"> je vytvořena</w:t>
      </w:r>
      <w:r w:rsidRPr="00D5387F">
        <w:t xml:space="preserve"> ad hoc etická komise, která zhodnotí</w:t>
      </w:r>
      <w:r w:rsidR="00B706C0" w:rsidRPr="00D5387F">
        <w:t xml:space="preserve"> dopad nástupu na novou pozici</w:t>
      </w:r>
      <w:r w:rsidRPr="00D5387F">
        <w:t xml:space="preserve">. V rámci prevence zneužití zkušeností a vědomostí z výkonu úřadu nemá </w:t>
      </w:r>
      <w:r w:rsidR="00EF0C54" w:rsidRPr="00D5387F">
        <w:t>bývalý komisař oslovovat Komisi za účelem</w:t>
      </w:r>
      <w:r w:rsidRPr="00D5387F">
        <w:t xml:space="preserve"> lobbov</w:t>
      </w:r>
      <w:r w:rsidR="00EF0C54" w:rsidRPr="00D5387F">
        <w:t>ání</w:t>
      </w:r>
      <w:r w:rsidRPr="00D5387F">
        <w:t>.</w:t>
      </w:r>
    </w:p>
    <w:p w:rsidR="005D74BD" w:rsidRPr="00D5387F" w:rsidRDefault="005D74BD" w:rsidP="005D74BD">
      <w:r w:rsidRPr="00D5387F">
        <w:t xml:space="preserve">V kodexu EP se problematikou zabývá krátký článek 6, který nezamezuje bývalým poslancům stát se lobbistou. Pamatuje akorát na </w:t>
      </w:r>
      <w:r w:rsidR="00EF0C54" w:rsidRPr="00D5387F">
        <w:t>skutečnost</w:t>
      </w:r>
      <w:r w:rsidRPr="00D5387F">
        <w:t>, že bývalý poslanec dobře zná strukturu zázemí EP, a tudíž řeší pouze tuto část. Článek doslova zní: „Bývalí poslanci Evropského parlamentu, kteří jsou profesionálně zapojeni do lobování nebo zastupování přímo spojeného s rozhodovacím procesem Unie, nemohou po celou dobu svého zapojení do této činnosti využívat zázemí poskytovaného bývalým poslancům podle pravidel, která pro tyto účely stanovilo předsednictvo.“</w:t>
      </w:r>
      <w:r w:rsidRPr="00D5387F">
        <w:rPr>
          <w:rStyle w:val="Znakapoznpodarou"/>
        </w:rPr>
        <w:footnoteReference w:id="156"/>
      </w:r>
    </w:p>
    <w:p w:rsidR="005D74BD" w:rsidRPr="00D5387F" w:rsidRDefault="005D74BD" w:rsidP="00EC23B7">
      <w:pPr>
        <w:pStyle w:val="Nadpis4"/>
      </w:pPr>
      <w:bookmarkStart w:id="60" w:name="_Toc330039564"/>
      <w:r w:rsidRPr="00D5387F">
        <w:t>Sa</w:t>
      </w:r>
      <w:r w:rsidR="00EF0C54" w:rsidRPr="00D5387F">
        <w:t>nkce</w:t>
      </w:r>
      <w:bookmarkEnd w:id="60"/>
    </w:p>
    <w:p w:rsidR="005D74BD" w:rsidRPr="00D5387F" w:rsidRDefault="005D74BD" w:rsidP="005D74BD">
      <w:r w:rsidRPr="00D5387F">
        <w:t xml:space="preserve">Kodex lobbistů se o případných sankcích nezmiňuje. </w:t>
      </w:r>
      <w:r w:rsidR="00FE23BF" w:rsidRPr="00D5387F">
        <w:t xml:space="preserve">Je to logické, protože nelze vymáhat </w:t>
      </w:r>
      <w:r w:rsidR="00EE24E2" w:rsidRPr="00D5387F">
        <w:t>sankce u kodexu, který je v podstatě dobrovolný.</w:t>
      </w:r>
    </w:p>
    <w:p w:rsidR="005D74BD" w:rsidRPr="00D5387F" w:rsidRDefault="005D74BD" w:rsidP="005D74BD">
      <w:r w:rsidRPr="00D5387F">
        <w:t>Kodex Komise obsahuje systém sankcí a nápravných opatření v části 2.</w:t>
      </w:r>
      <w:r w:rsidR="00ED3D73" w:rsidRPr="00D5387F">
        <w:rPr>
          <w:rStyle w:val="Znakapoznpodarou"/>
        </w:rPr>
        <w:footnoteReference w:id="157"/>
      </w:r>
      <w:r w:rsidRPr="00D5387F">
        <w:t xml:space="preserve"> Jak</w:t>
      </w:r>
      <w:r w:rsidR="00EF0C54" w:rsidRPr="00D5387F">
        <w:t>o první řešení je zde uvedena rezignace k</w:t>
      </w:r>
      <w:r w:rsidRPr="00D5387F">
        <w:t>omisaře. Je to v podstatě snaha o předejití zdiskreditování celé Komise. Další</w:t>
      </w:r>
      <w:r w:rsidR="00EF0C54" w:rsidRPr="00D5387F">
        <w:t>m</w:t>
      </w:r>
      <w:r w:rsidRPr="00D5387F">
        <w:t xml:space="preserve"> řešení</w:t>
      </w:r>
      <w:r w:rsidR="00EF0C54" w:rsidRPr="00D5387F">
        <w:t>m</w:t>
      </w:r>
      <w:r w:rsidRPr="00D5387F">
        <w:t xml:space="preserve"> je</w:t>
      </w:r>
      <w:r w:rsidR="00EF0C54" w:rsidRPr="00D5387F">
        <w:t xml:space="preserve"> přinucení komisaře k odchodu z postu</w:t>
      </w:r>
      <w:r w:rsidRPr="00D5387F">
        <w:t xml:space="preserve"> Soudní</w:t>
      </w:r>
      <w:r w:rsidR="00EF0C54" w:rsidRPr="00D5387F">
        <w:t>m dvo</w:t>
      </w:r>
      <w:r w:rsidRPr="00D5387F">
        <w:t>r</w:t>
      </w:r>
      <w:r w:rsidR="00EF0C54" w:rsidRPr="00D5387F">
        <w:t>em. Ten</w:t>
      </w:r>
      <w:r w:rsidRPr="00D5387F">
        <w:t xml:space="preserve"> mu</w:t>
      </w:r>
      <w:r w:rsidR="00EF0C54" w:rsidRPr="00D5387F">
        <w:t xml:space="preserve"> rovněž může</w:t>
      </w:r>
      <w:r w:rsidRPr="00D5387F">
        <w:t xml:space="preserve"> vz</w:t>
      </w:r>
      <w:r w:rsidR="00EF0C54" w:rsidRPr="00D5387F">
        <w:t>ít</w:t>
      </w:r>
      <w:r w:rsidRPr="00D5387F">
        <w:t xml:space="preserve"> právo na penzi nebo benefity. Toto řešení je sice mnohem účinnější, ale také zdlouhavější, jelikož je potřeba čekat na rozhodnutí soudu. Etické nejasnosti pak řeší ad hoc etická komise. Není však jasné, jaké jsou její možnosti nápravy či udělování sankcí.</w:t>
      </w:r>
    </w:p>
    <w:p w:rsidR="005D74BD" w:rsidRPr="00D5387F" w:rsidRDefault="005D74BD" w:rsidP="005D74BD">
      <w:r w:rsidRPr="00D5387F">
        <w:t xml:space="preserve">Nejlépe jsou sankce řešeny u kodexu EP. Celý článek 7 se zabývá poradním výborem, kterému v případě porušení kodexu předá předseda EP celou záležitost, jak tvrdí bod 1 </w:t>
      </w:r>
      <w:r w:rsidRPr="00D5387F">
        <w:lastRenderedPageBreak/>
        <w:t>článku 8.</w:t>
      </w:r>
      <w:r w:rsidR="00ED3D73" w:rsidRPr="00D5387F">
        <w:rPr>
          <w:rStyle w:val="Znakapoznpodarou"/>
        </w:rPr>
        <w:footnoteReference w:id="158"/>
      </w:r>
      <w:r w:rsidRPr="00D5387F">
        <w:t xml:space="preserve"> Oproti kodexu Komise je v článku 8 také uvedeno, že poradní výbor může rozhodnout o uložení sankce. Systém sankcí však v kodexu není, nicméně odkazuje se na článek 153 odst. 3 jednacího řádu, ze kterého může vybírat jedno nebo více sankčních opatření. </w:t>
      </w:r>
      <w:r w:rsidR="005B3CB3" w:rsidRPr="00D5387F">
        <w:t>Nutno podotknout</w:t>
      </w:r>
      <w:r w:rsidRPr="00D5387F">
        <w:t>, že údaj</w:t>
      </w:r>
      <w:r w:rsidR="00EF0C54" w:rsidRPr="00D5387F">
        <w:t>e</w:t>
      </w:r>
      <w:r w:rsidRPr="00D5387F">
        <w:t xml:space="preserve"> o uložených sankcích </w:t>
      </w:r>
      <w:r w:rsidR="00EF0C54" w:rsidRPr="00D5387F">
        <w:t>jsou</w:t>
      </w:r>
      <w:r w:rsidRPr="00D5387F">
        <w:t xml:space="preserve"> zveřejněn</w:t>
      </w:r>
      <w:r w:rsidR="00EF0C54" w:rsidRPr="00D5387F">
        <w:t>y</w:t>
      </w:r>
      <w:r w:rsidRPr="00D5387F">
        <w:t xml:space="preserve"> na viditelném místě webových stránek EP, a to až do konce daného funkčního období.</w:t>
      </w:r>
      <w:r w:rsidR="00A24197">
        <w:rPr>
          <w:rStyle w:val="Znakapoznpodarou"/>
        </w:rPr>
        <w:footnoteReference w:id="159"/>
      </w:r>
      <w:r w:rsidR="00A24197">
        <w:t xml:space="preserve"> Informaci, kde se má tento údaj nacházet, již kodex neudává, avšak lze předpokládat, že bude uveden v profilu každého sankcionovaného poslance.</w:t>
      </w:r>
    </w:p>
    <w:p w:rsidR="005D74BD" w:rsidRPr="00D5387F" w:rsidRDefault="005D74BD" w:rsidP="00EC23B7">
      <w:pPr>
        <w:pStyle w:val="Nadpis2"/>
      </w:pPr>
      <w:bookmarkStart w:id="61" w:name="_Toc330039565"/>
      <w:r w:rsidRPr="00D5387F">
        <w:t xml:space="preserve">Omezení </w:t>
      </w:r>
      <w:r w:rsidR="000B2323" w:rsidRPr="00D5387F">
        <w:t>přecházení z úřednického postu v</w:t>
      </w:r>
      <w:r w:rsidRPr="00D5387F">
        <w:t> institucí</w:t>
      </w:r>
      <w:r w:rsidR="000B2323" w:rsidRPr="00D5387F">
        <w:t>ch</w:t>
      </w:r>
      <w:r w:rsidR="00EF0C54" w:rsidRPr="00D5387F">
        <w:t xml:space="preserve"> k lobbistickým skupinám</w:t>
      </w:r>
      <w:bookmarkEnd w:id="61"/>
    </w:p>
    <w:p w:rsidR="00A33687" w:rsidRDefault="00331822" w:rsidP="009362A3">
      <w:r>
        <w:t>Již v kapitole 5.2.3</w:t>
      </w:r>
      <w:r w:rsidR="00A33687">
        <w:t>.4</w:t>
      </w:r>
      <w:r>
        <w:t xml:space="preserve"> byla zkoumána kvalita pravidel</w:t>
      </w:r>
      <w:r w:rsidR="00A33687">
        <w:t xml:space="preserve"> </w:t>
      </w:r>
      <w:r>
        <w:t>zabývající</w:t>
      </w:r>
      <w:r w:rsidR="00A33687">
        <w:t>ch</w:t>
      </w:r>
      <w:r>
        <w:t xml:space="preserve"> se přecházením úředníků </w:t>
      </w:r>
      <w:r w:rsidR="00A33687">
        <w:t>k lobbistům, které se vyskytují</w:t>
      </w:r>
      <w:r w:rsidR="00A33687" w:rsidRPr="00A33687">
        <w:t xml:space="preserve"> </w:t>
      </w:r>
      <w:r w:rsidR="00A33687">
        <w:t>v kodexu lobbistů a kodexech institucí. Je však vhodné prozkoumat důvody, proč by právě tato oblast měla být regulována.</w:t>
      </w:r>
    </w:p>
    <w:p w:rsidR="009362A3" w:rsidRPr="00D5387F" w:rsidRDefault="00A33687" w:rsidP="009362A3">
      <w:r>
        <w:t>Vymezujeme-li d</w:t>
      </w:r>
      <w:r w:rsidR="009362A3" w:rsidRPr="00D5387F">
        <w:t>efinic</w:t>
      </w:r>
      <w:r>
        <w:t xml:space="preserve">i pojmu „otáčivých dveří“, který je úzce spjat s přecházením úředníků k lobbistům, je potřeba se nejdříve podívat na to, </w:t>
      </w:r>
      <w:r w:rsidR="009362A3" w:rsidRPr="00D5387F">
        <w:t xml:space="preserve">jak jej vidí organizace ALTER-EU, která tomuto tématu v současné době přikládá </w:t>
      </w:r>
      <w:r>
        <w:t>velký</w:t>
      </w:r>
      <w:r w:rsidR="009362A3" w:rsidRPr="00D5387F">
        <w:t xml:space="preserve"> význam</w:t>
      </w:r>
      <w:r>
        <w:t xml:space="preserve"> a aktivně vystupuje proti této činnosti</w:t>
      </w:r>
      <w:r w:rsidR="009362A3" w:rsidRPr="00D5387F">
        <w:t xml:space="preserve">: „Termín </w:t>
      </w:r>
      <w:r w:rsidR="00EF0C54" w:rsidRPr="00D5387F">
        <w:rPr>
          <w:rFonts w:cs="Calibri"/>
        </w:rPr>
        <w:t>͵</w:t>
      </w:r>
      <w:r w:rsidR="009362A3" w:rsidRPr="00D5387F">
        <w:t>otáčivých dveří</w:t>
      </w:r>
      <w:r w:rsidR="002931F4" w:rsidRPr="00D5387F">
        <w:t>’</w:t>
      </w:r>
      <w:r w:rsidR="009362A3" w:rsidRPr="00D5387F">
        <w:t xml:space="preserve"> odkazuje na snadný přechod zaměstnanců z pozic ve veřejném sektoru k práci ve světě lobbingu a naopak. Hlavní</w:t>
      </w:r>
      <w:r w:rsidR="00EF0C54" w:rsidRPr="00D5387F">
        <w:t>m</w:t>
      </w:r>
      <w:r w:rsidR="009362A3" w:rsidRPr="00D5387F">
        <w:t xml:space="preserve"> </w:t>
      </w:r>
      <w:r w:rsidR="002931F4" w:rsidRPr="00D5387F">
        <w:t>specifikem</w:t>
      </w:r>
      <w:r w:rsidR="009362A3" w:rsidRPr="00D5387F">
        <w:t xml:space="preserve"> </w:t>
      </w:r>
      <w:r w:rsidR="00EF0C54" w:rsidRPr="00D5387F">
        <w:t>tohoto</w:t>
      </w:r>
      <w:r w:rsidR="009362A3" w:rsidRPr="00D5387F">
        <w:t xml:space="preserve"> fenoménu otáčivých dveří</w:t>
      </w:r>
      <w:r w:rsidR="002931F4" w:rsidRPr="00D5387F">
        <w:t xml:space="preserve"> je potencionální konflikt zájmů, který může nastat. Když se toto stane, korporátní společnosti získají vnitřní know-how, důležité kontakty a především obrovský vliv.“</w:t>
      </w:r>
      <w:r w:rsidR="002931F4" w:rsidRPr="00D5387F">
        <w:rPr>
          <w:rStyle w:val="Znakapoznpodarou"/>
        </w:rPr>
        <w:footnoteReference w:id="160"/>
      </w:r>
    </w:p>
    <w:p w:rsidR="00126B89" w:rsidRPr="00D5387F" w:rsidRDefault="00B250BF" w:rsidP="00126B89">
      <w:r w:rsidRPr="00D5387F">
        <w:t>Jiný výklad</w:t>
      </w:r>
      <w:r w:rsidR="000B2323" w:rsidRPr="00D5387F">
        <w:t xml:space="preserve"> pojmu lze problematiku ukázat na příkladu</w:t>
      </w:r>
      <w:r w:rsidRPr="00D5387F">
        <w:t>:</w:t>
      </w:r>
      <w:r w:rsidR="000B2323" w:rsidRPr="00D5387F">
        <w:t xml:space="preserve"> Zpravodaj zabývající se </w:t>
      </w:r>
      <w:r w:rsidR="002931F4" w:rsidRPr="00D5387F">
        <w:t>směrnicí</w:t>
      </w:r>
      <w:r w:rsidR="000B2323" w:rsidRPr="00D5387F">
        <w:t xml:space="preserve"> o redukcích emisí CO</w:t>
      </w:r>
      <w:r w:rsidR="000B2323" w:rsidRPr="00D5387F">
        <w:rPr>
          <w:vertAlign w:val="subscript"/>
        </w:rPr>
        <w:t>2</w:t>
      </w:r>
      <w:r w:rsidR="000B2323" w:rsidRPr="00D5387F">
        <w:t xml:space="preserve"> z lehkých komerčních dopravních prostředků také předsedá „Fóru pro automobily a společnost“, což je fórum vedeno společně Asociací evropských automobilových průmyslníků (ACEA), Evropskou radou pro automobilový obchod &amp; opravy (CECRA), Evropské asociace dodavatelů automobilového průmyslu (CLEPA), Mezinárodní federace automobilového průmyslu (FIA) a Asociace japonských automobilových průmyslníků (JAMA). Toto průmyslové fórum je arénou pro deba</w:t>
      </w:r>
      <w:r w:rsidR="008D7EE4">
        <w:t>tu, která</w:t>
      </w:r>
      <w:r w:rsidR="000B2323" w:rsidRPr="00D5387F">
        <w:t xml:space="preserve"> spojuje </w:t>
      </w:r>
      <w:r w:rsidR="000B2323" w:rsidRPr="00D5387F">
        <w:lastRenderedPageBreak/>
        <w:t>automobilové organizace a klíčové politiky z hlavních legislativních institucí.</w:t>
      </w:r>
      <w:r w:rsidR="000B2323" w:rsidRPr="00D5387F">
        <w:rPr>
          <w:rStyle w:val="Znakapoznpodarou"/>
        </w:rPr>
        <w:footnoteReference w:id="161"/>
      </w:r>
      <w:r w:rsidR="00126B89" w:rsidRPr="00D5387F">
        <w:t xml:space="preserve"> V případech, jako je tento, je řešením</w:t>
      </w:r>
      <w:r w:rsidR="003378E2" w:rsidRPr="00D5387F">
        <w:t xml:space="preserve"> zákaz</w:t>
      </w:r>
      <w:r w:rsidR="00126B89" w:rsidRPr="00D5387F">
        <w:t xml:space="preserve"> poslancům EP provozovat jakoukoliv placenou nebo dobrovolnou externí aktivitu, která zahrnuje lobbing nebo která může vést ke střetu zájmů. Poslanec by tedy neměl být například členem bankovní rady nebo průmyslového fóra, když se ve stejné době zabývá pro daný </w:t>
      </w:r>
      <w:r w:rsidR="003378E2" w:rsidRPr="00D5387F">
        <w:t>sektor klíčovou parlamentní rolí</w:t>
      </w:r>
      <w:r w:rsidR="00126B89" w:rsidRPr="00D5387F">
        <w:t xml:space="preserve"> jako zpravodaj nebo stínový zpravodaj.</w:t>
      </w:r>
    </w:p>
    <w:p w:rsidR="002931F4" w:rsidRPr="00D5387F" w:rsidRDefault="002931F4" w:rsidP="002931F4">
      <w:r w:rsidRPr="00D5387F">
        <w:t>Ještě v roce 2008 byl fenomén otáčivých dveří považován za nepříliš častý,</w:t>
      </w:r>
      <w:r w:rsidRPr="00D5387F">
        <w:rPr>
          <w:rStyle w:val="Znakapoznpodarou"/>
        </w:rPr>
        <w:footnoteReference w:id="162"/>
      </w:r>
      <w:r w:rsidRPr="00D5387F">
        <w:t xml:space="preserve"> avšak už dříve se projevovaly náznaky poukazující na to, že tento problém existuje. Pod vedením komisaře Neila Kinnocka byla na jaře 2000 zveřejněna </w:t>
      </w:r>
      <w:bookmarkStart w:id="62" w:name="OLE_LINK18"/>
      <w:bookmarkStart w:id="63" w:name="OLE_LINK19"/>
      <w:r w:rsidRPr="00D5387F">
        <w:t>Bílá kniha o reformě Komise</w:t>
      </w:r>
      <w:bookmarkEnd w:id="62"/>
      <w:bookmarkEnd w:id="63"/>
      <w:r w:rsidRPr="00D5387F">
        <w:t>,</w:t>
      </w:r>
      <w:r w:rsidR="00672159" w:rsidRPr="00D5387F">
        <w:rPr>
          <w:rStyle w:val="Znakapoznpodarou"/>
        </w:rPr>
        <w:footnoteReference w:id="163"/>
      </w:r>
      <w:r w:rsidRPr="00D5387F">
        <w:t xml:space="preserve"> která vyjadřovala závazek Komise k dodržování nových etických pravidel v oblasti vlastní zaměstnanecké politiky. Komplexně se jedná o soubor vnitřních opatření například proti „otáčivým dveřím“, přijímání darů nebo zneužití postavení rodinných příslušníků.</w:t>
      </w:r>
      <w:r w:rsidR="00672159" w:rsidRPr="00D5387F">
        <w:t xml:space="preserve"> </w:t>
      </w:r>
    </w:p>
    <w:p w:rsidR="002931F4" w:rsidRPr="00D5387F" w:rsidRDefault="002931F4" w:rsidP="002931F4">
      <w:r w:rsidRPr="00D5387F">
        <w:t xml:space="preserve">Vzhledem k mnohdy úzké spolupráci pracovníků institucí EU s lobbisty je potřeba zamezit zneužití </w:t>
      </w:r>
      <w:r w:rsidR="003378E2" w:rsidRPr="00D5387F">
        <w:t>znalostí</w:t>
      </w:r>
      <w:r w:rsidRPr="00D5387F">
        <w:t xml:space="preserve"> úředníka </w:t>
      </w:r>
      <w:r w:rsidR="003378E2" w:rsidRPr="00D5387F">
        <w:t>k</w:t>
      </w:r>
      <w:r w:rsidRPr="00D5387F">
        <w:t>onč</w:t>
      </w:r>
      <w:r w:rsidR="003378E2" w:rsidRPr="00D5387F">
        <w:t>ícího</w:t>
      </w:r>
      <w:r w:rsidRPr="00D5387F">
        <w:t xml:space="preserve"> </w:t>
      </w:r>
      <w:r w:rsidR="003378E2" w:rsidRPr="00D5387F">
        <w:t>v</w:t>
      </w:r>
      <w:r w:rsidRPr="00D5387F">
        <w:t xml:space="preserve"> instituci ve prospěch lobbistů. Možným řešením je dočasný zákaz pro úředníky po určitou dobu vykonávat lobbistickou činnost.</w:t>
      </w:r>
      <w:r w:rsidR="00BB4925" w:rsidRPr="00D5387F">
        <w:t xml:space="preserve"> </w:t>
      </w:r>
      <w:r w:rsidRPr="00D5387F">
        <w:t>Dne 24. listopadu 2011 započala ALTER-EU kampaň pro potírání „otáčivých dveří“ v Bruselu. Požaduje nová pravidla, která by zahrnovala:</w:t>
      </w:r>
    </w:p>
    <w:p w:rsidR="002931F4" w:rsidRPr="00D5387F" w:rsidRDefault="002931F4" w:rsidP="00FC48BC">
      <w:pPr>
        <w:pStyle w:val="Odstavecseseznamem"/>
        <w:numPr>
          <w:ilvl w:val="0"/>
          <w:numId w:val="2"/>
        </w:numPr>
      </w:pPr>
      <w:r w:rsidRPr="00D5387F">
        <w:t>dvouletý zákaz</w:t>
      </w:r>
      <w:r w:rsidR="000626FD" w:rsidRPr="00D5387F">
        <w:t xml:space="preserve"> pro</w:t>
      </w:r>
      <w:r w:rsidRPr="00D5387F">
        <w:t xml:space="preserve"> úředník</w:t>
      </w:r>
      <w:r w:rsidR="000626FD" w:rsidRPr="00D5387F">
        <w:t>y</w:t>
      </w:r>
      <w:r w:rsidRPr="00D5387F">
        <w:t xml:space="preserve"> </w:t>
      </w:r>
      <w:r w:rsidR="001B4297" w:rsidRPr="00D5387F">
        <w:t xml:space="preserve">stát se </w:t>
      </w:r>
      <w:r w:rsidRPr="00D5387F">
        <w:t>po opuštění své pozice lobbisty,</w:t>
      </w:r>
    </w:p>
    <w:p w:rsidR="002931F4" w:rsidRPr="00D5387F" w:rsidRDefault="002931F4" w:rsidP="00FC48BC">
      <w:pPr>
        <w:pStyle w:val="Odstavecseseznamem"/>
        <w:numPr>
          <w:ilvl w:val="0"/>
          <w:numId w:val="2"/>
        </w:numPr>
      </w:pPr>
      <w:r w:rsidRPr="00D5387F">
        <w:t>no</w:t>
      </w:r>
      <w:r w:rsidR="001B4297" w:rsidRPr="00D5387F">
        <w:t>vá pravidla regulování lobbistů</w:t>
      </w:r>
    </w:p>
    <w:p w:rsidR="002931F4" w:rsidRPr="00D5387F" w:rsidRDefault="002931F4" w:rsidP="00FC48BC">
      <w:pPr>
        <w:pStyle w:val="Odstavecseseznamem"/>
        <w:numPr>
          <w:ilvl w:val="0"/>
          <w:numId w:val="2"/>
        </w:numPr>
      </w:pPr>
      <w:r w:rsidRPr="00D5387F">
        <w:t>a pln</w:t>
      </w:r>
      <w:r w:rsidR="001B4297" w:rsidRPr="00D5387F">
        <w:t>ou</w:t>
      </w:r>
      <w:r w:rsidRPr="00D5387F">
        <w:t xml:space="preserve"> transparentnost v případech otáčivých dveří.</w:t>
      </w:r>
      <w:r w:rsidR="00BB4925" w:rsidRPr="00D5387F">
        <w:rPr>
          <w:rStyle w:val="Znakapoznpodarou"/>
        </w:rPr>
        <w:footnoteReference w:id="164"/>
      </w:r>
    </w:p>
    <w:p w:rsidR="002931F4" w:rsidRPr="00D5387F" w:rsidRDefault="002931F4" w:rsidP="002931F4">
      <w:r w:rsidRPr="00D5387F">
        <w:t xml:space="preserve">Dvouletý zákaz pro úředníky </w:t>
      </w:r>
      <w:r w:rsidR="001B4297" w:rsidRPr="00D5387F">
        <w:t xml:space="preserve">stát </w:t>
      </w:r>
      <w:r w:rsidRPr="00D5387F">
        <w:t>se po odchodu z pozice lobbisty má svůj specifický význam. Vymezení přechodného období v postzaměstnanecké fázi konkrétního aktéra sleduje především tři aspekty: zabránění využití krátkodobých privilegovaných informací, zneužití střednědobých personálních sítí a kontaktů ve státních institucích</w:t>
      </w:r>
      <w:r w:rsidR="00C95459" w:rsidRPr="00D5387F">
        <w:t>,</w:t>
      </w:r>
      <w:r w:rsidRPr="00D5387F">
        <w:t xml:space="preserve"> a zamezení úspěšné aplikaci dlouhodobějších obecnějších znalostí o fungování daného prostředí.</w:t>
      </w:r>
      <w:r w:rsidRPr="00D5387F">
        <w:rPr>
          <w:rStyle w:val="Znakapoznpodarou"/>
        </w:rPr>
        <w:footnoteReference w:id="165"/>
      </w:r>
      <w:r w:rsidRPr="00D5387F">
        <w:t xml:space="preserve"> Zneužití krátkodobých informací v podstatě může znamenat i</w:t>
      </w:r>
      <w:r w:rsidR="001B4297" w:rsidRPr="00D5387F">
        <w:t xml:space="preserve"> porušení vázanosti mlčenlivostí </w:t>
      </w:r>
      <w:r w:rsidR="001B4297" w:rsidRPr="00D5387F">
        <w:lastRenderedPageBreak/>
        <w:t>v případech</w:t>
      </w:r>
      <w:r w:rsidRPr="00D5387F">
        <w:t>, kdy se jedná o citlivé a důležité údaje. Vytvoření osobních kontaktů je běžnou socializační záležitostí pracovníků. Tyto kontakty pak po ukončení zaměstnání a méně časté interakci ochabnou. Dlouhodobé znalosti fungování prostředí nejsou pro původního zaměstnavatele (instituci) nijak nebezpečné, nýbrž naopak představují zvýšení efektivity v</w:t>
      </w:r>
      <w:r w:rsidR="001B4297" w:rsidRPr="00D5387F">
        <w:t>e vztahu instituce a lobbisty</w:t>
      </w:r>
      <w:r w:rsidRPr="00D5387F">
        <w:t xml:space="preserve"> podle nastavených pravidel. Dlouhodobý aspekt tak nemusí být tolik regulován. Z tohoto důvodu je dvouletý zákaz lobbingu navrhovaný ALTER-EU adekvátní. Nižší interval by ohrožoval kr</w:t>
      </w:r>
      <w:r w:rsidR="0075617E" w:rsidRPr="00D5387F">
        <w:t>átkodobé a střednědobé aspekty.</w:t>
      </w:r>
      <w:r w:rsidRPr="00D5387F">
        <w:t xml:space="preserve"> </w:t>
      </w:r>
      <w:r w:rsidR="0075617E" w:rsidRPr="00D5387F">
        <w:t>V</w:t>
      </w:r>
      <w:r w:rsidRPr="00D5387F">
        <w:t>yšší</w:t>
      </w:r>
      <w:r w:rsidR="0075617E" w:rsidRPr="00D5387F">
        <w:t xml:space="preserve"> interval</w:t>
      </w:r>
      <w:r w:rsidRPr="00D5387F">
        <w:t xml:space="preserve"> by pak byl zbytečně dlouhý bez významného dopadu na regulaci.</w:t>
      </w:r>
      <w:r w:rsidR="00126B89" w:rsidRPr="00D5387F">
        <w:t xml:space="preserve"> Jiné zdroje ale považují za vhodné prodloužit tento zákaz lobbingu na mnohem d</w:t>
      </w:r>
      <w:r w:rsidR="001B4297" w:rsidRPr="00D5387F">
        <w:t>e</w:t>
      </w:r>
      <w:r w:rsidR="00126B89" w:rsidRPr="00D5387F">
        <w:t>lší časový úsek tří až pěti let.</w:t>
      </w:r>
      <w:r w:rsidR="00126B89" w:rsidRPr="00D5387F">
        <w:rPr>
          <w:rStyle w:val="Znakapoznpodarou"/>
        </w:rPr>
        <w:footnoteReference w:id="166"/>
      </w:r>
    </w:p>
    <w:p w:rsidR="00126B89" w:rsidRPr="00D5387F" w:rsidRDefault="00C95459" w:rsidP="00126B89">
      <w:r w:rsidRPr="00D5387F">
        <w:t>R</w:t>
      </w:r>
      <w:r w:rsidR="00126B89" w:rsidRPr="00D5387F">
        <w:t xml:space="preserve">egulace </w:t>
      </w:r>
      <w:r w:rsidR="001B4297" w:rsidRPr="00D5387F">
        <w:t>v podobě</w:t>
      </w:r>
      <w:r w:rsidR="00126B89" w:rsidRPr="00D5387F">
        <w:t xml:space="preserve"> dočasn</w:t>
      </w:r>
      <w:r w:rsidR="001B4297" w:rsidRPr="00D5387F">
        <w:t>ého</w:t>
      </w:r>
      <w:r w:rsidR="00126B89" w:rsidRPr="00D5387F">
        <w:t xml:space="preserve"> zákaz</w:t>
      </w:r>
      <w:r w:rsidR="001B4297" w:rsidRPr="00D5387F">
        <w:t>u</w:t>
      </w:r>
      <w:r w:rsidR="00126B89" w:rsidRPr="00D5387F">
        <w:t xml:space="preserve"> lobbingu těch, kteří čerstvě odešli ze své funkce, se v institucích EU v dostatečné míře nevyskytuje. Je však jistým způsobem začleněn</w:t>
      </w:r>
      <w:r w:rsidR="001B4297" w:rsidRPr="00D5387F">
        <w:t>a</w:t>
      </w:r>
      <w:r w:rsidRPr="00D5387F">
        <w:t xml:space="preserve"> do kodexů institucí</w:t>
      </w:r>
      <w:r w:rsidR="00126B89" w:rsidRPr="00D5387F">
        <w:t>.</w:t>
      </w:r>
      <w:r w:rsidRPr="00D5387F">
        <w:rPr>
          <w:rStyle w:val="Znakapoznpodarou"/>
        </w:rPr>
        <w:footnoteReference w:id="167"/>
      </w:r>
      <w:r w:rsidR="00126B89" w:rsidRPr="00D5387F">
        <w:t xml:space="preserve"> Přesto by se jednalo o poměrně efektivní způsob, jak lobbing alespoň částečně regulovat v tom smyslu, že by se zabránilo korupci a odchodu schopných pracovních sil „na druhou stranu“ pomyslné hranice mezi lobbovanými a lobbisty v případě, že by jim byly nabízeny lepší podmínky, a to především finanční.</w:t>
      </w:r>
    </w:p>
    <w:p w:rsidR="00176740" w:rsidRDefault="00126B89" w:rsidP="00126B89">
      <w:r w:rsidRPr="00D5387F">
        <w:t>Dočasný zákaz lobbingu je v první řadě regulací úředníků, které zájmové skupiny lákají, aby pracovali pro ně. Úředník buď zůstane loajální instituci a nepřestoupí, nebo je regulován zákazem lobbingu po určitý čas. Zároveň se jedná o regulaci lobbistů, jelikož potencionální lobbista nemůže svou činnost po určitou dobu od opuštění úřednického postu vykonávat.</w:t>
      </w:r>
    </w:p>
    <w:p w:rsidR="00176740" w:rsidRDefault="00176740">
      <w:pPr>
        <w:spacing w:after="0" w:line="240" w:lineRule="auto"/>
        <w:ind w:firstLine="0"/>
        <w:jc w:val="left"/>
      </w:pPr>
      <w:r>
        <w:br w:type="page"/>
      </w:r>
    </w:p>
    <w:p w:rsidR="00C81367" w:rsidRDefault="00284853" w:rsidP="00EC23B7">
      <w:pPr>
        <w:pStyle w:val="Nadpis2"/>
      </w:pPr>
      <w:bookmarkStart w:id="67" w:name="_Toc330039566"/>
      <w:r w:rsidRPr="00D5387F">
        <w:lastRenderedPageBreak/>
        <w:t>Shrnutí mechanismu regulace lobbingu</w:t>
      </w:r>
      <w:bookmarkEnd w:id="67"/>
    </w:p>
    <w:p w:rsidR="009E2E28" w:rsidRPr="009E2E28" w:rsidRDefault="00840865" w:rsidP="009E2E28">
      <w:r>
        <w:rPr>
          <w:noProof/>
          <w:lang w:eastAsia="cs-CZ"/>
        </w:rPr>
        <mc:AlternateContent>
          <mc:Choice Requires="wps">
            <w:drawing>
              <wp:anchor distT="0" distB="0" distL="114300" distR="114300" simplePos="0" relativeHeight="251659264" behindDoc="0" locked="0" layoutInCell="1" allowOverlap="1" wp14:anchorId="08B4FD78" wp14:editId="226C9FB7">
                <wp:simplePos x="0" y="0"/>
                <wp:positionH relativeFrom="column">
                  <wp:posOffset>-112026</wp:posOffset>
                </wp:positionH>
                <wp:positionV relativeFrom="paragraph">
                  <wp:posOffset>34556</wp:posOffset>
                </wp:positionV>
                <wp:extent cx="3143250" cy="247650"/>
                <wp:effectExtent l="0" t="0" r="0" b="0"/>
                <wp:wrapNone/>
                <wp:docPr id="2" name="Textové pole 2"/>
                <wp:cNvGraphicFramePr/>
                <a:graphic xmlns:a="http://schemas.openxmlformats.org/drawingml/2006/main">
                  <a:graphicData uri="http://schemas.microsoft.com/office/word/2010/wordprocessingShape">
                    <wps:wsp>
                      <wps:cNvSpPr txBox="1"/>
                      <wps:spPr>
                        <a:xfrm>
                          <a:off x="0" y="0"/>
                          <a:ext cx="31432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168F" w:rsidRPr="00840865" w:rsidRDefault="001C168F" w:rsidP="00840865">
                            <w:pPr>
                              <w:ind w:firstLine="0"/>
                              <w:rPr>
                                <w:sz w:val="20"/>
                                <w:szCs w:val="20"/>
                              </w:rPr>
                            </w:pPr>
                            <w:r w:rsidRPr="00840865">
                              <w:rPr>
                                <w:sz w:val="20"/>
                                <w:szCs w:val="20"/>
                              </w:rPr>
                              <w:t>Tabulka 1: Shrnutí mechanismu regulace lobbingu.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8.8pt;margin-top:2.7pt;width:247.5pt;height:1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" fillcolor="white [3201]" stroked="f" strokeweight=".5pt">
                <v:textbox>
                  <w:txbxContent>
                    <w:p w:rsidR="00F02FB9" w:rsidRPr="00840865" w:rsidRDefault="00F02FB9" w:rsidP="00840865">
                      <w:pPr>
                        <w:ind w:firstLine="0"/>
                        <w:rPr>
                          <w:sz w:val="20"/>
                          <w:szCs w:val="20"/>
                        </w:rPr>
                      </w:pPr>
                      <w:r w:rsidRPr="00840865">
                        <w:rPr>
                          <w:sz w:val="20"/>
                          <w:szCs w:val="20"/>
                        </w:rPr>
                        <w:t>Tabulka 1: Shrnutí mechanismu regulace lobbingu.</w:t>
                      </w:r>
                    </w:p>
                  </w:txbxContent>
                </v:textbox>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1363"/>
        <w:gridCol w:w="2268"/>
        <w:gridCol w:w="2800"/>
      </w:tblGrid>
      <w:tr w:rsidR="00284853" w:rsidRPr="00D5387F" w:rsidTr="00C81367">
        <w:trPr>
          <w:trHeight w:val="300"/>
        </w:trPr>
        <w:tc>
          <w:tcPr>
            <w:tcW w:w="2748" w:type="dxa"/>
            <w:shd w:val="clear" w:color="auto" w:fill="auto"/>
            <w:noWrap/>
            <w:vAlign w:val="center"/>
            <w:hideMark/>
          </w:tcPr>
          <w:p w:rsidR="00284853" w:rsidRPr="009E2E28" w:rsidRDefault="00284853" w:rsidP="00C81367">
            <w:pPr>
              <w:spacing w:after="0" w:line="276" w:lineRule="auto"/>
              <w:ind w:firstLine="0"/>
              <w:jc w:val="left"/>
              <w:rPr>
                <w:rFonts w:eastAsia="Times New Roman" w:cs="Calibri"/>
                <w:b/>
                <w:bCs/>
                <w:color w:val="000000"/>
                <w:sz w:val="20"/>
                <w:szCs w:val="20"/>
                <w:lang w:eastAsia="cs-CZ"/>
              </w:rPr>
            </w:pPr>
            <w:r w:rsidRPr="009E2E28">
              <w:rPr>
                <w:rFonts w:eastAsia="Times New Roman" w:cs="Calibri"/>
                <w:b/>
                <w:bCs/>
                <w:color w:val="000000"/>
                <w:sz w:val="20"/>
                <w:szCs w:val="20"/>
                <w:lang w:eastAsia="cs-CZ"/>
              </w:rPr>
              <w:t>Druh regulace</w:t>
            </w:r>
          </w:p>
        </w:tc>
        <w:tc>
          <w:tcPr>
            <w:tcW w:w="1363" w:type="dxa"/>
            <w:shd w:val="clear" w:color="auto" w:fill="auto"/>
            <w:vAlign w:val="center"/>
          </w:tcPr>
          <w:p w:rsidR="00284853" w:rsidRPr="009E2E28" w:rsidRDefault="00284853" w:rsidP="00C81367">
            <w:pPr>
              <w:spacing w:after="0" w:line="276" w:lineRule="auto"/>
              <w:ind w:firstLine="0"/>
              <w:jc w:val="left"/>
              <w:rPr>
                <w:rFonts w:eastAsia="Times New Roman" w:cs="Calibri"/>
                <w:b/>
                <w:bCs/>
                <w:color w:val="000000"/>
                <w:sz w:val="20"/>
                <w:szCs w:val="20"/>
                <w:lang w:eastAsia="cs-CZ"/>
              </w:rPr>
            </w:pPr>
            <w:r w:rsidRPr="009E2E28">
              <w:rPr>
                <w:rFonts w:eastAsia="Times New Roman" w:cs="Calibri"/>
                <w:b/>
                <w:bCs/>
                <w:color w:val="000000"/>
                <w:sz w:val="20"/>
                <w:szCs w:val="20"/>
                <w:lang w:eastAsia="cs-CZ"/>
              </w:rPr>
              <w:t>Hlavní vliv</w:t>
            </w:r>
          </w:p>
        </w:tc>
        <w:tc>
          <w:tcPr>
            <w:tcW w:w="2268" w:type="dxa"/>
            <w:vAlign w:val="center"/>
          </w:tcPr>
          <w:p w:rsidR="00284853" w:rsidRPr="009E2E28" w:rsidRDefault="00284853" w:rsidP="00C81367">
            <w:pPr>
              <w:spacing w:after="0" w:line="276" w:lineRule="auto"/>
              <w:ind w:firstLine="0"/>
              <w:jc w:val="left"/>
              <w:rPr>
                <w:rFonts w:eastAsia="Times New Roman" w:cs="Calibri"/>
                <w:b/>
                <w:bCs/>
                <w:color w:val="000000"/>
                <w:sz w:val="20"/>
                <w:szCs w:val="20"/>
                <w:lang w:eastAsia="cs-CZ"/>
              </w:rPr>
            </w:pPr>
            <w:r w:rsidRPr="009E2E28">
              <w:rPr>
                <w:rFonts w:eastAsia="Times New Roman" w:cs="Calibri"/>
                <w:b/>
                <w:bCs/>
                <w:color w:val="000000"/>
                <w:sz w:val="20"/>
                <w:szCs w:val="20"/>
                <w:lang w:eastAsia="cs-CZ"/>
              </w:rPr>
              <w:t>Otázka povinnosti</w:t>
            </w:r>
          </w:p>
        </w:tc>
        <w:tc>
          <w:tcPr>
            <w:tcW w:w="2800" w:type="dxa"/>
            <w:shd w:val="clear" w:color="auto" w:fill="auto"/>
            <w:noWrap/>
            <w:vAlign w:val="center"/>
            <w:hideMark/>
          </w:tcPr>
          <w:p w:rsidR="00284853" w:rsidRPr="009E2E28" w:rsidRDefault="00284853" w:rsidP="00C81367">
            <w:pPr>
              <w:spacing w:after="0" w:line="276" w:lineRule="auto"/>
              <w:ind w:firstLine="0"/>
              <w:jc w:val="left"/>
              <w:rPr>
                <w:rFonts w:eastAsia="Times New Roman" w:cs="Calibri"/>
                <w:b/>
                <w:bCs/>
                <w:color w:val="000000"/>
                <w:sz w:val="20"/>
                <w:szCs w:val="20"/>
                <w:lang w:eastAsia="cs-CZ"/>
              </w:rPr>
            </w:pPr>
            <w:r w:rsidRPr="009E2E28">
              <w:rPr>
                <w:rFonts w:eastAsia="Times New Roman" w:cs="Calibri"/>
                <w:b/>
                <w:bCs/>
                <w:color w:val="000000"/>
                <w:sz w:val="20"/>
                <w:szCs w:val="20"/>
                <w:lang w:eastAsia="cs-CZ"/>
              </w:rPr>
              <w:t>Poznámky</w:t>
            </w:r>
          </w:p>
        </w:tc>
      </w:tr>
      <w:tr w:rsidR="00284853" w:rsidRPr="00D5387F" w:rsidTr="009C1C8E">
        <w:trPr>
          <w:trHeight w:val="811"/>
        </w:trPr>
        <w:tc>
          <w:tcPr>
            <w:tcW w:w="2748" w:type="dxa"/>
            <w:shd w:val="clear" w:color="auto" w:fill="auto"/>
            <w:noWrap/>
            <w:vAlign w:val="center"/>
            <w:hideMark/>
          </w:tcPr>
          <w:p w:rsidR="00284853" w:rsidRPr="009E2E28" w:rsidRDefault="00284853" w:rsidP="00C81367">
            <w:pPr>
              <w:spacing w:after="0" w:line="276" w:lineRule="auto"/>
              <w:ind w:firstLine="0"/>
              <w:jc w:val="left"/>
              <w:rPr>
                <w:rFonts w:eastAsia="Times New Roman" w:cs="Calibri"/>
                <w:color w:val="000000"/>
                <w:sz w:val="20"/>
                <w:szCs w:val="20"/>
                <w:lang w:eastAsia="cs-CZ"/>
              </w:rPr>
            </w:pPr>
            <w:r w:rsidRPr="009E2E28">
              <w:rPr>
                <w:rFonts w:eastAsia="Times New Roman" w:cs="Calibri"/>
                <w:color w:val="000000"/>
                <w:sz w:val="20"/>
                <w:szCs w:val="20"/>
                <w:lang w:eastAsia="cs-CZ"/>
              </w:rPr>
              <w:t>Rejstřík</w:t>
            </w:r>
            <w:r w:rsidR="009C1733">
              <w:rPr>
                <w:rFonts w:eastAsia="Times New Roman" w:cs="Calibri"/>
                <w:color w:val="000000"/>
                <w:sz w:val="20"/>
                <w:szCs w:val="20"/>
                <w:lang w:eastAsia="cs-CZ"/>
              </w:rPr>
              <w:t xml:space="preserve"> transparentnosti (a </w:t>
            </w:r>
            <w:r w:rsidR="00BD2EDB" w:rsidRPr="009E2E28">
              <w:rPr>
                <w:rFonts w:eastAsia="Times New Roman" w:cs="Calibri"/>
                <w:color w:val="000000"/>
                <w:sz w:val="20"/>
                <w:szCs w:val="20"/>
                <w:lang w:eastAsia="cs-CZ"/>
              </w:rPr>
              <w:t>zveřejňování informací)</w:t>
            </w:r>
          </w:p>
        </w:tc>
        <w:tc>
          <w:tcPr>
            <w:tcW w:w="1363" w:type="dxa"/>
            <w:shd w:val="clear" w:color="auto" w:fill="auto"/>
            <w:vAlign w:val="center"/>
          </w:tcPr>
          <w:p w:rsidR="00284853" w:rsidRPr="009E2E28" w:rsidRDefault="00284853" w:rsidP="00C81367">
            <w:pPr>
              <w:spacing w:after="0" w:line="276" w:lineRule="auto"/>
              <w:ind w:firstLine="0"/>
              <w:jc w:val="left"/>
              <w:rPr>
                <w:rFonts w:eastAsia="Times New Roman" w:cs="Calibri"/>
                <w:color w:val="000000"/>
                <w:sz w:val="20"/>
                <w:szCs w:val="20"/>
                <w:lang w:eastAsia="cs-CZ"/>
              </w:rPr>
            </w:pPr>
            <w:r w:rsidRPr="009E2E28">
              <w:rPr>
                <w:rFonts w:eastAsia="Times New Roman" w:cs="Calibri"/>
                <w:color w:val="000000"/>
                <w:sz w:val="20"/>
                <w:szCs w:val="20"/>
                <w:lang w:eastAsia="cs-CZ"/>
              </w:rPr>
              <w:t>Lobbisté</w:t>
            </w:r>
          </w:p>
        </w:tc>
        <w:tc>
          <w:tcPr>
            <w:tcW w:w="2268" w:type="dxa"/>
            <w:vAlign w:val="center"/>
          </w:tcPr>
          <w:p w:rsidR="00284853" w:rsidRPr="009E2E28" w:rsidRDefault="00B31109" w:rsidP="00C81367">
            <w:pPr>
              <w:spacing w:after="0" w:line="276" w:lineRule="auto"/>
              <w:ind w:firstLine="0"/>
              <w:jc w:val="left"/>
              <w:rPr>
                <w:rFonts w:eastAsia="Times New Roman" w:cs="Calibri"/>
                <w:color w:val="000000"/>
                <w:sz w:val="20"/>
                <w:szCs w:val="20"/>
                <w:lang w:eastAsia="cs-CZ"/>
              </w:rPr>
            </w:pPr>
            <w:r w:rsidRPr="009E2E28">
              <w:rPr>
                <w:rFonts w:eastAsia="Times New Roman" w:cs="Calibri"/>
                <w:color w:val="000000"/>
                <w:sz w:val="20"/>
                <w:szCs w:val="20"/>
                <w:lang w:eastAsia="cs-CZ"/>
              </w:rPr>
              <w:t>Registrace je dobrovolná</w:t>
            </w:r>
          </w:p>
        </w:tc>
        <w:tc>
          <w:tcPr>
            <w:tcW w:w="2800" w:type="dxa"/>
            <w:shd w:val="clear" w:color="auto" w:fill="auto"/>
            <w:noWrap/>
            <w:vAlign w:val="center"/>
            <w:hideMark/>
          </w:tcPr>
          <w:p w:rsidR="00284853" w:rsidRPr="009E2E28" w:rsidRDefault="00284853" w:rsidP="00C81367">
            <w:pPr>
              <w:spacing w:after="0" w:line="276" w:lineRule="auto"/>
              <w:ind w:firstLine="0"/>
              <w:jc w:val="left"/>
              <w:rPr>
                <w:rFonts w:eastAsia="Times New Roman" w:cs="Calibri"/>
                <w:color w:val="000000"/>
                <w:sz w:val="20"/>
                <w:szCs w:val="20"/>
                <w:lang w:eastAsia="cs-CZ"/>
              </w:rPr>
            </w:pPr>
            <w:r w:rsidRPr="009E2E28">
              <w:rPr>
                <w:rFonts w:eastAsia="Times New Roman" w:cs="Calibri"/>
                <w:color w:val="000000"/>
                <w:sz w:val="20"/>
                <w:szCs w:val="20"/>
                <w:lang w:eastAsia="cs-CZ"/>
              </w:rPr>
              <w:t>Registrace nutně neznamená jednodušší přístup k institucím</w:t>
            </w:r>
          </w:p>
        </w:tc>
      </w:tr>
      <w:tr w:rsidR="00284853" w:rsidRPr="00D5387F" w:rsidTr="009C1C8E">
        <w:trPr>
          <w:trHeight w:val="695"/>
        </w:trPr>
        <w:tc>
          <w:tcPr>
            <w:tcW w:w="2748" w:type="dxa"/>
            <w:shd w:val="clear" w:color="auto" w:fill="auto"/>
            <w:noWrap/>
            <w:vAlign w:val="center"/>
            <w:hideMark/>
          </w:tcPr>
          <w:p w:rsidR="00284853" w:rsidRPr="009E2E28" w:rsidRDefault="00284853" w:rsidP="00C81367">
            <w:pPr>
              <w:spacing w:after="0" w:line="276" w:lineRule="auto"/>
              <w:ind w:firstLine="0"/>
              <w:jc w:val="left"/>
              <w:rPr>
                <w:rFonts w:eastAsia="Times New Roman" w:cs="Calibri"/>
                <w:color w:val="000000"/>
                <w:sz w:val="20"/>
                <w:szCs w:val="20"/>
                <w:lang w:eastAsia="cs-CZ"/>
              </w:rPr>
            </w:pPr>
            <w:r w:rsidRPr="009E2E28">
              <w:rPr>
                <w:rFonts w:eastAsia="Times New Roman" w:cs="Calibri"/>
                <w:color w:val="000000"/>
                <w:sz w:val="20"/>
                <w:szCs w:val="20"/>
                <w:lang w:eastAsia="cs-CZ"/>
              </w:rPr>
              <w:t>Kodex chování lobbistů</w:t>
            </w:r>
          </w:p>
        </w:tc>
        <w:tc>
          <w:tcPr>
            <w:tcW w:w="1363" w:type="dxa"/>
            <w:shd w:val="clear" w:color="auto" w:fill="auto"/>
            <w:vAlign w:val="center"/>
          </w:tcPr>
          <w:p w:rsidR="00284853" w:rsidRPr="009E2E28" w:rsidRDefault="00C81367" w:rsidP="00C81367">
            <w:pPr>
              <w:spacing w:after="0" w:line="276" w:lineRule="auto"/>
              <w:ind w:firstLine="0"/>
              <w:jc w:val="left"/>
              <w:rPr>
                <w:rFonts w:eastAsia="Times New Roman" w:cs="Calibri"/>
                <w:color w:val="000000"/>
                <w:sz w:val="20"/>
                <w:szCs w:val="20"/>
                <w:lang w:eastAsia="cs-CZ"/>
              </w:rPr>
            </w:pPr>
            <w:r w:rsidRPr="009E2E28">
              <w:rPr>
                <w:rFonts w:eastAsia="Times New Roman" w:cs="Calibri"/>
                <w:color w:val="000000"/>
                <w:sz w:val="20"/>
                <w:szCs w:val="20"/>
                <w:lang w:eastAsia="cs-CZ"/>
              </w:rPr>
              <w:t>Lobbisté</w:t>
            </w:r>
          </w:p>
        </w:tc>
        <w:tc>
          <w:tcPr>
            <w:tcW w:w="2268" w:type="dxa"/>
            <w:vAlign w:val="center"/>
          </w:tcPr>
          <w:p w:rsidR="00284853" w:rsidRPr="009E2E28" w:rsidRDefault="00284853" w:rsidP="00C81367">
            <w:pPr>
              <w:spacing w:after="0" w:line="276" w:lineRule="auto"/>
              <w:ind w:firstLine="0"/>
              <w:jc w:val="left"/>
              <w:rPr>
                <w:rFonts w:eastAsia="Times New Roman" w:cs="Calibri"/>
                <w:color w:val="000000"/>
                <w:sz w:val="20"/>
                <w:szCs w:val="20"/>
                <w:lang w:eastAsia="cs-CZ"/>
              </w:rPr>
            </w:pPr>
            <w:r w:rsidRPr="009E2E28">
              <w:rPr>
                <w:rFonts w:eastAsia="Times New Roman" w:cs="Calibri"/>
                <w:color w:val="000000"/>
                <w:sz w:val="20"/>
                <w:szCs w:val="20"/>
                <w:lang w:eastAsia="cs-CZ"/>
              </w:rPr>
              <w:t>Dobrovolnost v dodržování</w:t>
            </w:r>
          </w:p>
        </w:tc>
        <w:tc>
          <w:tcPr>
            <w:tcW w:w="2800" w:type="dxa"/>
            <w:shd w:val="clear" w:color="auto" w:fill="auto"/>
            <w:noWrap/>
            <w:vAlign w:val="center"/>
            <w:hideMark/>
          </w:tcPr>
          <w:p w:rsidR="00284853" w:rsidRPr="009E2E28" w:rsidRDefault="00BD2EDB" w:rsidP="00C81367">
            <w:pPr>
              <w:spacing w:after="0" w:line="276" w:lineRule="auto"/>
              <w:ind w:firstLine="0"/>
              <w:jc w:val="left"/>
              <w:rPr>
                <w:rFonts w:eastAsia="Times New Roman" w:cs="Calibri"/>
                <w:color w:val="000000"/>
                <w:sz w:val="20"/>
                <w:szCs w:val="20"/>
                <w:lang w:eastAsia="cs-CZ"/>
              </w:rPr>
            </w:pPr>
            <w:r w:rsidRPr="009E2E28">
              <w:rPr>
                <w:rFonts w:eastAsia="Times New Roman" w:cs="Calibri"/>
                <w:color w:val="000000"/>
                <w:sz w:val="20"/>
                <w:szCs w:val="20"/>
                <w:lang w:eastAsia="cs-CZ"/>
              </w:rPr>
              <w:t>Příliš stručný, aby obsáhl vše, co je potřeba regulovat</w:t>
            </w:r>
          </w:p>
        </w:tc>
      </w:tr>
      <w:tr w:rsidR="00284853" w:rsidRPr="00D5387F" w:rsidTr="00C81367">
        <w:trPr>
          <w:trHeight w:val="300"/>
        </w:trPr>
        <w:tc>
          <w:tcPr>
            <w:tcW w:w="2748" w:type="dxa"/>
            <w:shd w:val="clear" w:color="auto" w:fill="auto"/>
            <w:noWrap/>
            <w:vAlign w:val="center"/>
          </w:tcPr>
          <w:p w:rsidR="00284853" w:rsidRPr="009E2E28" w:rsidRDefault="00284853" w:rsidP="00C81367">
            <w:pPr>
              <w:spacing w:after="0" w:line="276" w:lineRule="auto"/>
              <w:ind w:firstLine="0"/>
              <w:jc w:val="left"/>
              <w:rPr>
                <w:rFonts w:eastAsia="Times New Roman" w:cs="Calibri"/>
                <w:color w:val="000000"/>
                <w:sz w:val="20"/>
                <w:szCs w:val="20"/>
                <w:lang w:eastAsia="cs-CZ"/>
              </w:rPr>
            </w:pPr>
            <w:r w:rsidRPr="009E2E28">
              <w:rPr>
                <w:rFonts w:eastAsia="Times New Roman" w:cs="Calibri"/>
                <w:color w:val="000000"/>
                <w:sz w:val="20"/>
                <w:szCs w:val="20"/>
                <w:lang w:eastAsia="cs-CZ"/>
              </w:rPr>
              <w:t>Kodex chování EP</w:t>
            </w:r>
          </w:p>
        </w:tc>
        <w:tc>
          <w:tcPr>
            <w:tcW w:w="1363" w:type="dxa"/>
            <w:shd w:val="clear" w:color="auto" w:fill="auto"/>
            <w:vAlign w:val="center"/>
          </w:tcPr>
          <w:p w:rsidR="00284853" w:rsidRPr="009E2E28" w:rsidRDefault="00284853" w:rsidP="00C81367">
            <w:pPr>
              <w:spacing w:after="0" w:line="276" w:lineRule="auto"/>
              <w:ind w:firstLine="0"/>
              <w:jc w:val="left"/>
              <w:rPr>
                <w:rFonts w:eastAsia="Times New Roman" w:cs="Calibri"/>
                <w:color w:val="000000"/>
                <w:sz w:val="20"/>
                <w:szCs w:val="20"/>
                <w:lang w:eastAsia="cs-CZ"/>
              </w:rPr>
            </w:pPr>
            <w:r w:rsidRPr="009E2E28">
              <w:rPr>
                <w:rFonts w:eastAsia="Times New Roman" w:cs="Calibri"/>
                <w:color w:val="000000"/>
                <w:sz w:val="20"/>
                <w:szCs w:val="20"/>
                <w:lang w:eastAsia="cs-CZ"/>
              </w:rPr>
              <w:t>Instituce</w:t>
            </w:r>
          </w:p>
        </w:tc>
        <w:tc>
          <w:tcPr>
            <w:tcW w:w="2268" w:type="dxa"/>
            <w:vAlign w:val="center"/>
          </w:tcPr>
          <w:p w:rsidR="00284853" w:rsidRPr="009E2E28" w:rsidRDefault="00284853" w:rsidP="00C81367">
            <w:pPr>
              <w:spacing w:after="0" w:line="276" w:lineRule="auto"/>
              <w:ind w:firstLine="0"/>
              <w:jc w:val="left"/>
              <w:rPr>
                <w:rFonts w:eastAsia="Times New Roman" w:cs="Calibri"/>
                <w:color w:val="000000"/>
                <w:sz w:val="20"/>
                <w:szCs w:val="20"/>
                <w:lang w:eastAsia="cs-CZ"/>
              </w:rPr>
            </w:pPr>
            <w:r w:rsidRPr="009E2E28">
              <w:rPr>
                <w:rFonts w:eastAsia="Times New Roman" w:cs="Calibri"/>
                <w:color w:val="000000"/>
                <w:sz w:val="20"/>
                <w:szCs w:val="20"/>
                <w:lang w:eastAsia="cs-CZ"/>
              </w:rPr>
              <w:t>Nedodržování postihováno sankcemi</w:t>
            </w:r>
          </w:p>
        </w:tc>
        <w:tc>
          <w:tcPr>
            <w:tcW w:w="2800" w:type="dxa"/>
            <w:shd w:val="clear" w:color="auto" w:fill="auto"/>
            <w:noWrap/>
            <w:vAlign w:val="center"/>
          </w:tcPr>
          <w:p w:rsidR="00284853" w:rsidRPr="009E2E28" w:rsidRDefault="00BD2EDB" w:rsidP="00C81367">
            <w:pPr>
              <w:spacing w:after="0" w:line="276" w:lineRule="auto"/>
              <w:ind w:firstLine="0"/>
              <w:jc w:val="left"/>
              <w:rPr>
                <w:rFonts w:eastAsia="Times New Roman" w:cs="Calibri"/>
                <w:color w:val="000000"/>
                <w:sz w:val="20"/>
                <w:szCs w:val="20"/>
                <w:lang w:eastAsia="cs-CZ"/>
              </w:rPr>
            </w:pPr>
            <w:r w:rsidRPr="009E2E28">
              <w:rPr>
                <w:rFonts w:eastAsia="Times New Roman" w:cs="Calibri"/>
                <w:color w:val="000000"/>
                <w:sz w:val="20"/>
                <w:szCs w:val="20"/>
                <w:lang w:eastAsia="cs-CZ"/>
              </w:rPr>
              <w:t>Detailně propracovaný, vytvořen až na popud nekalého chování</w:t>
            </w:r>
          </w:p>
        </w:tc>
      </w:tr>
      <w:tr w:rsidR="00284853" w:rsidRPr="00D5387F" w:rsidTr="009C1C8E">
        <w:trPr>
          <w:trHeight w:val="972"/>
        </w:trPr>
        <w:tc>
          <w:tcPr>
            <w:tcW w:w="2748" w:type="dxa"/>
            <w:shd w:val="clear" w:color="auto" w:fill="auto"/>
            <w:noWrap/>
            <w:vAlign w:val="center"/>
          </w:tcPr>
          <w:p w:rsidR="00284853" w:rsidRPr="009E2E28" w:rsidRDefault="00284853" w:rsidP="00C81367">
            <w:pPr>
              <w:spacing w:after="0" w:line="276" w:lineRule="auto"/>
              <w:ind w:firstLine="0"/>
              <w:jc w:val="left"/>
              <w:rPr>
                <w:rFonts w:eastAsia="Times New Roman" w:cs="Calibri"/>
                <w:color w:val="000000"/>
                <w:sz w:val="20"/>
                <w:szCs w:val="20"/>
                <w:lang w:eastAsia="cs-CZ"/>
              </w:rPr>
            </w:pPr>
            <w:r w:rsidRPr="009E2E28">
              <w:rPr>
                <w:rFonts w:eastAsia="Times New Roman" w:cs="Calibri"/>
                <w:color w:val="000000"/>
                <w:sz w:val="20"/>
                <w:szCs w:val="20"/>
                <w:lang w:eastAsia="cs-CZ"/>
              </w:rPr>
              <w:t>Kodex chování Komise</w:t>
            </w:r>
          </w:p>
        </w:tc>
        <w:tc>
          <w:tcPr>
            <w:tcW w:w="1363" w:type="dxa"/>
            <w:shd w:val="clear" w:color="auto" w:fill="auto"/>
            <w:vAlign w:val="center"/>
          </w:tcPr>
          <w:p w:rsidR="00284853" w:rsidRPr="009E2E28" w:rsidRDefault="00284853" w:rsidP="00C81367">
            <w:pPr>
              <w:spacing w:after="0" w:line="276" w:lineRule="auto"/>
              <w:ind w:firstLine="0"/>
              <w:jc w:val="left"/>
              <w:rPr>
                <w:rFonts w:eastAsia="Times New Roman" w:cs="Calibri"/>
                <w:color w:val="000000"/>
                <w:sz w:val="20"/>
                <w:szCs w:val="20"/>
                <w:lang w:eastAsia="cs-CZ"/>
              </w:rPr>
            </w:pPr>
            <w:r w:rsidRPr="009E2E28">
              <w:rPr>
                <w:rFonts w:eastAsia="Times New Roman" w:cs="Calibri"/>
                <w:color w:val="000000"/>
                <w:sz w:val="20"/>
                <w:szCs w:val="20"/>
                <w:lang w:eastAsia="cs-CZ"/>
              </w:rPr>
              <w:t>Instituce</w:t>
            </w:r>
          </w:p>
        </w:tc>
        <w:tc>
          <w:tcPr>
            <w:tcW w:w="2268" w:type="dxa"/>
            <w:vAlign w:val="center"/>
          </w:tcPr>
          <w:p w:rsidR="00284853" w:rsidRPr="009E2E28" w:rsidRDefault="00284853" w:rsidP="00C81367">
            <w:pPr>
              <w:spacing w:after="0" w:line="276" w:lineRule="auto"/>
              <w:ind w:firstLine="0"/>
              <w:jc w:val="left"/>
              <w:rPr>
                <w:rFonts w:eastAsia="Times New Roman" w:cs="Calibri"/>
                <w:color w:val="000000"/>
                <w:sz w:val="20"/>
                <w:szCs w:val="20"/>
                <w:lang w:eastAsia="cs-CZ"/>
              </w:rPr>
            </w:pPr>
            <w:r w:rsidRPr="009E2E28">
              <w:rPr>
                <w:rFonts w:eastAsia="Times New Roman" w:cs="Calibri"/>
                <w:color w:val="000000"/>
                <w:sz w:val="20"/>
                <w:szCs w:val="20"/>
                <w:lang w:eastAsia="cs-CZ"/>
              </w:rPr>
              <w:t>Nedodržování může vést ke ztrátě mandátu demisí nebo odvoláním</w:t>
            </w:r>
          </w:p>
        </w:tc>
        <w:tc>
          <w:tcPr>
            <w:tcW w:w="2800" w:type="dxa"/>
            <w:shd w:val="clear" w:color="auto" w:fill="auto"/>
            <w:noWrap/>
            <w:vAlign w:val="center"/>
          </w:tcPr>
          <w:p w:rsidR="00284853" w:rsidRPr="009E2E28" w:rsidRDefault="00BD2EDB" w:rsidP="00C81367">
            <w:pPr>
              <w:spacing w:after="0" w:line="276" w:lineRule="auto"/>
              <w:ind w:firstLine="0"/>
              <w:jc w:val="left"/>
              <w:rPr>
                <w:rFonts w:eastAsia="Times New Roman" w:cs="Calibri"/>
                <w:color w:val="000000"/>
                <w:sz w:val="20"/>
                <w:szCs w:val="20"/>
                <w:lang w:eastAsia="cs-CZ"/>
              </w:rPr>
            </w:pPr>
            <w:r w:rsidRPr="009E2E28">
              <w:rPr>
                <w:rFonts w:eastAsia="Times New Roman" w:cs="Calibri"/>
                <w:color w:val="000000"/>
                <w:sz w:val="20"/>
                <w:szCs w:val="20"/>
                <w:lang w:eastAsia="cs-CZ"/>
              </w:rPr>
              <w:t>Propracovaný střet zájmů</w:t>
            </w:r>
          </w:p>
        </w:tc>
      </w:tr>
      <w:tr w:rsidR="00284853" w:rsidRPr="00D5387F" w:rsidTr="009C1C8E">
        <w:trPr>
          <w:trHeight w:val="1000"/>
        </w:trPr>
        <w:tc>
          <w:tcPr>
            <w:tcW w:w="2748" w:type="dxa"/>
            <w:shd w:val="clear" w:color="auto" w:fill="auto"/>
            <w:noWrap/>
            <w:vAlign w:val="center"/>
            <w:hideMark/>
          </w:tcPr>
          <w:p w:rsidR="00284853" w:rsidRPr="009E2E28" w:rsidRDefault="00284853" w:rsidP="00C81367">
            <w:pPr>
              <w:spacing w:after="0" w:line="276" w:lineRule="auto"/>
              <w:ind w:firstLine="0"/>
              <w:jc w:val="left"/>
              <w:rPr>
                <w:rFonts w:eastAsia="Times New Roman" w:cs="Calibri"/>
                <w:color w:val="000000"/>
                <w:sz w:val="20"/>
                <w:szCs w:val="20"/>
                <w:lang w:eastAsia="cs-CZ"/>
              </w:rPr>
            </w:pPr>
            <w:r w:rsidRPr="009E2E28">
              <w:rPr>
                <w:rFonts w:eastAsia="Times New Roman" w:cs="Calibri"/>
                <w:color w:val="000000"/>
                <w:sz w:val="20"/>
                <w:szCs w:val="20"/>
                <w:lang w:eastAsia="cs-CZ"/>
              </w:rPr>
              <w:t>Akreditace v Evropském parlamentu</w:t>
            </w:r>
          </w:p>
        </w:tc>
        <w:tc>
          <w:tcPr>
            <w:tcW w:w="1363" w:type="dxa"/>
            <w:shd w:val="clear" w:color="auto" w:fill="auto"/>
            <w:vAlign w:val="center"/>
          </w:tcPr>
          <w:p w:rsidR="00284853" w:rsidRPr="009E2E28" w:rsidRDefault="00284853" w:rsidP="00C81367">
            <w:pPr>
              <w:spacing w:after="0" w:line="276" w:lineRule="auto"/>
              <w:ind w:firstLine="0"/>
              <w:jc w:val="left"/>
              <w:rPr>
                <w:rFonts w:eastAsia="Times New Roman" w:cs="Calibri"/>
                <w:color w:val="000000"/>
                <w:sz w:val="20"/>
                <w:szCs w:val="20"/>
                <w:lang w:eastAsia="cs-CZ"/>
              </w:rPr>
            </w:pPr>
            <w:r w:rsidRPr="009E2E28">
              <w:rPr>
                <w:rFonts w:eastAsia="Times New Roman" w:cs="Calibri"/>
                <w:color w:val="000000"/>
                <w:sz w:val="20"/>
                <w:szCs w:val="20"/>
                <w:lang w:eastAsia="cs-CZ"/>
              </w:rPr>
              <w:t>Lobbisté</w:t>
            </w:r>
          </w:p>
        </w:tc>
        <w:tc>
          <w:tcPr>
            <w:tcW w:w="2268" w:type="dxa"/>
            <w:vAlign w:val="center"/>
          </w:tcPr>
          <w:p w:rsidR="00284853" w:rsidRPr="009E2E28" w:rsidRDefault="00284853" w:rsidP="00C81367">
            <w:pPr>
              <w:spacing w:after="0" w:line="276" w:lineRule="auto"/>
              <w:ind w:firstLine="0"/>
              <w:jc w:val="left"/>
              <w:rPr>
                <w:rFonts w:eastAsia="Times New Roman" w:cs="Calibri"/>
                <w:color w:val="000000"/>
                <w:sz w:val="20"/>
                <w:szCs w:val="20"/>
                <w:lang w:eastAsia="cs-CZ"/>
              </w:rPr>
            </w:pPr>
            <w:r w:rsidRPr="009E2E28">
              <w:rPr>
                <w:rFonts w:eastAsia="Times New Roman" w:cs="Calibri"/>
                <w:color w:val="000000"/>
                <w:sz w:val="20"/>
                <w:szCs w:val="20"/>
                <w:lang w:eastAsia="cs-CZ"/>
              </w:rPr>
              <w:t>Povinná pro ty, kteří chtějí lobbovat v budově EP</w:t>
            </w:r>
          </w:p>
        </w:tc>
        <w:tc>
          <w:tcPr>
            <w:tcW w:w="2800" w:type="dxa"/>
            <w:shd w:val="clear" w:color="auto" w:fill="auto"/>
            <w:noWrap/>
            <w:vAlign w:val="center"/>
            <w:hideMark/>
          </w:tcPr>
          <w:p w:rsidR="00284853" w:rsidRPr="009E2E28" w:rsidRDefault="009C1733" w:rsidP="00C81367">
            <w:pPr>
              <w:spacing w:after="0" w:line="276" w:lineRule="auto"/>
              <w:ind w:firstLine="0"/>
              <w:jc w:val="left"/>
              <w:rPr>
                <w:rFonts w:eastAsia="Times New Roman" w:cs="Calibri"/>
                <w:color w:val="000000"/>
                <w:sz w:val="20"/>
                <w:szCs w:val="20"/>
                <w:lang w:eastAsia="cs-CZ"/>
              </w:rPr>
            </w:pPr>
            <w:r>
              <w:rPr>
                <w:rFonts w:eastAsia="Times New Roman" w:cs="Calibri"/>
                <w:color w:val="000000"/>
                <w:sz w:val="20"/>
                <w:szCs w:val="20"/>
                <w:lang w:eastAsia="cs-CZ"/>
              </w:rPr>
              <w:t>Účinná svou vynutitelností až </w:t>
            </w:r>
            <w:r w:rsidR="00284853" w:rsidRPr="009E2E28">
              <w:rPr>
                <w:rFonts w:eastAsia="Times New Roman" w:cs="Calibri"/>
                <w:color w:val="000000"/>
                <w:sz w:val="20"/>
                <w:szCs w:val="20"/>
                <w:lang w:eastAsia="cs-CZ"/>
              </w:rPr>
              <w:t>povinností.</w:t>
            </w:r>
          </w:p>
        </w:tc>
      </w:tr>
      <w:tr w:rsidR="00284853" w:rsidRPr="00D5387F" w:rsidTr="009C1C8E">
        <w:trPr>
          <w:trHeight w:val="688"/>
        </w:trPr>
        <w:tc>
          <w:tcPr>
            <w:tcW w:w="2748" w:type="dxa"/>
            <w:shd w:val="clear" w:color="auto" w:fill="auto"/>
            <w:noWrap/>
            <w:vAlign w:val="center"/>
            <w:hideMark/>
          </w:tcPr>
          <w:p w:rsidR="00284853" w:rsidRPr="009E2E28" w:rsidRDefault="00284853" w:rsidP="00C81367">
            <w:pPr>
              <w:spacing w:after="0" w:line="276" w:lineRule="auto"/>
              <w:ind w:firstLine="0"/>
              <w:jc w:val="left"/>
              <w:rPr>
                <w:rFonts w:eastAsia="Times New Roman" w:cs="Calibri"/>
                <w:color w:val="000000"/>
                <w:sz w:val="20"/>
                <w:szCs w:val="20"/>
                <w:lang w:eastAsia="cs-CZ"/>
              </w:rPr>
            </w:pPr>
            <w:r w:rsidRPr="009E2E28">
              <w:rPr>
                <w:rFonts w:eastAsia="Times New Roman" w:cs="Calibri"/>
                <w:color w:val="000000"/>
                <w:sz w:val="20"/>
                <w:szCs w:val="20"/>
                <w:lang w:eastAsia="cs-CZ"/>
              </w:rPr>
              <w:t>Dočasný zákaz lobbingu</w:t>
            </w:r>
          </w:p>
        </w:tc>
        <w:tc>
          <w:tcPr>
            <w:tcW w:w="1363" w:type="dxa"/>
            <w:shd w:val="clear" w:color="auto" w:fill="auto"/>
            <w:vAlign w:val="center"/>
          </w:tcPr>
          <w:p w:rsidR="00284853" w:rsidRPr="009E2E28" w:rsidRDefault="00284853" w:rsidP="00C81367">
            <w:pPr>
              <w:spacing w:after="0" w:line="276" w:lineRule="auto"/>
              <w:ind w:firstLine="0"/>
              <w:jc w:val="left"/>
              <w:rPr>
                <w:rFonts w:eastAsia="Times New Roman" w:cs="Calibri"/>
                <w:color w:val="000000"/>
                <w:sz w:val="20"/>
                <w:szCs w:val="20"/>
                <w:lang w:eastAsia="cs-CZ"/>
              </w:rPr>
            </w:pPr>
            <w:r w:rsidRPr="009E2E28">
              <w:rPr>
                <w:rFonts w:eastAsia="Times New Roman" w:cs="Calibri"/>
                <w:color w:val="000000"/>
                <w:sz w:val="20"/>
                <w:szCs w:val="20"/>
                <w:lang w:eastAsia="cs-CZ"/>
              </w:rPr>
              <w:t>Instituce</w:t>
            </w:r>
          </w:p>
        </w:tc>
        <w:tc>
          <w:tcPr>
            <w:tcW w:w="2268" w:type="dxa"/>
            <w:vAlign w:val="center"/>
          </w:tcPr>
          <w:p w:rsidR="00284853" w:rsidRPr="009E2E28" w:rsidRDefault="00284853" w:rsidP="00C81367">
            <w:pPr>
              <w:spacing w:after="0" w:line="276" w:lineRule="auto"/>
              <w:ind w:firstLine="0"/>
              <w:jc w:val="left"/>
              <w:rPr>
                <w:rFonts w:eastAsia="Times New Roman" w:cs="Calibri"/>
                <w:color w:val="000000"/>
                <w:sz w:val="20"/>
                <w:szCs w:val="20"/>
                <w:lang w:eastAsia="cs-CZ"/>
              </w:rPr>
            </w:pPr>
            <w:r w:rsidRPr="009E2E28">
              <w:rPr>
                <w:rFonts w:eastAsia="Times New Roman" w:cs="Calibri"/>
                <w:color w:val="000000"/>
                <w:sz w:val="20"/>
                <w:szCs w:val="20"/>
                <w:lang w:eastAsia="cs-CZ"/>
              </w:rPr>
              <w:t xml:space="preserve">Dosud </w:t>
            </w:r>
            <w:r w:rsidR="00B31109" w:rsidRPr="009E2E28">
              <w:rPr>
                <w:rFonts w:eastAsia="Times New Roman" w:cs="Calibri"/>
                <w:color w:val="000000"/>
                <w:sz w:val="20"/>
                <w:szCs w:val="20"/>
                <w:lang w:eastAsia="cs-CZ"/>
              </w:rPr>
              <w:t xml:space="preserve">dostatečně </w:t>
            </w:r>
            <w:r w:rsidRPr="009E2E28">
              <w:rPr>
                <w:rFonts w:eastAsia="Times New Roman" w:cs="Calibri"/>
                <w:color w:val="000000"/>
                <w:sz w:val="20"/>
                <w:szCs w:val="20"/>
                <w:lang w:eastAsia="cs-CZ"/>
              </w:rPr>
              <w:t>nevyřešeno</w:t>
            </w:r>
          </w:p>
        </w:tc>
        <w:tc>
          <w:tcPr>
            <w:tcW w:w="2800" w:type="dxa"/>
            <w:shd w:val="clear" w:color="auto" w:fill="auto"/>
            <w:noWrap/>
            <w:vAlign w:val="center"/>
            <w:hideMark/>
          </w:tcPr>
          <w:p w:rsidR="00284853" w:rsidRPr="009E2E28" w:rsidRDefault="00284853" w:rsidP="00C81367">
            <w:pPr>
              <w:spacing w:after="0" w:line="276" w:lineRule="auto"/>
              <w:ind w:firstLine="0"/>
              <w:jc w:val="left"/>
              <w:rPr>
                <w:rFonts w:eastAsia="Times New Roman" w:cs="Calibri"/>
                <w:color w:val="000000"/>
                <w:sz w:val="20"/>
                <w:szCs w:val="20"/>
                <w:lang w:eastAsia="cs-CZ"/>
              </w:rPr>
            </w:pPr>
            <w:r w:rsidRPr="009E2E28">
              <w:rPr>
                <w:rFonts w:eastAsia="Times New Roman" w:cs="Calibri"/>
                <w:color w:val="000000"/>
                <w:sz w:val="20"/>
                <w:szCs w:val="20"/>
                <w:lang w:eastAsia="cs-CZ"/>
              </w:rPr>
              <w:t xml:space="preserve">V </w:t>
            </w:r>
            <w:r w:rsidR="002A62A5" w:rsidRPr="009E2E28">
              <w:rPr>
                <w:rFonts w:eastAsia="Times New Roman" w:cs="Calibri"/>
                <w:color w:val="000000"/>
                <w:sz w:val="20"/>
                <w:szCs w:val="20"/>
                <w:lang w:eastAsia="cs-CZ"/>
              </w:rPr>
              <w:t>lobbingu institucí EU se vyskytuje pouze v kodexech</w:t>
            </w:r>
          </w:p>
        </w:tc>
      </w:tr>
    </w:tbl>
    <w:p w:rsidR="008430AE" w:rsidRPr="00D5387F" w:rsidRDefault="00840865" w:rsidP="00176740">
      <w:pPr>
        <w:spacing w:before="120"/>
        <w:ind w:left="7655" w:firstLine="0"/>
      </w:pPr>
      <w:r>
        <w:rPr>
          <w:noProof/>
          <w:lang w:eastAsia="cs-CZ"/>
        </w:rPr>
        <mc:AlternateContent>
          <mc:Choice Requires="wps">
            <w:drawing>
              <wp:anchor distT="0" distB="0" distL="114300" distR="114300" simplePos="0" relativeHeight="251660288" behindDoc="0" locked="0" layoutInCell="1" allowOverlap="1" wp14:anchorId="3C37EF05" wp14:editId="48D96DDB">
                <wp:simplePos x="0" y="0"/>
                <wp:positionH relativeFrom="column">
                  <wp:posOffset>4995043</wp:posOffset>
                </wp:positionH>
                <wp:positionV relativeFrom="paragraph">
                  <wp:posOffset>46990</wp:posOffset>
                </wp:positionV>
                <wp:extent cx="914400" cy="295275"/>
                <wp:effectExtent l="0" t="0" r="0" b="9525"/>
                <wp:wrapNone/>
                <wp:docPr id="3" name="Textové pole 3"/>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168F" w:rsidRPr="00840865" w:rsidRDefault="001C168F" w:rsidP="00840865">
                            <w:pPr>
                              <w:ind w:firstLine="0"/>
                              <w:rPr>
                                <w:sz w:val="20"/>
                              </w:rPr>
                            </w:pPr>
                            <w:r w:rsidRPr="00840865">
                              <w:rPr>
                                <w:sz w:val="20"/>
                              </w:rPr>
                              <w:t>Zdroj: autor.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3" o:spid="_x0000_s1027" type="#_x0000_t202" style="position:absolute;left:0;text-align:left;margin-left:393.3pt;margin-top:3.7pt;width:1in;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" fillcolor="white [3201]" stroked="f" strokeweight=".5pt">
                <v:textbox>
                  <w:txbxContent>
                    <w:p w:rsidR="00F02FB9" w:rsidRPr="00840865" w:rsidRDefault="00F02FB9" w:rsidP="00840865">
                      <w:pPr>
                        <w:ind w:firstLine="0"/>
                        <w:rPr>
                          <w:sz w:val="20"/>
                        </w:rPr>
                      </w:pPr>
                      <w:r w:rsidRPr="00840865">
                        <w:rPr>
                          <w:sz w:val="20"/>
                        </w:rPr>
                        <w:t>Zdroj: autor.</w:t>
                      </w:r>
                    </w:p>
                  </w:txbxContent>
                </v:textbox>
              </v:shape>
            </w:pict>
          </mc:Fallback>
        </mc:AlternateContent>
      </w:r>
    </w:p>
    <w:p w:rsidR="00817F4F" w:rsidRPr="00D5387F" w:rsidRDefault="00817F4F" w:rsidP="00284853">
      <w:r w:rsidRPr="00D5387F">
        <w:t>Každá z regulací má svá specifika, klady a zápory ve vztahu k jeho funkčnosti a efektivitě. Pro výzkum je rovněž důležitá informace, zda používání dané regulace ovlivňuje spíše počínání institucí a jejích úředníků ve vztahu k zájmovým skupinám, nebo naopak záj</w:t>
      </w:r>
      <w:r w:rsidR="00311DC1">
        <w:t xml:space="preserve">mové skupiny samotné. Kapitola </w:t>
      </w:r>
      <w:r w:rsidR="005B386F">
        <w:t>5</w:t>
      </w:r>
      <w:r w:rsidRPr="00D5387F">
        <w:t xml:space="preserve"> končí tabulkou, kde jsou shrnuty základní vlastnosti jednotlivých druhů regulací. Je zde uvedeno, na koho má daná regulace hlavní vliv, tedy koho v podstatě reguluje. Následuje zhodnocení, zda, v čem a případně v jakém smyslu je regulace povinná. V poznámkách pak jsou uvedeny nejzákladnější klady a zápory.</w:t>
      </w:r>
    </w:p>
    <w:p w:rsidR="00F67D39" w:rsidRPr="00D5387F" w:rsidRDefault="00840865" w:rsidP="00284853">
      <w:r>
        <w:t>Z tabulky je zřejmé</w:t>
      </w:r>
      <w:r w:rsidR="00F67D39" w:rsidRPr="00D5387F">
        <w:t>, že ty regulace, které se za</w:t>
      </w:r>
      <w:r w:rsidR="002A62A5" w:rsidRPr="00D5387F">
        <w:t>měřují na lobbisty</w:t>
      </w:r>
      <w:r w:rsidR="00B31109" w:rsidRPr="00D5387F">
        <w:t>,</w:t>
      </w:r>
      <w:r w:rsidR="002A62A5" w:rsidRPr="00D5387F">
        <w:t xml:space="preserve"> jsou většinou dobrovolného charakteru, kdežto u regulací zaměřených na instituce dochází k jisté povinnosti v dodržování, kde jsou odchylky postihovány sankcemi různého typu.</w:t>
      </w:r>
      <w:r w:rsidR="00B31109" w:rsidRPr="00D5387F">
        <w:t xml:space="preserve"> Určitým způsobem z toho </w:t>
      </w:r>
      <w:r w:rsidR="00670B3E" w:rsidRPr="00D5387F">
        <w:t>vybočuje akreditace v</w:t>
      </w:r>
      <w:r w:rsidR="00B31109" w:rsidRPr="00D5387F">
        <w:t xml:space="preserve"> EP.</w:t>
      </w:r>
      <w:r w:rsidR="00670B3E" w:rsidRPr="00D5387F">
        <w:t xml:space="preserve"> Povinnost akreditovat se před vstupem do EP však neznamená, že lobbista nemůže poslance oslovit mimo budovu EP.</w:t>
      </w:r>
    </w:p>
    <w:p w:rsidR="00284853" w:rsidRPr="00D5387F" w:rsidRDefault="0034378E" w:rsidP="00284853">
      <w:r w:rsidRPr="00D5387F">
        <w:t>V neprospěch účinné regulace svědčí to, že v případě její dobrovolnosti nelze dodržování vymáhat sankcemi. V</w:t>
      </w:r>
      <w:r w:rsidR="00284853" w:rsidRPr="00D5387F">
        <w:t> současné době existuje</w:t>
      </w:r>
      <w:r w:rsidRPr="00D5387F">
        <w:t xml:space="preserve"> v evropském lobbingu stále ještě</w:t>
      </w:r>
      <w:r w:rsidR="00284853" w:rsidRPr="00D5387F">
        <w:t xml:space="preserve"> přílišná dobrovol</w:t>
      </w:r>
      <w:r w:rsidRPr="00D5387F">
        <w:t>nost. Aby se jednalo o skutečně účinnou</w:t>
      </w:r>
      <w:r w:rsidR="00284853" w:rsidRPr="00D5387F">
        <w:t xml:space="preserve"> regulaci, musí být povinná a </w:t>
      </w:r>
      <w:r w:rsidR="00284853" w:rsidRPr="00D5387F">
        <w:lastRenderedPageBreak/>
        <w:t>případně vymahatelná sankcemi.</w:t>
      </w:r>
      <w:r w:rsidRPr="00D5387F">
        <w:t xml:space="preserve"> </w:t>
      </w:r>
      <w:r w:rsidR="00284853" w:rsidRPr="00D5387F">
        <w:t>Nicméně, povinnosti regulace a její větší účinnosti nelze docílit, jelikož zájmové skupiny nepřipustí</w:t>
      </w:r>
      <w:r w:rsidR="007D7E05" w:rsidRPr="00D5387F">
        <w:t xml:space="preserve"> přijetí tak přísných pravidel.</w:t>
      </w:r>
    </w:p>
    <w:p w:rsidR="0034378E" w:rsidRPr="00D5387F" w:rsidRDefault="0034378E" w:rsidP="00284853">
      <w:r w:rsidRPr="00D5387F">
        <w:t>Co se týče základních nedostatků, a případně pozitiv, ty jsou v posledním sloupci.</w:t>
      </w:r>
      <w:r w:rsidR="00724BAF" w:rsidRPr="00D5387F">
        <w:t xml:space="preserve"> Podrobněji jsou tyto záležitosti rozebírány v příslušných kapitolách</w:t>
      </w:r>
      <w:r w:rsidR="00817F4F" w:rsidRPr="00D5387F">
        <w:t xml:space="preserve"> výše</w:t>
      </w:r>
      <w:r w:rsidR="00427F4E" w:rsidRPr="00D5387F">
        <w:t>, nicméně společným nedostatkem těch regulací, které se zaměřují na lobbisty</w:t>
      </w:r>
      <w:r w:rsidR="004A4A25" w:rsidRPr="00D5387F">
        <w:t xml:space="preserve"> </w:t>
      </w:r>
      <w:r w:rsidR="00817F4F" w:rsidRPr="00D5387F">
        <w:t xml:space="preserve">je </w:t>
      </w:r>
      <w:r w:rsidR="004A4A25" w:rsidRPr="00D5387F">
        <w:t xml:space="preserve">nedostatečná propracovanost a nedotaženost. </w:t>
      </w:r>
      <w:r w:rsidR="00817F4F" w:rsidRPr="00D5387F">
        <w:t>C</w:t>
      </w:r>
      <w:r w:rsidR="004A4A25" w:rsidRPr="00D5387F">
        <w:t xml:space="preserve">hybí jasné motivátory, které přesvědčí lobbisty, aby se na dobrovolné regulaci podíleli (například u rejstříku registrace nezajistí lepší přístup k institucím). Naopak, </w:t>
      </w:r>
      <w:r w:rsidR="005E5D27" w:rsidRPr="00D5387F">
        <w:t>převážně povinné regulace jsou daleko propracovanější. Tam je to také potřeba, aby bylo jasné, co má být sankciováno jako porušení.</w:t>
      </w:r>
    </w:p>
    <w:p w:rsidR="00CE38EB" w:rsidRPr="00D5387F" w:rsidRDefault="00CE38EB">
      <w:pPr>
        <w:spacing w:after="0" w:line="240" w:lineRule="auto"/>
        <w:jc w:val="left"/>
        <w:rPr>
          <w:rFonts w:ascii="Cambria" w:eastAsia="Times New Roman" w:hAnsi="Cambria"/>
          <w:b/>
          <w:bCs/>
          <w:sz w:val="32"/>
          <w:szCs w:val="28"/>
        </w:rPr>
      </w:pPr>
      <w:r w:rsidRPr="00D5387F">
        <w:rPr>
          <w:sz w:val="32"/>
        </w:rPr>
        <w:br w:type="page"/>
      </w:r>
    </w:p>
    <w:p w:rsidR="00E86712" w:rsidRPr="00D5387F" w:rsidRDefault="00E86712" w:rsidP="00E86712">
      <w:pPr>
        <w:pStyle w:val="Nadpis1"/>
        <w:numPr>
          <w:ilvl w:val="0"/>
          <w:numId w:val="0"/>
        </w:numPr>
      </w:pPr>
      <w:bookmarkStart w:id="68" w:name="_Toc330039567"/>
      <w:r w:rsidRPr="00D5387F">
        <w:lastRenderedPageBreak/>
        <w:t>Závěr</w:t>
      </w:r>
      <w:bookmarkEnd w:id="68"/>
    </w:p>
    <w:p w:rsidR="00601D89" w:rsidRPr="00D5387F" w:rsidRDefault="006F183A" w:rsidP="003F6215">
      <w:r w:rsidRPr="00D5387F">
        <w:t xml:space="preserve">Po analýze všech zkoumaných aspektů, které byly definovány v úvodu, byla potvrzena většina hypotéz. První hypotézou je: </w:t>
      </w:r>
      <w:r w:rsidR="008F5D13" w:rsidRPr="00D5387F">
        <w:rPr>
          <w:i/>
        </w:rPr>
        <w:t xml:space="preserve">Regulace institucí EU a jejich přístupu k lobbistům </w:t>
      </w:r>
      <w:r w:rsidR="0087316C" w:rsidRPr="00D5387F">
        <w:rPr>
          <w:i/>
        </w:rPr>
        <w:t>umožňuje</w:t>
      </w:r>
      <w:r w:rsidR="008F5D13" w:rsidRPr="00D5387F">
        <w:rPr>
          <w:i/>
        </w:rPr>
        <w:t xml:space="preserve"> </w:t>
      </w:r>
      <w:r w:rsidR="0087316C" w:rsidRPr="00D5387F">
        <w:rPr>
          <w:i/>
        </w:rPr>
        <w:t>kontrolování</w:t>
      </w:r>
      <w:r w:rsidR="008F5D13" w:rsidRPr="00D5387F">
        <w:rPr>
          <w:i/>
        </w:rPr>
        <w:t xml:space="preserve"> vzájemné interakce mezi lobbisty a institucemi více </w:t>
      </w:r>
      <w:r w:rsidRPr="00D5387F">
        <w:rPr>
          <w:i/>
        </w:rPr>
        <w:t>než regulace samotných lobbistů.</w:t>
      </w:r>
      <w:r w:rsidRPr="00D5387F">
        <w:t xml:space="preserve"> </w:t>
      </w:r>
      <w:r w:rsidR="0087316C" w:rsidRPr="00D5387F">
        <w:t>Tato hypotéza byla potvrzena hned na několika místech. Nemožnost pojmového uchycení lobbingu znesnadňuje jeho kontrolu, jelikož není jasné, koho přesně kontrolovat.</w:t>
      </w:r>
      <w:r w:rsidR="00FA2A18" w:rsidRPr="00D5387F">
        <w:t xml:space="preserve"> V případě kodexů </w:t>
      </w:r>
      <w:r w:rsidR="0075617E" w:rsidRPr="00D5387F">
        <w:t xml:space="preserve">byla </w:t>
      </w:r>
      <w:r w:rsidR="00FA2A18" w:rsidRPr="00D5387F">
        <w:t xml:space="preserve">vyšší kvalita a konkrétnost zavedená u </w:t>
      </w:r>
      <w:r w:rsidR="0075617E" w:rsidRPr="00D5387F">
        <w:t>pravidel</w:t>
      </w:r>
      <w:r w:rsidR="00FA2A18" w:rsidRPr="00D5387F">
        <w:t xml:space="preserve"> určených institucím. To svědčí o jednoduchosti regulace oproti lobbistickému kodexu, který je krátký a příliš obecný. V případě omezení přecházení úředníků z bývalých veřejných postů k soukromým subjektům za účelem regulace</w:t>
      </w:r>
    </w:p>
    <w:p w:rsidR="00601D89" w:rsidRPr="00D5387F" w:rsidRDefault="006F183A" w:rsidP="003F6215">
      <w:r w:rsidRPr="00D5387F">
        <w:t xml:space="preserve">Další hypotéza se týkala pojmosloví: </w:t>
      </w:r>
      <w:r w:rsidR="008F5D13" w:rsidRPr="00D5387F">
        <w:rPr>
          <w:i/>
        </w:rPr>
        <w:t>Náročnost pojmového uchycení lobbingu znemožňuje regulaci této činnosti na straně lobbistů, protože je problematické podch</w:t>
      </w:r>
      <w:r w:rsidRPr="00D5387F">
        <w:rPr>
          <w:i/>
        </w:rPr>
        <w:t>ytit, kdo do této skupiny patří.</w:t>
      </w:r>
      <w:r w:rsidRPr="00D5387F">
        <w:t xml:space="preserve"> </w:t>
      </w:r>
      <w:r w:rsidR="000F48FB" w:rsidRPr="00D5387F">
        <w:t xml:space="preserve">V práci bylo poukázáno na rozmanitost různých definic pojmu lobbing, které se, ať mnohdy </w:t>
      </w:r>
      <w:r w:rsidR="003F6215" w:rsidRPr="00D5387F">
        <w:t xml:space="preserve">mají </w:t>
      </w:r>
      <w:r w:rsidR="000F48FB" w:rsidRPr="00D5387F">
        <w:t>v jádru stejné prvky, liší. Je také rozdíl v šíři chápání tohoto pojmu, kdy jej lze vykládat úzce, či široce a zahrnout tak do něj další činnosti. Co se institucí týče, EP a Komise, mají svou definici lobbingu. Problém</w:t>
      </w:r>
      <w:r w:rsidR="003F6215" w:rsidRPr="00D5387F">
        <w:t>em</w:t>
      </w:r>
      <w:r w:rsidR="000F48FB" w:rsidRPr="00D5387F">
        <w:t xml:space="preserve"> však je, že jejich definice není jednotná, nýbrž každá z nich si tuto činnost vykládá po svém podle toho, jaký je jejich základní záměr</w:t>
      </w:r>
      <w:r w:rsidR="003F6215" w:rsidRPr="00D5387F">
        <w:t xml:space="preserve"> v</w:t>
      </w:r>
      <w:r w:rsidR="000F48FB" w:rsidRPr="00D5387F">
        <w:t xml:space="preserve"> </w:t>
      </w:r>
      <w:r w:rsidR="003F6215" w:rsidRPr="00D5387F">
        <w:t xml:space="preserve">přístupu </w:t>
      </w:r>
      <w:r w:rsidR="000F48FB" w:rsidRPr="00D5387F">
        <w:t xml:space="preserve">k lobbingu. </w:t>
      </w:r>
      <w:r w:rsidR="003F6215" w:rsidRPr="00D5387F">
        <w:t>Tedy</w:t>
      </w:r>
      <w:r w:rsidR="000F48FB" w:rsidRPr="00D5387F">
        <w:t xml:space="preserve"> zda očekávají větší regulaci, nebo spíše větší míru volnosti pro lobbisty. Zajímavé je, že i přes nejednotnost pojmů dokázaly instituce vytvořit společný regulační systém.</w:t>
      </w:r>
    </w:p>
    <w:p w:rsidR="00FF201B" w:rsidRPr="00D5387F" w:rsidRDefault="006F183A" w:rsidP="003F6215">
      <w:r w:rsidRPr="00D5387F">
        <w:t xml:space="preserve">Vztahem transparentnosti a komunikačních kanálů se zabývalo toto tvrzení: </w:t>
      </w:r>
      <w:r w:rsidR="008F5D13" w:rsidRPr="00D5387F">
        <w:rPr>
          <w:i/>
        </w:rPr>
        <w:t>S množstvím regulace roste transparentnost, ale klesá přístupnost komunikačních kanálů mezi lobbisty a institucemi.</w:t>
      </w:r>
      <w:r w:rsidRPr="00D5387F">
        <w:rPr>
          <w:i/>
        </w:rPr>
        <w:t xml:space="preserve"> </w:t>
      </w:r>
      <w:r w:rsidR="0025009B" w:rsidRPr="00D5387F">
        <w:t>Především mezi institucemi existuje všeobecný přístup k problematice považující transparentnost za nutnost. Na základě tohoto přesvědčení proto prosazují různé posuny v regulaci (rejstřík transparentnosti, kodexy apod.). Nicméně jsou známy případy, kdy přílišná snaha o regulaci vyústila v krok zpět, který se projevil buď neefektivitou regulace, nebo úplným zbrzděním procesu prosazování zájmů. Příkladem uvedené neefektivity je rejstřík transparentnosti, který se sice od svého vzniku stal propracovanějším, ale stále postrádá úči</w:t>
      </w:r>
      <w:r w:rsidR="00FF201B" w:rsidRPr="00D5387F">
        <w:t>nné přesvědčování lobbistů různými motivacemi, aby se zaregistrovali. Tím by instituce následně získal</w:t>
      </w:r>
      <w:r w:rsidR="003F6215" w:rsidRPr="00D5387F">
        <w:t>y</w:t>
      </w:r>
      <w:r w:rsidR="00FF201B" w:rsidRPr="00D5387F">
        <w:t xml:space="preserve"> potřebné informace pro pochopení záměrů lobbistů. To by znamenalo zvýšení transparentnosti ve smyslu lepšího pochopení </w:t>
      </w:r>
      <w:r w:rsidR="00FF201B" w:rsidRPr="00D5387F">
        <w:lastRenderedPageBreak/>
        <w:t>zájmů institucemi. I když se lobbista zaregistruje, poskytnuté informace nemusí být a mnohdy ani nejsou dostatečně kvalitní na to, aby splnily tuto funkci. V tomto případě tedy existovala snaha o zvýšení transparentnosti, ale nedošlo ke zvýšení přístupnosti komunikačních kanálů v podobě poskytnutých informací.</w:t>
      </w:r>
      <w:r w:rsidRPr="00D5387F">
        <w:t xml:space="preserve"> </w:t>
      </w:r>
      <w:r w:rsidR="00FF201B" w:rsidRPr="00D5387F">
        <w:t>Případem zbrzdění procesu prosazování zájmů, tedy přeneseně zbrzdění komunikačních kanálů dochází u akreditace nutné pro vstup do EP. Ve snaze zvýšit transparentnost došlo k reformě poskytování propustek. Zavedení jednodenní vstupní karty však znamenalo výrazné časové zdržení pro lobbisty i personál v instituci. Je zřejmé, že původní roční propustka bez nutnosti získat jednodenní kartu představovala optimální rovnováhu mezi mírou regulace a transparentnosti. Zkoumaná hypotéza tedy byla prokázána.</w:t>
      </w:r>
    </w:p>
    <w:p w:rsidR="00601D89" w:rsidRPr="00D5387F" w:rsidRDefault="006F183A" w:rsidP="003F6215">
      <w:r w:rsidRPr="00D5387F">
        <w:t xml:space="preserve">V práci </w:t>
      </w:r>
      <w:r w:rsidR="00E92484" w:rsidRPr="00D5387F">
        <w:t xml:space="preserve">byl také zkoumán výklad pojmu transparentnost: </w:t>
      </w:r>
      <w:r w:rsidR="008F5D13" w:rsidRPr="00D5387F">
        <w:rPr>
          <w:i/>
        </w:rPr>
        <w:t>Registrace lobbistů pozitivně ovlivňuje transparentnost tím, že instituce lépe znají záměry lobbistů.</w:t>
      </w:r>
      <w:r w:rsidR="00E92484" w:rsidRPr="00D5387F">
        <w:t xml:space="preserve"> </w:t>
      </w:r>
      <w:r w:rsidR="00B20178" w:rsidRPr="00D5387F">
        <w:t>Záměry lobbistů lze předvídat z údajů uvedených v rejstříku. Předpoklad, že rejstřík bude sloužit jako vodítko i pro ins</w:t>
      </w:r>
      <w:r w:rsidR="005E05B3">
        <w:t>tituce, aby se lépe zorientovaly</w:t>
      </w:r>
      <w:r w:rsidR="00B20178" w:rsidRPr="00D5387F">
        <w:t xml:space="preserve"> v tom, co lobbisté budou požadovat ještě před samotnou schůzkou s nimi, se potvrdil jen z</w:t>
      </w:r>
      <w:r w:rsidR="00C134B2" w:rsidRPr="00D5387F">
        <w:t> </w:t>
      </w:r>
      <w:r w:rsidR="00B20178" w:rsidRPr="00D5387F">
        <w:t>části</w:t>
      </w:r>
      <w:r w:rsidR="00C134B2" w:rsidRPr="00D5387F">
        <w:t xml:space="preserve">. Jak bylo v práci uvedeno, rejstřík obsahuje u některých zájmových skupin neaktuální údaje například, co se týče financí, popisu činnosti apod. Chybí také jednotnost, které konkrétní údaje </w:t>
      </w:r>
      <w:r w:rsidR="003F6215" w:rsidRPr="00D5387F">
        <w:t>(</w:t>
      </w:r>
      <w:r w:rsidR="00C134B2" w:rsidRPr="00D5387F">
        <w:t>za jaké období a do jaké šíře</w:t>
      </w:r>
      <w:r w:rsidR="003F6215" w:rsidRPr="00D5387F">
        <w:t>)</w:t>
      </w:r>
      <w:r w:rsidR="00C134B2" w:rsidRPr="00D5387F">
        <w:t xml:space="preserve"> se mají do rejstříku </w:t>
      </w:r>
      <w:r w:rsidR="003F6215" w:rsidRPr="00D5387F">
        <w:t>vyplňovat</w:t>
      </w:r>
      <w:r w:rsidR="00C134B2" w:rsidRPr="00D5387F">
        <w:t>. V rejstříku uvedené údaje sice pracovníkům institucí napomůžou ve vytvoření si určitého přehledu o zájmové skupině, nicméně konkrétnější závěry si pracovník vytvořit nemůže, jelikož nemusí mít odpovídající podklady.</w:t>
      </w:r>
    </w:p>
    <w:p w:rsidR="00601D89" w:rsidRPr="00D5387F" w:rsidRDefault="00E92484" w:rsidP="003F6215">
      <w:r w:rsidRPr="00D5387F">
        <w:t>Analyzovány byly i kodex</w:t>
      </w:r>
      <w:r w:rsidR="003F6215" w:rsidRPr="00D5387F">
        <w:t>y</w:t>
      </w:r>
      <w:r w:rsidRPr="00D5387F">
        <w:t xml:space="preserve">: </w:t>
      </w:r>
      <w:r w:rsidR="008F5D13" w:rsidRPr="00D5387F">
        <w:rPr>
          <w:i/>
        </w:rPr>
        <w:t>Pravidla prostřednictvím kodexů skutečně zavazují a regulují pouze instituce.</w:t>
      </w:r>
      <w:r w:rsidRPr="00D5387F">
        <w:t xml:space="preserve"> </w:t>
      </w:r>
      <w:r w:rsidR="00D31CC6" w:rsidRPr="00D5387F">
        <w:t>Svůj kodex upravující jednání se zájmovými skupinami má EP a Komise. L</w:t>
      </w:r>
      <w:r w:rsidR="003F6215" w:rsidRPr="00D5387F">
        <w:t>obbisté se řídí svým kodexem</w:t>
      </w:r>
      <w:r w:rsidR="00D31CC6" w:rsidRPr="00D5387F">
        <w:t xml:space="preserve"> nebo kodexy svých společností.</w:t>
      </w:r>
      <w:r w:rsidR="0075617E" w:rsidRPr="00D5387F">
        <w:t xml:space="preserve"> Zatímco je lobbistický kodex poměrně strohý a navíc bez jakékoliv sankční regulace, kodexy institucí obsahují velice propracovaná pravidla včetně sankčních mechanismů. Tím se tyto kodexy stávají oproti lobbistickým kodexům skutečně zavazující.</w:t>
      </w:r>
    </w:p>
    <w:p w:rsidR="00601D89" w:rsidRPr="00D5387F" w:rsidRDefault="00E92484" w:rsidP="003F6215">
      <w:r w:rsidRPr="00D5387F">
        <w:t xml:space="preserve">Aktuálním tématem je problém „otáčivých dveří“: </w:t>
      </w:r>
      <w:r w:rsidR="008F5D13" w:rsidRPr="00D5387F">
        <w:rPr>
          <w:i/>
        </w:rPr>
        <w:t>Omezení přecházení bývalých úředníků k lobbistům na dva roky reguluje přísun citlivých informací, které mohou lobbisté zneužít.</w:t>
      </w:r>
      <w:r w:rsidRPr="00D5387F">
        <w:t xml:space="preserve"> </w:t>
      </w:r>
      <w:r w:rsidR="0075617E" w:rsidRPr="00D5387F">
        <w:t xml:space="preserve">Omezení možnosti bývalých úředníků pracovat pro zájmové skupiny je skutečně adekvátní v rozsahu dvou let. Interval je dostatečně dlouhý na to, aby předešel zneužití krátkodobých citlivých informací, kterými bývalý pracovník instituce disponuje. Také </w:t>
      </w:r>
      <w:r w:rsidR="0075617E" w:rsidRPr="00D5387F">
        <w:lastRenderedPageBreak/>
        <w:t>zabraňuje zneužití vytvořených kontaktů.</w:t>
      </w:r>
      <w:r w:rsidR="00C01C42" w:rsidRPr="00D5387F">
        <w:t xml:space="preserve"> Dlouhodobý aspekt v podobě obecných znalostí instituce byl naopak vyhodnocen jako pozitivní pro interakci mezi institucemi a zájmovými skupinami. Nemusí proto být omezován. Z tohoto důvodu není interval delší než dva roky opodstatněný.</w:t>
      </w:r>
    </w:p>
    <w:p w:rsidR="008F0354" w:rsidRPr="00D5387F" w:rsidRDefault="00E92484" w:rsidP="003F6215">
      <w:r w:rsidRPr="00D5387F">
        <w:t xml:space="preserve">S tématem lobbingu úzce souvisí i povinnost regulace: </w:t>
      </w:r>
      <w:r w:rsidR="008F5D13" w:rsidRPr="00D5387F">
        <w:rPr>
          <w:i/>
        </w:rPr>
        <w:t>Prvek povinnosti</w:t>
      </w:r>
      <w:r w:rsidR="00D31CC6" w:rsidRPr="00D5387F">
        <w:rPr>
          <w:i/>
        </w:rPr>
        <w:t>, nebo hrozba jeho uplatnění,</w:t>
      </w:r>
      <w:r w:rsidR="008F5D13" w:rsidRPr="00D5387F">
        <w:rPr>
          <w:i/>
        </w:rPr>
        <w:t xml:space="preserve"> u lobbistů i institucí způsobuje plné podřízení se regulaci.</w:t>
      </w:r>
      <w:r w:rsidRPr="00D5387F">
        <w:t xml:space="preserve"> </w:t>
      </w:r>
      <w:r w:rsidR="008F0354" w:rsidRPr="00D5387F">
        <w:t xml:space="preserve">Povinnost regulace skutečně představuje podřízení se regulaci. V případě povinné regulace lze uplatňovat sankce různého druhu. Pokud jsou sankce adekvátní, způsobují, že subjekty se regulaci podřídí, jelikož se jim nekalé jednání nevyplatí. Nejde však pouze o sankce. I samotný prvek povinnosti má pozitivní vliv na dodržování regulačních mechanismů. Příkladem je </w:t>
      </w:r>
      <w:r w:rsidR="008748B3" w:rsidRPr="00D5387F">
        <w:t>zmínka</w:t>
      </w:r>
      <w:r w:rsidR="008F0354" w:rsidRPr="00D5387F">
        <w:t xml:space="preserve"> Komise o případné revizi rejstříku transparentnosti, pokud se do něj nepřihlásí dostatečné množství zájmových skupin. Ve zmínce zazněla i myšlenka povinného registrování. Důsledkem bylo, že ty zájmové skupiny, které k registraci příliš neinklinovaly, se nakonec registrovaly. Nechtěly totiž žádnou další revizi, která by mohla znamenat povinnost registrace</w:t>
      </w:r>
      <w:r w:rsidR="00CC4138" w:rsidRPr="00D5387F">
        <w:t xml:space="preserve">, a tudíž i větší kontrolu dodržování regulačních systémů a případné sankce. Navíc by mohlo dojít například k upřesnění, jaká finanční data a s jakou podrobností </w:t>
      </w:r>
      <w:r w:rsidR="00F64A95" w:rsidRPr="00D5387F">
        <w:t>je nutnost do rejstříku vkládat, což také nechtěly.</w:t>
      </w:r>
    </w:p>
    <w:p w:rsidR="00E92484" w:rsidRPr="00D5387F" w:rsidRDefault="00EB055C" w:rsidP="003F6215">
      <w:r w:rsidRPr="00D5387F">
        <w:t>U tématu regulace lobbingu v EU lze do budoucna očekávat další vývoj. Spousta otázek ještě není vyjasněna. Patří mezi ně problematika „otáčivých dveří“ nebo také spor mezi povinnosti a dobrovolnosti regulace.</w:t>
      </w:r>
      <w:r w:rsidR="00381DA8" w:rsidRPr="00D5387F">
        <w:t xml:space="preserve"> Rovněž přechod na nový systém regulace v podobě společného rejstříku transparentnosti je stále ještě poměrně čerstvý a teprve jeho delší používání skutečně prokáže jeho kvality a nedostatky. Jako doporučení dalšího výzkumu se nabízí hlubší analýza regulace přecházení bývalých pracovníků institucí k lobbistům a zkoumání dopadů nového rejstříku transparentnosti v průběhu času.</w:t>
      </w:r>
    </w:p>
    <w:p w:rsidR="00B21B40" w:rsidRPr="00D5387F" w:rsidRDefault="00B21B40">
      <w:pPr>
        <w:spacing w:after="0" w:line="240" w:lineRule="auto"/>
        <w:jc w:val="left"/>
      </w:pPr>
      <w:r w:rsidRPr="00D5387F">
        <w:br w:type="page"/>
      </w:r>
    </w:p>
    <w:p w:rsidR="00B21B40" w:rsidRPr="00D5387F" w:rsidRDefault="00B21B40" w:rsidP="00B21B40">
      <w:pPr>
        <w:pStyle w:val="Nadpis1"/>
        <w:numPr>
          <w:ilvl w:val="0"/>
          <w:numId w:val="0"/>
        </w:numPr>
        <w:ind w:left="284" w:hanging="284"/>
      </w:pPr>
      <w:bookmarkStart w:id="69" w:name="_Toc330039568"/>
      <w:r w:rsidRPr="00D5387F">
        <w:lastRenderedPageBreak/>
        <w:t>Prameny</w:t>
      </w:r>
      <w:bookmarkEnd w:id="69"/>
    </w:p>
    <w:p w:rsidR="008D7B90" w:rsidRDefault="008D7B90" w:rsidP="00960B0C">
      <w:pPr>
        <w:spacing w:after="360"/>
        <w:ind w:firstLine="0"/>
        <w:jc w:val="left"/>
      </w:pPr>
      <w:r w:rsidRPr="00BF2AD9">
        <w:rPr>
          <w:i/>
        </w:rPr>
        <w:t xml:space="preserve">An Open and </w:t>
      </w:r>
      <w:r>
        <w:rPr>
          <w:i/>
        </w:rPr>
        <w:t>S</w:t>
      </w:r>
      <w:r w:rsidRPr="00BF2AD9">
        <w:rPr>
          <w:i/>
        </w:rPr>
        <w:t xml:space="preserve">tructured </w:t>
      </w:r>
      <w:r>
        <w:rPr>
          <w:i/>
        </w:rPr>
        <w:t>D</w:t>
      </w:r>
      <w:r w:rsidRPr="00BF2AD9">
        <w:rPr>
          <w:i/>
        </w:rPr>
        <w:t xml:space="preserve">ialogue between the </w:t>
      </w:r>
      <w:r>
        <w:rPr>
          <w:i/>
        </w:rPr>
        <w:t>C</w:t>
      </w:r>
      <w:r w:rsidRPr="00BF2AD9">
        <w:rPr>
          <w:i/>
        </w:rPr>
        <w:t>ommission and</w:t>
      </w:r>
      <w:r>
        <w:rPr>
          <w:i/>
        </w:rPr>
        <w:t xml:space="preserve"> S</w:t>
      </w:r>
      <w:r w:rsidRPr="00BF2AD9">
        <w:rPr>
          <w:i/>
        </w:rPr>
        <w:t>pecial</w:t>
      </w:r>
      <w:r>
        <w:rPr>
          <w:i/>
        </w:rPr>
        <w:t xml:space="preserve"> I</w:t>
      </w:r>
      <w:r w:rsidRPr="00BF2AD9">
        <w:rPr>
          <w:i/>
        </w:rPr>
        <w:t xml:space="preserve">nterest </w:t>
      </w:r>
      <w:r>
        <w:rPr>
          <w:i/>
        </w:rPr>
        <w:t>G</w:t>
      </w:r>
      <w:r w:rsidRPr="00BF2AD9">
        <w:rPr>
          <w:i/>
        </w:rPr>
        <w:t xml:space="preserve">roups </w:t>
      </w:r>
      <w:r>
        <w:t>[online]. Evropská komise, [cit. 26. dubna 2012]. Dostupné na &lt;http://ec.europa.eu/</w:t>
      </w:r>
      <w:r>
        <w:br/>
        <w:t>civil_society/interest_groups/docs/v_en.pdf&gt;.</w:t>
      </w:r>
    </w:p>
    <w:p w:rsidR="008D7B90" w:rsidRDefault="008D7B90" w:rsidP="00960B0C">
      <w:pPr>
        <w:spacing w:after="360"/>
        <w:ind w:firstLine="0"/>
        <w:jc w:val="left"/>
      </w:pPr>
      <w:r w:rsidRPr="00BF2AD9">
        <w:rPr>
          <w:i/>
        </w:rPr>
        <w:t>Code of Conduct for Commissioners</w:t>
      </w:r>
      <w:r>
        <w:t xml:space="preserve"> [online]. Evropská komise, 2011 [cit. 3. února 2012]. Dostupné na &lt;http://ec.europa.eu/commission_2010-2014/pdf/code_conduct_en.pdf&gt;.</w:t>
      </w:r>
    </w:p>
    <w:p w:rsidR="008D7B90" w:rsidRDefault="008D7B90" w:rsidP="00960B0C">
      <w:pPr>
        <w:spacing w:after="360"/>
        <w:ind w:firstLine="0"/>
        <w:jc w:val="left"/>
      </w:pPr>
      <w:r>
        <w:t>Definice zástupců zájmových skupin dostupná na &lt;http://www.europarl.europa.eu/</w:t>
      </w:r>
      <w:r>
        <w:br/>
        <w:t>aboutparliament/cs/0073710a27/P%C5%99ehled.html&gt;.</w:t>
      </w:r>
    </w:p>
    <w:p w:rsidR="008D7B90" w:rsidRDefault="008D7B90" w:rsidP="00960B0C">
      <w:pPr>
        <w:spacing w:after="360"/>
        <w:ind w:firstLine="0"/>
        <w:jc w:val="left"/>
      </w:pPr>
      <w:r>
        <w:t>Dohoda mezi Evropským parlamentem a Evropskou komisí o zřízení Rejstříku transparentnosti pro organizace a osoby samostatně výdělečně činné, jež se podílejí na tvorbě a provádění politiky EU. Úř. věst. L 191, 22. července 2011.</w:t>
      </w:r>
    </w:p>
    <w:p w:rsidR="008D7B90" w:rsidRDefault="008D7B90" w:rsidP="00960B0C">
      <w:pPr>
        <w:spacing w:after="360"/>
        <w:ind w:firstLine="0"/>
        <w:jc w:val="left"/>
      </w:pPr>
      <w:r>
        <w:t>Email od Kerstin Hötzel z 30. dubna 2012.</w:t>
      </w:r>
    </w:p>
    <w:p w:rsidR="008D7B90" w:rsidRDefault="008D7B90" w:rsidP="00960B0C">
      <w:pPr>
        <w:spacing w:after="360"/>
        <w:ind w:firstLine="0"/>
        <w:jc w:val="left"/>
      </w:pPr>
      <w:r>
        <w:t>Email od Koena Rooverse z 29. března 2012.</w:t>
      </w:r>
    </w:p>
    <w:p w:rsidR="008D7B90" w:rsidRDefault="008D7B90" w:rsidP="00960B0C">
      <w:pPr>
        <w:spacing w:after="360"/>
        <w:ind w:firstLine="0"/>
        <w:jc w:val="left"/>
      </w:pPr>
      <w:r>
        <w:t>Email od Marie Barosso Gomes z 27. března 2012.</w:t>
      </w:r>
    </w:p>
    <w:p w:rsidR="008D7B90" w:rsidRDefault="008D7B90" w:rsidP="00960B0C">
      <w:pPr>
        <w:spacing w:after="360"/>
        <w:ind w:firstLine="0"/>
        <w:jc w:val="left"/>
      </w:pPr>
      <w:r w:rsidRPr="00BF2AD9">
        <w:rPr>
          <w:i/>
        </w:rPr>
        <w:t xml:space="preserve">European Governance – A White Paper </w:t>
      </w:r>
      <w:r>
        <w:t>[online]. Evropská komise, 25. července 2001 [cit. 2. května 2012]. Dostupné na &lt;http://eur-lex.europa.eu/LexUriServ/LexUriServ.do?uri=COM:</w:t>
      </w:r>
      <w:r>
        <w:br/>
        <w:t>2001:0428:FIN:EN:PDF&gt;.</w:t>
      </w:r>
    </w:p>
    <w:p w:rsidR="008D7B90" w:rsidRPr="00357BFD" w:rsidRDefault="008D7B90" w:rsidP="00960B0C">
      <w:pPr>
        <w:spacing w:after="360"/>
        <w:ind w:firstLine="0"/>
        <w:jc w:val="left"/>
      </w:pPr>
      <w:r w:rsidRPr="00357BFD">
        <w:t xml:space="preserve">Evropská komise. Bílá kniha o reformě Evropské komise ze dne 1. března 2000. </w:t>
      </w:r>
      <w:r w:rsidRPr="00357BFD">
        <w:rPr>
          <w:i/>
        </w:rPr>
        <w:t>COM(2000) 200</w:t>
      </w:r>
      <w:r w:rsidRPr="00357BFD">
        <w:t>.</w:t>
      </w:r>
    </w:p>
    <w:p w:rsidR="008D7B90" w:rsidRDefault="008D7B90" w:rsidP="00960B0C">
      <w:pPr>
        <w:spacing w:after="360"/>
        <w:ind w:firstLine="0"/>
        <w:jc w:val="left"/>
      </w:pPr>
      <w:r w:rsidRPr="008B6541">
        <w:t xml:space="preserve">Evropská komise. Zelená kniha o iniciativě pro transparentnost ze dne 3. </w:t>
      </w:r>
      <w:r>
        <w:t xml:space="preserve">května 2006. </w:t>
      </w:r>
      <w:r w:rsidRPr="008B6541">
        <w:rPr>
          <w:i/>
        </w:rPr>
        <w:t>KOM(2006) 194</w:t>
      </w:r>
      <w:r w:rsidRPr="008B6541">
        <w:t>.</w:t>
      </w:r>
    </w:p>
    <w:p w:rsidR="008D7B90" w:rsidRDefault="008D7B90" w:rsidP="00960B0C">
      <w:pPr>
        <w:spacing w:after="360"/>
        <w:ind w:firstLine="0"/>
        <w:jc w:val="left"/>
      </w:pPr>
      <w:r w:rsidRPr="00BF2AD9">
        <w:rPr>
          <w:i/>
        </w:rPr>
        <w:lastRenderedPageBreak/>
        <w:t>Interinstitutional Agreement on a Common Transparency Register between the Parliament and the Commission</w:t>
      </w:r>
      <w:r>
        <w:t xml:space="preserve"> [online]. 11. května 2011 [cit. 18. listopadu 2011]. Dostupné na &lt;http://</w:t>
      </w:r>
      <w:r>
        <w:br/>
        <w:t>www.europarl.europa.eu/pdf/lobbyists/2011/P7_TA-PROV(2011)0222_EN.pdf&gt;.</w:t>
      </w:r>
    </w:p>
    <w:p w:rsidR="008D7B90" w:rsidRDefault="008D7B90" w:rsidP="00960B0C">
      <w:pPr>
        <w:spacing w:after="360"/>
        <w:ind w:firstLine="0"/>
        <w:jc w:val="left"/>
      </w:pPr>
      <w:r w:rsidRPr="00BF2AD9">
        <w:rPr>
          <w:i/>
        </w:rPr>
        <w:t>Joint</w:t>
      </w:r>
      <w:r>
        <w:rPr>
          <w:i/>
        </w:rPr>
        <w:t xml:space="preserve"> S</w:t>
      </w:r>
      <w:r w:rsidRPr="00BF2AD9">
        <w:rPr>
          <w:i/>
        </w:rPr>
        <w:t xml:space="preserve">tatement </w:t>
      </w:r>
      <w:r>
        <w:rPr>
          <w:i/>
        </w:rPr>
        <w:t>R</w:t>
      </w:r>
      <w:r w:rsidRPr="00BF2AD9">
        <w:rPr>
          <w:i/>
        </w:rPr>
        <w:t xml:space="preserve">egarding the </w:t>
      </w:r>
      <w:r>
        <w:rPr>
          <w:i/>
        </w:rPr>
        <w:t>P</w:t>
      </w:r>
      <w:r w:rsidRPr="00BF2AD9">
        <w:rPr>
          <w:i/>
        </w:rPr>
        <w:t xml:space="preserve">rogress </w:t>
      </w:r>
      <w:r>
        <w:rPr>
          <w:i/>
        </w:rPr>
        <w:t>A</w:t>
      </w:r>
      <w:r w:rsidRPr="00BF2AD9">
        <w:rPr>
          <w:i/>
        </w:rPr>
        <w:t xml:space="preserve">chieved to </w:t>
      </w:r>
      <w:r>
        <w:rPr>
          <w:i/>
        </w:rPr>
        <w:t>D</w:t>
      </w:r>
      <w:r w:rsidRPr="00BF2AD9">
        <w:rPr>
          <w:i/>
        </w:rPr>
        <w:t>ate</w:t>
      </w:r>
      <w:r>
        <w:t xml:space="preserve"> [online]. High-Level Working Group on a Common Register and Code of Conduct for Lobbyists, 22. dubna 2009 [cit. 23. března 2012]. Dostupné na &lt;http://www.aalep.eu/sites/default/files/documents/Towards%20a%20</w:t>
      </w:r>
      <w:r>
        <w:br/>
        <w:t>Common%20Lobbyists'%20Register%20EC-EP.pdf&gt;.</w:t>
      </w:r>
    </w:p>
    <w:p w:rsidR="008D7B90" w:rsidRDefault="008D7B90" w:rsidP="00960B0C">
      <w:pPr>
        <w:spacing w:after="360"/>
        <w:ind w:firstLine="0"/>
        <w:jc w:val="left"/>
      </w:pPr>
      <w:r w:rsidRPr="00BF2AD9">
        <w:rPr>
          <w:i/>
        </w:rPr>
        <w:t>Kdo by se měl zaregistrovat?</w:t>
      </w:r>
      <w:r>
        <w:t xml:space="preserve"> [online]. Europa.eu. [cit. 4. listopadu 2011]. Dostupné na &lt;http://europa.eu/transparency-register/your-organisation/who-register/index_cs.htm&gt;.</w:t>
      </w:r>
    </w:p>
    <w:p w:rsidR="008D7B90" w:rsidRDefault="008D7B90" w:rsidP="00960B0C">
      <w:pPr>
        <w:spacing w:after="360"/>
        <w:ind w:firstLine="0"/>
        <w:jc w:val="left"/>
      </w:pPr>
      <w:r w:rsidRPr="00BF2AD9">
        <w:rPr>
          <w:i/>
        </w:rPr>
        <w:t>Kodex chování</w:t>
      </w:r>
      <w:r>
        <w:t xml:space="preserve"> [online]. Europa.eu, [cit. 10. listopadu 2011]. Dostupné na &lt;http://europa.eu/</w:t>
      </w:r>
      <w:r>
        <w:br/>
        <w:t>transparency-register/about-register/code-of-conduct/index_cs.htm&gt;.</w:t>
      </w:r>
    </w:p>
    <w:p w:rsidR="008D7B90" w:rsidRDefault="008D7B90" w:rsidP="00960B0C">
      <w:pPr>
        <w:spacing w:after="360"/>
        <w:ind w:firstLine="0"/>
        <w:jc w:val="left"/>
      </w:pPr>
      <w:r w:rsidRPr="00BF2AD9">
        <w:rPr>
          <w:i/>
        </w:rPr>
        <w:t>Kodex chování poslanců Evropského parlamentu v souvislosti s finančními zájmy a střety zájmů</w:t>
      </w:r>
      <w:r>
        <w:t xml:space="preserve"> [online]. Evropský parlament, 23. ledna 2012 [cit. 3. února 2012]. Dostupné na &lt;http://www.europarl.europa.eu/sides/getDoc.do?pubRef=-//EP//TEXT+RULES-EP+</w:t>
      </w:r>
      <w:r>
        <w:br/>
        <w:t>20120110+ANN-01+DOC+XML+V0//CS&amp;navigationBar=YES&gt;.</w:t>
      </w:r>
    </w:p>
    <w:p w:rsidR="008D7B90" w:rsidRDefault="008D7B90" w:rsidP="00960B0C">
      <w:pPr>
        <w:spacing w:after="360"/>
        <w:ind w:firstLine="0"/>
        <w:jc w:val="left"/>
      </w:pPr>
      <w:r w:rsidRPr="00BF2AD9">
        <w:rPr>
          <w:i/>
        </w:rPr>
        <w:t>Lobbying Disclosure Act</w:t>
      </w:r>
      <w:r>
        <w:t xml:space="preserve"> [online]. Lobbying Disclosure, 19. prosince 1995 [cit. 11. března 2012]. Dostupné na &lt;http://lobbyingdisclosure.house.gov/lda.html&gt;.</w:t>
      </w:r>
    </w:p>
    <w:p w:rsidR="008D7B90" w:rsidRDefault="002300B0" w:rsidP="00960B0C">
      <w:pPr>
        <w:spacing w:after="360"/>
        <w:ind w:firstLine="0"/>
        <w:jc w:val="left"/>
      </w:pPr>
      <w:r>
        <w:t>Oficiální</w:t>
      </w:r>
      <w:r w:rsidR="008D7B90">
        <w:t xml:space="preserve"> statistiky rejstříku transparentnosti dostupné na &lt;http://ec.europa.eu/</w:t>
      </w:r>
      <w:r w:rsidR="008D7B90">
        <w:br/>
        <w:t>transparency/docs/reg/statistiques_en.pdf&gt;.</w:t>
      </w:r>
    </w:p>
    <w:p w:rsidR="008D7B90" w:rsidRDefault="008D7B90" w:rsidP="00960B0C">
      <w:pPr>
        <w:spacing w:after="360"/>
        <w:ind w:firstLine="0"/>
        <w:jc w:val="left"/>
      </w:pPr>
      <w:r>
        <w:t>Příloha X Jednacího řádu EP je dostupná na &lt;http://www.europarl.europa.eu/</w:t>
      </w:r>
      <w:r>
        <w:br/>
        <w:t>sides/getDoc.do?pubRef=-//EP//TEXT+RULES-EP+20120521+ANN-10+DOC+XML+V0//</w:t>
      </w:r>
      <w:r>
        <w:br/>
        <w:t>CS&amp;language=CS&amp;navigationBar=YES&gt;.</w:t>
      </w:r>
    </w:p>
    <w:p w:rsidR="008D7B90" w:rsidRDefault="008D7B90" w:rsidP="00960B0C">
      <w:pPr>
        <w:spacing w:after="360"/>
        <w:ind w:firstLine="0"/>
        <w:jc w:val="left"/>
      </w:pPr>
      <w:r>
        <w:t>Registrace zájmové skupiny Germanswatch &lt;http://ec.europa.eu/transparencyregister/</w:t>
      </w:r>
      <w:r>
        <w:br/>
        <w:t>public/consultation/displaylobbyist.do?id=99203901869-52&amp;isListLobbyistView=true&gt;.</w:t>
      </w:r>
    </w:p>
    <w:p w:rsidR="008D7B90" w:rsidRDefault="008D7B90" w:rsidP="00960B0C">
      <w:pPr>
        <w:spacing w:after="360"/>
        <w:ind w:firstLine="0"/>
        <w:jc w:val="left"/>
      </w:pPr>
      <w:r>
        <w:lastRenderedPageBreak/>
        <w:t xml:space="preserve">Registraci zájmové skupiny </w:t>
      </w:r>
      <w:r w:rsidRPr="001E045B">
        <w:t>OGP GAZ-SYSTÉM S.A.</w:t>
      </w:r>
      <w:r>
        <w:t xml:space="preserve"> &lt;http://ec.europa.eu/</w:t>
      </w:r>
      <w:r>
        <w:br/>
        <w:t>transparencyregister/public/consultation/displaylobbyist.do?id=00105537635-20&amp;isList</w:t>
      </w:r>
      <w:r>
        <w:br/>
        <w:t>LobbyistView=true&gt;.</w:t>
      </w:r>
    </w:p>
    <w:p w:rsidR="008D7B90" w:rsidRDefault="008D7B90" w:rsidP="00960B0C">
      <w:pPr>
        <w:spacing w:after="360"/>
        <w:ind w:firstLine="0"/>
        <w:jc w:val="left"/>
      </w:pPr>
      <w:r>
        <w:t>Sdělení Komise – Opatření vyvozená ze Zelené knihy „Evropská iniciativa pro transparentnost“ ze dne 21. března 2007, KOM/2007/0127.</w:t>
      </w:r>
    </w:p>
    <w:p w:rsidR="008D7B90" w:rsidRDefault="008D7B90" w:rsidP="00960B0C">
      <w:pPr>
        <w:spacing w:after="360"/>
        <w:ind w:firstLine="0"/>
        <w:jc w:val="left"/>
      </w:pPr>
      <w:r w:rsidRPr="00EF534A">
        <w:t>The Members of Barroso Commission (2004-2009). European Commission, 16. února 2010 [cit. 26. června 2012]. Dostupné na &lt;http://ec.europa.eu/archives/commission_2004-2009/index_en.htm&gt;.</w:t>
      </w:r>
    </w:p>
    <w:p w:rsidR="008D7B90" w:rsidRPr="00F77F92" w:rsidRDefault="008D7B90" w:rsidP="00960B0C">
      <w:pPr>
        <w:spacing w:after="360"/>
        <w:ind w:firstLine="0"/>
        <w:jc w:val="left"/>
      </w:pPr>
      <w:r w:rsidRPr="00BF2AD9">
        <w:rPr>
          <w:i/>
        </w:rPr>
        <w:t>Žádost o akreditaci u Evropského parlamentu</w:t>
      </w:r>
      <w:r>
        <w:t xml:space="preserve"> [online]. Europa.eu, 4. dubna 2012 [cit. 15. května 2012]. Dostupné na &lt;http://europa.eu/transparency-register/request-ep/</w:t>
      </w:r>
      <w:r>
        <w:br/>
        <w:t>index_cs.htm&gt;.</w:t>
      </w:r>
      <w:r>
        <w:br w:type="page"/>
      </w:r>
    </w:p>
    <w:p w:rsidR="00B21B40" w:rsidRPr="00D5387F" w:rsidRDefault="00B21B40" w:rsidP="00B21B40">
      <w:pPr>
        <w:pStyle w:val="Nadpis1"/>
        <w:numPr>
          <w:ilvl w:val="0"/>
          <w:numId w:val="0"/>
        </w:numPr>
        <w:ind w:left="284" w:hanging="284"/>
      </w:pPr>
      <w:bookmarkStart w:id="70" w:name="_Toc330039569"/>
      <w:r w:rsidRPr="00D5387F">
        <w:lastRenderedPageBreak/>
        <w:t>Literatura</w:t>
      </w:r>
      <w:bookmarkEnd w:id="70"/>
    </w:p>
    <w:p w:rsidR="00960B0C" w:rsidRDefault="00960B0C" w:rsidP="00960B0C">
      <w:pPr>
        <w:spacing w:after="360"/>
        <w:ind w:firstLine="0"/>
        <w:jc w:val="left"/>
      </w:pPr>
      <w:r w:rsidRPr="005417FB">
        <w:rPr>
          <w:i/>
        </w:rPr>
        <w:t xml:space="preserve">Another MEP Exposed in ’Cash for Laws’-Scandal </w:t>
      </w:r>
      <w:r w:rsidRPr="005417FB">
        <w:t>[online]. ECCJ, 28. listopadu 2011 [cit. 25. dubna 2012]. Dostupné na &lt;http://www.corporatejustice.org/another-mep-exposed-in-cash</w:t>
      </w:r>
      <w:r>
        <w:br/>
      </w:r>
      <w:r w:rsidRPr="005417FB">
        <w:t>-for.html?lang=fr&gt;.</w:t>
      </w:r>
    </w:p>
    <w:p w:rsidR="00960B0C" w:rsidRPr="005417FB" w:rsidRDefault="00960B0C" w:rsidP="00960B0C">
      <w:pPr>
        <w:spacing w:after="360"/>
        <w:ind w:firstLine="0"/>
        <w:jc w:val="left"/>
      </w:pPr>
      <w:r w:rsidRPr="005417FB">
        <w:rPr>
          <w:i/>
        </w:rPr>
        <w:t xml:space="preserve">Benchmarks for the EU lobbying transparency register </w:t>
      </w:r>
      <w:r w:rsidRPr="005417FB">
        <w:t>[online]. ALTER-EU, 4. února 2008 [cit. 26. března 2012]. Dostupné na &lt;http://www.alter-eu.org/sites/default/files/documents/</w:t>
      </w:r>
      <w:r>
        <w:br/>
      </w:r>
      <w:r w:rsidRPr="005417FB">
        <w:t>Lobby_register_benchmarks_ALTER-EU_4_February_2008.pdf&gt;.</w:t>
      </w:r>
    </w:p>
    <w:p w:rsidR="00960B0C" w:rsidRPr="005417FB" w:rsidRDefault="00960B0C" w:rsidP="00960B0C">
      <w:pPr>
        <w:spacing w:after="360"/>
        <w:ind w:firstLine="0"/>
        <w:jc w:val="left"/>
      </w:pPr>
      <w:r w:rsidRPr="005417FB">
        <w:rPr>
          <w:i/>
        </w:rPr>
        <w:t xml:space="preserve">Block the Revolving Door! </w:t>
      </w:r>
      <w:r w:rsidRPr="005417FB">
        <w:t>[online]. ALTER-EU, listopad 2011 [cit. 23. března 2012]. Dostupné na &lt;http://www.alter-eu.org/sites/default/files/altereu_rd_faq.pdf&gt;.</w:t>
      </w:r>
    </w:p>
    <w:p w:rsidR="00960B0C" w:rsidRPr="005417FB" w:rsidRDefault="00960B0C" w:rsidP="00960B0C">
      <w:pPr>
        <w:spacing w:after="360"/>
        <w:ind w:firstLine="0"/>
        <w:jc w:val="left"/>
      </w:pPr>
      <w:r w:rsidRPr="005417FB">
        <w:t xml:space="preserve">BRAND, Constant. </w:t>
      </w:r>
      <w:r w:rsidRPr="005417FB">
        <w:rPr>
          <w:i/>
        </w:rPr>
        <w:t xml:space="preserve">Buzek Presents Anti-Sleaze Plan </w:t>
      </w:r>
      <w:r w:rsidRPr="005417FB">
        <w:t>[online]. EuropeanVoice.com, 7. července 2011 [cit. 16. března 2012]. Dostupné na &lt;http://www.europeanvoice.com/article/</w:t>
      </w:r>
      <w:r>
        <w:br/>
      </w:r>
      <w:r w:rsidRPr="005417FB">
        <w:t>imported/buzek-presents-anti-sleaze-plan/71554.aspx&gt;.</w:t>
      </w:r>
    </w:p>
    <w:p w:rsidR="00960B0C" w:rsidRPr="005417FB" w:rsidRDefault="00960B0C" w:rsidP="00960B0C">
      <w:pPr>
        <w:spacing w:after="360"/>
        <w:ind w:firstLine="0"/>
        <w:jc w:val="left"/>
      </w:pPr>
      <w:r w:rsidRPr="005417FB">
        <w:t xml:space="preserve">BRUNELL, Thomas L. The Relationship Between Political Parties and Interest Groups: Explaining Patterns of PAC Contributions to Candidates for Congress. </w:t>
      </w:r>
      <w:r w:rsidRPr="005417FB">
        <w:rPr>
          <w:i/>
        </w:rPr>
        <w:t>Political Research Quarterly</w:t>
      </w:r>
      <w:r w:rsidRPr="005417FB">
        <w:t>, 2005, roč. 58, č. 4, s. 681</w:t>
      </w:r>
      <w:r w:rsidRPr="00F77F92">
        <w:t>–</w:t>
      </w:r>
      <w:r w:rsidRPr="005417FB">
        <w:t>688.</w:t>
      </w:r>
    </w:p>
    <w:p w:rsidR="00960B0C" w:rsidRDefault="00960B0C" w:rsidP="00960B0C">
      <w:pPr>
        <w:spacing w:after="360"/>
        <w:ind w:firstLine="0"/>
        <w:jc w:val="left"/>
      </w:pPr>
      <w:r w:rsidRPr="005417FB">
        <w:t xml:space="preserve">CINGOTTI, Natacha, CLERCK, Paul de. </w:t>
      </w:r>
      <w:r w:rsidRPr="005417FB">
        <w:rPr>
          <w:i/>
        </w:rPr>
        <w:t>Lobbying in Brussels: How Much Do the Top 50 Companies in the EU Spend?</w:t>
      </w:r>
      <w:r w:rsidRPr="005417FB">
        <w:t xml:space="preserve"> [report]. Brussels: Friends</w:t>
      </w:r>
      <w:r>
        <w:t xml:space="preserve"> of the Earth Europe, 2010</w:t>
      </w:r>
      <w:r w:rsidRPr="005417FB">
        <w:t>.</w:t>
      </w:r>
    </w:p>
    <w:p w:rsidR="00960B0C" w:rsidRPr="005417FB" w:rsidRDefault="00960B0C" w:rsidP="00960B0C">
      <w:pPr>
        <w:spacing w:after="360"/>
        <w:ind w:firstLine="0"/>
        <w:jc w:val="left"/>
      </w:pPr>
      <w:r w:rsidRPr="00795433">
        <w:t xml:space="preserve">CINI, Michelle. European Commission Reform and the Origins of the European Transparency Initiative. </w:t>
      </w:r>
      <w:r w:rsidRPr="00795433">
        <w:rPr>
          <w:i/>
        </w:rPr>
        <w:t>Journal of European Public Policy</w:t>
      </w:r>
      <w:r w:rsidRPr="00795433">
        <w:t>, 2008, roč. 15, č. 5, s. 743</w:t>
      </w:r>
      <w:r w:rsidRPr="00F77F92">
        <w:t>–</w:t>
      </w:r>
      <w:r w:rsidRPr="00795433">
        <w:t>760.</w:t>
      </w:r>
    </w:p>
    <w:p w:rsidR="00960B0C" w:rsidRPr="005417FB" w:rsidRDefault="00960B0C" w:rsidP="00960B0C">
      <w:pPr>
        <w:spacing w:after="360"/>
        <w:ind w:firstLine="0"/>
        <w:jc w:val="left"/>
      </w:pPr>
      <w:r w:rsidRPr="005417FB">
        <w:t xml:space="preserve">CLAUSEN, Jens. </w:t>
      </w:r>
      <w:r w:rsidRPr="005417FB">
        <w:rPr>
          <w:i/>
        </w:rPr>
        <w:t>Revolving Door Provides Privileged Access: Why the European Commission Needs a Stricter Code of Conduct</w:t>
      </w:r>
      <w:r>
        <w:t>. Brussels: ALTER-EU, 2011</w:t>
      </w:r>
      <w:r w:rsidRPr="005417FB">
        <w:t>.</w:t>
      </w:r>
    </w:p>
    <w:p w:rsidR="00960B0C" w:rsidRDefault="00960B0C" w:rsidP="00960B0C">
      <w:pPr>
        <w:spacing w:after="360"/>
        <w:ind w:firstLine="0"/>
        <w:jc w:val="left"/>
      </w:pPr>
      <w:r w:rsidRPr="0025097A">
        <w:t>Crucial Lessons to be Learned From the McCreevy Scandal [online]. CEO, 18. října 2010 [cit. 23. června 2012]. Dostupné na &lt;http://www.corporateeurope.org/sites/default/files/sites/</w:t>
      </w:r>
      <w:r>
        <w:t xml:space="preserve"> </w:t>
      </w:r>
      <w:r w:rsidRPr="0025097A">
        <w:t>default/files/files/article/Lessons_learned_with_links.pdf&gt;.</w:t>
      </w:r>
    </w:p>
    <w:p w:rsidR="00960B0C" w:rsidRPr="005417FB" w:rsidRDefault="00960B0C" w:rsidP="00960B0C">
      <w:pPr>
        <w:spacing w:after="360"/>
        <w:ind w:firstLine="0"/>
        <w:jc w:val="left"/>
      </w:pPr>
      <w:r w:rsidRPr="005417FB">
        <w:rPr>
          <w:i/>
        </w:rPr>
        <w:lastRenderedPageBreak/>
        <w:t xml:space="preserve">Exkomisař lobbyistou? Žádný problém </w:t>
      </w:r>
      <w:r w:rsidRPr="005417FB">
        <w:t>[online]. Euroskop.cz, 19. ledna 2011 [cit. 16. března 2012]. Dostupné na &lt;http://www.euroskop.cz/8955/18190/clanek/exkomisar-lobbyistou-zadny-problem&gt;.</w:t>
      </w:r>
    </w:p>
    <w:p w:rsidR="00960B0C" w:rsidRPr="005417FB" w:rsidRDefault="00960B0C" w:rsidP="00960B0C">
      <w:pPr>
        <w:spacing w:after="360"/>
        <w:ind w:firstLine="0"/>
        <w:jc w:val="left"/>
      </w:pPr>
      <w:r w:rsidRPr="005417FB">
        <w:t xml:space="preserve">GREENWOOD, Justin. </w:t>
      </w:r>
      <w:r w:rsidRPr="005417FB">
        <w:rPr>
          <w:i/>
        </w:rPr>
        <w:t>Representing Interest in the European Union</w:t>
      </w:r>
      <w:r w:rsidRPr="005417FB">
        <w:t>. Basingstoke: Maxmilian Press, 1</w:t>
      </w:r>
      <w:r>
        <w:t>997</w:t>
      </w:r>
      <w:r w:rsidRPr="005417FB">
        <w:t>.</w:t>
      </w:r>
    </w:p>
    <w:p w:rsidR="00960B0C" w:rsidRPr="005417FB" w:rsidRDefault="00960B0C" w:rsidP="00960B0C">
      <w:pPr>
        <w:spacing w:after="360"/>
        <w:ind w:firstLine="0"/>
        <w:jc w:val="left"/>
      </w:pPr>
      <w:r w:rsidRPr="005417FB">
        <w:t xml:space="preserve">HOLMAN, Craig, LUNEBURG, William. </w:t>
      </w:r>
      <w:r w:rsidRPr="005417FB">
        <w:rPr>
          <w:i/>
        </w:rPr>
        <w:t>Lobbying and Transparency: A Comparative Analysis of Regulatory Reform</w:t>
      </w:r>
      <w:r w:rsidRPr="005417FB">
        <w:t xml:space="preserve"> [online]. Interest Groups &amp; Advocacy, 20. března 2012 [cit. 2. června 2012], Dostupné na &lt;http://www.palgrave-journals.com/iga/journal/v1/n1/full/</w:t>
      </w:r>
      <w:r>
        <w:br/>
      </w:r>
      <w:r w:rsidRPr="005417FB">
        <w:t>iga20124a.html&gt;.</w:t>
      </w:r>
    </w:p>
    <w:p w:rsidR="00960B0C" w:rsidRPr="005417FB" w:rsidRDefault="00960B0C" w:rsidP="00960B0C">
      <w:pPr>
        <w:spacing w:after="360"/>
        <w:ind w:firstLine="0"/>
        <w:jc w:val="left"/>
      </w:pPr>
      <w:r w:rsidRPr="005417FB">
        <w:t xml:space="preserve">HREBENAR, Ronald J., McBETH, Courtney H., MORGAN, Bryson B. Interests and lobbying in Lithuania: A spectrum of development. </w:t>
      </w:r>
      <w:r w:rsidRPr="005417FB">
        <w:rPr>
          <w:i/>
        </w:rPr>
        <w:t>Journal of Public Affairs</w:t>
      </w:r>
      <w:r w:rsidRPr="005417FB">
        <w:t>, 2008, roč. 8, č. 1-2, s. 51</w:t>
      </w:r>
      <w:r w:rsidRPr="00F77F92">
        <w:t>–</w:t>
      </w:r>
      <w:r w:rsidRPr="005417FB">
        <w:t>65.</w:t>
      </w:r>
    </w:p>
    <w:p w:rsidR="00960B0C" w:rsidRDefault="00960B0C" w:rsidP="00960B0C">
      <w:pPr>
        <w:spacing w:after="360"/>
        <w:ind w:firstLine="0"/>
        <w:jc w:val="left"/>
      </w:pPr>
      <w:r w:rsidRPr="00293944">
        <w:t>CHABANET, Didier</w:t>
      </w:r>
      <w:r w:rsidRPr="00293944">
        <w:rPr>
          <w:i/>
        </w:rPr>
        <w:t>. The Regulation of Interest Groups in the EU</w:t>
      </w:r>
      <w:r w:rsidRPr="00293944">
        <w:t xml:space="preserve"> [zpráva]. Mannheim: CONN</w:t>
      </w:r>
      <w:r>
        <w:t>EX Research Group 4, 2006</w:t>
      </w:r>
      <w:r w:rsidRPr="00293944">
        <w:t>.</w:t>
      </w:r>
    </w:p>
    <w:p w:rsidR="00960B0C" w:rsidRDefault="00960B0C" w:rsidP="00960B0C">
      <w:pPr>
        <w:spacing w:after="360"/>
        <w:ind w:firstLine="0"/>
        <w:jc w:val="left"/>
      </w:pPr>
      <w:r>
        <w:t xml:space="preserve">CHARI, Ráj, MURPHY, Gary, HOGAN, John. Regulating Lobbyists: A Comparative Analysis of the United States, Canada, Germany and the European Union. </w:t>
      </w:r>
      <w:r w:rsidRPr="00FF6591">
        <w:rPr>
          <w:i/>
        </w:rPr>
        <w:t>The Political Quarterly</w:t>
      </w:r>
      <w:r>
        <w:t>, 2007, roč. 78, č. 3, s. 422-438.</w:t>
      </w:r>
    </w:p>
    <w:p w:rsidR="00960B0C" w:rsidRDefault="00960B0C" w:rsidP="00960B0C">
      <w:pPr>
        <w:spacing w:after="360"/>
        <w:ind w:firstLine="0"/>
        <w:jc w:val="left"/>
      </w:pPr>
      <w:r>
        <w:t xml:space="preserve">CHARI, Raj, MURPHY, Gary. </w:t>
      </w:r>
      <w:r w:rsidRPr="00FF6591">
        <w:rPr>
          <w:i/>
        </w:rPr>
        <w:t xml:space="preserve">Examining and Assessing the Regulation of Lobbyists in Canada, the USA, the EU </w:t>
      </w:r>
      <w:r>
        <w:rPr>
          <w:i/>
        </w:rPr>
        <w:t>I</w:t>
      </w:r>
      <w:r w:rsidRPr="00FF6591">
        <w:rPr>
          <w:i/>
        </w:rPr>
        <w:t>nstitutions, and Germany: A Report for the Department of the Environment, Heritage and Local Government</w:t>
      </w:r>
      <w:r>
        <w:t>. Dublin: Department of the Environment, Heritage and Local Government and Trinity College, 2006.</w:t>
      </w:r>
    </w:p>
    <w:p w:rsidR="00960B0C" w:rsidRPr="005417FB" w:rsidRDefault="00960B0C" w:rsidP="00960B0C">
      <w:pPr>
        <w:spacing w:after="360"/>
        <w:ind w:firstLine="0"/>
        <w:jc w:val="left"/>
      </w:pPr>
      <w:r w:rsidRPr="005417FB">
        <w:t xml:space="preserve">CHARI, Raj, O´DONOVAN, Daniel Hillebrand. </w:t>
      </w:r>
      <w:r w:rsidRPr="005417FB">
        <w:rPr>
          <w:i/>
        </w:rPr>
        <w:t>Lobbying the European Commission: Open or Secret?</w:t>
      </w:r>
      <w:r w:rsidRPr="005417FB">
        <w:t xml:space="preserve"> [pracovní dokument]. M</w:t>
      </w:r>
      <w:r>
        <w:t>adrid: Institute Imdea, 2010</w:t>
      </w:r>
      <w:r w:rsidRPr="005417FB">
        <w:t>.</w:t>
      </w:r>
    </w:p>
    <w:p w:rsidR="00960B0C" w:rsidRPr="005417FB" w:rsidRDefault="00960B0C" w:rsidP="00960B0C">
      <w:pPr>
        <w:spacing w:after="360"/>
        <w:ind w:firstLine="0"/>
        <w:jc w:val="left"/>
      </w:pPr>
      <w:r w:rsidRPr="005417FB">
        <w:rPr>
          <w:i/>
        </w:rPr>
        <w:t xml:space="preserve">Insight: Fourth MEP Taped in 'Cash-for-Laws' Scandal </w:t>
      </w:r>
      <w:r w:rsidRPr="005417FB">
        <w:t>[online]. Sunday Times, 27. března 2011 [cit. 23. listopadu 2011]. Dostupné na &lt;http://www.thesundaytimes.co.uk/sto/news/</w:t>
      </w:r>
      <w:r>
        <w:br/>
      </w:r>
      <w:r w:rsidRPr="005417FB">
        <w:t>insight/article587934.ece&gt;.</w:t>
      </w:r>
    </w:p>
    <w:p w:rsidR="00960B0C" w:rsidRPr="005417FB" w:rsidRDefault="00960B0C" w:rsidP="00960B0C">
      <w:pPr>
        <w:spacing w:after="360"/>
        <w:ind w:firstLine="0"/>
        <w:jc w:val="left"/>
      </w:pPr>
      <w:r w:rsidRPr="005417FB">
        <w:rPr>
          <w:i/>
        </w:rPr>
        <w:lastRenderedPageBreak/>
        <w:t xml:space="preserve">Joint working group on mandatory lobbyists register </w:t>
      </w:r>
      <w:r w:rsidRPr="005417FB">
        <w:t>[online</w:t>
      </w:r>
      <w:r>
        <w:t>]. The Brussels Connection, 16. </w:t>
      </w:r>
      <w:r w:rsidRPr="005417FB">
        <w:t>prosince 2008 [cit. 13. listopadu 2011]. Dostupné na &lt;http://www.thebrusselsconnection.be/tbc/?page=detail&amp;id=623&amp;root=3&gt;.</w:t>
      </w:r>
    </w:p>
    <w:p w:rsidR="00960B0C" w:rsidRPr="00E410FC" w:rsidRDefault="00960B0C" w:rsidP="00960B0C">
      <w:pPr>
        <w:spacing w:after="360"/>
        <w:ind w:firstLine="0"/>
        <w:jc w:val="left"/>
      </w:pPr>
      <w:r w:rsidRPr="00E410FC">
        <w:t xml:space="preserve">JUDGE David, EARNSHAW, David. No Simple Dichotomies: Lobbyists and the European Parliament. </w:t>
      </w:r>
      <w:r w:rsidRPr="00E410FC">
        <w:rPr>
          <w:i/>
        </w:rPr>
        <w:t>The Journal of Legislative Studies</w:t>
      </w:r>
      <w:r w:rsidRPr="00E410FC">
        <w:t>, 2002, roč. 8, č. 4, s. 61–79.</w:t>
      </w:r>
    </w:p>
    <w:p w:rsidR="00960B0C" w:rsidRDefault="00960B0C" w:rsidP="00960B0C">
      <w:pPr>
        <w:spacing w:after="360"/>
        <w:ind w:firstLine="0"/>
        <w:jc w:val="left"/>
      </w:pPr>
      <w:r w:rsidRPr="00AE2D35">
        <w:t>KALNI</w:t>
      </w:r>
      <w:r>
        <w:t>N</w:t>
      </w:r>
      <w:r w:rsidRPr="00AE2D35">
        <w:t xml:space="preserve">Š, Valts. </w:t>
      </w:r>
      <w:r w:rsidRPr="00AE2D35">
        <w:rPr>
          <w:i/>
        </w:rPr>
        <w:t>Parliamentary Lobbying between Civil Rights and Corruption: An Insight into Lobbying Practice in Latvia and Recommendations for the Saeima, Latvian Institute of International Affairs</w:t>
      </w:r>
      <w:r w:rsidRPr="00AE2D35">
        <w:t>. Riga: Centre for Public Policy PROVIDUS, 2005.</w:t>
      </w:r>
      <w:r w:rsidRPr="008900FF">
        <w:t xml:space="preserve">KOHLER-KOCH, Beate. Organized Interests in the EC and the European Parliament. </w:t>
      </w:r>
      <w:r w:rsidRPr="008900FF">
        <w:rPr>
          <w:i/>
        </w:rPr>
        <w:t>EIoP</w:t>
      </w:r>
      <w:r w:rsidRPr="008900FF">
        <w:t xml:space="preserve">, 1997, roč. 1, č. 9, s. </w:t>
      </w:r>
      <w:r>
        <w:t>1–17</w:t>
      </w:r>
      <w:r w:rsidRPr="008900FF">
        <w:t>.</w:t>
      </w:r>
    </w:p>
    <w:p w:rsidR="00960B0C" w:rsidRPr="005417FB" w:rsidRDefault="00960B0C" w:rsidP="00960B0C">
      <w:pPr>
        <w:spacing w:after="360"/>
        <w:ind w:firstLine="0"/>
        <w:jc w:val="left"/>
      </w:pPr>
      <w:r w:rsidRPr="002F3686">
        <w:t xml:space="preserve">KLÜVER, Heike. Informational Lobbying in the European Union: Explaining </w:t>
      </w:r>
      <w:r>
        <w:t>I</w:t>
      </w:r>
      <w:r w:rsidRPr="002F3686">
        <w:t>nformation Supply to the European Commission. Oxford: U</w:t>
      </w:r>
      <w:r>
        <w:t>niversity of Oxford, 2011</w:t>
      </w:r>
      <w:r w:rsidRPr="002F3686">
        <w:t>.</w:t>
      </w:r>
    </w:p>
    <w:p w:rsidR="00960B0C" w:rsidRPr="005417FB" w:rsidRDefault="00960B0C" w:rsidP="00960B0C">
      <w:pPr>
        <w:spacing w:after="360"/>
        <w:ind w:firstLine="0"/>
        <w:jc w:val="left"/>
      </w:pPr>
      <w:r w:rsidRPr="005417FB">
        <w:rPr>
          <w:i/>
        </w:rPr>
        <w:t xml:space="preserve">Komise revidovala Kodex chování komisařů </w:t>
      </w:r>
      <w:r w:rsidRPr="005417FB">
        <w:t xml:space="preserve">[online]. Evropská </w:t>
      </w:r>
      <w:r>
        <w:t>komise, 20. dubna 2011 [cit. 3. </w:t>
      </w:r>
      <w:r w:rsidRPr="005417FB">
        <w:t>února 2012]. Dostupné na &lt;http://ec.europa.eu/ceskarepublika/press/press_releases/</w:t>
      </w:r>
      <w:r>
        <w:br/>
      </w:r>
      <w:r w:rsidRPr="005417FB">
        <w:t>11_498_cs.htm&gt;.</w:t>
      </w:r>
    </w:p>
    <w:p w:rsidR="00960B0C" w:rsidRPr="005417FB" w:rsidRDefault="00960B0C" w:rsidP="00960B0C">
      <w:pPr>
        <w:spacing w:after="360"/>
        <w:ind w:firstLine="0"/>
        <w:jc w:val="left"/>
      </w:pPr>
      <w:r w:rsidRPr="005417FB">
        <w:t xml:space="preserve">KRETSCHMER, Heiko, SCHMEDES, Hans-Jörg. Enhancing Transparency in EU Lobbying? How the European Commission´s Lack of Courage and Determination Impedes Substantial Progress. </w:t>
      </w:r>
      <w:r w:rsidRPr="005417FB">
        <w:rPr>
          <w:i/>
        </w:rPr>
        <w:t>Internationale Politik und Gesellschaft</w:t>
      </w:r>
      <w:r w:rsidRPr="005417FB">
        <w:t>, 2010, č.</w:t>
      </w:r>
      <w:r>
        <w:t xml:space="preserve"> </w:t>
      </w:r>
      <w:r w:rsidRPr="005417FB">
        <w:t>1, s. 112</w:t>
      </w:r>
      <w:r w:rsidRPr="00F77F92">
        <w:t>–</w:t>
      </w:r>
      <w:r w:rsidRPr="005417FB">
        <w:t>122.</w:t>
      </w:r>
    </w:p>
    <w:p w:rsidR="00960B0C" w:rsidRPr="005417FB" w:rsidRDefault="00960B0C" w:rsidP="00960B0C">
      <w:pPr>
        <w:spacing w:after="360"/>
        <w:ind w:firstLine="0"/>
        <w:jc w:val="left"/>
      </w:pPr>
      <w:r w:rsidRPr="005417FB">
        <w:t xml:space="preserve">LABOUTKOVÁ, Šárka, ŽÁK, Milan. Lobbování v Evropské unii a České republice. </w:t>
      </w:r>
      <w:r w:rsidRPr="005417FB">
        <w:rPr>
          <w:i/>
        </w:rPr>
        <w:t>Politická ekonomie</w:t>
      </w:r>
      <w:r w:rsidRPr="005417FB">
        <w:t>, 2010, č. 5, s. 579</w:t>
      </w:r>
      <w:r w:rsidRPr="00F77F92">
        <w:t>–</w:t>
      </w:r>
      <w:r w:rsidRPr="005417FB">
        <w:t>59</w:t>
      </w:r>
      <w:r>
        <w:t>5</w:t>
      </w:r>
      <w:r w:rsidRPr="005417FB">
        <w:t>.</w:t>
      </w:r>
    </w:p>
    <w:p w:rsidR="00960B0C" w:rsidRPr="005417FB" w:rsidRDefault="00960B0C" w:rsidP="00960B0C">
      <w:pPr>
        <w:spacing w:after="360"/>
        <w:ind w:firstLine="0"/>
        <w:jc w:val="left"/>
      </w:pPr>
      <w:r w:rsidRPr="005417FB">
        <w:t xml:space="preserve">LEHMANN, Wilhelm, BOSCHE, Lars. </w:t>
      </w:r>
      <w:r w:rsidRPr="005417FB">
        <w:rPr>
          <w:i/>
        </w:rPr>
        <w:t>Lobbying in the European Union: Current Rules and Practices</w:t>
      </w:r>
      <w:r w:rsidRPr="005417FB">
        <w:t xml:space="preserve"> [</w:t>
      </w:r>
      <w:r w:rsidRPr="00293944">
        <w:t>pracovní dokument</w:t>
      </w:r>
      <w:r w:rsidRPr="005417FB">
        <w:t>]. European Parliamen</w:t>
      </w:r>
      <w:r>
        <w:t>t – DG for Research, 2003</w:t>
      </w:r>
      <w:r w:rsidRPr="005417FB">
        <w:t>.</w:t>
      </w:r>
    </w:p>
    <w:p w:rsidR="00960B0C" w:rsidRPr="005417FB" w:rsidRDefault="00960B0C" w:rsidP="00960B0C">
      <w:pPr>
        <w:spacing w:after="360"/>
        <w:ind w:firstLine="0"/>
        <w:jc w:val="left"/>
      </w:pPr>
      <w:r w:rsidRPr="005417FB">
        <w:rPr>
          <w:i/>
        </w:rPr>
        <w:t xml:space="preserve">Lobbing in the EU: An Overview </w:t>
      </w:r>
      <w:r w:rsidRPr="005417FB">
        <w:t>[online]. EU Inside, září 2008 [cit. 26. března 2012]. Dostupné na &lt;http://www.eurunion.org/News/eunewsletters/EUInsight/2008/EUInsight-Lobbying-Sept08.pdf&gt;.</w:t>
      </w:r>
    </w:p>
    <w:p w:rsidR="00960B0C" w:rsidRPr="005417FB" w:rsidRDefault="00960B0C" w:rsidP="00960B0C">
      <w:pPr>
        <w:spacing w:after="360"/>
        <w:ind w:firstLine="0"/>
        <w:jc w:val="left"/>
      </w:pPr>
      <w:r w:rsidRPr="005417FB">
        <w:rPr>
          <w:i/>
        </w:rPr>
        <w:lastRenderedPageBreak/>
        <w:t xml:space="preserve">Lobbying in a Democratic Society (European Code of Conduct on Lobbying) </w:t>
      </w:r>
      <w:r w:rsidRPr="005417FB">
        <w:t>[online]. Parliamentary Assembly, 5. června 2009 [cit. 17. listopadu 2011]. Dostupné na &lt;http://assembly.coe.int/Main.asp?link=/Documents/WorkingDocs/Doc09/</w:t>
      </w:r>
      <w:r>
        <w:br/>
      </w:r>
      <w:r w:rsidRPr="005417FB">
        <w:t>EDOC11937.htm&gt;.</w:t>
      </w:r>
    </w:p>
    <w:p w:rsidR="00960B0C" w:rsidRDefault="00960B0C" w:rsidP="00960B0C">
      <w:pPr>
        <w:spacing w:after="360"/>
        <w:ind w:firstLine="0"/>
        <w:jc w:val="left"/>
      </w:pPr>
      <w:r w:rsidRPr="00502173">
        <w:t>McCREEVY, Charli</w:t>
      </w:r>
      <w:r>
        <w:t xml:space="preserve">e. The Credit Crisis – Looking Ahead, </w:t>
      </w:r>
      <w:bookmarkStart w:id="71" w:name="OLE_LINK39"/>
      <w:bookmarkStart w:id="72" w:name="OLE_LINK40"/>
      <w:r>
        <w:t>S</w:t>
      </w:r>
      <w:r w:rsidRPr="00502173">
        <w:t xml:space="preserve">peech at the Institute </w:t>
      </w:r>
      <w:bookmarkEnd w:id="71"/>
      <w:bookmarkEnd w:id="72"/>
      <w:r w:rsidRPr="00502173">
        <w:t>of International &amp; European Affairs [online]. Europa – Press Relases RAPID, 9 February 2009 [cit. 23. června 2012]. Dostupné na &lt;http://europa.eu/rapid/pressReleasesAction.do?reference=SPEECH/09/41&amp;type=HTML&gt;.</w:t>
      </w:r>
    </w:p>
    <w:p w:rsidR="00960B0C" w:rsidRPr="005417FB" w:rsidRDefault="00960B0C" w:rsidP="00960B0C">
      <w:pPr>
        <w:spacing w:after="360"/>
        <w:ind w:firstLine="0"/>
        <w:jc w:val="left"/>
      </w:pPr>
      <w:r w:rsidRPr="005417FB">
        <w:t xml:space="preserve">MÜLLER, Karel B. </w:t>
      </w:r>
      <w:r w:rsidRPr="005417FB">
        <w:rPr>
          <w:i/>
        </w:rPr>
        <w:t>Lobbing v moderních demokraciích</w:t>
      </w:r>
      <w:r w:rsidRPr="005417FB">
        <w:t>. Prah</w:t>
      </w:r>
      <w:r>
        <w:t>a: Grada Publishing, 2010</w:t>
      </w:r>
      <w:r w:rsidRPr="005417FB">
        <w:t>.</w:t>
      </w:r>
    </w:p>
    <w:p w:rsidR="00960B0C" w:rsidRPr="005417FB" w:rsidRDefault="00960B0C" w:rsidP="00960B0C">
      <w:pPr>
        <w:spacing w:after="360"/>
        <w:ind w:firstLine="0"/>
        <w:jc w:val="left"/>
      </w:pPr>
      <w:r w:rsidRPr="005417FB">
        <w:rPr>
          <w:i/>
        </w:rPr>
        <w:t xml:space="preserve">Nový kodex chování poslanců Evropského parlamentu přijat </w:t>
      </w:r>
      <w:r w:rsidRPr="005417FB">
        <w:t>[online]. Evropský parlament, 1. prosince 2011 [cit. 23. března 2012]. Dostupné na &lt;http://www.europarl.europa.eu/news/</w:t>
      </w:r>
      <w:r>
        <w:br/>
      </w:r>
      <w:r w:rsidRPr="005417FB">
        <w:t>cs/pressroom/content/20111201IPR32927/html/Nov%C3%BD-kodex-chov%C3%A1n%C3</w:t>
      </w:r>
      <w:r>
        <w:br/>
      </w:r>
      <w:r w:rsidRPr="005417FB">
        <w:t>%AD-poslanc%C5%AF-Evropsk%C3%A9ho-parlamentu-p%C5%99ijat&gt;.</w:t>
      </w:r>
    </w:p>
    <w:p w:rsidR="00960B0C" w:rsidRPr="005417FB" w:rsidRDefault="00960B0C" w:rsidP="00960B0C">
      <w:pPr>
        <w:spacing w:after="360"/>
        <w:ind w:firstLine="0"/>
        <w:jc w:val="left"/>
      </w:pPr>
      <w:r w:rsidRPr="005417FB">
        <w:t xml:space="preserve">PAULET, Martine. </w:t>
      </w:r>
      <w:r w:rsidRPr="005417FB">
        <w:rPr>
          <w:i/>
        </w:rPr>
        <w:t xml:space="preserve">How the European Union Works and How to Influence Its Policies </w:t>
      </w:r>
      <w:r w:rsidRPr="005417FB">
        <w:t>[online]. Euro-IR Project, [cit. 11. května 2012]. Dostupné na &lt;http://europe.rights.apc.org/eu/</w:t>
      </w:r>
      <w:r>
        <w:br/>
      </w:r>
      <w:r w:rsidRPr="005417FB">
        <w:t>eurolob.html&gt;.</w:t>
      </w:r>
    </w:p>
    <w:p w:rsidR="00960B0C" w:rsidRDefault="00960B0C" w:rsidP="00960B0C">
      <w:pPr>
        <w:spacing w:after="360"/>
        <w:ind w:firstLine="0"/>
        <w:jc w:val="left"/>
      </w:pPr>
      <w:r w:rsidRPr="000B3DD5">
        <w:t>PHILLIPS, Leigh. EU Commission Clears McCreevy for Ryanair Post [online]. EUobserver.com, 5. května 2010 [cit. 23. června 2012]. Dostupné na &lt;http://euobserver.com/18/30010&gt;.</w:t>
      </w:r>
    </w:p>
    <w:p w:rsidR="00960B0C" w:rsidRPr="005417FB" w:rsidRDefault="00960B0C" w:rsidP="00960B0C">
      <w:pPr>
        <w:spacing w:after="360"/>
        <w:ind w:firstLine="0"/>
        <w:jc w:val="left"/>
      </w:pPr>
      <w:r w:rsidRPr="005417FB">
        <w:t>PITROVÁ, Markéta, KUBOVÁ, Radana. Regulace procesu prosazování zájm</w:t>
      </w:r>
      <w:r>
        <w:t>ů v Evrop</w:t>
      </w:r>
      <w:r w:rsidRPr="005417FB">
        <w:t>s</w:t>
      </w:r>
      <w:r>
        <w:t>k</w:t>
      </w:r>
      <w:r w:rsidRPr="005417FB">
        <w:t xml:space="preserve">é unii: Lobbistické kodexy chování. </w:t>
      </w:r>
      <w:r w:rsidRPr="005417FB">
        <w:rPr>
          <w:i/>
        </w:rPr>
        <w:t>Mezinárodní vztahy</w:t>
      </w:r>
      <w:r>
        <w:t>, 2010, roč. 45, č. 3, s. 30</w:t>
      </w:r>
      <w:r w:rsidRPr="00F77F92">
        <w:t>–</w:t>
      </w:r>
      <w:r>
        <w:t>54</w:t>
      </w:r>
      <w:r w:rsidRPr="005417FB">
        <w:t>.</w:t>
      </w:r>
    </w:p>
    <w:p w:rsidR="00960B0C" w:rsidRPr="005417FB" w:rsidRDefault="00960B0C" w:rsidP="00960B0C">
      <w:pPr>
        <w:spacing w:after="360"/>
        <w:ind w:firstLine="0"/>
        <w:jc w:val="left"/>
      </w:pPr>
      <w:r w:rsidRPr="005417FB">
        <w:t xml:space="preserve">PITROVÁ, Markéta, ZATLOUKALOVÁ, Jana. Rejstřík zástupců zájmových skupin Evropské komise: očekávání a skutečnost. </w:t>
      </w:r>
      <w:r w:rsidRPr="005417FB">
        <w:rPr>
          <w:i/>
        </w:rPr>
        <w:t>Politologický časopis</w:t>
      </w:r>
      <w:r w:rsidRPr="005417FB">
        <w:t>, 2011, roč. 18, č. 3, s. 274-299.</w:t>
      </w:r>
    </w:p>
    <w:p w:rsidR="00960B0C" w:rsidRPr="005417FB" w:rsidRDefault="00960B0C" w:rsidP="00960B0C">
      <w:pPr>
        <w:spacing w:after="360"/>
        <w:ind w:firstLine="0"/>
        <w:jc w:val="left"/>
      </w:pPr>
      <w:r w:rsidRPr="005417FB">
        <w:t xml:space="preserve">RASMUSSEN, Maja Kluger. </w:t>
      </w:r>
      <w:r w:rsidRPr="005417FB">
        <w:rPr>
          <w:i/>
        </w:rPr>
        <w:t>Lobbying the European Parliament: A Necessary Evil</w:t>
      </w:r>
      <w:r w:rsidRPr="005417FB">
        <w:t xml:space="preserve"> [online]. CEPS, květen 2011 [cit. 17. února 2012]. Dostupné na &lt;www.ceps.eu/ceps/download/5533&gt;.</w:t>
      </w:r>
    </w:p>
    <w:p w:rsidR="00960B0C" w:rsidRPr="005417FB" w:rsidRDefault="00960B0C" w:rsidP="00960B0C">
      <w:pPr>
        <w:spacing w:after="360"/>
        <w:ind w:firstLine="0"/>
        <w:jc w:val="left"/>
      </w:pPr>
      <w:r w:rsidRPr="005417FB">
        <w:lastRenderedPageBreak/>
        <w:t xml:space="preserve">SEBAG, Gaspard. </w:t>
      </w:r>
      <w:r w:rsidRPr="005417FB">
        <w:rPr>
          <w:i/>
        </w:rPr>
        <w:t xml:space="preserve">Joint Transparency Register Gets off Ground </w:t>
      </w:r>
      <w:r>
        <w:t>[online]. Europolitics, 23. </w:t>
      </w:r>
      <w:r w:rsidRPr="005417FB">
        <w:t>června 2011 [cit. 12. listopadu 2011]. Dostupné na &lt;http://www.europolitics.info/</w:t>
      </w:r>
      <w:r>
        <w:br/>
      </w:r>
      <w:r w:rsidRPr="005417FB">
        <w:t>institutions/joint-transparency-register-gets-off-ground-art307882-36.html&gt;.</w:t>
      </w:r>
    </w:p>
    <w:p w:rsidR="00960B0C" w:rsidRPr="005417FB" w:rsidRDefault="00960B0C" w:rsidP="00960B0C">
      <w:pPr>
        <w:spacing w:after="360"/>
        <w:ind w:firstLine="0"/>
        <w:jc w:val="left"/>
      </w:pPr>
      <w:r w:rsidRPr="005417FB">
        <w:t xml:space="preserve">SMYTH, Jamie. </w:t>
      </w:r>
      <w:r w:rsidRPr="005417FB">
        <w:rPr>
          <w:i/>
        </w:rPr>
        <w:t>EU Proposes Voluntary Registration for Lobbyists</w:t>
      </w:r>
      <w:r>
        <w:t xml:space="preserve"> [online]. The Irish Times, 4. </w:t>
      </w:r>
      <w:r w:rsidRPr="005417FB">
        <w:t>května 2006 [cit. 4. dubna 2012]. Dostupné na &lt;http://www.highbeam.com/doc/1P2-24837944.html&gt;.</w:t>
      </w:r>
    </w:p>
    <w:p w:rsidR="00960B0C" w:rsidRPr="005417FB" w:rsidRDefault="00960B0C" w:rsidP="00960B0C">
      <w:pPr>
        <w:spacing w:after="360"/>
        <w:ind w:firstLine="0"/>
        <w:jc w:val="left"/>
      </w:pPr>
      <w:r w:rsidRPr="005417FB">
        <w:t xml:space="preserve">STUBB, Alexander. </w:t>
      </w:r>
      <w:r w:rsidRPr="005417FB">
        <w:rPr>
          <w:i/>
        </w:rPr>
        <w:t xml:space="preserve">Draft Report on the Framework for the Activities of Interest Representatives (Lobbyists) in the European Institutions </w:t>
      </w:r>
      <w:r w:rsidRPr="005417FB">
        <w:t>[on</w:t>
      </w:r>
      <w:r>
        <w:t>line]. European Parliament, 12. </w:t>
      </w:r>
      <w:r w:rsidRPr="005417FB">
        <w:t>února 2008 [cit. 14. března 2012]. Dostupné na &lt;http://www.europarl.europa.eu/sides/</w:t>
      </w:r>
      <w:r>
        <w:br/>
      </w:r>
      <w:r w:rsidRPr="005417FB">
        <w:t>getDoc.do?pubRef=-//EP//NONSGML+COMPARL+PE-396.734+03+DOC+PDF+V0//</w:t>
      </w:r>
      <w:r>
        <w:br/>
      </w:r>
      <w:r w:rsidRPr="005417FB">
        <w:t>EN&amp;language=EN&gt;.</w:t>
      </w:r>
    </w:p>
    <w:p w:rsidR="00960B0C" w:rsidRPr="005417FB" w:rsidRDefault="00960B0C" w:rsidP="00960B0C">
      <w:pPr>
        <w:spacing w:after="360"/>
        <w:ind w:firstLine="0"/>
        <w:jc w:val="left"/>
      </w:pPr>
      <w:r w:rsidRPr="005417FB">
        <w:t xml:space="preserve">TAYLOR, Simon. </w:t>
      </w:r>
      <w:r w:rsidRPr="005417FB">
        <w:rPr>
          <w:i/>
        </w:rPr>
        <w:t xml:space="preserve">Council´s Attitude to Lobbying Attacked </w:t>
      </w:r>
      <w:r w:rsidRPr="005417FB">
        <w:t>[</w:t>
      </w:r>
      <w:r>
        <w:t>online]. EuropeanVoice.com, 10. </w:t>
      </w:r>
      <w:r w:rsidRPr="005417FB">
        <w:t>září 2009 [cit. 8. května 2012]. Dostupné na &lt;http://www.europeanvoice.com/article/</w:t>
      </w:r>
      <w:r>
        <w:br/>
      </w:r>
      <w:r w:rsidRPr="005417FB">
        <w:t>imported/council-s-attitude-to-lobbying-attacked/65816.aspx&gt;.</w:t>
      </w:r>
    </w:p>
    <w:p w:rsidR="00960B0C" w:rsidRPr="005417FB" w:rsidRDefault="00960B0C" w:rsidP="00960B0C">
      <w:pPr>
        <w:spacing w:after="360"/>
        <w:ind w:firstLine="0"/>
        <w:jc w:val="left"/>
      </w:pPr>
      <w:r w:rsidRPr="005417FB">
        <w:rPr>
          <w:i/>
        </w:rPr>
        <w:t xml:space="preserve">The Commission´s Lobby Register One Year On: Success or Failure? </w:t>
      </w:r>
      <w:r>
        <w:t>[online]. ALTER-EU, 25. </w:t>
      </w:r>
      <w:r w:rsidRPr="005417FB">
        <w:t>května 2009 [cit. 6. února 2012]. Dostupné na &lt;http://www.alter-eu.org/sites/default/</w:t>
      </w:r>
      <w:r>
        <w:br/>
      </w:r>
      <w:r w:rsidRPr="005417FB">
        <w:t>files/documents/register-assessment-after-one-year.pdf&gt;.</w:t>
      </w:r>
    </w:p>
    <w:p w:rsidR="00960B0C" w:rsidRPr="005417FB" w:rsidRDefault="00960B0C" w:rsidP="00960B0C">
      <w:pPr>
        <w:spacing w:after="360"/>
        <w:ind w:firstLine="0"/>
        <w:jc w:val="left"/>
      </w:pPr>
      <w:r w:rsidRPr="005417FB">
        <w:t xml:space="preserve">WATERFIELD, Bruno. </w:t>
      </w:r>
      <w:r w:rsidRPr="005417FB">
        <w:rPr>
          <w:i/>
        </w:rPr>
        <w:t>European Parliament Member Resigns over ’Cash for Laws’ Scandal</w:t>
      </w:r>
      <w:r w:rsidRPr="005417FB">
        <w:t xml:space="preserve"> [online]. The Telegraph, 20. bře</w:t>
      </w:r>
      <w:r>
        <w:t xml:space="preserve">zna 2011 [cit. 25. dubna 2012]. </w:t>
      </w:r>
      <w:r w:rsidRPr="005417FB">
        <w:t>&lt;http://www.telegraph.co.uk/news/worldnews/europe/eu/8393797/European-Parliament-member-resigns-over-cash-for-laws-scandal.html&gt;.</w:t>
      </w:r>
    </w:p>
    <w:p w:rsidR="00960B0C" w:rsidRDefault="00960B0C" w:rsidP="00960B0C">
      <w:pPr>
        <w:spacing w:after="360"/>
        <w:ind w:firstLine="0"/>
        <w:jc w:val="left"/>
      </w:pPr>
      <w:r w:rsidRPr="005417FB">
        <w:rPr>
          <w:i/>
        </w:rPr>
        <w:t xml:space="preserve">Zaměřeno na evropské lobbisty </w:t>
      </w:r>
      <w:r w:rsidRPr="005417FB">
        <w:t>[online]. Evropská komise, 28. října 2009 [cit. 13. února 2012]. Dostupné na &lt;http://ec.europa.eu/news/justice/091028_cs.htm&gt;.</w:t>
      </w:r>
    </w:p>
    <w:p w:rsidR="00B86310" w:rsidRDefault="00B86310">
      <w:pPr>
        <w:spacing w:after="0" w:line="240" w:lineRule="auto"/>
        <w:ind w:firstLine="0"/>
        <w:jc w:val="left"/>
      </w:pPr>
      <w:r>
        <w:br w:type="page"/>
      </w:r>
    </w:p>
    <w:p w:rsidR="00B86310" w:rsidRPr="00F02FB9" w:rsidRDefault="00B86310" w:rsidP="009D3DA2">
      <w:pPr>
        <w:spacing w:after="0"/>
        <w:ind w:firstLine="0"/>
        <w:rPr>
          <w:rFonts w:asciiTheme="majorHAnsi" w:hAnsiTheme="majorHAnsi"/>
          <w:b/>
          <w:sz w:val="32"/>
          <w:szCs w:val="32"/>
        </w:rPr>
      </w:pPr>
      <w:r w:rsidRPr="00F02FB9">
        <w:rPr>
          <w:rFonts w:asciiTheme="majorHAnsi" w:hAnsiTheme="majorHAnsi"/>
          <w:b/>
          <w:sz w:val="32"/>
          <w:szCs w:val="32"/>
        </w:rPr>
        <w:lastRenderedPageBreak/>
        <w:t xml:space="preserve">Abstrakt </w:t>
      </w:r>
    </w:p>
    <w:p w:rsidR="00B86310" w:rsidRDefault="00B86310" w:rsidP="00B86310">
      <w:r>
        <w:t>Podobně jako v každém státě či organizaci i v Evropské unii (EU) se vyskytují skupiny, které se snaží prosadit svůj zájem, ale přitom se nechtějí účastnit podílu na moci. Tyto zájmové skupiny proto lobbují u institucí, které tuto moc mají. Lobbisté se však nemusí vždy chovat správně a mohou se uchylovat k různým nekalým praktikám, o kterých jsou přesvědčeni, že jim usnadní proces prosazování jejich zájmů. Takové chování však pochopitelně nemůže být trpěno, a tudíž se postupně vyvinuly různé způsoby, jak mu předcházet. Celému procesu zamezování nepřiměřeného chování se říká regulace. Jejím hlavním důsledkem je pak transparentní prostředí, které dále pozitivně ovlivňuje proces vzájemné interakce mezi lobbisty a institucemi, ve kterém nedochází k nekalým praktikám. Právě procesem regulace a s tím související transparentností se diplomová práce zabývá.</w:t>
      </w:r>
    </w:p>
    <w:p w:rsidR="00B86310" w:rsidRDefault="00B86310" w:rsidP="00B86310">
      <w:r>
        <w:t>Cílem diplomové práce bylo zjistit význam a efektivitu regulace lobbistů a institucí EU. Dále bylo posuzováno, jakým způsobem ovlivňuje regulace evropských institucí a regulace lobbistů transparentnost. Jako poslední byla zhodnocena míra povinnosti jednotlivých regulací a prozkoumán její vliv na transparentnost.</w:t>
      </w:r>
    </w:p>
    <w:p w:rsidR="00B86310" w:rsidRDefault="00B86310" w:rsidP="00B86310">
      <w:r>
        <w:t>Text je především případovou studií způsobu regulace lobbingu v EU a jeho dopadu na transparentnost. Na problematiku je nahlíženo jak z pohledu zájmových skupin, tak z pohledu institucí EU. Současný stav je zhodnocen z hlediska funkčnosti jednotlivých regulací a dalších vlastností, což se také stane podkladem pro jiné části diplomové práce. Jako další je vysvětleno, co je překážkou toho, aby se evropský lobbing stal transparentnější a snáze regulovatelný.</w:t>
      </w:r>
    </w:p>
    <w:p w:rsidR="00B86310" w:rsidRDefault="00B86310" w:rsidP="00B86310">
      <w:r>
        <w:t>Práce je zasazena do nynějšího období zejména od roku 2008 po současnost, nicméně pro vysvětlení podstatných souvislostí zde byly zasazeny i záležitosti před tímto obdobím. Hlavní náplní jsou jednotlivé regulační mechanismy, které jsou používány během prosazování zájmů v evropských institucích.</w:t>
      </w:r>
    </w:p>
    <w:p w:rsidR="00B86310" w:rsidRDefault="00B86310" w:rsidP="00B86310">
      <w:r>
        <w:t>Práce přinesla osvětlení důvodů, proč je lobbing v EU do značné míry neefektivní a v čem tkví jeho nedostatky. Zároveň byly analyzovány jednotlivé druhy regulace, což přineslo odůvodnění, co není v pořádku na současném nastavení regulace a kterým směrem by se tedy měla ubírat.</w:t>
      </w:r>
    </w:p>
    <w:p w:rsidR="00B86310" w:rsidRPr="00F02FB9" w:rsidRDefault="00B86310" w:rsidP="009D3DA2">
      <w:pPr>
        <w:spacing w:after="0"/>
        <w:ind w:firstLine="0"/>
        <w:rPr>
          <w:rFonts w:asciiTheme="majorHAnsi" w:hAnsiTheme="majorHAnsi"/>
          <w:b/>
          <w:sz w:val="32"/>
          <w:szCs w:val="32"/>
        </w:rPr>
      </w:pPr>
      <w:r>
        <w:br w:type="page"/>
      </w:r>
      <w:r w:rsidRPr="00F02FB9">
        <w:rPr>
          <w:rFonts w:asciiTheme="majorHAnsi" w:hAnsiTheme="majorHAnsi"/>
          <w:b/>
          <w:sz w:val="32"/>
          <w:szCs w:val="32"/>
        </w:rPr>
        <w:lastRenderedPageBreak/>
        <w:t xml:space="preserve">Abstract </w:t>
      </w:r>
    </w:p>
    <w:p w:rsidR="00B86310" w:rsidRPr="00B86310" w:rsidRDefault="00B86310" w:rsidP="00B86310">
      <w:pPr>
        <w:rPr>
          <w:lang w:val="en-US"/>
        </w:rPr>
      </w:pPr>
      <w:r w:rsidRPr="00B86310">
        <w:rPr>
          <w:lang w:val="en-US"/>
        </w:rPr>
        <w:t>Like in any country or organization, also in the European Union (EU) there are groups that are trying to sell their interest, but they do not want to participate on power. These interest groups therefore lobbied for institutions that have this power. Lobbyists may not always behave properly and may resort to various malpractices, which they believe will facilitate the process of promoting their interests. Such behavior, however, obviously cannot be tolerated, and thus gradually developed various ways to prevent it. The whole process of avoiding excessive behavior is called regulation. The main result is then a transparent environment, which also positively affects the process of interaction between lobbyists and institutions in which there is no collusion. It is a process of regulation and transparency related to thesis deals with.</w:t>
      </w:r>
    </w:p>
    <w:p w:rsidR="00B86310" w:rsidRPr="00B86310" w:rsidRDefault="00B86310" w:rsidP="00B86310">
      <w:pPr>
        <w:rPr>
          <w:lang w:val="en-US"/>
        </w:rPr>
      </w:pPr>
      <w:r w:rsidRPr="00B86310">
        <w:rPr>
          <w:lang w:val="en-US"/>
        </w:rPr>
        <w:t>The aim of this thesis was to determine the importance and effectiveness of regulation of lobbyists and the EU institutions. It has also been considered, what affects the regulation of the European institutions and regulation of lobbying transparency. Finally, the amount of obligation of each regulation was analyzed and its effect on transparency was examined.</w:t>
      </w:r>
    </w:p>
    <w:p w:rsidR="00B86310" w:rsidRPr="00B86310" w:rsidRDefault="00B86310" w:rsidP="00B86310">
      <w:pPr>
        <w:rPr>
          <w:lang w:val="en-US"/>
        </w:rPr>
      </w:pPr>
      <w:r w:rsidRPr="00B86310">
        <w:rPr>
          <w:lang w:val="en-US"/>
        </w:rPr>
        <w:t>The text is primarily a case study method of regulating lobbying in the EU and its impact on transparency. The question is viewed from the perspective of interest groups, and from the perspective of EU institutions. The current situation is evaluated in terms of functionality of each regulation and other properties, which also becomes the basis for other parts of the thesis. As further it is explained what the obstacle for European lobbying to become more transparent and easily controllable is.</w:t>
      </w:r>
    </w:p>
    <w:p w:rsidR="00B86310" w:rsidRPr="00B86310" w:rsidRDefault="00B86310" w:rsidP="00B86310">
      <w:pPr>
        <w:rPr>
          <w:lang w:val="en-US"/>
        </w:rPr>
      </w:pPr>
      <w:r w:rsidRPr="00B86310">
        <w:rPr>
          <w:lang w:val="en-US"/>
        </w:rPr>
        <w:t>The work is set in the current period, especially from 2008 to the present. However, to explain significant consequences there were also topics before this period used. The main content of the work are different regulatory mechanisms that are used in promoting the interests of the European institutions.</w:t>
      </w:r>
    </w:p>
    <w:p w:rsidR="00695CF2" w:rsidRDefault="00B86310" w:rsidP="00695CF2">
      <w:pPr>
        <w:rPr>
          <w:lang w:val="en-US"/>
        </w:rPr>
      </w:pPr>
      <w:r w:rsidRPr="00B86310">
        <w:rPr>
          <w:lang w:val="en-US"/>
        </w:rPr>
        <w:t xml:space="preserve">The work explained the reasons why lobbying in the EU is largely ineffective and wherein its weaknesses lies. There were analyzed single types of regulations, resulting in justification of what is wrong with current settings and which direction of </w:t>
      </w:r>
      <w:r w:rsidR="00170795" w:rsidRPr="00B86310">
        <w:rPr>
          <w:lang w:val="en-US"/>
        </w:rPr>
        <w:t>regulatory</w:t>
      </w:r>
      <w:r w:rsidRPr="00B86310">
        <w:rPr>
          <w:lang w:val="en-US"/>
        </w:rPr>
        <w:t xml:space="preserve"> mechanism should be taken.</w:t>
      </w:r>
    </w:p>
    <w:p w:rsidR="00695CF2" w:rsidRDefault="00695CF2">
      <w:pPr>
        <w:spacing w:after="0" w:line="240" w:lineRule="auto"/>
        <w:ind w:firstLine="0"/>
        <w:jc w:val="left"/>
        <w:rPr>
          <w:lang w:val="en-US"/>
        </w:rPr>
      </w:pPr>
      <w:r>
        <w:rPr>
          <w:lang w:val="en-US"/>
        </w:rPr>
        <w:br w:type="page"/>
      </w:r>
    </w:p>
    <w:p w:rsidR="00695CF2" w:rsidRDefault="00695CF2" w:rsidP="00DC7973">
      <w:pPr>
        <w:spacing w:after="0"/>
        <w:ind w:firstLine="0"/>
        <w:rPr>
          <w:rFonts w:asciiTheme="majorHAnsi" w:hAnsiTheme="majorHAnsi"/>
          <w:b/>
          <w:sz w:val="32"/>
          <w:szCs w:val="32"/>
        </w:rPr>
      </w:pPr>
      <w:r w:rsidRPr="00F02FB9">
        <w:rPr>
          <w:rFonts w:asciiTheme="majorHAnsi" w:hAnsiTheme="majorHAnsi"/>
          <w:b/>
          <w:sz w:val="32"/>
          <w:szCs w:val="32"/>
        </w:rPr>
        <w:lastRenderedPageBreak/>
        <w:t>Klíčová slova</w:t>
      </w:r>
    </w:p>
    <w:p w:rsidR="00F02FB9" w:rsidRPr="00F02FB9" w:rsidRDefault="00F02FB9" w:rsidP="00F02FB9">
      <w:pPr>
        <w:ind w:firstLine="0"/>
      </w:pPr>
      <w:r>
        <w:t>Evropská unie, EU, lobbing, zájmové skupiny, regulace, rejstřík, kodex, akreditace, střet zájmů, Evropský parlament, Komise, Rada</w:t>
      </w:r>
    </w:p>
    <w:p w:rsidR="00695CF2" w:rsidRPr="00F02FB9" w:rsidRDefault="00695CF2" w:rsidP="00DC7973">
      <w:pPr>
        <w:spacing w:before="360" w:after="0"/>
        <w:ind w:firstLine="0"/>
        <w:rPr>
          <w:rFonts w:asciiTheme="majorHAnsi" w:hAnsiTheme="majorHAnsi"/>
          <w:b/>
          <w:sz w:val="32"/>
          <w:szCs w:val="32"/>
          <w:lang w:val="en-US"/>
        </w:rPr>
      </w:pPr>
      <w:r w:rsidRPr="00F02FB9">
        <w:rPr>
          <w:rFonts w:asciiTheme="majorHAnsi" w:hAnsiTheme="majorHAnsi"/>
          <w:b/>
          <w:sz w:val="32"/>
          <w:szCs w:val="32"/>
          <w:lang w:val="en-US"/>
        </w:rPr>
        <w:t>Keywords</w:t>
      </w:r>
    </w:p>
    <w:p w:rsidR="00F02FB9" w:rsidRPr="00F02FB9" w:rsidRDefault="00F02FB9" w:rsidP="00F02FB9">
      <w:pPr>
        <w:ind w:firstLine="0"/>
        <w:rPr>
          <w:lang w:val="en-US"/>
        </w:rPr>
      </w:pPr>
      <w:r>
        <w:rPr>
          <w:lang w:val="en-US"/>
        </w:rPr>
        <w:t>European Union, EU, lobbying, interest groups, regulation, registry, code, accreditation, clash of interests, European Parliament, Commission, Council</w:t>
      </w:r>
    </w:p>
    <w:sectPr w:rsidR="00F02FB9" w:rsidRPr="00F02FB9" w:rsidSect="005A5FB1">
      <w:footerReference w:type="default" r:id="rId10"/>
      <w:pgSz w:w="11906" w:h="16838"/>
      <w:pgMar w:top="1418" w:right="1134"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0B9" w:rsidRDefault="008C60B9" w:rsidP="00ED1812">
      <w:pPr>
        <w:spacing w:after="0" w:line="240" w:lineRule="auto"/>
      </w:pPr>
      <w:r>
        <w:separator/>
      </w:r>
    </w:p>
  </w:endnote>
  <w:endnote w:type="continuationSeparator" w:id="0">
    <w:p w:rsidR="008C60B9" w:rsidRDefault="008C60B9" w:rsidP="00ED1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68F" w:rsidRDefault="001C168F">
    <w:pPr>
      <w:pStyle w:val="Zpat"/>
      <w:jc w:val="right"/>
    </w:pPr>
    <w:r>
      <w:fldChar w:fldCharType="begin"/>
    </w:r>
    <w:r>
      <w:instrText>PAGE   \* MERGEFORMAT</w:instrText>
    </w:r>
    <w:r>
      <w:fldChar w:fldCharType="separate"/>
    </w:r>
    <w:r w:rsidR="00C0377D">
      <w:rPr>
        <w:noProof/>
      </w:rPr>
      <w:t>4</w:t>
    </w:r>
    <w:r>
      <w:rPr>
        <w:noProof/>
      </w:rPr>
      <w:fldChar w:fldCharType="end"/>
    </w:r>
  </w:p>
  <w:p w:rsidR="001C168F" w:rsidRDefault="001C168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0B9" w:rsidRDefault="008C60B9" w:rsidP="00ED1812">
      <w:pPr>
        <w:spacing w:after="0" w:line="240" w:lineRule="auto"/>
      </w:pPr>
      <w:r>
        <w:separator/>
      </w:r>
    </w:p>
  </w:footnote>
  <w:footnote w:type="continuationSeparator" w:id="0">
    <w:p w:rsidR="008C60B9" w:rsidRDefault="008C60B9" w:rsidP="00ED1812">
      <w:pPr>
        <w:spacing w:after="0" w:line="240" w:lineRule="auto"/>
      </w:pPr>
      <w:r>
        <w:continuationSeparator/>
      </w:r>
    </w:p>
  </w:footnote>
  <w:footnote w:type="continuationNotice" w:id="1">
    <w:p w:rsidR="008C60B9" w:rsidRDefault="008C60B9">
      <w:pPr>
        <w:spacing w:after="0" w:line="240" w:lineRule="auto"/>
      </w:pPr>
    </w:p>
  </w:footnote>
  <w:footnote w:id="2">
    <w:p w:rsidR="001C168F" w:rsidRPr="00795433" w:rsidRDefault="001C168F" w:rsidP="00331822">
      <w:pPr>
        <w:pStyle w:val="Textpoznpodarou"/>
        <w:spacing w:afterLines="20" w:after="48"/>
        <w:ind w:left="142" w:hanging="142"/>
        <w:jc w:val="left"/>
        <w:rPr>
          <w:rStyle w:val="Znakapoznpodarou"/>
          <w:rFonts w:cs="Calibri"/>
        </w:rPr>
      </w:pPr>
      <w:r w:rsidRPr="00795433">
        <w:rPr>
          <w:rStyle w:val="Znakapoznpodarou"/>
          <w:rFonts w:cs="Calibri"/>
        </w:rPr>
        <w:footnoteRef/>
      </w:r>
      <w:r w:rsidRPr="00795433">
        <w:rPr>
          <w:rStyle w:val="Znakapoznpodarou"/>
          <w:rFonts w:cs="Calibri"/>
        </w:rPr>
        <w:t xml:space="preserve"> </w:t>
      </w:r>
      <w:r w:rsidRPr="00795433">
        <w:rPr>
          <w:rStyle w:val="Znakapoznpodarou"/>
          <w:rFonts w:cs="Calibri"/>
          <w:vertAlign w:val="baseline"/>
        </w:rPr>
        <w:t xml:space="preserve">Srovnej CINI, Michelle. European Commission Reform and the Origins of the European Transparency Initiative. </w:t>
      </w:r>
      <w:r w:rsidRPr="00795433">
        <w:rPr>
          <w:rStyle w:val="Znakapoznpodarou"/>
          <w:rFonts w:cs="Calibri"/>
          <w:i/>
          <w:vertAlign w:val="baseline"/>
        </w:rPr>
        <w:t>Journal of European Public Policy</w:t>
      </w:r>
      <w:r w:rsidRPr="00795433">
        <w:rPr>
          <w:rStyle w:val="Znakapoznpodarou"/>
          <w:rFonts w:cs="Calibri"/>
          <w:vertAlign w:val="baseline"/>
        </w:rPr>
        <w:t>, 2008, roč.</w:t>
      </w:r>
      <w:r>
        <w:rPr>
          <w:rStyle w:val="Znakapoznpodarou"/>
          <w:rFonts w:cs="Calibri"/>
          <w:vertAlign w:val="baseline"/>
        </w:rPr>
        <w:t xml:space="preserve"> 15, č. 5, s. 743</w:t>
      </w:r>
      <w:r w:rsidRPr="001C3C06">
        <w:rPr>
          <w:rFonts w:cs="Calibri"/>
        </w:rPr>
        <w:t>–</w:t>
      </w:r>
      <w:r w:rsidRPr="00795433">
        <w:rPr>
          <w:rStyle w:val="Znakapoznpodarou"/>
          <w:rFonts w:cs="Calibri"/>
          <w:vertAlign w:val="baseline"/>
        </w:rPr>
        <w:t>760.</w:t>
      </w:r>
    </w:p>
  </w:footnote>
  <w:footnote w:id="3">
    <w:p w:rsidR="001C168F" w:rsidRPr="006C3FA1" w:rsidRDefault="001C168F" w:rsidP="006C3FA1">
      <w:pPr>
        <w:pStyle w:val="Textpoznpodarou"/>
        <w:spacing w:afterLines="20" w:after="48"/>
        <w:ind w:left="142" w:hanging="142"/>
        <w:jc w:val="left"/>
        <w:rPr>
          <w:rStyle w:val="Znakapoznpodarou"/>
          <w:rFonts w:cs="Calibri"/>
        </w:rPr>
      </w:pPr>
      <w:r w:rsidRPr="006C3FA1">
        <w:rPr>
          <w:rStyle w:val="Znakapoznpodarou"/>
          <w:rFonts w:cs="Calibri"/>
        </w:rPr>
        <w:footnoteRef/>
      </w:r>
      <w:r w:rsidRPr="006C3FA1">
        <w:rPr>
          <w:rStyle w:val="Znakapoznpodarou"/>
          <w:rFonts w:cs="Calibri"/>
        </w:rPr>
        <w:t xml:space="preserve"> </w:t>
      </w:r>
      <w:r>
        <w:rPr>
          <w:rFonts w:cs="Calibri"/>
        </w:rPr>
        <w:t>Díla jsou více rozebraná v kapitole 1, která se věnuje teoretickému rámci.</w:t>
      </w:r>
    </w:p>
  </w:footnote>
  <w:footnote w:id="4">
    <w:p w:rsidR="001C168F" w:rsidRPr="006C3FA1" w:rsidRDefault="001C168F" w:rsidP="006C3FA1">
      <w:pPr>
        <w:pStyle w:val="Textpoznpodarou"/>
        <w:spacing w:afterLines="20" w:after="48"/>
        <w:ind w:left="142" w:hanging="142"/>
        <w:jc w:val="left"/>
        <w:rPr>
          <w:rStyle w:val="Znakapoznpodarou"/>
          <w:rFonts w:cs="Calibri"/>
        </w:rPr>
      </w:pPr>
      <w:r w:rsidRPr="006C3FA1">
        <w:rPr>
          <w:rStyle w:val="Znakapoznpodarou"/>
          <w:rFonts w:cs="Calibri"/>
        </w:rPr>
        <w:footnoteRef/>
      </w:r>
      <w:r w:rsidRPr="006C3FA1">
        <w:rPr>
          <w:rStyle w:val="Znakapoznpodarou"/>
          <w:rFonts w:cs="Calibri"/>
        </w:rPr>
        <w:t xml:space="preserve"> </w:t>
      </w:r>
      <w:r w:rsidRPr="006C3FA1">
        <w:rPr>
          <w:rStyle w:val="Znakapoznpodarou"/>
          <w:rFonts w:cs="Calibri"/>
          <w:vertAlign w:val="baseline"/>
        </w:rPr>
        <w:t>Viz kapitolu 1.</w:t>
      </w:r>
    </w:p>
  </w:footnote>
  <w:footnote w:id="5">
    <w:p w:rsidR="001C168F" w:rsidRPr="006C3FA1" w:rsidRDefault="001C168F" w:rsidP="006C3FA1">
      <w:pPr>
        <w:pStyle w:val="Textpoznpodarou"/>
        <w:spacing w:afterLines="20" w:after="48"/>
        <w:ind w:left="142" w:hanging="142"/>
        <w:jc w:val="left"/>
        <w:rPr>
          <w:rStyle w:val="Znakapoznpodarou"/>
          <w:rFonts w:cs="Calibri"/>
        </w:rPr>
      </w:pPr>
      <w:r w:rsidRPr="006C3FA1">
        <w:rPr>
          <w:rStyle w:val="Znakapoznpodarou"/>
          <w:rFonts w:cs="Calibri"/>
        </w:rPr>
        <w:footnoteRef/>
      </w:r>
      <w:r w:rsidRPr="006C3FA1">
        <w:rPr>
          <w:rStyle w:val="Znakapoznpodarou"/>
          <w:rFonts w:cs="Calibri"/>
        </w:rPr>
        <w:t xml:space="preserve"> </w:t>
      </w:r>
      <w:r w:rsidRPr="006C3FA1">
        <w:rPr>
          <w:rStyle w:val="Znakapoznpodarou"/>
          <w:rFonts w:cs="Calibri"/>
          <w:vertAlign w:val="baseline"/>
        </w:rPr>
        <w:t>Viz kapitolu 1.</w:t>
      </w:r>
    </w:p>
  </w:footnote>
  <w:footnote w:id="6">
    <w:p w:rsidR="001C168F" w:rsidRPr="00154350" w:rsidRDefault="001C168F" w:rsidP="00154350">
      <w:pPr>
        <w:pStyle w:val="Textpoznpodarou"/>
        <w:spacing w:afterLines="20" w:after="48"/>
        <w:ind w:left="142" w:hanging="142"/>
        <w:jc w:val="left"/>
        <w:rPr>
          <w:rStyle w:val="Znakapoznpodarou"/>
          <w:rFonts w:cs="Calibri"/>
        </w:rPr>
      </w:pPr>
      <w:r w:rsidRPr="00154350">
        <w:rPr>
          <w:rStyle w:val="Znakapoznpodarou"/>
          <w:rFonts w:cs="Calibri"/>
        </w:rPr>
        <w:footnoteRef/>
      </w:r>
      <w:r w:rsidRPr="00154350">
        <w:rPr>
          <w:rStyle w:val="Znakapoznpodarou"/>
          <w:rFonts w:cs="Calibri"/>
        </w:rPr>
        <w:t xml:space="preserve"> </w:t>
      </w:r>
      <w:r w:rsidRPr="00154350">
        <w:rPr>
          <w:rFonts w:cs="Calibri"/>
        </w:rPr>
        <w:t>CHARI, Ráj, MURPHY, Gary, HOGAN, John. Regulating Lobbyists: A Comparative Analys</w:t>
      </w:r>
      <w:r>
        <w:rPr>
          <w:rFonts w:cs="Calibri"/>
        </w:rPr>
        <w:t>i</w:t>
      </w:r>
      <w:r w:rsidRPr="00154350">
        <w:rPr>
          <w:rFonts w:cs="Calibri"/>
        </w:rPr>
        <w:t xml:space="preserve">s of the United States, Canada, Germany and the European Union. </w:t>
      </w:r>
      <w:r w:rsidRPr="00004580">
        <w:rPr>
          <w:rFonts w:cs="Calibri"/>
          <w:i/>
        </w:rPr>
        <w:t>The Political Quarterly</w:t>
      </w:r>
      <w:r w:rsidRPr="00154350">
        <w:rPr>
          <w:rFonts w:cs="Calibri"/>
        </w:rPr>
        <w:t>, 2007, roč. 78, č. 3, s. 422-438.</w:t>
      </w:r>
    </w:p>
  </w:footnote>
  <w:footnote w:id="7">
    <w:p w:rsidR="001C168F" w:rsidRPr="00154350" w:rsidRDefault="001C168F" w:rsidP="00154350">
      <w:pPr>
        <w:pStyle w:val="Textpoznpodarou"/>
        <w:spacing w:afterLines="20" w:after="48"/>
        <w:ind w:left="142" w:hanging="142"/>
        <w:jc w:val="left"/>
        <w:rPr>
          <w:rStyle w:val="Znakapoznpodarou"/>
          <w:rFonts w:cs="Calibri"/>
        </w:rPr>
      </w:pPr>
      <w:r w:rsidRPr="00154350">
        <w:rPr>
          <w:rStyle w:val="Znakapoznpodarou"/>
          <w:rFonts w:cs="Calibri"/>
        </w:rPr>
        <w:footnoteRef/>
      </w:r>
      <w:r w:rsidRPr="00154350">
        <w:rPr>
          <w:rStyle w:val="Znakapoznpodarou"/>
          <w:rFonts w:cs="Calibri"/>
        </w:rPr>
        <w:t xml:space="preserve"> </w:t>
      </w:r>
      <w:r w:rsidRPr="008E4FD8">
        <w:rPr>
          <w:rFonts w:cs="Calibri"/>
        </w:rPr>
        <w:t>CHARI, R</w:t>
      </w:r>
      <w:r>
        <w:rPr>
          <w:rFonts w:cs="Calibri"/>
        </w:rPr>
        <w:t>aj,</w:t>
      </w:r>
      <w:r w:rsidRPr="008E4FD8">
        <w:rPr>
          <w:rFonts w:cs="Calibri"/>
        </w:rPr>
        <w:t xml:space="preserve"> MURPHY, G</w:t>
      </w:r>
      <w:r>
        <w:rPr>
          <w:rFonts w:cs="Calibri"/>
        </w:rPr>
        <w:t>ary</w:t>
      </w:r>
      <w:r w:rsidRPr="008E4FD8">
        <w:rPr>
          <w:rFonts w:cs="Calibri"/>
        </w:rPr>
        <w:t xml:space="preserve">. </w:t>
      </w:r>
      <w:r w:rsidRPr="008E4FD8">
        <w:rPr>
          <w:rFonts w:cs="Calibri"/>
          <w:i/>
        </w:rPr>
        <w:t>Examining and Assessing the Regulation of Lobbyists in</w:t>
      </w:r>
      <w:r>
        <w:rPr>
          <w:rFonts w:cs="Calibri"/>
          <w:i/>
        </w:rPr>
        <w:t xml:space="preserve"> Canada, the USA, the EU I</w:t>
      </w:r>
      <w:r w:rsidRPr="008E4FD8">
        <w:rPr>
          <w:rFonts w:cs="Calibri"/>
          <w:i/>
        </w:rPr>
        <w:t>nstitutions, and Germany: A Report for the Department of the</w:t>
      </w:r>
      <w:r>
        <w:rPr>
          <w:rFonts w:cs="Calibri"/>
          <w:i/>
        </w:rPr>
        <w:t xml:space="preserve"> </w:t>
      </w:r>
      <w:r w:rsidRPr="008E4FD8">
        <w:rPr>
          <w:rFonts w:cs="Calibri"/>
          <w:i/>
        </w:rPr>
        <w:t>Environment, Heritage and Local Government</w:t>
      </w:r>
      <w:r w:rsidRPr="008E4FD8">
        <w:rPr>
          <w:rFonts w:cs="Calibri"/>
        </w:rPr>
        <w:t>. Dublin: Department of the</w:t>
      </w:r>
      <w:r>
        <w:rPr>
          <w:rFonts w:cs="Calibri"/>
        </w:rPr>
        <w:t xml:space="preserve"> </w:t>
      </w:r>
      <w:r w:rsidRPr="008E4FD8">
        <w:rPr>
          <w:rFonts w:cs="Calibri"/>
        </w:rPr>
        <w:t>Environment, Heritage and Local Gover</w:t>
      </w:r>
      <w:r>
        <w:rPr>
          <w:rFonts w:cs="Calibri"/>
        </w:rPr>
        <w:t>nment and Trinity College, 2006.</w:t>
      </w:r>
    </w:p>
  </w:footnote>
  <w:footnote w:id="8">
    <w:p w:rsidR="001C168F" w:rsidRPr="008E4FD8" w:rsidRDefault="001C168F" w:rsidP="008E4FD8">
      <w:pPr>
        <w:pStyle w:val="Textpoznpodarou"/>
        <w:spacing w:afterLines="20" w:after="48"/>
        <w:ind w:left="142" w:hanging="142"/>
        <w:jc w:val="left"/>
        <w:rPr>
          <w:rStyle w:val="Znakapoznpodarou"/>
          <w:rFonts w:cs="Calibri"/>
        </w:rPr>
      </w:pPr>
      <w:r w:rsidRPr="008E4FD8">
        <w:rPr>
          <w:rStyle w:val="Znakapoznpodarou"/>
          <w:rFonts w:cs="Calibri"/>
        </w:rPr>
        <w:footnoteRef/>
      </w:r>
      <w:r w:rsidRPr="008E4FD8">
        <w:rPr>
          <w:rStyle w:val="Znakapoznpodarou"/>
          <w:rFonts w:cs="Calibri"/>
        </w:rPr>
        <w:t xml:space="preserve"> </w:t>
      </w:r>
      <w:r w:rsidRPr="008E4FD8">
        <w:t xml:space="preserve">CHARI, MURPHY, </w:t>
      </w:r>
      <w:r>
        <w:t>HOGAN:</w:t>
      </w:r>
      <w:r w:rsidRPr="008E4FD8">
        <w:t xml:space="preserve"> </w:t>
      </w:r>
      <w:r w:rsidRPr="00154350">
        <w:rPr>
          <w:i/>
        </w:rPr>
        <w:t>Regulating Lobbyists</w:t>
      </w:r>
      <w:r>
        <w:t>…,</w:t>
      </w:r>
      <w:r w:rsidRPr="008E4FD8">
        <w:t xml:space="preserve"> s. 427.</w:t>
      </w:r>
    </w:p>
  </w:footnote>
  <w:footnote w:id="9">
    <w:p w:rsidR="001C168F" w:rsidRPr="008E4FD8" w:rsidRDefault="001C168F" w:rsidP="008E4FD8">
      <w:pPr>
        <w:pStyle w:val="Textpoznpodarou"/>
        <w:spacing w:afterLines="20" w:after="48"/>
        <w:ind w:left="142" w:hanging="142"/>
        <w:jc w:val="left"/>
        <w:rPr>
          <w:rStyle w:val="Znakapoznpodarou"/>
          <w:rFonts w:cs="Calibri"/>
        </w:rPr>
      </w:pPr>
      <w:r w:rsidRPr="008E4FD8">
        <w:rPr>
          <w:rStyle w:val="Znakapoznpodarou"/>
          <w:rFonts w:cs="Calibri"/>
        </w:rPr>
        <w:footnoteRef/>
      </w:r>
      <w:r w:rsidRPr="008E4FD8">
        <w:rPr>
          <w:rStyle w:val="Znakapoznpodarou"/>
          <w:rFonts w:cs="Calibri"/>
        </w:rPr>
        <w:t xml:space="preserve"> </w:t>
      </w:r>
      <w:r>
        <w:rPr>
          <w:rFonts w:cs="Calibri"/>
        </w:rPr>
        <w:t>CHARI, MURPHY:</w:t>
      </w:r>
      <w:r w:rsidRPr="008E4FD8">
        <w:rPr>
          <w:rFonts w:cs="Calibri"/>
        </w:rPr>
        <w:t xml:space="preserve"> </w:t>
      </w:r>
      <w:r w:rsidRPr="008E4FD8">
        <w:rPr>
          <w:rFonts w:cs="Calibri"/>
          <w:i/>
        </w:rPr>
        <w:t>Examining and Assessing</w:t>
      </w:r>
      <w:r>
        <w:rPr>
          <w:rFonts w:cs="Calibri"/>
          <w:i/>
        </w:rPr>
        <w:t>…</w:t>
      </w:r>
      <w:r>
        <w:rPr>
          <w:rFonts w:cs="Calibri"/>
        </w:rPr>
        <w:t>, s. 8.</w:t>
      </w:r>
    </w:p>
  </w:footnote>
  <w:footnote w:id="10">
    <w:p w:rsidR="001C168F" w:rsidRPr="008E4FD8" w:rsidRDefault="001C168F" w:rsidP="008E4FD8">
      <w:pPr>
        <w:pStyle w:val="Textpoznpodarou"/>
        <w:spacing w:afterLines="20" w:after="48"/>
        <w:ind w:left="142" w:hanging="142"/>
        <w:jc w:val="left"/>
        <w:rPr>
          <w:rStyle w:val="Znakapoznpodarou"/>
          <w:rFonts w:cs="Calibri"/>
        </w:rPr>
      </w:pPr>
      <w:r w:rsidRPr="008E4FD8">
        <w:rPr>
          <w:rStyle w:val="Znakapoznpodarou"/>
          <w:rFonts w:cs="Calibri"/>
        </w:rPr>
        <w:footnoteRef/>
      </w:r>
      <w:r>
        <w:rPr>
          <w:rStyle w:val="Znakapoznpodarou"/>
          <w:rFonts w:cs="Calibri"/>
        </w:rPr>
        <w:t xml:space="preserve"> </w:t>
      </w:r>
      <w:r>
        <w:rPr>
          <w:rFonts w:cs="Calibri"/>
        </w:rPr>
        <w:t>Tamtéž.</w:t>
      </w:r>
    </w:p>
  </w:footnote>
  <w:footnote w:id="11">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w:t>
      </w:r>
      <w:bookmarkStart w:id="9" w:name="OLE_LINK7"/>
      <w:bookmarkStart w:id="10" w:name="OLE_LINK8"/>
      <w:r w:rsidRPr="000A67E8">
        <w:rPr>
          <w:rFonts w:cs="Calibri"/>
        </w:rPr>
        <w:t>KALNI</w:t>
      </w:r>
      <w:r>
        <w:rPr>
          <w:rFonts w:cs="Calibri"/>
        </w:rPr>
        <w:t>N</w:t>
      </w:r>
      <w:r w:rsidRPr="000A67E8">
        <w:rPr>
          <w:rFonts w:cs="Calibri"/>
        </w:rPr>
        <w:t xml:space="preserve">Š, Valts. </w:t>
      </w:r>
      <w:r w:rsidRPr="000A67E8">
        <w:rPr>
          <w:rFonts w:cs="Calibri"/>
          <w:i/>
        </w:rPr>
        <w:t>Parliamentary Lobbying between Civil Rights and Corruption: An Insight into Lobbying Practice in Latvia and Recommendations for the Saeima, Latvian Ins</w:t>
      </w:r>
      <w:r>
        <w:rPr>
          <w:rFonts w:cs="Calibri"/>
          <w:i/>
        </w:rPr>
        <w:t>titute of International Affairs</w:t>
      </w:r>
      <w:bookmarkEnd w:id="9"/>
      <w:bookmarkEnd w:id="10"/>
      <w:r w:rsidRPr="000A67E8">
        <w:rPr>
          <w:rFonts w:cs="Calibri"/>
        </w:rPr>
        <w:t>.</w:t>
      </w:r>
      <w:r>
        <w:rPr>
          <w:rFonts w:cs="Calibri"/>
        </w:rPr>
        <w:t xml:space="preserve"> Riga:</w:t>
      </w:r>
      <w:r w:rsidRPr="000A67E8">
        <w:rPr>
          <w:rFonts w:cs="Calibri"/>
        </w:rPr>
        <w:t xml:space="preserve"> Centre fo</w:t>
      </w:r>
      <w:r>
        <w:rPr>
          <w:rFonts w:cs="Calibri"/>
        </w:rPr>
        <w:t>r Public Policy PROVIDUS, 2005</w:t>
      </w:r>
      <w:r w:rsidRPr="000A67E8">
        <w:rPr>
          <w:rFonts w:cs="Calibri"/>
        </w:rPr>
        <w:t>.</w:t>
      </w:r>
    </w:p>
  </w:footnote>
  <w:footnote w:id="12">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w:t>
      </w:r>
      <w:r w:rsidRPr="000A67E8">
        <w:rPr>
          <w:rFonts w:cs="Calibri"/>
          <w:i/>
        </w:rPr>
        <w:t>Lobbying Disclosure Act</w:t>
      </w:r>
      <w:r w:rsidRPr="000A67E8">
        <w:rPr>
          <w:rFonts w:cs="Calibri"/>
        </w:rPr>
        <w:t xml:space="preserve"> [online]. Lobbying Disclosure, 19. prosince 1995 [cit. 11. března 2012]. Dostupné na &lt;http://lobbyingdisclosure.house.gov/lda.html&gt;.</w:t>
      </w:r>
    </w:p>
  </w:footnote>
  <w:footnote w:id="13">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w:t>
      </w:r>
      <w:bookmarkStart w:id="11" w:name="OLE_LINK6"/>
      <w:bookmarkStart w:id="12" w:name="OLE_LINK20"/>
      <w:bookmarkStart w:id="13" w:name="OLE_LINK5"/>
      <w:r w:rsidRPr="000B29A0">
        <w:rPr>
          <w:rFonts w:cs="Calibri"/>
        </w:rPr>
        <w:t>Evropská komise</w:t>
      </w:r>
      <w:r>
        <w:rPr>
          <w:rFonts w:cs="Calibri"/>
        </w:rPr>
        <w:t>.</w:t>
      </w:r>
      <w:r w:rsidRPr="000B29A0">
        <w:rPr>
          <w:rFonts w:cs="Calibri"/>
          <w:i/>
        </w:rPr>
        <w:t xml:space="preserve"> </w:t>
      </w:r>
      <w:r w:rsidRPr="000B29A0">
        <w:rPr>
          <w:rFonts w:cs="Calibri"/>
          <w:noProof/>
        </w:rPr>
        <w:t>Zelená kniha o iniciativě pro transparentnost</w:t>
      </w:r>
      <w:bookmarkEnd w:id="11"/>
      <w:bookmarkEnd w:id="12"/>
      <w:r>
        <w:rPr>
          <w:rFonts w:cs="Calibri"/>
          <w:noProof/>
        </w:rPr>
        <w:t xml:space="preserve"> ze dne 3. května 2006. </w:t>
      </w:r>
      <w:r w:rsidRPr="008B6541">
        <w:rPr>
          <w:rFonts w:cs="Calibri"/>
          <w:i/>
          <w:noProof/>
        </w:rPr>
        <w:t>KOM(2006) 194</w:t>
      </w:r>
      <w:r>
        <w:rPr>
          <w:rFonts w:cs="Calibri"/>
          <w:noProof/>
        </w:rPr>
        <w:t>, s. 4.</w:t>
      </w:r>
      <w:bookmarkEnd w:id="13"/>
    </w:p>
  </w:footnote>
  <w:footnote w:id="14">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Definice zástupců zájmových skupin je dostupná na &lt;http://www.europarl.europa.eu/aboutparliament/cs/0073710a27/P%C5%99ehled.html&gt; v pravém sloupci webové stránky.</w:t>
      </w:r>
    </w:p>
  </w:footnote>
  <w:footnote w:id="15">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w:t>
      </w:r>
      <w:r w:rsidRPr="000A67E8">
        <w:rPr>
          <w:rFonts w:cs="Calibri"/>
          <w:noProof/>
        </w:rPr>
        <w:t xml:space="preserve">BRUNELL, Thomas L. The Relationship Between Political Parties and Interest Groups: Explaining Patterns of PAC Contributions to Candidates for Congress. </w:t>
      </w:r>
      <w:r w:rsidRPr="000A67E8">
        <w:rPr>
          <w:rFonts w:cs="Calibri"/>
          <w:i/>
          <w:noProof/>
        </w:rPr>
        <w:t>Political Research Quarterly</w:t>
      </w:r>
      <w:r w:rsidRPr="000A67E8">
        <w:rPr>
          <w:rFonts w:cs="Calibri"/>
          <w:noProof/>
        </w:rPr>
        <w:t>, 2005, roč. 58, č. 4, s. 681.</w:t>
      </w:r>
    </w:p>
  </w:footnote>
  <w:footnote w:id="16">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w:t>
      </w:r>
      <w:r w:rsidRPr="000A67E8">
        <w:rPr>
          <w:rFonts w:cs="Calibri"/>
          <w:i/>
        </w:rPr>
        <w:t xml:space="preserve">An Open and Structured Dialogue between the Commission and Special Interest Groups </w:t>
      </w:r>
      <w:r w:rsidRPr="000A67E8">
        <w:rPr>
          <w:rFonts w:cs="Calibri"/>
        </w:rPr>
        <w:t>[online]. Evropská komise, [cit. 26. dubna 2012]. Dostupné na &lt;http://ec.europa.eu/civil_society/interest_groups/docs/v_en.pdf&gt;.</w:t>
      </w:r>
    </w:p>
  </w:footnote>
  <w:footnote w:id="17">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MÜLLER, Karel B. </w:t>
      </w:r>
      <w:r w:rsidRPr="000A67E8">
        <w:rPr>
          <w:rFonts w:cs="Calibri"/>
          <w:i/>
        </w:rPr>
        <w:t>Lobbing v moderních demokraciích</w:t>
      </w:r>
      <w:r w:rsidRPr="000A67E8">
        <w:rPr>
          <w:rFonts w:cs="Calibri"/>
        </w:rPr>
        <w:t>. Praha: Grada Publishing, 2010, s. 69.</w:t>
      </w:r>
    </w:p>
  </w:footnote>
  <w:footnote w:id="18">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w:t>
      </w:r>
      <w:r w:rsidRPr="000A67E8">
        <w:rPr>
          <w:rFonts w:cs="Calibri"/>
          <w:noProof/>
        </w:rPr>
        <w:t xml:space="preserve">PITROVÁ, Markéta, ZATLOUKALOVÁ, Jana. Rejstřík zástupců zájmových skupin Evropské komise: očekávání a skutečnost. </w:t>
      </w:r>
      <w:r w:rsidRPr="000A67E8">
        <w:rPr>
          <w:rFonts w:cs="Calibri"/>
          <w:i/>
          <w:noProof/>
        </w:rPr>
        <w:t>Politologický časopis</w:t>
      </w:r>
      <w:r w:rsidRPr="000A67E8">
        <w:rPr>
          <w:rFonts w:cs="Calibri"/>
          <w:noProof/>
        </w:rPr>
        <w:t>, 2011, roč. 18, č. 3</w:t>
      </w:r>
      <w:r w:rsidRPr="000A67E8">
        <w:rPr>
          <w:rFonts w:cs="Calibri"/>
        </w:rPr>
        <w:t>, s. 279.</w:t>
      </w:r>
    </w:p>
  </w:footnote>
  <w:footnote w:id="19">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w:t>
      </w:r>
      <w:r w:rsidRPr="000A67E8">
        <w:rPr>
          <w:rFonts w:cs="Calibri"/>
          <w:i/>
        </w:rPr>
        <w:t>Zaměřeno na evropské lobbisty</w:t>
      </w:r>
      <w:r w:rsidRPr="000A67E8">
        <w:rPr>
          <w:rFonts w:cs="Calibri"/>
        </w:rPr>
        <w:t xml:space="preserve"> [online]. Evropská komise, 28. října 2009 [cit. 13. února 2012]. Dostupné na &lt;http://ec.europa.eu/news/justice/091028_cs.htm&gt;.</w:t>
      </w:r>
    </w:p>
  </w:footnote>
  <w:footnote w:id="20">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RASMUSSEN, Maja Kluger. </w:t>
      </w:r>
      <w:bookmarkStart w:id="15" w:name="OLE_LINK13"/>
      <w:r w:rsidRPr="000A67E8">
        <w:rPr>
          <w:rFonts w:cs="Calibri"/>
          <w:i/>
        </w:rPr>
        <w:t>Lobbying the European Parliament: A Necessary Evil</w:t>
      </w:r>
      <w:r w:rsidRPr="000A67E8">
        <w:rPr>
          <w:rFonts w:cs="Calibri"/>
        </w:rPr>
        <w:t xml:space="preserve"> </w:t>
      </w:r>
      <w:bookmarkEnd w:id="15"/>
      <w:r w:rsidRPr="000A67E8">
        <w:rPr>
          <w:rFonts w:cs="Calibri"/>
        </w:rPr>
        <w:t>[online]. CEPS, květen 2011 [cit. 17. února 2012]. Dostupné na &lt;www.ceps.eu/ceps/download/5533&gt;.</w:t>
      </w:r>
    </w:p>
  </w:footnote>
  <w:footnote w:id="21">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Tamtéž.</w:t>
      </w:r>
    </w:p>
  </w:footnote>
  <w:footnote w:id="22">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w:t>
      </w:r>
      <w:r w:rsidRPr="000A67E8">
        <w:rPr>
          <w:rFonts w:cs="Calibri"/>
          <w:i/>
        </w:rPr>
        <w:t>Kdo by se měl zaregistrovat?</w:t>
      </w:r>
      <w:r w:rsidRPr="000A67E8">
        <w:rPr>
          <w:rFonts w:cs="Calibri"/>
        </w:rPr>
        <w:t xml:space="preserve"> [online]. Europa.eu. [cit. 4. listopadu 2011]. Dostupné na &lt;http://europa.eu/transparency-register/your-organisation/who-register/index_cs.htm&gt;.</w:t>
      </w:r>
    </w:p>
  </w:footnote>
  <w:footnote w:id="23">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HOLMAN, Craig, LUNEBURG, William. </w:t>
      </w:r>
      <w:r w:rsidRPr="000A67E8">
        <w:rPr>
          <w:rFonts w:cs="Calibri"/>
          <w:i/>
        </w:rPr>
        <w:t>Lobbying and Transparency: A Comparative Analysis of Regulatory Reform</w:t>
      </w:r>
      <w:r w:rsidRPr="000A67E8">
        <w:rPr>
          <w:rFonts w:cs="Calibri"/>
        </w:rPr>
        <w:t xml:space="preserve"> [online]. Interest Groups &amp; Advocacy, 20. března 2012 [cit. 2. června 2012], Dostupné na &lt;http://www.palgrave-journals.com/iga/journal/v1/n1/full/iga20124a.html&gt;.</w:t>
      </w:r>
    </w:p>
  </w:footnote>
  <w:footnote w:id="24">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Email od Kerstin Hötzel z 30. dubna 2012.</w:t>
      </w:r>
    </w:p>
  </w:footnote>
  <w:footnote w:id="25">
    <w:p w:rsidR="001C168F" w:rsidRPr="00F64B5A" w:rsidRDefault="001C168F" w:rsidP="00331822">
      <w:pPr>
        <w:pStyle w:val="Textpoznpodarou"/>
        <w:spacing w:afterLines="20" w:after="48"/>
        <w:ind w:left="142" w:hanging="142"/>
        <w:jc w:val="left"/>
        <w:rPr>
          <w:rFonts w:cs="Calibri"/>
          <w:lang w:val="de-DE"/>
        </w:rPr>
      </w:pPr>
      <w:r w:rsidRPr="000A67E8">
        <w:rPr>
          <w:rStyle w:val="Znakapoznpodarou"/>
          <w:rFonts w:cs="Calibri"/>
        </w:rPr>
        <w:footnoteRef/>
      </w:r>
      <w:r w:rsidRPr="000A67E8">
        <w:rPr>
          <w:rFonts w:cs="Calibri"/>
        </w:rPr>
        <w:t xml:space="preserve"> </w:t>
      </w:r>
      <w:r w:rsidRPr="00F64B5A">
        <w:rPr>
          <w:rFonts w:cs="Calibri"/>
          <w:noProof/>
          <w:lang w:val="de-DE"/>
        </w:rPr>
        <w:t xml:space="preserve">KRETSCHMER, Heiko, SCHMEDES, Hans-Jörg. </w:t>
      </w:r>
      <w:r w:rsidRPr="000A67E8">
        <w:rPr>
          <w:rFonts w:cs="Calibri"/>
          <w:noProof/>
          <w:lang w:val="en-US"/>
        </w:rPr>
        <w:t xml:space="preserve">Enhancing Transparency in EU Lobbying? How the European Commission´s Lack of Courage and Determination Impedes Substantial Progress. </w:t>
      </w:r>
      <w:bookmarkStart w:id="17" w:name="OLE_LINK25"/>
      <w:bookmarkStart w:id="18" w:name="OLE_LINK26"/>
      <w:r w:rsidRPr="00F64B5A">
        <w:rPr>
          <w:rFonts w:cs="Calibri"/>
          <w:i/>
          <w:noProof/>
          <w:lang w:val="de-DE"/>
        </w:rPr>
        <w:t>Internationale Politik und Gesellschaft</w:t>
      </w:r>
      <w:bookmarkEnd w:id="17"/>
      <w:bookmarkEnd w:id="18"/>
      <w:r w:rsidRPr="00F64B5A">
        <w:rPr>
          <w:rFonts w:cs="Calibri"/>
          <w:noProof/>
          <w:lang w:val="de-DE"/>
        </w:rPr>
        <w:t>, 2010, č.1, s. 112.</w:t>
      </w:r>
    </w:p>
  </w:footnote>
  <w:footnote w:id="26">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w:t>
      </w:r>
      <w:r w:rsidRPr="000A67E8">
        <w:rPr>
          <w:rFonts w:cs="Calibri"/>
          <w:noProof/>
        </w:rPr>
        <w:t xml:space="preserve">PITROVÁ, Markéta, KUBOVÁ, Radana. Regulace procesu prosazování zájmů v Evropské unii: Lobbistické kodexy chování. </w:t>
      </w:r>
      <w:r w:rsidRPr="000A67E8">
        <w:rPr>
          <w:rFonts w:cs="Calibri"/>
          <w:i/>
          <w:noProof/>
        </w:rPr>
        <w:t>Mezinárodní vztahy</w:t>
      </w:r>
      <w:r w:rsidRPr="000A67E8">
        <w:rPr>
          <w:rFonts w:cs="Calibri"/>
          <w:noProof/>
        </w:rPr>
        <w:t>, 2010, roč. 45, č. 3</w:t>
      </w:r>
      <w:r w:rsidRPr="000A67E8">
        <w:rPr>
          <w:rFonts w:cs="Calibri"/>
        </w:rPr>
        <w:t>, s. 34.</w:t>
      </w:r>
    </w:p>
  </w:footnote>
  <w:footnote w:id="27">
    <w:p w:rsidR="001C168F" w:rsidRPr="00F64B5A" w:rsidRDefault="001C168F" w:rsidP="00331822">
      <w:pPr>
        <w:pStyle w:val="Textpoznpodarou"/>
        <w:spacing w:afterLines="20" w:after="48"/>
        <w:ind w:left="142" w:hanging="142"/>
        <w:jc w:val="left"/>
        <w:rPr>
          <w:rFonts w:cs="Calibri"/>
          <w:lang w:val="de-DE"/>
        </w:rPr>
      </w:pPr>
      <w:r w:rsidRPr="000A67E8">
        <w:rPr>
          <w:rStyle w:val="Znakapoznpodarou"/>
          <w:rFonts w:cs="Calibri"/>
        </w:rPr>
        <w:footnoteRef/>
      </w:r>
      <w:r w:rsidRPr="000A67E8">
        <w:rPr>
          <w:rFonts w:cs="Calibri"/>
        </w:rPr>
        <w:t xml:space="preserve"> KRETSCHMER, SCHMEDES: </w:t>
      </w:r>
      <w:r w:rsidRPr="000A67E8">
        <w:rPr>
          <w:rFonts w:cs="Calibri"/>
          <w:i/>
        </w:rPr>
        <w:t>Enhancing Transparency…</w:t>
      </w:r>
      <w:r w:rsidRPr="000A67E8">
        <w:rPr>
          <w:rFonts w:cs="Calibri"/>
        </w:rPr>
        <w:t>, s. 112.</w:t>
      </w:r>
    </w:p>
  </w:footnote>
  <w:footnote w:id="28">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w:t>
      </w:r>
      <w:r w:rsidRPr="000A67E8">
        <w:rPr>
          <w:rFonts w:cs="Calibri"/>
          <w:noProof/>
        </w:rPr>
        <w:t xml:space="preserve">PITROVÁ, KUBOVÁ: </w:t>
      </w:r>
      <w:r w:rsidRPr="000A67E8">
        <w:rPr>
          <w:rFonts w:cs="Calibri"/>
          <w:i/>
          <w:noProof/>
        </w:rPr>
        <w:t>Regulace procesu…</w:t>
      </w:r>
      <w:r w:rsidRPr="000A67E8">
        <w:rPr>
          <w:rFonts w:cs="Calibri"/>
          <w:noProof/>
        </w:rPr>
        <w:t>, s. 34.</w:t>
      </w:r>
    </w:p>
  </w:footnote>
  <w:footnote w:id="29">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Email od Kerstin Hötzel z 30. dubna 2012.</w:t>
      </w:r>
    </w:p>
  </w:footnote>
  <w:footnote w:id="30">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w:t>
      </w:r>
      <w:r w:rsidRPr="000A67E8">
        <w:rPr>
          <w:rFonts w:cs="Calibri"/>
          <w:i/>
        </w:rPr>
        <w:t>Lobbying in a Democratic Society (European Code of Conduct on Lobbying)</w:t>
      </w:r>
      <w:r w:rsidRPr="000A67E8">
        <w:rPr>
          <w:rFonts w:cs="Calibri"/>
        </w:rPr>
        <w:t xml:space="preserve"> [online]. Parliamentary Assembly, 5. června 2009 [cit. 17. listopadu 2011]. Dostupné na &lt;http://assembly.coe.int/Main.asp?link=/Documents/WorkingDocs/Doc09/EDOC11937.htm&gt;.</w:t>
      </w:r>
    </w:p>
  </w:footnote>
  <w:footnote w:id="31">
    <w:p w:rsidR="001C168F" w:rsidRPr="005E05B3" w:rsidRDefault="001C168F" w:rsidP="005E05B3">
      <w:pPr>
        <w:pStyle w:val="Textpoznpodarou"/>
        <w:spacing w:afterLines="20" w:after="48"/>
        <w:ind w:left="142" w:hanging="142"/>
        <w:jc w:val="left"/>
      </w:pPr>
      <w:r w:rsidRPr="005E05B3">
        <w:rPr>
          <w:rStyle w:val="Znakapoznpodarou"/>
          <w:rFonts w:cs="Calibri"/>
        </w:rPr>
        <w:footnoteRef/>
      </w:r>
      <w:r w:rsidRPr="005E05B3">
        <w:rPr>
          <w:rStyle w:val="Znakapoznpodarou"/>
          <w:rFonts w:cs="Calibri"/>
        </w:rPr>
        <w:t xml:space="preserve"> </w:t>
      </w:r>
      <w:r w:rsidRPr="005E05B3">
        <w:t>Viz kapitolu 4.2.</w:t>
      </w:r>
    </w:p>
  </w:footnote>
  <w:footnote w:id="32">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w:t>
      </w:r>
      <w:r w:rsidRPr="000A67E8">
        <w:rPr>
          <w:rFonts w:cs="Calibri"/>
          <w:i/>
          <w:noProof/>
        </w:rPr>
        <w:t xml:space="preserve">The Commission´s Lobby Register One Year On: Success or Failure? </w:t>
      </w:r>
      <w:r w:rsidRPr="000A67E8">
        <w:rPr>
          <w:rFonts w:cs="Calibri"/>
          <w:noProof/>
        </w:rPr>
        <w:t>[online]. ALTER-EU, 25. května 2009 [cit. 6. února 2012]. Dostupné na &lt;</w:t>
      </w:r>
      <w:bookmarkStart w:id="21" w:name="OLE_LINK9"/>
      <w:r w:rsidRPr="000A67E8">
        <w:rPr>
          <w:rFonts w:cs="Calibri"/>
          <w:noProof/>
        </w:rPr>
        <w:t>http://www.alter-eu.org/sites/default/files/documents/register-assessment-after-one-year.pdf</w:t>
      </w:r>
      <w:bookmarkEnd w:id="21"/>
      <w:r w:rsidRPr="000A67E8">
        <w:rPr>
          <w:rFonts w:cs="Calibri"/>
          <w:noProof/>
        </w:rPr>
        <w:t>&gt;.</w:t>
      </w:r>
    </w:p>
  </w:footnote>
  <w:footnote w:id="33">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KRETSCHMER, SCHMEDES: </w:t>
      </w:r>
      <w:r w:rsidRPr="000A67E8">
        <w:rPr>
          <w:rFonts w:cs="Calibri"/>
          <w:i/>
        </w:rPr>
        <w:t>Enhancing Transparency…</w:t>
      </w:r>
      <w:r w:rsidRPr="000A67E8">
        <w:rPr>
          <w:rFonts w:cs="Calibri"/>
        </w:rPr>
        <w:t>, s. 120.</w:t>
      </w:r>
    </w:p>
  </w:footnote>
  <w:footnote w:id="34">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w:t>
      </w:r>
      <w:r w:rsidRPr="000A67E8">
        <w:rPr>
          <w:rFonts w:cs="Calibri"/>
          <w:noProof/>
        </w:rPr>
        <w:t>PITROVÁ, ZATLOUKALOVÁ: Rejstřík zástupců…</w:t>
      </w:r>
      <w:r w:rsidRPr="000A67E8">
        <w:rPr>
          <w:rFonts w:cs="Calibri"/>
        </w:rPr>
        <w:t>, s. 279.</w:t>
      </w:r>
    </w:p>
  </w:footnote>
  <w:footnote w:id="35">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w:t>
      </w:r>
      <w:r w:rsidRPr="000A67E8">
        <w:rPr>
          <w:rFonts w:cs="Calibri"/>
          <w:noProof/>
        </w:rPr>
        <w:t>Tamtéž.</w:t>
      </w:r>
    </w:p>
  </w:footnote>
  <w:footnote w:id="36">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PITROVÁ, KUBOVÁ: </w:t>
      </w:r>
      <w:r w:rsidRPr="000A67E8">
        <w:rPr>
          <w:rFonts w:cs="Calibri"/>
          <w:i/>
        </w:rPr>
        <w:t>Regulace procesu…</w:t>
      </w:r>
      <w:r w:rsidRPr="000A67E8">
        <w:rPr>
          <w:rFonts w:cs="Calibri"/>
        </w:rPr>
        <w:t>, s. 36.</w:t>
      </w:r>
    </w:p>
  </w:footnote>
  <w:footnote w:id="37">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Tamtéž.</w:t>
      </w:r>
    </w:p>
  </w:footnote>
  <w:footnote w:id="38">
    <w:p w:rsidR="001C168F" w:rsidRPr="00D5387F" w:rsidRDefault="001C168F" w:rsidP="00331822">
      <w:pPr>
        <w:pStyle w:val="Textpoznpodarou"/>
        <w:spacing w:afterLines="20" w:after="48"/>
        <w:ind w:left="142" w:hanging="142"/>
        <w:jc w:val="left"/>
      </w:pPr>
      <w:r w:rsidRPr="00D5387F">
        <w:rPr>
          <w:rStyle w:val="Znakapoznpodarou"/>
        </w:rPr>
        <w:footnoteRef/>
      </w:r>
      <w:r w:rsidRPr="00D5387F">
        <w:t xml:space="preserve"> Akreditace je zhodnocena </w:t>
      </w:r>
      <w:r>
        <w:t>níže</w:t>
      </w:r>
      <w:r w:rsidRPr="00D5387F">
        <w:t xml:space="preserve"> v kapitole </w:t>
      </w:r>
      <w:r>
        <w:t>5</w:t>
      </w:r>
      <w:r w:rsidRPr="00D5387F">
        <w:t>.1.3.</w:t>
      </w:r>
    </w:p>
  </w:footnote>
  <w:footnote w:id="39">
    <w:p w:rsidR="001C168F" w:rsidRPr="00D5387F" w:rsidRDefault="001C168F" w:rsidP="00331822">
      <w:pPr>
        <w:pStyle w:val="Textpoznpodarou"/>
        <w:spacing w:afterLines="20" w:after="48"/>
        <w:ind w:left="142" w:hanging="142"/>
        <w:jc w:val="left"/>
      </w:pPr>
      <w:r w:rsidRPr="00D5387F">
        <w:rPr>
          <w:rStyle w:val="Znakapoznpodarou"/>
        </w:rPr>
        <w:footnoteRef/>
      </w:r>
      <w:r w:rsidRPr="00D5387F">
        <w:t xml:space="preserve"> Viz kapitolu </w:t>
      </w:r>
      <w:r>
        <w:t>5</w:t>
      </w:r>
      <w:r w:rsidRPr="00D5387F">
        <w:t>.1.1.</w:t>
      </w:r>
    </w:p>
  </w:footnote>
  <w:footnote w:id="40">
    <w:p w:rsidR="001C168F" w:rsidRPr="00D5387F" w:rsidRDefault="001C168F" w:rsidP="00331822">
      <w:pPr>
        <w:pStyle w:val="Textpoznpodarou"/>
        <w:spacing w:afterLines="20" w:after="48"/>
        <w:ind w:left="142" w:hanging="142"/>
        <w:jc w:val="left"/>
      </w:pPr>
      <w:r w:rsidRPr="00D5387F">
        <w:rPr>
          <w:rStyle w:val="Znakapoznpodarou"/>
        </w:rPr>
        <w:footnoteRef/>
      </w:r>
      <w:r w:rsidRPr="00D5387F">
        <w:t xml:space="preserve"> Kodex EP je analyzován v kapitolách </w:t>
      </w:r>
      <w:r>
        <w:t>5</w:t>
      </w:r>
      <w:r w:rsidRPr="00D5387F">
        <w:t xml:space="preserve">.2.2. a </w:t>
      </w:r>
      <w:r>
        <w:t>5</w:t>
      </w:r>
      <w:r w:rsidRPr="00D5387F">
        <w:t>.2.3.</w:t>
      </w:r>
    </w:p>
  </w:footnote>
  <w:footnote w:id="41">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KOHLER-KOCH, Beate. Organized Interests in the EC and the European Parliament</w:t>
      </w:r>
      <w:r>
        <w:rPr>
          <w:rFonts w:cs="Calibri"/>
        </w:rPr>
        <w:t xml:space="preserve">. </w:t>
      </w:r>
      <w:r w:rsidRPr="008900FF">
        <w:rPr>
          <w:rFonts w:cs="Calibri"/>
          <w:i/>
        </w:rPr>
        <w:t>EIoP</w:t>
      </w:r>
      <w:r>
        <w:rPr>
          <w:rFonts w:cs="Calibri"/>
        </w:rPr>
        <w:t>, 1997, roč. 1, č. 9, s. 10.</w:t>
      </w:r>
    </w:p>
  </w:footnote>
  <w:footnote w:id="42">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Tamtéž.</w:t>
      </w:r>
    </w:p>
  </w:footnote>
  <w:footnote w:id="43">
    <w:p w:rsidR="001C168F" w:rsidRPr="000A67E8" w:rsidRDefault="001C168F" w:rsidP="00B245D5">
      <w:pPr>
        <w:pStyle w:val="Textpoznpodarou"/>
        <w:spacing w:afterLines="20" w:after="48"/>
        <w:ind w:left="142" w:hanging="142"/>
        <w:jc w:val="left"/>
        <w:rPr>
          <w:rFonts w:cs="Calibri"/>
        </w:rPr>
      </w:pPr>
      <w:r w:rsidRPr="000A67E8">
        <w:rPr>
          <w:rStyle w:val="Znakapoznpodarou"/>
          <w:rFonts w:cs="Calibri"/>
        </w:rPr>
        <w:footnoteRef/>
      </w:r>
      <w:r>
        <w:rPr>
          <w:rFonts w:cs="Calibri"/>
        </w:rPr>
        <w:t xml:space="preserve"> JUDGE</w:t>
      </w:r>
      <w:r w:rsidRPr="00B245D5">
        <w:rPr>
          <w:rFonts w:cs="Calibri"/>
        </w:rPr>
        <w:t xml:space="preserve"> D</w:t>
      </w:r>
      <w:r>
        <w:rPr>
          <w:rFonts w:cs="Calibri"/>
        </w:rPr>
        <w:t>avid, EARNSHAW, David. No S</w:t>
      </w:r>
      <w:r w:rsidRPr="00B245D5">
        <w:rPr>
          <w:rFonts w:cs="Calibri"/>
        </w:rPr>
        <w:t>imple</w:t>
      </w:r>
      <w:r>
        <w:rPr>
          <w:rFonts w:cs="Calibri"/>
        </w:rPr>
        <w:t xml:space="preserve"> D</w:t>
      </w:r>
      <w:r w:rsidRPr="00B245D5">
        <w:rPr>
          <w:rFonts w:cs="Calibri"/>
        </w:rPr>
        <w:t xml:space="preserve">ichotomies: </w:t>
      </w:r>
      <w:r>
        <w:rPr>
          <w:rFonts w:cs="Calibri"/>
        </w:rPr>
        <w:t>L</w:t>
      </w:r>
      <w:r w:rsidRPr="00B245D5">
        <w:rPr>
          <w:rFonts w:cs="Calibri"/>
        </w:rPr>
        <w:t>obbyists and the European Parliament</w:t>
      </w:r>
      <w:r>
        <w:rPr>
          <w:rFonts w:cs="Calibri"/>
        </w:rPr>
        <w:t>.</w:t>
      </w:r>
      <w:r w:rsidRPr="00B245D5">
        <w:rPr>
          <w:rFonts w:cs="Calibri"/>
        </w:rPr>
        <w:t xml:space="preserve"> </w:t>
      </w:r>
      <w:r w:rsidRPr="00B245D5">
        <w:rPr>
          <w:rFonts w:cs="Calibri"/>
          <w:i/>
        </w:rPr>
        <w:t>The Journal of Legislative Studies</w:t>
      </w:r>
      <w:r>
        <w:rPr>
          <w:rFonts w:cs="Calibri"/>
        </w:rPr>
        <w:t>, 2002, roč. 8, č. 4</w:t>
      </w:r>
      <w:r w:rsidRPr="00B245D5">
        <w:rPr>
          <w:rFonts w:cs="Calibri"/>
        </w:rPr>
        <w:t xml:space="preserve">, </w:t>
      </w:r>
      <w:r>
        <w:rPr>
          <w:rFonts w:cs="Calibri"/>
        </w:rPr>
        <w:t>s</w:t>
      </w:r>
      <w:r w:rsidRPr="00B245D5">
        <w:rPr>
          <w:rFonts w:cs="Calibri"/>
        </w:rPr>
        <w:t>.</w:t>
      </w:r>
      <w:r>
        <w:rPr>
          <w:rFonts w:cs="Calibri"/>
        </w:rPr>
        <w:t xml:space="preserve"> </w:t>
      </w:r>
      <w:r w:rsidRPr="00B245D5">
        <w:rPr>
          <w:rFonts w:cs="Calibri"/>
        </w:rPr>
        <w:t>6</w:t>
      </w:r>
      <w:r>
        <w:rPr>
          <w:rFonts w:cs="Calibri"/>
        </w:rPr>
        <w:t>4</w:t>
      </w:r>
      <w:r w:rsidRPr="00B245D5">
        <w:rPr>
          <w:rFonts w:cs="Calibri"/>
        </w:rPr>
        <w:t>.</w:t>
      </w:r>
    </w:p>
  </w:footnote>
  <w:footnote w:id="44">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WATERFIELD, Bruno. </w:t>
      </w:r>
      <w:r w:rsidRPr="000A67E8">
        <w:rPr>
          <w:rFonts w:cs="Calibri"/>
          <w:i/>
        </w:rPr>
        <w:t>European Parliament Member Resigns over ’Cash for Laws’ Scandal</w:t>
      </w:r>
      <w:r w:rsidRPr="000A67E8">
        <w:rPr>
          <w:rFonts w:cs="Calibri"/>
        </w:rPr>
        <w:t xml:space="preserve"> [online]. The Telegraph, 20. března 2011 [cit. 25. dubna 2012].</w:t>
      </w:r>
      <w:r w:rsidRPr="000A67E8">
        <w:rPr>
          <w:rFonts w:cs="Calibri"/>
          <w:i/>
        </w:rPr>
        <w:t xml:space="preserve"> &lt;</w:t>
      </w:r>
      <w:r w:rsidRPr="000A67E8">
        <w:rPr>
          <w:rFonts w:cs="Calibri"/>
        </w:rPr>
        <w:t>http://www.telegraph.co.uk/news/worldnews/europe/eu/8393797/European-Parliament-member-resigns-over-cash-for-laws-scandal.html&gt;.</w:t>
      </w:r>
    </w:p>
  </w:footnote>
  <w:footnote w:id="45">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Style w:val="Znakapoznpodarou"/>
          <w:rFonts w:cs="Calibri"/>
        </w:rPr>
        <w:t xml:space="preserve"> </w:t>
      </w:r>
      <w:r w:rsidRPr="000A67E8">
        <w:rPr>
          <w:rFonts w:cs="Calibri"/>
          <w:i/>
        </w:rPr>
        <w:t>Another MEP Exposed in ’Cash for Laws’-Scandal</w:t>
      </w:r>
      <w:r w:rsidRPr="000A67E8">
        <w:rPr>
          <w:rFonts w:cs="Calibri"/>
        </w:rPr>
        <w:t xml:space="preserve"> [online]. ECCJ, 28. listopadu 2011 [cit. 25. dubna 2012]. Dostupné na &lt;http://www.corporatejustice.org/another-mep-exposed-in-cash-for.html?lang=fr&gt;.</w:t>
      </w:r>
    </w:p>
  </w:footnote>
  <w:footnote w:id="46">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w:t>
      </w:r>
      <w:r w:rsidRPr="000A67E8">
        <w:rPr>
          <w:rFonts w:cs="Calibri"/>
          <w:i/>
        </w:rPr>
        <w:t xml:space="preserve">Insight: Fourth MEP Taped in 'Cash-for-Laws' Scandal </w:t>
      </w:r>
      <w:r w:rsidRPr="000A67E8">
        <w:rPr>
          <w:rFonts w:cs="Calibri"/>
        </w:rPr>
        <w:t>[online]. Sunday T</w:t>
      </w:r>
      <w:r>
        <w:rPr>
          <w:rFonts w:cs="Calibri"/>
        </w:rPr>
        <w:t>imes, 27. března 2011 [cit. 23. </w:t>
      </w:r>
      <w:r w:rsidRPr="000A67E8">
        <w:rPr>
          <w:rFonts w:cs="Calibri"/>
        </w:rPr>
        <w:t>listopadu 2011]. Dostupné na &lt;http://www.thesundaytimes.co.uk/sto/news/insight/article587934.ece&gt;.</w:t>
      </w:r>
    </w:p>
  </w:footnote>
  <w:footnote w:id="47">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RASMUSSEN: Lobbying the European...</w:t>
      </w:r>
    </w:p>
  </w:footnote>
  <w:footnote w:id="48">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Kodex je podrobněji rozebírán v kapitole </w:t>
      </w:r>
      <w:r>
        <w:rPr>
          <w:rFonts w:cs="Calibri"/>
        </w:rPr>
        <w:t>5</w:t>
      </w:r>
      <w:r w:rsidRPr="000A67E8">
        <w:rPr>
          <w:rFonts w:cs="Calibri"/>
        </w:rPr>
        <w:t>.2.3.</w:t>
      </w:r>
    </w:p>
  </w:footnote>
  <w:footnote w:id="49">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BRAND, Constant. </w:t>
      </w:r>
      <w:r w:rsidRPr="000A67E8">
        <w:rPr>
          <w:rFonts w:cs="Calibri"/>
          <w:i/>
        </w:rPr>
        <w:t>Buzek Presents Anti-Sleaze Plan</w:t>
      </w:r>
      <w:r w:rsidRPr="000A67E8">
        <w:rPr>
          <w:rFonts w:cs="Calibri"/>
        </w:rPr>
        <w:t xml:space="preserve"> [online]. EuropeanVoice.com, 7. července 2011 [cit. 16. března 2012]. Dostupné na &lt;http://www.europeanvoice.com/article/imported/buzek-</w:t>
      </w:r>
      <w:r>
        <w:rPr>
          <w:rFonts w:cs="Calibri"/>
        </w:rPr>
        <w:t>p</w:t>
      </w:r>
      <w:r w:rsidRPr="000A67E8">
        <w:rPr>
          <w:rFonts w:cs="Calibri"/>
        </w:rPr>
        <w:t>resents-anti-sleaze-plan/71554.aspx&gt;.</w:t>
      </w:r>
    </w:p>
  </w:footnote>
  <w:footnote w:id="50">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CHARI, Raj, O´DONOVAN, Daniel Hillebrand. </w:t>
      </w:r>
      <w:r w:rsidRPr="000A67E8">
        <w:rPr>
          <w:rFonts w:cs="Calibri"/>
          <w:i/>
        </w:rPr>
        <w:t>Lobbying the European Commission: Open or Secret?</w:t>
      </w:r>
      <w:r w:rsidRPr="000A67E8">
        <w:rPr>
          <w:rFonts w:cs="Calibri"/>
        </w:rPr>
        <w:t xml:space="preserve"> [pracovní dokument]. Madrid: Institute Imdea, 2010, s. 53.</w:t>
      </w:r>
    </w:p>
  </w:footnote>
  <w:footnote w:id="51">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LABOUTKOVÁ, Šárka, ŽÁK, Milan. Lobbování v Evropské unii a České republice. </w:t>
      </w:r>
      <w:bookmarkStart w:id="28" w:name="OLE_LINK23"/>
      <w:r w:rsidRPr="000A67E8">
        <w:rPr>
          <w:rFonts w:cs="Calibri"/>
          <w:i/>
        </w:rPr>
        <w:t>Politická ekonomie</w:t>
      </w:r>
      <w:bookmarkEnd w:id="28"/>
      <w:r w:rsidRPr="000A67E8">
        <w:rPr>
          <w:rFonts w:cs="Calibri"/>
        </w:rPr>
        <w:t>, 2010, č. 5, s. 591.</w:t>
      </w:r>
    </w:p>
  </w:footnote>
  <w:footnote w:id="52">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RASMUSSEN: Lobbying the European...</w:t>
      </w:r>
    </w:p>
  </w:footnote>
  <w:footnote w:id="53">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Tamtéž.</w:t>
      </w:r>
    </w:p>
  </w:footnote>
  <w:footnote w:id="54">
    <w:p w:rsidR="001C168F" w:rsidRPr="002F3686" w:rsidRDefault="001C168F" w:rsidP="002F3686">
      <w:pPr>
        <w:pStyle w:val="Textpoznpodarou"/>
        <w:spacing w:afterLines="20" w:after="48"/>
        <w:ind w:left="142" w:hanging="142"/>
        <w:jc w:val="left"/>
        <w:rPr>
          <w:rStyle w:val="Znakapoznpodarou"/>
          <w:rFonts w:cs="Calibri"/>
        </w:rPr>
      </w:pPr>
      <w:r w:rsidRPr="002F3686">
        <w:rPr>
          <w:rStyle w:val="Znakapoznpodarou"/>
          <w:rFonts w:cs="Calibri"/>
        </w:rPr>
        <w:footnoteRef/>
      </w:r>
      <w:r w:rsidRPr="002F3686">
        <w:rPr>
          <w:rStyle w:val="Znakapoznpodarou"/>
          <w:rFonts w:cs="Calibri"/>
        </w:rPr>
        <w:t xml:space="preserve"> </w:t>
      </w:r>
      <w:r>
        <w:rPr>
          <w:rFonts w:cs="Calibri"/>
        </w:rPr>
        <w:t xml:space="preserve">KLÜVER, Heike. </w:t>
      </w:r>
      <w:r>
        <w:rPr>
          <w:rFonts w:cs="Calibri"/>
          <w:i/>
        </w:rPr>
        <w:t>Informational Lobbying in the European Union: Explaining Information Supply to the European Commission</w:t>
      </w:r>
      <w:r>
        <w:rPr>
          <w:rFonts w:cs="Calibri"/>
        </w:rPr>
        <w:t>. Oxford: University of Oxford, 2011, s. 20.</w:t>
      </w:r>
    </w:p>
  </w:footnote>
  <w:footnote w:id="55">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w:t>
      </w:r>
      <w:r w:rsidRPr="000A67E8">
        <w:rPr>
          <w:rFonts w:cs="Calibri"/>
          <w:noProof/>
        </w:rPr>
        <w:t xml:space="preserve">CHABANET, Didier. </w:t>
      </w:r>
      <w:r w:rsidRPr="000A67E8">
        <w:rPr>
          <w:rFonts w:cs="Calibri"/>
          <w:i/>
          <w:noProof/>
        </w:rPr>
        <w:t>The Regulation of Interest Groups in the EU</w:t>
      </w:r>
      <w:r w:rsidRPr="000A67E8">
        <w:rPr>
          <w:rFonts w:cs="Calibri"/>
          <w:noProof/>
        </w:rPr>
        <w:t xml:space="preserve"> [</w:t>
      </w:r>
      <w:r>
        <w:rPr>
          <w:rFonts w:cs="Calibri"/>
          <w:noProof/>
        </w:rPr>
        <w:t>zpráva</w:t>
      </w:r>
      <w:r w:rsidRPr="000A67E8">
        <w:rPr>
          <w:rFonts w:cs="Calibri"/>
          <w:noProof/>
        </w:rPr>
        <w:t xml:space="preserve">]. </w:t>
      </w:r>
      <w:r>
        <w:rPr>
          <w:rFonts w:cs="Calibri"/>
          <w:noProof/>
        </w:rPr>
        <w:t xml:space="preserve">Mannheim: </w:t>
      </w:r>
      <w:r w:rsidRPr="000A67E8">
        <w:rPr>
          <w:rFonts w:cs="Calibri"/>
          <w:noProof/>
        </w:rPr>
        <w:t>CONNEX R</w:t>
      </w:r>
      <w:r>
        <w:rPr>
          <w:rFonts w:cs="Calibri"/>
          <w:noProof/>
        </w:rPr>
        <w:t>esearch Group 4, 2006</w:t>
      </w:r>
      <w:bookmarkStart w:id="31" w:name="OLE_LINK12"/>
      <w:r>
        <w:rPr>
          <w:rFonts w:cs="Calibri"/>
          <w:noProof/>
        </w:rPr>
        <w:t>, s. 28.</w:t>
      </w:r>
      <w:bookmarkEnd w:id="31"/>
    </w:p>
  </w:footnote>
  <w:footnote w:id="56">
    <w:p w:rsidR="001C168F" w:rsidRPr="00D5387F" w:rsidRDefault="001C168F" w:rsidP="00331822">
      <w:pPr>
        <w:pStyle w:val="Textpoznpodarou"/>
        <w:spacing w:afterLines="20" w:after="48"/>
        <w:ind w:left="142" w:hanging="142"/>
        <w:jc w:val="left"/>
      </w:pPr>
      <w:r w:rsidRPr="00D5387F">
        <w:rPr>
          <w:rStyle w:val="Znakapoznpodarou"/>
        </w:rPr>
        <w:footnoteRef/>
      </w:r>
      <w:r w:rsidRPr="00D5387F">
        <w:t xml:space="preserve"> Rejstříku se věnuje kapitola </w:t>
      </w:r>
      <w:r>
        <w:t>5</w:t>
      </w:r>
      <w:r w:rsidRPr="00D5387F">
        <w:t>.1.1.</w:t>
      </w:r>
    </w:p>
  </w:footnote>
  <w:footnote w:id="57">
    <w:p w:rsidR="001C168F" w:rsidRPr="00D5387F" w:rsidRDefault="001C168F" w:rsidP="00331822">
      <w:pPr>
        <w:pStyle w:val="Textpoznpodarou"/>
        <w:spacing w:afterLines="20" w:after="48"/>
        <w:ind w:left="142" w:hanging="142"/>
        <w:jc w:val="left"/>
      </w:pPr>
      <w:r w:rsidRPr="00D5387F">
        <w:rPr>
          <w:rStyle w:val="Znakapoznpodarou"/>
        </w:rPr>
        <w:footnoteRef/>
      </w:r>
      <w:r w:rsidRPr="00D5387F">
        <w:t xml:space="preserve"> Kodex chování komisařů je analyzován v kapitolách </w:t>
      </w:r>
      <w:r>
        <w:t>5</w:t>
      </w:r>
      <w:r w:rsidRPr="00D5387F">
        <w:t xml:space="preserve">.2.2. a </w:t>
      </w:r>
      <w:r>
        <w:t>5</w:t>
      </w:r>
      <w:r w:rsidRPr="00D5387F">
        <w:t>.2.3.</w:t>
      </w:r>
    </w:p>
  </w:footnote>
  <w:footnote w:id="58">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w:t>
      </w:r>
      <w:bookmarkStart w:id="32" w:name="OLE_LINK30"/>
      <w:r w:rsidRPr="000A67E8">
        <w:rPr>
          <w:rFonts w:cs="Calibri"/>
          <w:i/>
        </w:rPr>
        <w:t>European Governance – A White Paper</w:t>
      </w:r>
      <w:bookmarkEnd w:id="32"/>
      <w:r w:rsidRPr="000A67E8">
        <w:rPr>
          <w:rFonts w:cs="Calibri"/>
        </w:rPr>
        <w:t xml:space="preserve"> [online]. Evropská komise, 25. července 2001 [cit. 2. května 2012]. Dostupné na &lt;http://eur-lex.europa.eu/LexUriServ/LexUriServ.do?uri=COM:2001:0428:FIN:</w:t>
      </w:r>
      <w:r>
        <w:rPr>
          <w:rFonts w:cs="Calibri"/>
        </w:rPr>
        <w:br/>
      </w:r>
      <w:r w:rsidRPr="000A67E8">
        <w:rPr>
          <w:rFonts w:cs="Calibri"/>
        </w:rPr>
        <w:t>EN:PDF&gt;.</w:t>
      </w:r>
    </w:p>
  </w:footnote>
  <w:footnote w:id="59">
    <w:p w:rsidR="001C168F" w:rsidRPr="000A67E8" w:rsidRDefault="001C168F" w:rsidP="00331822">
      <w:pPr>
        <w:pStyle w:val="Textpoznpodarou"/>
        <w:spacing w:afterLines="20" w:after="48"/>
        <w:ind w:left="142" w:hanging="142"/>
        <w:jc w:val="left"/>
        <w:rPr>
          <w:rFonts w:cs="Calibri"/>
          <w:i/>
        </w:rPr>
      </w:pPr>
      <w:r w:rsidRPr="000A67E8">
        <w:rPr>
          <w:rStyle w:val="Znakapoznpodarou"/>
          <w:rFonts w:cs="Calibri"/>
        </w:rPr>
        <w:footnoteRef/>
      </w:r>
      <w:r>
        <w:rPr>
          <w:rFonts w:cs="Calibri"/>
        </w:rPr>
        <w:t xml:space="preserve"> CHARI</w:t>
      </w:r>
      <w:r w:rsidRPr="000A67E8">
        <w:rPr>
          <w:rFonts w:cs="Calibri"/>
        </w:rPr>
        <w:t>, MURPHY</w:t>
      </w:r>
      <w:r>
        <w:rPr>
          <w:rFonts w:cs="Calibri"/>
        </w:rPr>
        <w:t>:</w:t>
      </w:r>
      <w:r w:rsidRPr="000A67E8">
        <w:rPr>
          <w:rFonts w:cs="Calibri"/>
        </w:rPr>
        <w:t xml:space="preserve"> </w:t>
      </w:r>
      <w:r w:rsidRPr="000A67E8">
        <w:rPr>
          <w:rFonts w:cs="Calibri"/>
          <w:i/>
        </w:rPr>
        <w:t>Examining and Assessing</w:t>
      </w:r>
      <w:r>
        <w:rPr>
          <w:rFonts w:cs="Calibri"/>
          <w:i/>
        </w:rPr>
        <w:t>…</w:t>
      </w:r>
      <w:r w:rsidRPr="00154350">
        <w:rPr>
          <w:rFonts w:cs="Calibri"/>
        </w:rPr>
        <w:t>,</w:t>
      </w:r>
      <w:r w:rsidRPr="000A67E8">
        <w:rPr>
          <w:rFonts w:cs="Calibri"/>
        </w:rPr>
        <w:t xml:space="preserve"> s. 50.</w:t>
      </w:r>
    </w:p>
  </w:footnote>
  <w:footnote w:id="60">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w:t>
      </w:r>
      <w:r w:rsidRPr="008B6541">
        <w:rPr>
          <w:rFonts w:cs="Calibri"/>
        </w:rPr>
        <w:t>Evropská komise:</w:t>
      </w:r>
      <w:r>
        <w:rPr>
          <w:rFonts w:cs="Calibri"/>
          <w:i/>
        </w:rPr>
        <w:t xml:space="preserve"> Zelená kniha</w:t>
      </w:r>
      <w:r w:rsidRPr="000A67E8">
        <w:rPr>
          <w:rFonts w:cs="Calibri"/>
          <w:i/>
        </w:rPr>
        <w:t>…</w:t>
      </w:r>
    </w:p>
  </w:footnote>
  <w:footnote w:id="61">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SMYTH, Jamie. </w:t>
      </w:r>
      <w:r w:rsidRPr="000A67E8">
        <w:rPr>
          <w:rFonts w:cs="Calibri"/>
          <w:i/>
        </w:rPr>
        <w:t>EU Proposes Voluntary Registration for Lobbyists</w:t>
      </w:r>
      <w:r w:rsidRPr="000A67E8">
        <w:rPr>
          <w:rFonts w:cs="Calibri"/>
        </w:rPr>
        <w:t xml:space="preserve"> [online]. The Irish Times, 4. května 2006 [cit. 4. dubna 2012]. Dostupné na &lt;http://www.highbeam.com/doc/1P2-24837944.html&gt;.</w:t>
      </w:r>
    </w:p>
  </w:footnote>
  <w:footnote w:id="62">
    <w:p w:rsidR="001C168F" w:rsidRPr="00BF06D6" w:rsidRDefault="001C168F" w:rsidP="00BF06D6">
      <w:pPr>
        <w:pStyle w:val="Textpoznpodarou"/>
        <w:spacing w:afterLines="20" w:after="48"/>
        <w:ind w:left="142" w:hanging="142"/>
        <w:jc w:val="left"/>
        <w:rPr>
          <w:rStyle w:val="Znakapoznpodarou"/>
          <w:rFonts w:cs="Calibri"/>
        </w:rPr>
      </w:pPr>
      <w:r w:rsidRPr="00BF06D6">
        <w:rPr>
          <w:rStyle w:val="Znakapoznpodarou"/>
          <w:rFonts w:cs="Calibri"/>
        </w:rPr>
        <w:footnoteRef/>
      </w:r>
      <w:r w:rsidRPr="00BF06D6">
        <w:rPr>
          <w:rStyle w:val="Znakapoznpodarou"/>
          <w:rFonts w:cs="Calibri"/>
        </w:rPr>
        <w:t xml:space="preserve"> </w:t>
      </w:r>
      <w:r>
        <w:rPr>
          <w:rFonts w:cs="Calibri"/>
        </w:rPr>
        <w:t xml:space="preserve">Pro další příklady viz </w:t>
      </w:r>
      <w:r w:rsidRPr="00D5387F">
        <w:t xml:space="preserve">CLAUSEN, Jens. </w:t>
      </w:r>
      <w:r w:rsidRPr="00D5387F">
        <w:rPr>
          <w:i/>
        </w:rPr>
        <w:t>Revolving Door Provides Privileged Access: Why the European Commission Needs a Stricter Code of Conduct</w:t>
      </w:r>
      <w:r w:rsidRPr="00D5387F">
        <w:t>. Brussels: ALTER-EU, 2011</w:t>
      </w:r>
      <w:r>
        <w:t>, z čehož byl převážně čerpán i tento případ.</w:t>
      </w:r>
    </w:p>
  </w:footnote>
  <w:footnote w:id="63">
    <w:p w:rsidR="001C168F" w:rsidRPr="00EF534A" w:rsidRDefault="001C168F" w:rsidP="00EF534A">
      <w:pPr>
        <w:pStyle w:val="Textpoznpodarou"/>
        <w:spacing w:afterLines="20" w:after="48"/>
        <w:ind w:left="142" w:hanging="142"/>
        <w:jc w:val="left"/>
        <w:rPr>
          <w:rStyle w:val="Znakapoznpodarou"/>
        </w:rPr>
      </w:pPr>
      <w:r>
        <w:rPr>
          <w:rStyle w:val="Znakapoznpodarou"/>
        </w:rPr>
        <w:footnoteRef/>
      </w:r>
      <w:r w:rsidRPr="00EF534A">
        <w:rPr>
          <w:rStyle w:val="Znakapoznpodarou"/>
        </w:rPr>
        <w:t xml:space="preserve"> </w:t>
      </w:r>
      <w:r>
        <w:rPr>
          <w:i/>
        </w:rPr>
        <w:t>The Members of Barroso Commission (2004-2009)</w:t>
      </w:r>
      <w:r>
        <w:t>. European Commission, 16. února 2010 [cit. 26. června 2012]. Dostupné na &lt;</w:t>
      </w:r>
      <w:r w:rsidRPr="00EF534A">
        <w:t>http://ec.europa.eu/archives/commission_2004-2009/index_en.htm</w:t>
      </w:r>
      <w:r>
        <w:t>&gt;.</w:t>
      </w:r>
    </w:p>
  </w:footnote>
  <w:footnote w:id="64">
    <w:p w:rsidR="001C168F" w:rsidRPr="00EF534A" w:rsidRDefault="001C168F" w:rsidP="00EF534A">
      <w:pPr>
        <w:pStyle w:val="Textpoznpodarou"/>
        <w:spacing w:afterLines="20" w:after="48"/>
        <w:ind w:left="142" w:hanging="142"/>
        <w:jc w:val="left"/>
        <w:rPr>
          <w:rStyle w:val="Znakapoznpodarou"/>
        </w:rPr>
      </w:pPr>
      <w:r>
        <w:rPr>
          <w:rStyle w:val="Znakapoznpodarou"/>
        </w:rPr>
        <w:footnoteRef/>
      </w:r>
      <w:r w:rsidRPr="00EF534A">
        <w:rPr>
          <w:rStyle w:val="Znakapoznpodarou"/>
        </w:rPr>
        <w:t xml:space="preserve"> </w:t>
      </w:r>
      <w:bookmarkStart w:id="34" w:name="OLE_LINK38"/>
      <w:r w:rsidRPr="00D5387F">
        <w:t xml:space="preserve">CLAUSEN, Jens. </w:t>
      </w:r>
      <w:r w:rsidRPr="00D5387F">
        <w:rPr>
          <w:i/>
        </w:rPr>
        <w:t>Revolving Door Provides Privileged Access: Why the European Commission Needs a Stricter Code of Conduct</w:t>
      </w:r>
      <w:r>
        <w:t>. Brussels: ALTER-EU, 2011, s. 8</w:t>
      </w:r>
      <w:r w:rsidRPr="00D5387F">
        <w:t>.</w:t>
      </w:r>
    </w:p>
    <w:bookmarkEnd w:id="34"/>
  </w:footnote>
  <w:footnote w:id="65">
    <w:p w:rsidR="001C168F" w:rsidRPr="001B4A20" w:rsidRDefault="001C168F" w:rsidP="001B4A20">
      <w:pPr>
        <w:pStyle w:val="Textpoznpodarou"/>
        <w:spacing w:afterLines="20" w:after="48"/>
        <w:ind w:left="142" w:hanging="142"/>
        <w:jc w:val="left"/>
        <w:rPr>
          <w:rStyle w:val="Znakapoznpodarou"/>
        </w:rPr>
      </w:pPr>
      <w:r w:rsidRPr="00502173">
        <w:rPr>
          <w:rStyle w:val="Znakapoznpodarou"/>
        </w:rPr>
        <w:footnoteRef/>
      </w:r>
      <w:r w:rsidRPr="00502173">
        <w:rPr>
          <w:rStyle w:val="Znakapoznpodarou"/>
        </w:rPr>
        <w:t xml:space="preserve"> </w:t>
      </w:r>
      <w:r w:rsidRPr="00502173">
        <w:t xml:space="preserve">McCREEVY, Charlie. </w:t>
      </w:r>
      <w:r w:rsidRPr="00502173">
        <w:rPr>
          <w:i/>
        </w:rPr>
        <w:t xml:space="preserve">The Credit Crisis – Looking </w:t>
      </w:r>
      <w:r>
        <w:rPr>
          <w:i/>
        </w:rPr>
        <w:t>A</w:t>
      </w:r>
      <w:r w:rsidRPr="00502173">
        <w:rPr>
          <w:i/>
        </w:rPr>
        <w:t>head,</w:t>
      </w:r>
      <w:r>
        <w:rPr>
          <w:i/>
        </w:rPr>
        <w:t xml:space="preserve"> S</w:t>
      </w:r>
      <w:r w:rsidRPr="00502173">
        <w:rPr>
          <w:i/>
        </w:rPr>
        <w:t>peech at the Institute of International &amp; European Affairs</w:t>
      </w:r>
      <w:r w:rsidRPr="00502173">
        <w:t xml:space="preserve"> [online]. Europa – Press Relases RAPID, 9 February 2009 [cit. 23. června 2012]. Dostupné na &lt;http://europa.eu/rapid/pressReleasesAction.do?reference=SPEECH/09/41&amp;type=HTML&gt;.</w:t>
      </w:r>
    </w:p>
  </w:footnote>
  <w:footnote w:id="66">
    <w:p w:rsidR="001C168F" w:rsidRPr="00C22FF3" w:rsidRDefault="001C168F" w:rsidP="00C22FF3">
      <w:pPr>
        <w:pStyle w:val="Textpoznpodarou"/>
        <w:spacing w:afterLines="20" w:after="48"/>
        <w:ind w:left="142" w:hanging="142"/>
        <w:jc w:val="left"/>
        <w:rPr>
          <w:rStyle w:val="Znakapoznpodarou"/>
        </w:rPr>
      </w:pPr>
      <w:r>
        <w:rPr>
          <w:rStyle w:val="Znakapoznpodarou"/>
        </w:rPr>
        <w:footnoteRef/>
      </w:r>
      <w:r w:rsidRPr="00C22FF3">
        <w:rPr>
          <w:rStyle w:val="Znakapoznpodarou"/>
        </w:rPr>
        <w:t xml:space="preserve"> </w:t>
      </w:r>
      <w:r>
        <w:t>CLAUSEN:</w:t>
      </w:r>
      <w:r w:rsidRPr="00D5387F">
        <w:t xml:space="preserve"> </w:t>
      </w:r>
      <w:r w:rsidRPr="00D5387F">
        <w:rPr>
          <w:i/>
        </w:rPr>
        <w:t>Revolving Door Provides</w:t>
      </w:r>
      <w:r>
        <w:rPr>
          <w:i/>
        </w:rPr>
        <w:t>…</w:t>
      </w:r>
      <w:r>
        <w:t>, s. 8.</w:t>
      </w:r>
    </w:p>
  </w:footnote>
  <w:footnote w:id="67">
    <w:p w:rsidR="001C168F" w:rsidRPr="00C15CAB" w:rsidRDefault="001C168F" w:rsidP="00C15CAB">
      <w:pPr>
        <w:pStyle w:val="Textpoznpodarou"/>
        <w:spacing w:afterLines="20" w:after="48"/>
        <w:ind w:left="142" w:hanging="142"/>
        <w:jc w:val="left"/>
        <w:rPr>
          <w:rStyle w:val="Znakapoznpodarou"/>
        </w:rPr>
      </w:pPr>
      <w:r>
        <w:rPr>
          <w:rStyle w:val="Znakapoznpodarou"/>
        </w:rPr>
        <w:footnoteRef/>
      </w:r>
      <w:r w:rsidRPr="00C15CAB">
        <w:rPr>
          <w:rStyle w:val="Znakapoznpodarou"/>
        </w:rPr>
        <w:t xml:space="preserve"> </w:t>
      </w:r>
      <w:r w:rsidRPr="000A67E8">
        <w:rPr>
          <w:rFonts w:cs="Calibri"/>
          <w:i/>
        </w:rPr>
        <w:t xml:space="preserve">Code of Conduct for </w:t>
      </w:r>
      <w:r w:rsidRPr="000A67E8">
        <w:rPr>
          <w:rFonts w:cs="Calibri"/>
        </w:rPr>
        <w:t>Commissioners [online]. Evropská komise, 2011 [cit. 3. února 2012]. Dostupné na &lt;http://ec.europa.eu/commission_2010-2014/pdf/code_conduct_en.pdf&gt;.</w:t>
      </w:r>
    </w:p>
  </w:footnote>
  <w:footnote w:id="68">
    <w:p w:rsidR="001C168F" w:rsidRPr="009C59D8" w:rsidRDefault="001C168F" w:rsidP="009C59D8">
      <w:pPr>
        <w:pStyle w:val="Textpoznpodarou"/>
        <w:spacing w:afterLines="20" w:after="48"/>
        <w:ind w:left="142" w:hanging="142"/>
        <w:jc w:val="left"/>
        <w:rPr>
          <w:rStyle w:val="Znakapoznpodarou"/>
        </w:rPr>
      </w:pPr>
      <w:r>
        <w:rPr>
          <w:rStyle w:val="Znakapoznpodarou"/>
        </w:rPr>
        <w:footnoteRef/>
      </w:r>
      <w:r>
        <w:rPr>
          <w:rStyle w:val="Znakapoznpodarou"/>
        </w:rPr>
        <w:t xml:space="preserve"> </w:t>
      </w:r>
      <w:r w:rsidRPr="0025097A">
        <w:rPr>
          <w:i/>
        </w:rPr>
        <w:t>Crucial Lessons to be Learned From the McCreevy</w:t>
      </w:r>
      <w:r w:rsidRPr="0025097A">
        <w:rPr>
          <w:rStyle w:val="Znakapoznpodarou"/>
          <w:i/>
        </w:rPr>
        <w:t xml:space="preserve"> </w:t>
      </w:r>
      <w:r w:rsidRPr="0025097A">
        <w:rPr>
          <w:i/>
        </w:rPr>
        <w:t>Scandal</w:t>
      </w:r>
      <w:r>
        <w:t xml:space="preserve"> [online]. CEO, 18. října 2010 [cit. 23. června 2012]. Dostupné na &lt;</w:t>
      </w:r>
      <w:r w:rsidRPr="009C59D8">
        <w:t>http://www.corporateeurope.org/sites/default/files/sites/default/files/files/article/</w:t>
      </w:r>
      <w:r>
        <w:t xml:space="preserve"> </w:t>
      </w:r>
      <w:r w:rsidRPr="009C59D8">
        <w:t>Lessons_learned_with_links.pdf</w:t>
      </w:r>
      <w:r>
        <w:t>&gt;.</w:t>
      </w:r>
    </w:p>
  </w:footnote>
  <w:footnote w:id="69">
    <w:p w:rsidR="001C168F" w:rsidRPr="000B3DD5" w:rsidRDefault="001C168F" w:rsidP="000B3DD5">
      <w:pPr>
        <w:pStyle w:val="Textpoznpodarou"/>
        <w:spacing w:afterLines="20" w:after="48"/>
        <w:ind w:left="142" w:hanging="142"/>
        <w:jc w:val="left"/>
        <w:rPr>
          <w:rStyle w:val="Znakapoznpodarou"/>
        </w:rPr>
      </w:pPr>
      <w:r>
        <w:rPr>
          <w:rStyle w:val="Znakapoznpodarou"/>
        </w:rPr>
        <w:footnoteRef/>
      </w:r>
      <w:r w:rsidRPr="000B3DD5">
        <w:rPr>
          <w:rStyle w:val="Znakapoznpodarou"/>
        </w:rPr>
        <w:t xml:space="preserve"> </w:t>
      </w:r>
      <w:r>
        <w:t>CLAUSEN:</w:t>
      </w:r>
      <w:r w:rsidRPr="00D5387F">
        <w:t xml:space="preserve"> </w:t>
      </w:r>
      <w:r w:rsidRPr="00D5387F">
        <w:rPr>
          <w:i/>
        </w:rPr>
        <w:t>Revolving Door Provides</w:t>
      </w:r>
      <w:r>
        <w:rPr>
          <w:i/>
        </w:rPr>
        <w:t>…</w:t>
      </w:r>
      <w:r>
        <w:t>, s. 8.</w:t>
      </w:r>
    </w:p>
  </w:footnote>
  <w:footnote w:id="70">
    <w:p w:rsidR="001C168F" w:rsidRPr="000B3DD5" w:rsidRDefault="001C168F" w:rsidP="000B3DD5">
      <w:pPr>
        <w:pStyle w:val="Textpoznpodarou"/>
        <w:spacing w:afterLines="20" w:after="48"/>
        <w:ind w:left="142" w:hanging="142"/>
        <w:jc w:val="left"/>
        <w:rPr>
          <w:rStyle w:val="Znakapoznpodarou"/>
        </w:rPr>
      </w:pPr>
      <w:r>
        <w:rPr>
          <w:rStyle w:val="Znakapoznpodarou"/>
        </w:rPr>
        <w:footnoteRef/>
      </w:r>
      <w:r w:rsidRPr="000B3DD5">
        <w:rPr>
          <w:rStyle w:val="Znakapoznpodarou"/>
        </w:rPr>
        <w:t xml:space="preserve"> </w:t>
      </w:r>
      <w:r>
        <w:t xml:space="preserve">PHILLIPS, Leigh. </w:t>
      </w:r>
      <w:r w:rsidRPr="000B3DD5">
        <w:rPr>
          <w:i/>
        </w:rPr>
        <w:t xml:space="preserve">EU </w:t>
      </w:r>
      <w:r>
        <w:rPr>
          <w:i/>
        </w:rPr>
        <w:t>Commission C</w:t>
      </w:r>
      <w:r w:rsidRPr="000B3DD5">
        <w:rPr>
          <w:i/>
        </w:rPr>
        <w:t xml:space="preserve">lears McCreevy for Ryanair </w:t>
      </w:r>
      <w:r>
        <w:rPr>
          <w:i/>
        </w:rPr>
        <w:t>P</w:t>
      </w:r>
      <w:r w:rsidRPr="000B3DD5">
        <w:rPr>
          <w:i/>
        </w:rPr>
        <w:t>ost</w:t>
      </w:r>
      <w:r>
        <w:t xml:space="preserve"> [online]. EUobserver.com, 5. května 2010 [cit. 23. června 2012]. Dostupné na &lt;</w:t>
      </w:r>
      <w:r w:rsidRPr="000B3DD5">
        <w:t>http://euobserver.com/18/30010</w:t>
      </w:r>
      <w:r>
        <w:t>&gt;.</w:t>
      </w:r>
    </w:p>
  </w:footnote>
  <w:footnote w:id="71">
    <w:p w:rsidR="001C168F" w:rsidRPr="00D5387F" w:rsidRDefault="001C168F" w:rsidP="00331822">
      <w:pPr>
        <w:pStyle w:val="Textpoznpodarou"/>
        <w:spacing w:afterLines="20" w:after="48"/>
        <w:ind w:left="142" w:hanging="142"/>
        <w:jc w:val="left"/>
      </w:pPr>
      <w:r w:rsidRPr="00D5387F">
        <w:rPr>
          <w:rStyle w:val="Znakapoznpodarou"/>
        </w:rPr>
        <w:footnoteRef/>
      </w:r>
      <w:r w:rsidRPr="00D5387F">
        <w:t xml:space="preserve"> TAYLOR, Simon. Council´s Attitude to Lobbying Attacked [online]. EuropeanVoice.com, 10. září 2009 [cit. 8. května 2012]. Dostupné na &lt;http://www.europeanvoice.com/article/imported/council-s-attitude-to-lobbying-attacked/65816.aspx&gt;.</w:t>
      </w:r>
    </w:p>
  </w:footnote>
  <w:footnote w:id="72">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Tamtéž.</w:t>
      </w:r>
    </w:p>
  </w:footnote>
  <w:footnote w:id="73">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PAULET, Martine. How the European Union Works and How to Influence Its Policies [online]. </w:t>
      </w:r>
      <w:r w:rsidRPr="000A67E8">
        <w:rPr>
          <w:rFonts w:cs="Calibri"/>
          <w:i/>
        </w:rPr>
        <w:t>Euro-IR Project</w:t>
      </w:r>
      <w:r w:rsidRPr="000A67E8">
        <w:rPr>
          <w:rFonts w:cs="Calibri"/>
        </w:rPr>
        <w:t>, [cit. 11. května 2012]. Dostupné na &lt;http://europe.rights.apc.org/eu/eurolob.html&gt;.</w:t>
      </w:r>
    </w:p>
  </w:footnote>
  <w:footnote w:id="74">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LEHMANN, Wilhelm, BOSCHE, Lars. Lobbying in the European Union: Current Rules and Practices [</w:t>
      </w:r>
      <w:r>
        <w:rPr>
          <w:rFonts w:cs="Calibri"/>
        </w:rPr>
        <w:t>pracovní dokument</w:t>
      </w:r>
      <w:r w:rsidRPr="000A67E8">
        <w:rPr>
          <w:rFonts w:cs="Calibri"/>
        </w:rPr>
        <w:t>]. European Parliament – DG for Research, 2003, s. 42.</w:t>
      </w:r>
    </w:p>
  </w:footnote>
  <w:footnote w:id="75">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Tamtéž.</w:t>
      </w:r>
    </w:p>
  </w:footnote>
  <w:footnote w:id="76">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Tamtéž, s. 41.</w:t>
      </w:r>
    </w:p>
  </w:footnote>
  <w:footnote w:id="77">
    <w:p w:rsidR="001C168F" w:rsidRPr="00D5387F" w:rsidRDefault="001C168F" w:rsidP="00331822">
      <w:pPr>
        <w:pStyle w:val="Textpoznpodarou"/>
        <w:spacing w:afterLines="20" w:after="48"/>
        <w:ind w:left="142" w:hanging="142"/>
        <w:jc w:val="left"/>
      </w:pPr>
      <w:r w:rsidRPr="00D5387F">
        <w:rPr>
          <w:rStyle w:val="Znakapoznpodarou"/>
        </w:rPr>
        <w:footnoteRef/>
      </w:r>
      <w:r w:rsidRPr="00D5387F">
        <w:t xml:space="preserve"> SEBAG, Gaspard. </w:t>
      </w:r>
      <w:r w:rsidRPr="00AD100B">
        <w:rPr>
          <w:i/>
        </w:rPr>
        <w:t xml:space="preserve">Joint Transparency Register Gets off Ground </w:t>
      </w:r>
      <w:r w:rsidRPr="00D5387F">
        <w:t>[online]. Europolitics, 23. června 2011 [cit. 12. listopadu 2011]. Dostupné na &lt;http://www.europolitics.info/institutions/joint-transparency-register-gets-off-ground-art307882-36.html&gt;.</w:t>
      </w:r>
    </w:p>
  </w:footnote>
  <w:footnote w:id="78">
    <w:p w:rsidR="001C168F" w:rsidRPr="00D5387F" w:rsidRDefault="001C168F" w:rsidP="00331822">
      <w:pPr>
        <w:pStyle w:val="Textpoznpodarou"/>
        <w:spacing w:afterLines="20" w:after="48"/>
        <w:ind w:left="142" w:hanging="142"/>
        <w:jc w:val="left"/>
      </w:pPr>
      <w:r w:rsidRPr="00D5387F">
        <w:rPr>
          <w:rStyle w:val="Znakapoznpodarou"/>
        </w:rPr>
        <w:footnoteRef/>
      </w:r>
      <w:r w:rsidRPr="00D5387F">
        <w:t xml:space="preserve"> </w:t>
      </w:r>
      <w:r w:rsidRPr="00D5387F">
        <w:rPr>
          <w:i/>
        </w:rPr>
        <w:t>Joint working group on mandatory lobbyists register</w:t>
      </w:r>
      <w:r w:rsidRPr="00D5387F">
        <w:t xml:space="preserve"> [online]. The Brussels Connection, 16. prosince 2008 [cit. 13. listopadu 2011]. Dostupné na &lt;http://www.thebrusselsconnection.be/tbc/?page=detail&amp;id=623&amp;root=3&gt;.</w:t>
      </w:r>
    </w:p>
  </w:footnote>
  <w:footnote w:id="79">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Sdělení Komise – Opatření vyvozená ze Zelené knihy „Evropská iniciativa pro transparentnost“ ze dne 21. března 2007, KOM/2007/0127, bod 2.1.6.</w:t>
      </w:r>
    </w:p>
  </w:footnote>
  <w:footnote w:id="80">
    <w:p w:rsidR="001C168F" w:rsidRPr="00D5387F" w:rsidRDefault="001C168F" w:rsidP="00331822">
      <w:pPr>
        <w:pStyle w:val="Textpoznpodarou"/>
        <w:spacing w:afterLines="20" w:after="48"/>
        <w:ind w:left="142" w:hanging="142"/>
        <w:jc w:val="left"/>
      </w:pPr>
      <w:r w:rsidRPr="00D5387F">
        <w:rPr>
          <w:rStyle w:val="Znakapoznpodarou"/>
        </w:rPr>
        <w:footnoteRef/>
      </w:r>
      <w:r w:rsidRPr="00D5387F">
        <w:t xml:space="preserve"> Podle oficiálních statistik rejstříku dostupných na &lt;http://ec.europa.eu/transparency/docs/reg/statistiques_en.pdf&gt;.</w:t>
      </w:r>
    </w:p>
  </w:footnote>
  <w:footnote w:id="81">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PITROVÁ, ZATLOUKALOVÁ: </w:t>
      </w:r>
      <w:r w:rsidRPr="000A67E8">
        <w:rPr>
          <w:rFonts w:cs="Calibri"/>
          <w:i/>
        </w:rPr>
        <w:t>Rejstřík zástupců…</w:t>
      </w:r>
      <w:r w:rsidRPr="000A67E8">
        <w:rPr>
          <w:rFonts w:cs="Calibri"/>
        </w:rPr>
        <w:t>, s. 281.</w:t>
      </w:r>
    </w:p>
  </w:footnote>
  <w:footnote w:id="82">
    <w:p w:rsidR="001C168F" w:rsidRPr="00D5387F" w:rsidRDefault="001C168F" w:rsidP="00331822">
      <w:pPr>
        <w:pStyle w:val="Textpoznpodarou"/>
        <w:spacing w:afterLines="20" w:after="48"/>
        <w:ind w:left="142" w:hanging="142"/>
        <w:jc w:val="left"/>
      </w:pPr>
      <w:r w:rsidRPr="00D5387F">
        <w:rPr>
          <w:rStyle w:val="Znakapoznpodarou"/>
        </w:rPr>
        <w:footnoteRef/>
      </w:r>
      <w:r w:rsidRPr="00D5387F">
        <w:t xml:space="preserve"> SEBAG: </w:t>
      </w:r>
      <w:r w:rsidRPr="00D5387F">
        <w:rPr>
          <w:i/>
        </w:rPr>
        <w:t>Joint transparency…</w:t>
      </w:r>
    </w:p>
  </w:footnote>
  <w:footnote w:id="83">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w:t>
      </w:r>
      <w:r w:rsidRPr="000A67E8">
        <w:rPr>
          <w:rFonts w:cs="Calibri"/>
          <w:i/>
        </w:rPr>
        <w:t>Interinstitutional Agreement on a Common Transparency Register between the Parliament and the Commission</w:t>
      </w:r>
      <w:r w:rsidRPr="000A67E8">
        <w:rPr>
          <w:rFonts w:cs="Calibri"/>
        </w:rPr>
        <w:t xml:space="preserve"> [online]. 11. května 2011 [cit. 18. listopadu 2011]. Dostupné na &lt;http://www.europarl.europa.eu/pdf/lobbyists/2011/P7_TA-PROV(2011)0222_EN.pdf&gt;.</w:t>
      </w:r>
    </w:p>
  </w:footnote>
  <w:footnote w:id="84">
    <w:p w:rsidR="001C168F" w:rsidRPr="00D5387F" w:rsidRDefault="001C168F" w:rsidP="00331822">
      <w:pPr>
        <w:pStyle w:val="Textpoznpodarou"/>
        <w:spacing w:afterLines="20" w:after="48"/>
        <w:ind w:left="142" w:hanging="142"/>
        <w:jc w:val="left"/>
      </w:pPr>
      <w:r w:rsidRPr="00D5387F">
        <w:rPr>
          <w:rStyle w:val="Znakapoznpodarou"/>
        </w:rPr>
        <w:footnoteRef/>
      </w:r>
      <w:r w:rsidRPr="00D5387F">
        <w:t xml:space="preserve"> Dohoda mezi Evropským parlamentem a Evropskou komisí o zřízení Rejstříku transparentnosti pro organizace a osoby samostatně výdělečně činné, jež se podílejí na tvorbě a provádění politiky EU. Úř. věst. L 191, 22. července 2011, s. 32.</w:t>
      </w:r>
    </w:p>
  </w:footnote>
  <w:footnote w:id="85">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PITROVÁ, ZATLOUKALOVÁ: </w:t>
      </w:r>
      <w:r w:rsidRPr="000A67E8">
        <w:rPr>
          <w:rFonts w:cs="Calibri"/>
          <w:i/>
        </w:rPr>
        <w:t>Rejstřík zástupců…</w:t>
      </w:r>
      <w:r w:rsidRPr="000A67E8">
        <w:rPr>
          <w:rFonts w:cs="Calibri"/>
        </w:rPr>
        <w:t>, s. 279.</w:t>
      </w:r>
    </w:p>
  </w:footnote>
  <w:footnote w:id="86">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w:t>
      </w:r>
      <w:r w:rsidRPr="000A67E8">
        <w:rPr>
          <w:rFonts w:cs="Calibri"/>
          <w:noProof/>
        </w:rPr>
        <w:t xml:space="preserve">KRETSCHMER, SCHMEDES: </w:t>
      </w:r>
      <w:r w:rsidRPr="000A67E8">
        <w:rPr>
          <w:rFonts w:cs="Calibri"/>
          <w:i/>
          <w:noProof/>
        </w:rPr>
        <w:t>Enhancing Transparency…</w:t>
      </w:r>
      <w:r w:rsidRPr="000A67E8">
        <w:rPr>
          <w:rFonts w:cs="Calibri"/>
          <w:noProof/>
        </w:rPr>
        <w:t>, s. 118.</w:t>
      </w:r>
    </w:p>
  </w:footnote>
  <w:footnote w:id="87">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PITROVÁ, ZATLOUKALOVÁ: </w:t>
      </w:r>
      <w:r w:rsidRPr="000A67E8">
        <w:rPr>
          <w:rFonts w:cs="Calibri"/>
          <w:i/>
        </w:rPr>
        <w:t>Rejstřík zástupců…</w:t>
      </w:r>
      <w:r w:rsidRPr="000A67E8">
        <w:rPr>
          <w:rFonts w:cs="Calibri"/>
        </w:rPr>
        <w:t>, s. 287.</w:t>
      </w:r>
    </w:p>
  </w:footnote>
  <w:footnote w:id="88">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Tamtéž, s. 279.</w:t>
      </w:r>
    </w:p>
  </w:footnote>
  <w:footnote w:id="89">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Názvy kategorií pochází z rejstříku transparentnosti.</w:t>
      </w:r>
    </w:p>
  </w:footnote>
  <w:footnote w:id="90">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PITROVÁ, ZATLOUKALOVÁ: </w:t>
      </w:r>
      <w:r w:rsidRPr="000A67E8">
        <w:rPr>
          <w:rFonts w:cs="Calibri"/>
          <w:i/>
        </w:rPr>
        <w:t>Rejstřík zástupců…</w:t>
      </w:r>
      <w:r w:rsidRPr="000A67E8">
        <w:rPr>
          <w:rFonts w:cs="Calibri"/>
        </w:rPr>
        <w:t>, s. 285.</w:t>
      </w:r>
    </w:p>
  </w:footnote>
  <w:footnote w:id="91">
    <w:p w:rsidR="001C168F" w:rsidRPr="00D5387F" w:rsidRDefault="001C168F" w:rsidP="00331822">
      <w:pPr>
        <w:pStyle w:val="Textpoznpodarou"/>
        <w:spacing w:afterLines="20" w:after="48"/>
        <w:ind w:left="142" w:hanging="142"/>
        <w:jc w:val="left"/>
      </w:pPr>
      <w:r w:rsidRPr="00D5387F">
        <w:rPr>
          <w:rStyle w:val="Znakapoznpodarou"/>
        </w:rPr>
        <w:footnoteRef/>
      </w:r>
      <w:r w:rsidRPr="00D5387F">
        <w:t xml:space="preserve"> Email od Koena Rooverse z 29. března 2012.</w:t>
      </w:r>
    </w:p>
  </w:footnote>
  <w:footnote w:id="92">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PITROVÁ, ZATLOUKALOVÁ: </w:t>
      </w:r>
      <w:r w:rsidRPr="000A67E8">
        <w:rPr>
          <w:rFonts w:cs="Calibri"/>
          <w:i/>
        </w:rPr>
        <w:t>Rejstřík zástupců…</w:t>
      </w:r>
      <w:r w:rsidRPr="000A67E8">
        <w:rPr>
          <w:rFonts w:cs="Calibri"/>
        </w:rPr>
        <w:t>, s. 279.</w:t>
      </w:r>
    </w:p>
  </w:footnote>
  <w:footnote w:id="93">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w:t>
      </w:r>
      <w:bookmarkStart w:id="41" w:name="OLE_LINK2"/>
      <w:r w:rsidRPr="000A67E8">
        <w:rPr>
          <w:rFonts w:cs="Calibri"/>
          <w:i/>
        </w:rPr>
        <w:t>Zaměřeno na evropské lobbisty</w:t>
      </w:r>
      <w:bookmarkEnd w:id="41"/>
      <w:r w:rsidRPr="000A67E8">
        <w:rPr>
          <w:rFonts w:cs="Calibri"/>
        </w:rPr>
        <w:t>…</w:t>
      </w:r>
    </w:p>
  </w:footnote>
  <w:footnote w:id="94">
    <w:p w:rsidR="001C168F" w:rsidRPr="00D5387F" w:rsidRDefault="001C168F" w:rsidP="00331822">
      <w:pPr>
        <w:pStyle w:val="Textpoznpodarou"/>
        <w:spacing w:afterLines="20" w:after="48"/>
        <w:ind w:left="142" w:hanging="142"/>
        <w:jc w:val="left"/>
      </w:pPr>
      <w:r w:rsidRPr="00D5387F">
        <w:rPr>
          <w:rStyle w:val="Znakapoznpodarou"/>
        </w:rPr>
        <w:footnoteRef/>
      </w:r>
      <w:r w:rsidRPr="00D5387F">
        <w:t xml:space="preserve"> </w:t>
      </w:r>
      <w:bookmarkStart w:id="43" w:name="OLE_LINK1"/>
      <w:bookmarkStart w:id="44" w:name="OLE_LINK3"/>
      <w:r w:rsidRPr="00D5387F">
        <w:rPr>
          <w:i/>
        </w:rPr>
        <w:t xml:space="preserve">Benchmarks for </w:t>
      </w:r>
      <w:bookmarkEnd w:id="43"/>
      <w:bookmarkEnd w:id="44"/>
      <w:r w:rsidRPr="00D5387F">
        <w:rPr>
          <w:i/>
        </w:rPr>
        <w:t>the EU lobbying transparency register</w:t>
      </w:r>
      <w:r w:rsidRPr="00D5387F">
        <w:t xml:space="preserve"> [online]. ALTER-EU, 4. února 2008 [cit. 26. března 2012]. Dostupné na &lt;http://www.alter-eu.org/sites/default/files/documents/Lobby_register_benchmarks_ALTER-EU_4_February_2008.pdf&gt;.</w:t>
      </w:r>
    </w:p>
  </w:footnote>
  <w:footnote w:id="95">
    <w:p w:rsidR="001C168F" w:rsidRPr="008E0A19" w:rsidRDefault="001C168F" w:rsidP="008E0A19">
      <w:pPr>
        <w:pStyle w:val="Textpoznpodarou"/>
        <w:spacing w:afterLines="20" w:after="48"/>
        <w:ind w:left="142" w:hanging="142"/>
        <w:jc w:val="left"/>
        <w:rPr>
          <w:rStyle w:val="Znakapoznpodarou"/>
          <w:rFonts w:cs="Calibri"/>
        </w:rPr>
      </w:pPr>
      <w:r w:rsidRPr="008E0A19">
        <w:rPr>
          <w:rStyle w:val="Znakapoznpodarou"/>
          <w:rFonts w:cs="Calibri"/>
        </w:rPr>
        <w:footnoteRef/>
      </w:r>
      <w:r w:rsidRPr="008E0A19">
        <w:rPr>
          <w:rStyle w:val="Znakapoznpodarou"/>
          <w:rFonts w:cs="Calibri"/>
        </w:rPr>
        <w:t xml:space="preserve"> </w:t>
      </w:r>
      <w:r>
        <w:rPr>
          <w:rFonts w:cs="Calibri"/>
        </w:rPr>
        <w:t>Jedná se pouze o demonstraci rozdílnosti mezi různými registracemi, která je přítomná u více zaregistrovaných subjektů. Proto byly uvedené společnosti vybrány namátkou bez jakéhokoliv výběrového klíče. Pokud by byly vybrány jiné dvě společnosti, bylo by možné znovu demonstrovat podobný úkaz.</w:t>
      </w:r>
    </w:p>
  </w:footnote>
  <w:footnote w:id="96">
    <w:p w:rsidR="001C168F" w:rsidRPr="00F64B5A" w:rsidRDefault="001C168F" w:rsidP="00331822">
      <w:pPr>
        <w:pStyle w:val="Textpoznpodarou"/>
        <w:spacing w:afterLines="20" w:after="48"/>
        <w:ind w:left="142" w:hanging="142"/>
        <w:jc w:val="left"/>
        <w:rPr>
          <w:rFonts w:cs="Calibri"/>
          <w:lang w:val="pl-PL"/>
        </w:rPr>
      </w:pPr>
      <w:r w:rsidRPr="000A67E8">
        <w:rPr>
          <w:rStyle w:val="Znakapoznpodarou"/>
          <w:rFonts w:cs="Calibri"/>
        </w:rPr>
        <w:footnoteRef/>
      </w:r>
      <w:r w:rsidRPr="000A67E8">
        <w:rPr>
          <w:rFonts w:cs="Calibri"/>
        </w:rPr>
        <w:t xml:space="preserve"> Registrace zájmové skupiny na &lt;http://ec.europa.eu/transparencyregister/public/consultation/displaylobbyist.do?id=99203901869-52&amp;isListLobbyistView=true&gt;.</w:t>
      </w:r>
    </w:p>
  </w:footnote>
  <w:footnote w:id="97">
    <w:p w:rsidR="001C168F" w:rsidRPr="00F64B5A" w:rsidRDefault="001C168F" w:rsidP="00331822">
      <w:pPr>
        <w:pStyle w:val="Textpoznpodarou"/>
        <w:spacing w:afterLines="20" w:after="48"/>
        <w:ind w:left="142" w:hanging="142"/>
        <w:jc w:val="left"/>
        <w:rPr>
          <w:rFonts w:cs="Calibri"/>
          <w:lang w:val="pl-PL"/>
        </w:rPr>
      </w:pPr>
      <w:r w:rsidRPr="000A67E8">
        <w:rPr>
          <w:rStyle w:val="Znakapoznpodarou"/>
          <w:rFonts w:cs="Calibri"/>
        </w:rPr>
        <w:footnoteRef/>
      </w:r>
      <w:r w:rsidRPr="000A67E8">
        <w:rPr>
          <w:rFonts w:cs="Calibri"/>
        </w:rPr>
        <w:t xml:space="preserve"> Registraci zájmové skupiny na &lt;http://ec.europa.eu/transparencyregister/public/consultation/displaylobbyist.do?id=00105537635-20&amp;isListLobbyistView=true&gt;.</w:t>
      </w:r>
    </w:p>
  </w:footnote>
  <w:footnote w:id="98">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w:t>
      </w:r>
      <w:r w:rsidRPr="000A67E8">
        <w:rPr>
          <w:rFonts w:cs="Calibri"/>
          <w:i/>
        </w:rPr>
        <w:t>Zaměřeno na evropské lobbisty</w:t>
      </w:r>
      <w:r w:rsidRPr="000A67E8">
        <w:rPr>
          <w:rFonts w:cs="Calibri"/>
        </w:rPr>
        <w:t>…</w:t>
      </w:r>
    </w:p>
  </w:footnote>
  <w:footnote w:id="99">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Dvojí definice transparent</w:t>
      </w:r>
      <w:r>
        <w:rPr>
          <w:rFonts w:cs="Calibri"/>
        </w:rPr>
        <w:t>nosti je vysvětlena v kapitole 3</w:t>
      </w:r>
      <w:r w:rsidRPr="000A67E8">
        <w:rPr>
          <w:rFonts w:cs="Calibri"/>
        </w:rPr>
        <w:t>.</w:t>
      </w:r>
    </w:p>
  </w:footnote>
  <w:footnote w:id="100">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STUBB, Alexander. </w:t>
      </w:r>
      <w:r w:rsidRPr="000A67E8">
        <w:rPr>
          <w:rFonts w:cs="Calibri"/>
          <w:i/>
        </w:rPr>
        <w:t>Draft Report on the Framework for the Activities of Interest Representatives (Lobbyists) in the European Institutions</w:t>
      </w:r>
      <w:r w:rsidRPr="000A67E8">
        <w:rPr>
          <w:rFonts w:cs="Calibri"/>
        </w:rPr>
        <w:t xml:space="preserve"> [online]. European Parliament, 12. února 2008 [cit. 14. března 2012]. Dostupné na &lt;</w:t>
      </w:r>
      <w:bookmarkStart w:id="45" w:name="OLE_LINK31"/>
      <w:r w:rsidRPr="000A67E8">
        <w:rPr>
          <w:rFonts w:cs="Calibri"/>
        </w:rPr>
        <w:t>http://www.europarl.europa.eu/sides/getDoc.do?pubRef=-//EP//NONSGML+COMPARL+PE-396.734+03+DOC+PDF+V0//EN&amp;language=EN</w:t>
      </w:r>
      <w:bookmarkEnd w:id="45"/>
      <w:r w:rsidRPr="000A67E8">
        <w:rPr>
          <w:rFonts w:cs="Calibri"/>
        </w:rPr>
        <w:t>&gt;.</w:t>
      </w:r>
    </w:p>
  </w:footnote>
  <w:footnote w:id="101">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w:t>
      </w:r>
      <w:r w:rsidRPr="000A67E8">
        <w:rPr>
          <w:rFonts w:cs="Calibri"/>
          <w:i/>
        </w:rPr>
        <w:t xml:space="preserve">Žádost o akreditaci u Evropského </w:t>
      </w:r>
      <w:r w:rsidRPr="000A67E8">
        <w:rPr>
          <w:rFonts w:cs="Calibri"/>
        </w:rPr>
        <w:t>parlamentu [online]. Europa.eu, 4. dubna 2012 [cit. 15. května 2012]. Dostupné na &lt;http://europa.eu/transparency-register/request-ep/index_cs.htm&gt;.</w:t>
      </w:r>
    </w:p>
  </w:footnote>
  <w:footnote w:id="102">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Příloha X Jednacího řádu EP je dostupná na &lt;http://www.europarl.europa.eu/sides/getDoc.do?pubRef=-//EP//TEXT+RULES-EP+20120521+ANN-10+DOC+XML+V0//CS&amp;language=CS&amp;navigationBar=YES&gt;.</w:t>
      </w:r>
    </w:p>
  </w:footnote>
  <w:footnote w:id="103">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w:t>
      </w:r>
      <w:r w:rsidRPr="000A67E8">
        <w:rPr>
          <w:rFonts w:cs="Calibri"/>
          <w:noProof/>
        </w:rPr>
        <w:t xml:space="preserve">GREENWOOD, Justin. </w:t>
      </w:r>
      <w:r w:rsidRPr="000A67E8">
        <w:rPr>
          <w:rFonts w:cs="Calibri"/>
          <w:i/>
          <w:noProof/>
        </w:rPr>
        <w:t>Representing Interest in the European Union</w:t>
      </w:r>
      <w:r w:rsidRPr="000A67E8">
        <w:rPr>
          <w:rFonts w:cs="Calibri"/>
          <w:noProof/>
        </w:rPr>
        <w:t>. Basingstoke: Maxmilian Press, 1997, s. 86.</w:t>
      </w:r>
    </w:p>
  </w:footnote>
  <w:footnote w:id="104">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w:t>
      </w:r>
      <w:r w:rsidRPr="000A67E8">
        <w:rPr>
          <w:rFonts w:cs="Calibri"/>
          <w:i/>
        </w:rPr>
        <w:t>Žádost o akreditaci…</w:t>
      </w:r>
    </w:p>
  </w:footnote>
  <w:footnote w:id="105">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Email od Kerstin Hötzel z 30. dubna 2012.</w:t>
      </w:r>
    </w:p>
  </w:footnote>
  <w:footnote w:id="106">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CINGOTTI, Natacha, CLERCK, Paul de. </w:t>
      </w:r>
      <w:r w:rsidRPr="000A67E8">
        <w:rPr>
          <w:rFonts w:cs="Calibri"/>
          <w:i/>
        </w:rPr>
        <w:t>Lobbying in Brussels: How Much Do the Top 50 Companies in the EU Spend?</w:t>
      </w:r>
      <w:r w:rsidRPr="000A67E8">
        <w:rPr>
          <w:rFonts w:cs="Calibri"/>
        </w:rPr>
        <w:t xml:space="preserve"> [report]. Brussels: Friends of the Earth Europe, 2010, s. 5.</w:t>
      </w:r>
    </w:p>
  </w:footnote>
  <w:footnote w:id="107">
    <w:p w:rsidR="001C168F" w:rsidRPr="00D5387F" w:rsidRDefault="001C168F" w:rsidP="00331822">
      <w:pPr>
        <w:pStyle w:val="Textpoznpodarou"/>
        <w:spacing w:afterLines="20" w:after="48"/>
        <w:ind w:left="142" w:hanging="142"/>
        <w:jc w:val="left"/>
      </w:pPr>
      <w:r w:rsidRPr="00D5387F">
        <w:rPr>
          <w:rStyle w:val="Znakapoznpodarou"/>
        </w:rPr>
        <w:footnoteRef/>
      </w:r>
      <w:r w:rsidRPr="00D5387F">
        <w:t xml:space="preserve"> Tamtéž.</w:t>
      </w:r>
    </w:p>
  </w:footnote>
  <w:footnote w:id="108">
    <w:p w:rsidR="001C168F" w:rsidRPr="00D5387F" w:rsidRDefault="001C168F" w:rsidP="00331822">
      <w:pPr>
        <w:pStyle w:val="Textpoznpodarou"/>
        <w:spacing w:afterLines="20" w:after="48"/>
        <w:ind w:left="142" w:hanging="142"/>
        <w:jc w:val="left"/>
      </w:pPr>
      <w:r w:rsidRPr="00D5387F">
        <w:rPr>
          <w:rStyle w:val="Znakapoznpodarou"/>
        </w:rPr>
        <w:footnoteRef/>
      </w:r>
      <w:r w:rsidRPr="00D5387F">
        <w:t xml:space="preserve"> Tamtéž.</w:t>
      </w:r>
    </w:p>
  </w:footnote>
  <w:footnote w:id="109">
    <w:p w:rsidR="001C168F" w:rsidRPr="00D5387F" w:rsidRDefault="001C168F" w:rsidP="00331822">
      <w:pPr>
        <w:pStyle w:val="Textpoznpodarou"/>
        <w:spacing w:afterLines="20" w:after="48"/>
        <w:ind w:left="142" w:hanging="142"/>
        <w:jc w:val="left"/>
      </w:pPr>
      <w:r w:rsidRPr="00D5387F">
        <w:rPr>
          <w:rStyle w:val="Znakapoznpodarou"/>
        </w:rPr>
        <w:footnoteRef/>
      </w:r>
      <w:r w:rsidRPr="00D5387F">
        <w:t xml:space="preserve"> Kontrolováno 16. března 2012.</w:t>
      </w:r>
    </w:p>
  </w:footnote>
  <w:footnote w:id="110">
    <w:p w:rsidR="001C168F" w:rsidRPr="00D5387F" w:rsidRDefault="001C168F" w:rsidP="00331822">
      <w:pPr>
        <w:pStyle w:val="Textpoznpodarou"/>
        <w:spacing w:afterLines="20" w:after="48"/>
        <w:ind w:left="142" w:hanging="142"/>
        <w:jc w:val="left"/>
      </w:pPr>
      <w:r w:rsidRPr="00D5387F">
        <w:rPr>
          <w:rStyle w:val="Znakapoznpodarou"/>
        </w:rPr>
        <w:footnoteRef/>
      </w:r>
      <w:r w:rsidRPr="00D5387F">
        <w:t xml:space="preserve"> CINGOTTI, CLERCK. </w:t>
      </w:r>
      <w:r w:rsidRPr="00D5387F">
        <w:rPr>
          <w:i/>
        </w:rPr>
        <w:t>Lobbying in Brussels…</w:t>
      </w:r>
      <w:r w:rsidRPr="00D5387F">
        <w:t>, s. 5.</w:t>
      </w:r>
    </w:p>
  </w:footnote>
  <w:footnote w:id="111">
    <w:p w:rsidR="001C168F" w:rsidRPr="00D5387F" w:rsidRDefault="001C168F" w:rsidP="00331822">
      <w:pPr>
        <w:pStyle w:val="Textpoznpodarou"/>
        <w:spacing w:afterLines="20" w:after="48"/>
        <w:ind w:left="142" w:hanging="142"/>
        <w:jc w:val="left"/>
      </w:pPr>
      <w:r w:rsidRPr="00D5387F">
        <w:rPr>
          <w:rStyle w:val="Znakapoznpodarou"/>
        </w:rPr>
        <w:footnoteRef/>
      </w:r>
      <w:r w:rsidRPr="00D5387F">
        <w:t xml:space="preserve"> Tamtéž.</w:t>
      </w:r>
    </w:p>
  </w:footnote>
  <w:footnote w:id="112">
    <w:p w:rsidR="001C168F" w:rsidRPr="00D5387F" w:rsidRDefault="001C168F" w:rsidP="00331822">
      <w:pPr>
        <w:pStyle w:val="Textpoznpodarou"/>
        <w:spacing w:afterLines="20" w:after="48"/>
        <w:ind w:left="142" w:hanging="142"/>
        <w:jc w:val="left"/>
      </w:pPr>
      <w:r w:rsidRPr="00D5387F">
        <w:rPr>
          <w:rStyle w:val="Znakapoznpodarou"/>
        </w:rPr>
        <w:footnoteRef/>
      </w:r>
      <w:r w:rsidRPr="00D5387F">
        <w:t xml:space="preserve"> Kontrolováno 16. března 2012.</w:t>
      </w:r>
    </w:p>
  </w:footnote>
  <w:footnote w:id="113">
    <w:p w:rsidR="001C168F" w:rsidRPr="00F64B5A" w:rsidRDefault="001C168F" w:rsidP="00331822">
      <w:pPr>
        <w:pStyle w:val="Textpoznpodarou"/>
        <w:spacing w:afterLines="20" w:after="48"/>
        <w:ind w:left="142" w:hanging="142"/>
        <w:jc w:val="left"/>
        <w:rPr>
          <w:lang w:val="de-DE"/>
        </w:rPr>
      </w:pPr>
      <w:r w:rsidRPr="00D5387F">
        <w:rPr>
          <w:rStyle w:val="Znakapoznpodarou"/>
        </w:rPr>
        <w:footnoteRef/>
      </w:r>
      <w:r w:rsidRPr="00D5387F">
        <w:t xml:space="preserve"> CINGOTTI, CLERCK. </w:t>
      </w:r>
      <w:r w:rsidRPr="00D5387F">
        <w:rPr>
          <w:i/>
        </w:rPr>
        <w:t>Lobbying in Brussels</w:t>
      </w:r>
      <w:r w:rsidRPr="00D5387F">
        <w:t>…, s. 5.</w:t>
      </w:r>
    </w:p>
  </w:footnote>
  <w:footnote w:id="114">
    <w:p w:rsidR="001C168F" w:rsidRPr="00D5387F" w:rsidRDefault="001C168F" w:rsidP="00331822">
      <w:pPr>
        <w:pStyle w:val="Textpoznpodarou"/>
        <w:spacing w:afterLines="20" w:after="48"/>
        <w:ind w:left="142" w:hanging="142"/>
        <w:jc w:val="left"/>
      </w:pPr>
      <w:r w:rsidRPr="00D5387F">
        <w:rPr>
          <w:rStyle w:val="Znakapoznpodarou"/>
        </w:rPr>
        <w:footnoteRef/>
      </w:r>
      <w:r w:rsidRPr="00D5387F">
        <w:t xml:space="preserve"> Tamtéž, s. 6.</w:t>
      </w:r>
    </w:p>
  </w:footnote>
  <w:footnote w:id="115">
    <w:p w:rsidR="001C168F" w:rsidRPr="00D5387F" w:rsidRDefault="001C168F" w:rsidP="00331822">
      <w:pPr>
        <w:pStyle w:val="Textpoznpodarou"/>
        <w:spacing w:afterLines="20" w:after="48"/>
        <w:ind w:left="142" w:hanging="142"/>
        <w:jc w:val="left"/>
      </w:pPr>
      <w:r w:rsidRPr="00D5387F">
        <w:rPr>
          <w:rStyle w:val="Znakapoznpodarou"/>
        </w:rPr>
        <w:footnoteRef/>
      </w:r>
      <w:r w:rsidRPr="00D5387F">
        <w:t xml:space="preserve"> Tamtéž.</w:t>
      </w:r>
    </w:p>
  </w:footnote>
  <w:footnote w:id="116">
    <w:p w:rsidR="001C168F" w:rsidRPr="00D5387F" w:rsidRDefault="001C168F" w:rsidP="00331822">
      <w:pPr>
        <w:pStyle w:val="Textpoznpodarou"/>
        <w:spacing w:afterLines="20" w:after="48"/>
        <w:ind w:left="142" w:hanging="142"/>
        <w:jc w:val="left"/>
      </w:pPr>
      <w:r w:rsidRPr="00D5387F">
        <w:rPr>
          <w:rStyle w:val="Znakapoznpodarou"/>
        </w:rPr>
        <w:footnoteRef/>
      </w:r>
      <w:r w:rsidRPr="00D5387F">
        <w:t xml:space="preserve"> Tamtéž.</w:t>
      </w:r>
    </w:p>
  </w:footnote>
  <w:footnote w:id="117">
    <w:p w:rsidR="001C168F" w:rsidRPr="00D5387F" w:rsidRDefault="001C168F" w:rsidP="00331822">
      <w:pPr>
        <w:pStyle w:val="Textpoznpodarou"/>
        <w:spacing w:afterLines="20" w:after="48"/>
        <w:ind w:left="142" w:hanging="142"/>
        <w:jc w:val="left"/>
      </w:pPr>
      <w:r w:rsidRPr="00D5387F">
        <w:rPr>
          <w:rStyle w:val="Znakapoznpodarou"/>
        </w:rPr>
        <w:footnoteRef/>
      </w:r>
      <w:r w:rsidRPr="00D5387F">
        <w:t xml:space="preserve"> Tamtéž.</w:t>
      </w:r>
    </w:p>
  </w:footnote>
  <w:footnote w:id="118">
    <w:p w:rsidR="001C168F" w:rsidRPr="00D5387F" w:rsidRDefault="001C168F" w:rsidP="00331822">
      <w:pPr>
        <w:pStyle w:val="Textpoznpodarou"/>
        <w:spacing w:afterLines="20" w:after="48"/>
        <w:ind w:left="142" w:hanging="142"/>
        <w:jc w:val="left"/>
      </w:pPr>
      <w:r w:rsidRPr="00D5387F">
        <w:rPr>
          <w:rStyle w:val="Znakapoznpodarou"/>
        </w:rPr>
        <w:footnoteRef/>
      </w:r>
      <w:r w:rsidRPr="00D5387F">
        <w:t xml:space="preserve"> Kontrolováno 16. března 2012.</w:t>
      </w:r>
    </w:p>
  </w:footnote>
  <w:footnote w:id="119">
    <w:p w:rsidR="001C168F" w:rsidRPr="00D5387F" w:rsidRDefault="001C168F" w:rsidP="00331822">
      <w:pPr>
        <w:pStyle w:val="Textpoznpodarou"/>
        <w:spacing w:afterLines="20" w:after="48"/>
        <w:ind w:left="142" w:hanging="142"/>
        <w:jc w:val="left"/>
      </w:pPr>
      <w:r w:rsidRPr="00D5387F">
        <w:rPr>
          <w:rStyle w:val="Znakapoznpodarou"/>
        </w:rPr>
        <w:footnoteRef/>
      </w:r>
      <w:r>
        <w:t xml:space="preserve"> </w:t>
      </w:r>
      <w:r w:rsidRPr="004D54BB">
        <w:rPr>
          <w:i/>
        </w:rPr>
        <w:t>Sdělení Komise…</w:t>
      </w:r>
      <w:r w:rsidRPr="00D5387F">
        <w:t>, bod 2.1.6.</w:t>
      </w:r>
    </w:p>
  </w:footnote>
  <w:footnote w:id="120">
    <w:p w:rsidR="001C168F" w:rsidRPr="00D5387F" w:rsidRDefault="001C168F" w:rsidP="00331822">
      <w:pPr>
        <w:pStyle w:val="Textpoznpodarou"/>
        <w:spacing w:afterLines="20" w:after="48"/>
        <w:ind w:left="142" w:hanging="142"/>
        <w:jc w:val="left"/>
      </w:pPr>
      <w:r w:rsidRPr="00D5387F">
        <w:rPr>
          <w:rStyle w:val="Znakapoznpodarou"/>
        </w:rPr>
        <w:footnoteRef/>
      </w:r>
      <w:r w:rsidRPr="00D5387F">
        <w:t xml:space="preserve"> Email od Marie Barosso Gomes z 27. března 2012.</w:t>
      </w:r>
    </w:p>
  </w:footnote>
  <w:footnote w:id="121">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Email od Kerstin Hötzel z 30. dubna 2012.</w:t>
      </w:r>
    </w:p>
  </w:footnote>
  <w:footnote w:id="122">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w:t>
      </w:r>
      <w:r w:rsidRPr="000A67E8">
        <w:rPr>
          <w:rFonts w:cs="Calibri"/>
          <w:i/>
        </w:rPr>
        <w:t>Joint Statement Regarding the Progress Achieved to Date</w:t>
      </w:r>
      <w:r w:rsidRPr="000A67E8">
        <w:rPr>
          <w:rFonts w:cs="Calibri"/>
        </w:rPr>
        <w:t xml:space="preserve"> [online]. High-Level Working Group on a Common Register and Code of Conduct for Lobbyists, 22. dubna 2009 [cit. 23. března 2012]. Dostupné na &lt;http://www.aalep.eu/sites/default/files/documents/Towards%20a%20Common%20Lobbyists'%20Register%20EC-EP.pdf&gt;.</w:t>
      </w:r>
    </w:p>
  </w:footnote>
  <w:footnote w:id="123">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PITROVÁ, KUBOVÁ: </w:t>
      </w:r>
      <w:r w:rsidRPr="000A67E8">
        <w:rPr>
          <w:rFonts w:cs="Calibri"/>
          <w:i/>
        </w:rPr>
        <w:t>Regulace procesu…</w:t>
      </w:r>
      <w:r w:rsidRPr="000A67E8">
        <w:rPr>
          <w:rFonts w:cs="Calibri"/>
        </w:rPr>
        <w:t>, s. 35.</w:t>
      </w:r>
    </w:p>
  </w:footnote>
  <w:footnote w:id="124">
    <w:p w:rsidR="001C168F" w:rsidRPr="00D5387F" w:rsidRDefault="001C168F" w:rsidP="00331822">
      <w:pPr>
        <w:pStyle w:val="Textpoznpodarou"/>
        <w:spacing w:afterLines="20" w:after="48"/>
        <w:ind w:left="142" w:hanging="142"/>
        <w:jc w:val="left"/>
      </w:pPr>
      <w:r w:rsidRPr="00D5387F">
        <w:rPr>
          <w:rStyle w:val="Znakapoznpodarou"/>
        </w:rPr>
        <w:footnoteRef/>
      </w:r>
      <w:r w:rsidRPr="00D5387F">
        <w:t xml:space="preserve"> Viz kapitolu </w:t>
      </w:r>
      <w:r>
        <w:t>5</w:t>
      </w:r>
      <w:r w:rsidRPr="00D5387F">
        <w:t>.2.2.</w:t>
      </w:r>
    </w:p>
  </w:footnote>
  <w:footnote w:id="125">
    <w:p w:rsidR="001C168F" w:rsidRPr="00D5387F" w:rsidRDefault="001C168F" w:rsidP="00331822">
      <w:pPr>
        <w:pStyle w:val="Textpoznpodarou"/>
        <w:spacing w:afterLines="20" w:after="48"/>
        <w:ind w:left="142" w:hanging="142"/>
        <w:jc w:val="left"/>
      </w:pPr>
      <w:r w:rsidRPr="00D5387F">
        <w:rPr>
          <w:rStyle w:val="Znakapoznpodarou"/>
        </w:rPr>
        <w:footnoteRef/>
      </w:r>
      <w:r w:rsidRPr="00D5387F">
        <w:t xml:space="preserve"> Viz kapitolu </w:t>
      </w:r>
      <w:r>
        <w:t>5</w:t>
      </w:r>
      <w:r w:rsidRPr="00D5387F">
        <w:t>.2.3.</w:t>
      </w:r>
    </w:p>
  </w:footnote>
  <w:footnote w:id="126">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w:t>
      </w:r>
      <w:r w:rsidRPr="000A67E8">
        <w:rPr>
          <w:rFonts w:cs="Calibri"/>
          <w:i/>
        </w:rPr>
        <w:t>Kodex chování [online]. Europa.eu, [cit. 10. listopadu 2011]. Dostupné na &lt;http://europa.eu/transparency-register/about-register/code-of-conduct/index_cs.htm&gt;.</w:t>
      </w:r>
    </w:p>
  </w:footnote>
  <w:footnote w:id="127">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w:t>
      </w:r>
      <w:r w:rsidRPr="000A67E8">
        <w:rPr>
          <w:rFonts w:cs="Calibri"/>
          <w:i/>
        </w:rPr>
        <w:t xml:space="preserve">Code of Conduct for </w:t>
      </w:r>
      <w:r w:rsidRPr="00C15CAB">
        <w:rPr>
          <w:rFonts w:cs="Calibri"/>
          <w:i/>
        </w:rPr>
        <w:t>Commissioners</w:t>
      </w:r>
      <w:r>
        <w:rPr>
          <w:rFonts w:cs="Calibri"/>
          <w:i/>
        </w:rPr>
        <w:t>…</w:t>
      </w:r>
    </w:p>
  </w:footnote>
  <w:footnote w:id="128">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w:t>
      </w:r>
      <w:r w:rsidRPr="000A67E8">
        <w:rPr>
          <w:rFonts w:cs="Calibri"/>
          <w:i/>
        </w:rPr>
        <w:t>Kodex chování poslanců Evropského parlamentu v souvislosti s finančními zájmy a střety zájmů</w:t>
      </w:r>
      <w:r w:rsidRPr="000A67E8">
        <w:rPr>
          <w:rFonts w:cs="Calibri"/>
        </w:rPr>
        <w:t xml:space="preserve"> [online]. Evropský parlament, 23. ledna 2012 [cit. 3. února 2012]. Dostupné na &lt;http://www.europarl.europa.eu/sides/getDoc.do?pubRef=-//EP//TEXT+RULES-EP+20120110+ANN-01+DOC+XML+V0//CS&amp;navigationBar=YES&gt;.</w:t>
      </w:r>
    </w:p>
  </w:footnote>
  <w:footnote w:id="129">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PITROVÁ, KUBOVÁ: </w:t>
      </w:r>
      <w:r w:rsidRPr="000A67E8">
        <w:rPr>
          <w:rFonts w:cs="Calibri"/>
          <w:i/>
        </w:rPr>
        <w:t>Regulace procesu…</w:t>
      </w:r>
      <w:r w:rsidRPr="000A67E8">
        <w:rPr>
          <w:rFonts w:cs="Calibri"/>
        </w:rPr>
        <w:t>, s. 31.</w:t>
      </w:r>
    </w:p>
  </w:footnote>
  <w:footnote w:id="130">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Tamtéž, s. 40.</w:t>
      </w:r>
    </w:p>
  </w:footnote>
  <w:footnote w:id="131">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HREBENAR, Ronald J., McBETH, Courtney H., MORGAN, Bryson B. Interests and lobbying in Lithuania:</w:t>
      </w:r>
    </w:p>
    <w:p w:rsidR="001C168F" w:rsidRPr="000A67E8" w:rsidRDefault="001C168F" w:rsidP="00331822">
      <w:pPr>
        <w:pStyle w:val="Textpoznpodarou"/>
        <w:spacing w:afterLines="20" w:after="48"/>
        <w:ind w:left="142" w:hanging="142"/>
        <w:jc w:val="left"/>
        <w:rPr>
          <w:rFonts w:cs="Calibri"/>
        </w:rPr>
      </w:pPr>
      <w:r w:rsidRPr="000A67E8">
        <w:rPr>
          <w:rFonts w:cs="Calibri"/>
        </w:rPr>
        <w:t xml:space="preserve">A spectrum of development. </w:t>
      </w:r>
      <w:r w:rsidRPr="000A67E8">
        <w:rPr>
          <w:rFonts w:cs="Calibri"/>
          <w:i/>
        </w:rPr>
        <w:t>Journal of Public Affairs</w:t>
      </w:r>
      <w:r w:rsidRPr="000A67E8">
        <w:rPr>
          <w:rFonts w:cs="Calibri"/>
        </w:rPr>
        <w:t>, 2008, roč. 8, č. 1-2, s. 55.</w:t>
      </w:r>
    </w:p>
  </w:footnote>
  <w:footnote w:id="132">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Email od Koena Rooverse z 29. března 2012.</w:t>
      </w:r>
    </w:p>
  </w:footnote>
  <w:footnote w:id="133">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PITROVÁ, KUBOVÁ: </w:t>
      </w:r>
      <w:r w:rsidRPr="000A67E8">
        <w:rPr>
          <w:rFonts w:cs="Calibri"/>
          <w:i/>
        </w:rPr>
        <w:t>Regulace procesu…</w:t>
      </w:r>
      <w:r w:rsidRPr="000A67E8">
        <w:rPr>
          <w:rFonts w:cs="Calibri"/>
        </w:rPr>
        <w:t>, s. 37.</w:t>
      </w:r>
    </w:p>
  </w:footnote>
  <w:footnote w:id="134">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w:t>
      </w:r>
      <w:r w:rsidRPr="000A67E8">
        <w:rPr>
          <w:rFonts w:cs="Calibri"/>
          <w:i/>
        </w:rPr>
        <w:t>Komise revidovala Kodex chování komisařů</w:t>
      </w:r>
      <w:r w:rsidRPr="000A67E8">
        <w:rPr>
          <w:rFonts w:cs="Calibri"/>
        </w:rPr>
        <w:t xml:space="preserve"> [online]. Evropská komise, 20. dubna 2011 [cit. 3. února 2012]. Dostupné na &lt;http://ec.europa.eu/ceskarepublika/press/press_releases/11_498_cs.htm&gt;.</w:t>
      </w:r>
    </w:p>
  </w:footnote>
  <w:footnote w:id="135">
    <w:p w:rsidR="001C168F" w:rsidRPr="00D5387F" w:rsidRDefault="001C168F" w:rsidP="00331822">
      <w:pPr>
        <w:pStyle w:val="Textpoznpodarou"/>
        <w:spacing w:afterLines="20" w:after="48"/>
        <w:ind w:left="142" w:hanging="142"/>
        <w:jc w:val="left"/>
      </w:pPr>
      <w:r w:rsidRPr="00D5387F">
        <w:rPr>
          <w:rStyle w:val="Znakapoznpodarou"/>
        </w:rPr>
        <w:footnoteRef/>
      </w:r>
      <w:r w:rsidRPr="00D5387F">
        <w:t xml:space="preserve"> Viz kapitolu </w:t>
      </w:r>
      <w:r>
        <w:t>5</w:t>
      </w:r>
      <w:r w:rsidRPr="00D5387F">
        <w:t>.3.</w:t>
      </w:r>
    </w:p>
  </w:footnote>
  <w:footnote w:id="136">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w:t>
      </w:r>
      <w:r w:rsidRPr="000A67E8">
        <w:rPr>
          <w:rFonts w:cs="Calibri"/>
          <w:i/>
        </w:rPr>
        <w:t>Exkomisař lobbyistou? Žádný problém</w:t>
      </w:r>
      <w:r w:rsidRPr="000A67E8">
        <w:rPr>
          <w:rFonts w:cs="Calibri"/>
        </w:rPr>
        <w:t xml:space="preserve"> [online]. Euroskop.cz, 19. ledna 2011 [cit. 16. března 2012]. Dostupné na &lt;http://www.euroskop.cz/8955/18190/clanek/exkomisar-lobbyistou-zadny-problem&gt;.</w:t>
      </w:r>
    </w:p>
  </w:footnote>
  <w:footnote w:id="137">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w:t>
      </w:r>
      <w:r w:rsidRPr="000A67E8">
        <w:rPr>
          <w:rFonts w:cs="Calibri"/>
          <w:i/>
        </w:rPr>
        <w:t>Komise revidovala Kodex…</w:t>
      </w:r>
    </w:p>
  </w:footnote>
  <w:footnote w:id="138">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w:t>
      </w:r>
      <w:r w:rsidRPr="000A67E8">
        <w:rPr>
          <w:rFonts w:cs="Calibri"/>
          <w:i/>
        </w:rPr>
        <w:t xml:space="preserve">Nový kodex chování poslanců Evropského parlamentu </w:t>
      </w:r>
      <w:r w:rsidRPr="000A67E8">
        <w:rPr>
          <w:rFonts w:cs="Calibri"/>
        </w:rPr>
        <w:t>přijat [online]. Evropský parlament, 1. prosince 2011 [cit. 23. března 2012]. Dostupné na &lt;http://www.europarl.europa.eu/news/cs/pressroom/content/20111201IPR32927/html/Nov%C3%BD-kodex-chov%C3%A1n%C3%AD-poslanc%C5%AF-Evropsk%C3%A9ho-parlamentu-p%C5%99ijat&gt;.</w:t>
      </w:r>
    </w:p>
  </w:footnote>
  <w:footnote w:id="139">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i/>
        </w:rPr>
        <w:t xml:space="preserve"> Kodex chování…</w:t>
      </w:r>
    </w:p>
  </w:footnote>
  <w:footnote w:id="140">
    <w:p w:rsidR="001C168F" w:rsidRPr="00D5387F" w:rsidRDefault="001C168F" w:rsidP="00331822">
      <w:pPr>
        <w:pStyle w:val="Textpoznpodarou"/>
        <w:spacing w:afterLines="20" w:after="48"/>
        <w:ind w:left="142" w:hanging="142"/>
        <w:jc w:val="left"/>
      </w:pPr>
      <w:r w:rsidRPr="00D5387F">
        <w:rPr>
          <w:rStyle w:val="Znakapoznpodarou"/>
        </w:rPr>
        <w:footnoteRef/>
      </w:r>
      <w:r w:rsidRPr="00D5387F">
        <w:t xml:space="preserve"> Tamtéž.</w:t>
      </w:r>
    </w:p>
  </w:footnote>
  <w:footnote w:id="141">
    <w:p w:rsidR="001C168F" w:rsidRPr="00D5387F" w:rsidRDefault="001C168F" w:rsidP="00331822">
      <w:pPr>
        <w:pStyle w:val="Textpoznpodarou"/>
        <w:spacing w:afterLines="20" w:after="48"/>
        <w:ind w:left="142" w:hanging="142"/>
        <w:jc w:val="left"/>
      </w:pPr>
      <w:r w:rsidRPr="00D5387F">
        <w:rPr>
          <w:rStyle w:val="Znakapoznpodarou"/>
        </w:rPr>
        <w:footnoteRef/>
      </w:r>
      <w:r w:rsidRPr="00D5387F">
        <w:t xml:space="preserve"> Tamtéž.</w:t>
      </w:r>
    </w:p>
  </w:footnote>
  <w:footnote w:id="142">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Tamtéž.</w:t>
      </w:r>
    </w:p>
  </w:footnote>
  <w:footnote w:id="143">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w:t>
      </w:r>
      <w:r w:rsidRPr="000A67E8">
        <w:rPr>
          <w:rFonts w:cs="Calibri"/>
          <w:i/>
        </w:rPr>
        <w:t>Code of Conduct for Commissioners…</w:t>
      </w:r>
    </w:p>
  </w:footnote>
  <w:footnote w:id="144">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w:t>
      </w:r>
      <w:r w:rsidRPr="000A67E8">
        <w:rPr>
          <w:rFonts w:cs="Calibri"/>
          <w:i/>
        </w:rPr>
        <w:t>Kodex chování poslanců…</w:t>
      </w:r>
    </w:p>
  </w:footnote>
  <w:footnote w:id="145">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Tamtéž.</w:t>
      </w:r>
    </w:p>
  </w:footnote>
  <w:footnote w:id="146">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w:t>
      </w:r>
      <w:r w:rsidRPr="000A67E8">
        <w:rPr>
          <w:rFonts w:cs="Calibri"/>
          <w:i/>
        </w:rPr>
        <w:t>Code of Conduct for Commissioners…</w:t>
      </w:r>
    </w:p>
  </w:footnote>
  <w:footnote w:id="147">
    <w:p w:rsidR="001C168F" w:rsidRPr="00D5387F" w:rsidRDefault="001C168F" w:rsidP="00331822">
      <w:pPr>
        <w:pStyle w:val="Textpoznpodarou"/>
        <w:spacing w:afterLines="20" w:after="48"/>
        <w:ind w:left="142" w:hanging="142"/>
        <w:jc w:val="left"/>
      </w:pPr>
      <w:r w:rsidRPr="00D5387F">
        <w:rPr>
          <w:rStyle w:val="Znakapoznpodarou"/>
        </w:rPr>
        <w:footnoteRef/>
      </w:r>
      <w:r w:rsidRPr="00D5387F">
        <w:t xml:space="preserve"> </w:t>
      </w:r>
      <w:r w:rsidRPr="00D5387F">
        <w:rPr>
          <w:i/>
        </w:rPr>
        <w:t>Kodex chování poslanců…</w:t>
      </w:r>
    </w:p>
  </w:footnote>
  <w:footnote w:id="148">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Tamtéž.</w:t>
      </w:r>
    </w:p>
  </w:footnote>
  <w:footnote w:id="149">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Tamtéž.</w:t>
      </w:r>
    </w:p>
  </w:footnote>
  <w:footnote w:id="150">
    <w:p w:rsidR="001C168F" w:rsidRPr="00331822" w:rsidRDefault="001C168F" w:rsidP="00331822">
      <w:pPr>
        <w:pStyle w:val="Textpoznpodarou"/>
        <w:spacing w:afterLines="20" w:after="48"/>
        <w:ind w:left="142" w:hanging="142"/>
        <w:jc w:val="left"/>
        <w:rPr>
          <w:rStyle w:val="Znakapoznpodarou"/>
          <w:rFonts w:cs="Calibri"/>
        </w:rPr>
      </w:pPr>
      <w:r w:rsidRPr="00331822">
        <w:rPr>
          <w:rStyle w:val="Znakapoznpodarou"/>
          <w:rFonts w:cs="Calibri"/>
        </w:rPr>
        <w:footnoteRef/>
      </w:r>
      <w:r w:rsidRPr="00331822">
        <w:rPr>
          <w:rStyle w:val="Znakapoznpodarou"/>
          <w:rFonts w:cs="Calibri"/>
        </w:rPr>
        <w:t xml:space="preserve"> </w:t>
      </w:r>
      <w:r w:rsidRPr="00331822">
        <w:t>V této kapitole je pouze srovnán výskyt pravidel pro přecházení úředníků k lobbistům. Samotné problematice přecházení se pak dále věnuje kapitola 5.3.</w:t>
      </w:r>
    </w:p>
  </w:footnote>
  <w:footnote w:id="151">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Tamtéž.</w:t>
      </w:r>
    </w:p>
  </w:footnote>
  <w:footnote w:id="152">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Tamtéž.</w:t>
      </w:r>
    </w:p>
  </w:footnote>
  <w:footnote w:id="153">
    <w:p w:rsidR="001C168F" w:rsidRPr="00D5387F" w:rsidRDefault="001C168F" w:rsidP="00331822">
      <w:pPr>
        <w:pStyle w:val="Textpoznpodarou"/>
        <w:spacing w:afterLines="20" w:after="48"/>
        <w:ind w:left="142" w:hanging="142"/>
        <w:jc w:val="left"/>
      </w:pPr>
      <w:r w:rsidRPr="00D5387F">
        <w:rPr>
          <w:rStyle w:val="Znakapoznpodarou"/>
        </w:rPr>
        <w:footnoteRef/>
      </w:r>
      <w:r w:rsidRPr="00D5387F">
        <w:t xml:space="preserve"> Viz kapitolu </w:t>
      </w:r>
      <w:r>
        <w:t>5</w:t>
      </w:r>
      <w:r w:rsidRPr="00D5387F">
        <w:t>.3.</w:t>
      </w:r>
    </w:p>
  </w:footnote>
  <w:footnote w:id="154">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w:t>
      </w:r>
      <w:r w:rsidRPr="000A67E8">
        <w:rPr>
          <w:rFonts w:cs="Calibri"/>
          <w:i/>
        </w:rPr>
        <w:t>Kodex chování…</w:t>
      </w:r>
    </w:p>
  </w:footnote>
  <w:footnote w:id="155">
    <w:p w:rsidR="001C168F" w:rsidRPr="00D5387F" w:rsidRDefault="001C168F" w:rsidP="00331822">
      <w:pPr>
        <w:pStyle w:val="Textpoznpodarou"/>
        <w:spacing w:afterLines="20" w:after="48"/>
        <w:ind w:left="142" w:hanging="142"/>
        <w:jc w:val="left"/>
      </w:pPr>
      <w:r w:rsidRPr="00D5387F">
        <w:rPr>
          <w:rStyle w:val="Znakapoznpodarou"/>
        </w:rPr>
        <w:footnoteRef/>
      </w:r>
      <w:r w:rsidRPr="00D5387F">
        <w:t xml:space="preserve"> </w:t>
      </w:r>
      <w:r w:rsidRPr="00D5387F">
        <w:rPr>
          <w:i/>
        </w:rPr>
        <w:t>Code of Conduct for Commissioners…</w:t>
      </w:r>
    </w:p>
  </w:footnote>
  <w:footnote w:id="156">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w:t>
      </w:r>
      <w:r w:rsidRPr="000A67E8">
        <w:rPr>
          <w:rFonts w:cs="Calibri"/>
          <w:i/>
        </w:rPr>
        <w:t>Kodex chování poslanců…</w:t>
      </w:r>
    </w:p>
  </w:footnote>
  <w:footnote w:id="157">
    <w:p w:rsidR="001C168F" w:rsidRPr="00D5387F" w:rsidRDefault="001C168F" w:rsidP="00331822">
      <w:pPr>
        <w:pStyle w:val="Textpoznpodarou"/>
        <w:spacing w:afterLines="20" w:after="48"/>
        <w:ind w:left="142" w:hanging="142"/>
        <w:jc w:val="left"/>
      </w:pPr>
      <w:r w:rsidRPr="00D5387F">
        <w:rPr>
          <w:rStyle w:val="Znakapoznpodarou"/>
        </w:rPr>
        <w:footnoteRef/>
      </w:r>
      <w:r w:rsidRPr="00D5387F">
        <w:t xml:space="preserve"> </w:t>
      </w:r>
      <w:r w:rsidRPr="00D5387F">
        <w:rPr>
          <w:i/>
        </w:rPr>
        <w:t>Code of Conduct for Commissioners…</w:t>
      </w:r>
    </w:p>
  </w:footnote>
  <w:footnote w:id="158">
    <w:p w:rsidR="001C168F" w:rsidRPr="00D5387F" w:rsidRDefault="001C168F" w:rsidP="00331822">
      <w:pPr>
        <w:pStyle w:val="Textpoznpodarou"/>
        <w:spacing w:afterLines="20" w:after="48"/>
        <w:ind w:left="142" w:hanging="142"/>
        <w:jc w:val="left"/>
      </w:pPr>
      <w:r w:rsidRPr="00D5387F">
        <w:rPr>
          <w:rStyle w:val="Znakapoznpodarou"/>
        </w:rPr>
        <w:footnoteRef/>
      </w:r>
      <w:r w:rsidRPr="00D5387F">
        <w:t xml:space="preserve"> </w:t>
      </w:r>
      <w:r w:rsidRPr="00D5387F">
        <w:rPr>
          <w:i/>
        </w:rPr>
        <w:t>Kodex chování poslanců…</w:t>
      </w:r>
    </w:p>
  </w:footnote>
  <w:footnote w:id="159">
    <w:p w:rsidR="001C168F" w:rsidRPr="00A24197" w:rsidRDefault="001C168F" w:rsidP="00A24197">
      <w:pPr>
        <w:pStyle w:val="Textpoznpodarou"/>
        <w:spacing w:afterLines="20" w:after="48"/>
        <w:ind w:left="142" w:hanging="142"/>
        <w:jc w:val="left"/>
        <w:rPr>
          <w:rStyle w:val="Znakapoznpodarou"/>
        </w:rPr>
      </w:pPr>
      <w:r>
        <w:rPr>
          <w:rStyle w:val="Znakapoznpodarou"/>
        </w:rPr>
        <w:footnoteRef/>
      </w:r>
      <w:r w:rsidRPr="00A24197">
        <w:rPr>
          <w:rStyle w:val="Znakapoznpodarou"/>
        </w:rPr>
        <w:t xml:space="preserve"> </w:t>
      </w:r>
      <w:r w:rsidRPr="00D5387F">
        <w:rPr>
          <w:i/>
        </w:rPr>
        <w:t>Kodex chování poslanců…</w:t>
      </w:r>
    </w:p>
  </w:footnote>
  <w:footnote w:id="160">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w:t>
      </w:r>
      <w:r w:rsidRPr="000A67E8">
        <w:rPr>
          <w:rFonts w:cs="Calibri"/>
          <w:i/>
        </w:rPr>
        <w:t xml:space="preserve">Block the Revolving Door! </w:t>
      </w:r>
      <w:r w:rsidRPr="000A67E8">
        <w:rPr>
          <w:rFonts w:cs="Calibri"/>
        </w:rPr>
        <w:t>[online]. ALTER-EU, listopad 2011 [cit. 23. března 2012]. Dostupné na &lt;http://www.alter-eu.org/sites/default/files/altereu_rd_faq.pdf&gt;.</w:t>
      </w:r>
    </w:p>
  </w:footnote>
  <w:footnote w:id="161">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RASMUSSEN: </w:t>
      </w:r>
      <w:r w:rsidRPr="000A67E8">
        <w:rPr>
          <w:rFonts w:cs="Calibri"/>
          <w:i/>
        </w:rPr>
        <w:t>Lobbying the European...</w:t>
      </w:r>
    </w:p>
  </w:footnote>
  <w:footnote w:id="162">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w:t>
      </w:r>
      <w:r w:rsidRPr="000A67E8">
        <w:rPr>
          <w:rFonts w:cs="Calibri"/>
          <w:i/>
        </w:rPr>
        <w:t>Lobbing in the EU: An Overview</w:t>
      </w:r>
      <w:r w:rsidRPr="000A67E8">
        <w:rPr>
          <w:rFonts w:cs="Calibri"/>
        </w:rPr>
        <w:t xml:space="preserve"> [online]. EU Inside, září 2008 [cit. 26. března 2012]. Dostupné na &lt;http://www.eurunion.org/News/eunewsletters/EUInsight/2008/EUInsight-Lobbying-Sept08.pdf&gt;.</w:t>
      </w:r>
    </w:p>
  </w:footnote>
  <w:footnote w:id="163">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w:t>
      </w:r>
      <w:bookmarkStart w:id="64" w:name="OLE_LINK35"/>
      <w:r w:rsidRPr="004A44CA">
        <w:rPr>
          <w:rFonts w:cs="Calibri"/>
        </w:rPr>
        <w:t>Evropská komise</w:t>
      </w:r>
      <w:r>
        <w:rPr>
          <w:rFonts w:cs="Calibri"/>
        </w:rPr>
        <w:t>.</w:t>
      </w:r>
      <w:r w:rsidRPr="004A44CA">
        <w:rPr>
          <w:rFonts w:cs="Calibri"/>
        </w:rPr>
        <w:t xml:space="preserve"> </w:t>
      </w:r>
      <w:bookmarkStart w:id="65" w:name="OLE_LINK32"/>
      <w:r w:rsidRPr="004A44CA">
        <w:rPr>
          <w:rFonts w:cs="Calibri"/>
        </w:rPr>
        <w:t>Bílá kniha o reformě Evropské komise</w:t>
      </w:r>
      <w:r>
        <w:rPr>
          <w:rFonts w:cs="Calibri"/>
        </w:rPr>
        <w:t xml:space="preserve"> </w:t>
      </w:r>
      <w:bookmarkEnd w:id="65"/>
      <w:r>
        <w:rPr>
          <w:rFonts w:cs="Calibri"/>
        </w:rPr>
        <w:t xml:space="preserve">ze dne 1. března 2000. </w:t>
      </w:r>
      <w:r w:rsidRPr="008B6541">
        <w:rPr>
          <w:rFonts w:cs="Calibri"/>
          <w:i/>
        </w:rPr>
        <w:t>COM(2000) 200</w:t>
      </w:r>
      <w:r>
        <w:rPr>
          <w:rFonts w:cs="Calibri"/>
        </w:rPr>
        <w:t>.</w:t>
      </w:r>
      <w:bookmarkEnd w:id="64"/>
    </w:p>
  </w:footnote>
  <w:footnote w:id="164">
    <w:p w:rsidR="001C168F" w:rsidRPr="00D5387F" w:rsidRDefault="001C168F" w:rsidP="00331822">
      <w:pPr>
        <w:pStyle w:val="Textpoznpodarou"/>
        <w:spacing w:afterLines="20" w:after="48"/>
        <w:ind w:left="142" w:hanging="142"/>
        <w:jc w:val="left"/>
      </w:pPr>
      <w:r w:rsidRPr="00D5387F">
        <w:rPr>
          <w:rStyle w:val="Znakapoznpodarou"/>
        </w:rPr>
        <w:footnoteRef/>
      </w:r>
      <w:r w:rsidRPr="00D5387F">
        <w:t xml:space="preserve"> </w:t>
      </w:r>
      <w:bookmarkStart w:id="66" w:name="OLE_LINK37"/>
      <w:r>
        <w:t>CLAUSEN:</w:t>
      </w:r>
      <w:r w:rsidRPr="00D5387F">
        <w:t xml:space="preserve"> </w:t>
      </w:r>
      <w:r w:rsidRPr="00D5387F">
        <w:rPr>
          <w:i/>
        </w:rPr>
        <w:t>Revolving Door Provides</w:t>
      </w:r>
      <w:r>
        <w:rPr>
          <w:i/>
        </w:rPr>
        <w:t>…</w:t>
      </w:r>
      <w:bookmarkEnd w:id="66"/>
      <w:r w:rsidRPr="00D5387F">
        <w:t>, s. 4.</w:t>
      </w:r>
    </w:p>
  </w:footnote>
  <w:footnote w:id="165">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PITROVÁ, KUBOVÁ: </w:t>
      </w:r>
      <w:r w:rsidRPr="000A67E8">
        <w:rPr>
          <w:rFonts w:cs="Calibri"/>
          <w:i/>
        </w:rPr>
        <w:t>Regulace procesu…</w:t>
      </w:r>
      <w:r w:rsidRPr="000A67E8">
        <w:rPr>
          <w:rFonts w:cs="Calibri"/>
        </w:rPr>
        <w:t>, s. 35.</w:t>
      </w:r>
    </w:p>
  </w:footnote>
  <w:footnote w:id="166">
    <w:p w:rsidR="001C168F" w:rsidRPr="000A67E8" w:rsidRDefault="001C168F" w:rsidP="00331822">
      <w:pPr>
        <w:pStyle w:val="Textpoznpodarou"/>
        <w:spacing w:afterLines="20" w:after="48"/>
        <w:ind w:left="142" w:hanging="142"/>
        <w:jc w:val="left"/>
        <w:rPr>
          <w:rFonts w:cs="Calibri"/>
        </w:rPr>
      </w:pPr>
      <w:r w:rsidRPr="000A67E8">
        <w:rPr>
          <w:rStyle w:val="Znakapoznpodarou"/>
          <w:rFonts w:cs="Calibri"/>
        </w:rPr>
        <w:footnoteRef/>
      </w:r>
      <w:r w:rsidRPr="000A67E8">
        <w:rPr>
          <w:rFonts w:cs="Calibri"/>
        </w:rPr>
        <w:t xml:space="preserve"> Email od Kerstin Hötzel z 30. dubna 2012.</w:t>
      </w:r>
    </w:p>
  </w:footnote>
  <w:footnote w:id="167">
    <w:p w:rsidR="001C168F" w:rsidRPr="00D5387F" w:rsidRDefault="001C168F" w:rsidP="00331822">
      <w:pPr>
        <w:pStyle w:val="Textpoznpodarou"/>
        <w:spacing w:afterLines="20" w:after="48"/>
        <w:ind w:left="142" w:hanging="142"/>
        <w:jc w:val="left"/>
      </w:pPr>
      <w:r w:rsidRPr="00D5387F">
        <w:rPr>
          <w:rStyle w:val="Znakapoznpodarou"/>
        </w:rPr>
        <w:footnoteRef/>
      </w:r>
      <w:r w:rsidRPr="00D5387F">
        <w:t xml:space="preserve"> Viz kapitolu </w:t>
      </w:r>
      <w:r>
        <w:t>5</w:t>
      </w:r>
      <w:r w:rsidRPr="00D5387F">
        <w:t>.2.3.4.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65B1A"/>
    <w:multiLevelType w:val="hybridMultilevel"/>
    <w:tmpl w:val="29F4ECE4"/>
    <w:lvl w:ilvl="0" w:tplc="F6800EF4">
      <w:start w:val="1"/>
      <w:numFmt w:val="upperLetter"/>
      <w:lvlText w:val="%1."/>
      <w:lvlJc w:val="left"/>
      <w:pPr>
        <w:ind w:left="927" w:hanging="360"/>
      </w:pPr>
      <w:rPr>
        <w:rFonts w:hint="default"/>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nsid w:val="355C4F37"/>
    <w:multiLevelType w:val="hybridMultilevel"/>
    <w:tmpl w:val="39A042C8"/>
    <w:lvl w:ilvl="0" w:tplc="1C7AF43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40A0233"/>
    <w:multiLevelType w:val="hybridMultilevel"/>
    <w:tmpl w:val="D88C10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F2D40E0"/>
    <w:multiLevelType w:val="multilevel"/>
    <w:tmpl w:val="7284B692"/>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284" w:hanging="284"/>
      </w:pPr>
      <w:rPr>
        <w:rFonts w:hint="default"/>
      </w:rPr>
    </w:lvl>
    <w:lvl w:ilvl="2">
      <w:start w:val="1"/>
      <w:numFmt w:val="decimal"/>
      <w:pStyle w:val="Nadpis3"/>
      <w:lvlText w:val="%1.%2.%3"/>
      <w:lvlJc w:val="left"/>
      <w:pPr>
        <w:ind w:left="284" w:hanging="284"/>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nsid w:val="58AA403C"/>
    <w:multiLevelType w:val="hybridMultilevel"/>
    <w:tmpl w:val="B5181116"/>
    <w:lvl w:ilvl="0" w:tplc="BA361CA6">
      <w:start w:val="1"/>
      <w:numFmt w:val="decimal"/>
      <w:lvlText w:val="%1."/>
      <w:lvlJc w:val="left"/>
      <w:pPr>
        <w:ind w:left="720" w:hanging="360"/>
      </w:pPr>
      <w:rPr>
        <w:rFonts w:ascii="Calibri" w:eastAsia="Calibri" w:hAnsi="Calibri"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66B3E25"/>
    <w:multiLevelType w:val="hybridMultilevel"/>
    <w:tmpl w:val="E44261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2"/>
  </w:num>
  <w:num w:numId="6">
    <w:abstractNumId w:val="0"/>
  </w:num>
  <w:num w:numId="7">
    <w:abstractNumId w:val="3"/>
  </w:num>
  <w:num w:numId="8">
    <w:abstractNumId w:val="3"/>
  </w:num>
  <w:num w:numId="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626"/>
    <w:rsid w:val="00004580"/>
    <w:rsid w:val="00006ACE"/>
    <w:rsid w:val="00007DAF"/>
    <w:rsid w:val="00010482"/>
    <w:rsid w:val="00012D61"/>
    <w:rsid w:val="00014C70"/>
    <w:rsid w:val="00015626"/>
    <w:rsid w:val="00015997"/>
    <w:rsid w:val="00016B12"/>
    <w:rsid w:val="0002020E"/>
    <w:rsid w:val="00022570"/>
    <w:rsid w:val="00023AC3"/>
    <w:rsid w:val="00026420"/>
    <w:rsid w:val="000275DD"/>
    <w:rsid w:val="00030622"/>
    <w:rsid w:val="00030927"/>
    <w:rsid w:val="00034E96"/>
    <w:rsid w:val="000361FC"/>
    <w:rsid w:val="000373C2"/>
    <w:rsid w:val="00040E82"/>
    <w:rsid w:val="000429CE"/>
    <w:rsid w:val="000429F7"/>
    <w:rsid w:val="00044A46"/>
    <w:rsid w:val="000516D3"/>
    <w:rsid w:val="00051B05"/>
    <w:rsid w:val="0005479E"/>
    <w:rsid w:val="00054FB0"/>
    <w:rsid w:val="000556AE"/>
    <w:rsid w:val="000564F3"/>
    <w:rsid w:val="00057CA7"/>
    <w:rsid w:val="00060166"/>
    <w:rsid w:val="000626FD"/>
    <w:rsid w:val="000635D3"/>
    <w:rsid w:val="0006462D"/>
    <w:rsid w:val="00064B7D"/>
    <w:rsid w:val="00064F7F"/>
    <w:rsid w:val="00072E76"/>
    <w:rsid w:val="00073121"/>
    <w:rsid w:val="0008716B"/>
    <w:rsid w:val="00090F54"/>
    <w:rsid w:val="0009107A"/>
    <w:rsid w:val="000927FC"/>
    <w:rsid w:val="0009346E"/>
    <w:rsid w:val="0009499F"/>
    <w:rsid w:val="00094A19"/>
    <w:rsid w:val="00095182"/>
    <w:rsid w:val="00095E31"/>
    <w:rsid w:val="000A0C04"/>
    <w:rsid w:val="000A1A9B"/>
    <w:rsid w:val="000A282F"/>
    <w:rsid w:val="000A35EF"/>
    <w:rsid w:val="000A43CC"/>
    <w:rsid w:val="000A5D67"/>
    <w:rsid w:val="000A616B"/>
    <w:rsid w:val="000A61C8"/>
    <w:rsid w:val="000A67E8"/>
    <w:rsid w:val="000B2323"/>
    <w:rsid w:val="000B2818"/>
    <w:rsid w:val="000B29A0"/>
    <w:rsid w:val="000B3DD5"/>
    <w:rsid w:val="000B553E"/>
    <w:rsid w:val="000B5C9E"/>
    <w:rsid w:val="000C1F1C"/>
    <w:rsid w:val="000C2135"/>
    <w:rsid w:val="000C2986"/>
    <w:rsid w:val="000C40E8"/>
    <w:rsid w:val="000C67FB"/>
    <w:rsid w:val="000C775D"/>
    <w:rsid w:val="000D0D57"/>
    <w:rsid w:val="000D180E"/>
    <w:rsid w:val="000D4962"/>
    <w:rsid w:val="000D5870"/>
    <w:rsid w:val="000E4736"/>
    <w:rsid w:val="000E6A71"/>
    <w:rsid w:val="000E6CD8"/>
    <w:rsid w:val="000F1C5D"/>
    <w:rsid w:val="000F3F66"/>
    <w:rsid w:val="000F4029"/>
    <w:rsid w:val="000F48FB"/>
    <w:rsid w:val="000F4FC6"/>
    <w:rsid w:val="000F7974"/>
    <w:rsid w:val="00100003"/>
    <w:rsid w:val="00103A9D"/>
    <w:rsid w:val="001063EE"/>
    <w:rsid w:val="00110405"/>
    <w:rsid w:val="00111FBE"/>
    <w:rsid w:val="00112093"/>
    <w:rsid w:val="001138C4"/>
    <w:rsid w:val="00120E9F"/>
    <w:rsid w:val="00124882"/>
    <w:rsid w:val="00126B89"/>
    <w:rsid w:val="00126F98"/>
    <w:rsid w:val="00127382"/>
    <w:rsid w:val="00130E71"/>
    <w:rsid w:val="00131086"/>
    <w:rsid w:val="00132069"/>
    <w:rsid w:val="00132A65"/>
    <w:rsid w:val="00134C84"/>
    <w:rsid w:val="00134E7C"/>
    <w:rsid w:val="0013618D"/>
    <w:rsid w:val="00137324"/>
    <w:rsid w:val="001412ED"/>
    <w:rsid w:val="00141519"/>
    <w:rsid w:val="0014198C"/>
    <w:rsid w:val="001440C6"/>
    <w:rsid w:val="001445C9"/>
    <w:rsid w:val="00147C2D"/>
    <w:rsid w:val="0015116C"/>
    <w:rsid w:val="00154350"/>
    <w:rsid w:val="00155F71"/>
    <w:rsid w:val="00162722"/>
    <w:rsid w:val="0016306D"/>
    <w:rsid w:val="00165004"/>
    <w:rsid w:val="001652EF"/>
    <w:rsid w:val="00165CA3"/>
    <w:rsid w:val="00166955"/>
    <w:rsid w:val="00170795"/>
    <w:rsid w:val="001733CB"/>
    <w:rsid w:val="00173C73"/>
    <w:rsid w:val="0017577F"/>
    <w:rsid w:val="00176740"/>
    <w:rsid w:val="00176850"/>
    <w:rsid w:val="001778C3"/>
    <w:rsid w:val="00177FB2"/>
    <w:rsid w:val="001814DE"/>
    <w:rsid w:val="001819CD"/>
    <w:rsid w:val="00181B12"/>
    <w:rsid w:val="00183220"/>
    <w:rsid w:val="00187A1F"/>
    <w:rsid w:val="00190400"/>
    <w:rsid w:val="001908B9"/>
    <w:rsid w:val="001909C0"/>
    <w:rsid w:val="00191BBF"/>
    <w:rsid w:val="00192DAB"/>
    <w:rsid w:val="001944FC"/>
    <w:rsid w:val="00195733"/>
    <w:rsid w:val="00196565"/>
    <w:rsid w:val="00197902"/>
    <w:rsid w:val="001A074C"/>
    <w:rsid w:val="001A42B3"/>
    <w:rsid w:val="001A6098"/>
    <w:rsid w:val="001B2CED"/>
    <w:rsid w:val="001B4297"/>
    <w:rsid w:val="001B4A20"/>
    <w:rsid w:val="001B55A6"/>
    <w:rsid w:val="001B76C0"/>
    <w:rsid w:val="001B7FAB"/>
    <w:rsid w:val="001C168F"/>
    <w:rsid w:val="001C3C06"/>
    <w:rsid w:val="001C4D15"/>
    <w:rsid w:val="001C677B"/>
    <w:rsid w:val="001C6AB8"/>
    <w:rsid w:val="001D0BEA"/>
    <w:rsid w:val="001D1C9E"/>
    <w:rsid w:val="001D2A29"/>
    <w:rsid w:val="001D3984"/>
    <w:rsid w:val="001D415E"/>
    <w:rsid w:val="001D48BE"/>
    <w:rsid w:val="001D4EC9"/>
    <w:rsid w:val="001D5B7E"/>
    <w:rsid w:val="001D6CC5"/>
    <w:rsid w:val="001D6F08"/>
    <w:rsid w:val="001E045B"/>
    <w:rsid w:val="001E3541"/>
    <w:rsid w:val="001E73CA"/>
    <w:rsid w:val="001F026A"/>
    <w:rsid w:val="001F371F"/>
    <w:rsid w:val="001F408C"/>
    <w:rsid w:val="001F4487"/>
    <w:rsid w:val="001F4976"/>
    <w:rsid w:val="001F4B10"/>
    <w:rsid w:val="001F58FB"/>
    <w:rsid w:val="001F70ED"/>
    <w:rsid w:val="00200A68"/>
    <w:rsid w:val="00200C63"/>
    <w:rsid w:val="0020212D"/>
    <w:rsid w:val="00203153"/>
    <w:rsid w:val="002041A6"/>
    <w:rsid w:val="00204D6B"/>
    <w:rsid w:val="00205D20"/>
    <w:rsid w:val="00210BAF"/>
    <w:rsid w:val="002149CA"/>
    <w:rsid w:val="00217BF3"/>
    <w:rsid w:val="00221F22"/>
    <w:rsid w:val="00223592"/>
    <w:rsid w:val="00223BBF"/>
    <w:rsid w:val="00223EFD"/>
    <w:rsid w:val="002300B0"/>
    <w:rsid w:val="00230199"/>
    <w:rsid w:val="002332B8"/>
    <w:rsid w:val="00233429"/>
    <w:rsid w:val="002357F8"/>
    <w:rsid w:val="00235B0C"/>
    <w:rsid w:val="00237A17"/>
    <w:rsid w:val="00240698"/>
    <w:rsid w:val="00240F07"/>
    <w:rsid w:val="00241C23"/>
    <w:rsid w:val="00242F89"/>
    <w:rsid w:val="00243392"/>
    <w:rsid w:val="0024544C"/>
    <w:rsid w:val="00245D3E"/>
    <w:rsid w:val="0025009B"/>
    <w:rsid w:val="0025097A"/>
    <w:rsid w:val="00250991"/>
    <w:rsid w:val="00250EEC"/>
    <w:rsid w:val="00252004"/>
    <w:rsid w:val="002538B5"/>
    <w:rsid w:val="002544E9"/>
    <w:rsid w:val="00254C3D"/>
    <w:rsid w:val="00254FF6"/>
    <w:rsid w:val="0026073B"/>
    <w:rsid w:val="0026179C"/>
    <w:rsid w:val="00262400"/>
    <w:rsid w:val="0026254D"/>
    <w:rsid w:val="00262D54"/>
    <w:rsid w:val="00264F09"/>
    <w:rsid w:val="0026645E"/>
    <w:rsid w:val="00266FF0"/>
    <w:rsid w:val="00267100"/>
    <w:rsid w:val="00275E49"/>
    <w:rsid w:val="00276331"/>
    <w:rsid w:val="00280D7E"/>
    <w:rsid w:val="0028159A"/>
    <w:rsid w:val="00281E7C"/>
    <w:rsid w:val="0028381E"/>
    <w:rsid w:val="00283ABF"/>
    <w:rsid w:val="00283E55"/>
    <w:rsid w:val="00284853"/>
    <w:rsid w:val="00285A38"/>
    <w:rsid w:val="002907F3"/>
    <w:rsid w:val="00290D0A"/>
    <w:rsid w:val="00291CC3"/>
    <w:rsid w:val="00291CEE"/>
    <w:rsid w:val="002931F4"/>
    <w:rsid w:val="00293944"/>
    <w:rsid w:val="00293B1D"/>
    <w:rsid w:val="002960F3"/>
    <w:rsid w:val="002963B4"/>
    <w:rsid w:val="00297486"/>
    <w:rsid w:val="00297AB4"/>
    <w:rsid w:val="002A0FA1"/>
    <w:rsid w:val="002A1C25"/>
    <w:rsid w:val="002A339C"/>
    <w:rsid w:val="002A3BA2"/>
    <w:rsid w:val="002A52C9"/>
    <w:rsid w:val="002A5E06"/>
    <w:rsid w:val="002A62A5"/>
    <w:rsid w:val="002A6D51"/>
    <w:rsid w:val="002A7125"/>
    <w:rsid w:val="002B0405"/>
    <w:rsid w:val="002B0473"/>
    <w:rsid w:val="002B172F"/>
    <w:rsid w:val="002B2417"/>
    <w:rsid w:val="002B3BC4"/>
    <w:rsid w:val="002B3EE3"/>
    <w:rsid w:val="002B5B06"/>
    <w:rsid w:val="002B5B73"/>
    <w:rsid w:val="002B7658"/>
    <w:rsid w:val="002C2742"/>
    <w:rsid w:val="002C2DDA"/>
    <w:rsid w:val="002C6751"/>
    <w:rsid w:val="002C6963"/>
    <w:rsid w:val="002D1C14"/>
    <w:rsid w:val="002D36C4"/>
    <w:rsid w:val="002D40E8"/>
    <w:rsid w:val="002D410D"/>
    <w:rsid w:val="002D5573"/>
    <w:rsid w:val="002D775C"/>
    <w:rsid w:val="002E1A71"/>
    <w:rsid w:val="002E3D1F"/>
    <w:rsid w:val="002E400D"/>
    <w:rsid w:val="002E6085"/>
    <w:rsid w:val="002F1C87"/>
    <w:rsid w:val="002F3686"/>
    <w:rsid w:val="002F5994"/>
    <w:rsid w:val="002F6260"/>
    <w:rsid w:val="003019CA"/>
    <w:rsid w:val="00302B03"/>
    <w:rsid w:val="00302E9F"/>
    <w:rsid w:val="00303367"/>
    <w:rsid w:val="00304406"/>
    <w:rsid w:val="0030601B"/>
    <w:rsid w:val="00307749"/>
    <w:rsid w:val="00310F79"/>
    <w:rsid w:val="00311DC1"/>
    <w:rsid w:val="003153E6"/>
    <w:rsid w:val="00316825"/>
    <w:rsid w:val="0032028C"/>
    <w:rsid w:val="003248D1"/>
    <w:rsid w:val="00325173"/>
    <w:rsid w:val="003253C7"/>
    <w:rsid w:val="003254D9"/>
    <w:rsid w:val="00326202"/>
    <w:rsid w:val="00327DE2"/>
    <w:rsid w:val="003314FD"/>
    <w:rsid w:val="00331822"/>
    <w:rsid w:val="00333654"/>
    <w:rsid w:val="003378E2"/>
    <w:rsid w:val="00340626"/>
    <w:rsid w:val="00340A2F"/>
    <w:rsid w:val="00342ECA"/>
    <w:rsid w:val="0034378E"/>
    <w:rsid w:val="00343CD6"/>
    <w:rsid w:val="0034574D"/>
    <w:rsid w:val="00346090"/>
    <w:rsid w:val="0034705C"/>
    <w:rsid w:val="0035285A"/>
    <w:rsid w:val="003548B1"/>
    <w:rsid w:val="00354F06"/>
    <w:rsid w:val="0035565E"/>
    <w:rsid w:val="003570B9"/>
    <w:rsid w:val="00357BFD"/>
    <w:rsid w:val="00357D21"/>
    <w:rsid w:val="00357F5B"/>
    <w:rsid w:val="00357F93"/>
    <w:rsid w:val="003625EF"/>
    <w:rsid w:val="00363042"/>
    <w:rsid w:val="00363233"/>
    <w:rsid w:val="0036674F"/>
    <w:rsid w:val="003675DB"/>
    <w:rsid w:val="00367D21"/>
    <w:rsid w:val="0037471B"/>
    <w:rsid w:val="00380FBE"/>
    <w:rsid w:val="00381DA8"/>
    <w:rsid w:val="00382734"/>
    <w:rsid w:val="00382936"/>
    <w:rsid w:val="0038311B"/>
    <w:rsid w:val="00386B3F"/>
    <w:rsid w:val="00390909"/>
    <w:rsid w:val="00393830"/>
    <w:rsid w:val="003A03AB"/>
    <w:rsid w:val="003A3B72"/>
    <w:rsid w:val="003A4E1C"/>
    <w:rsid w:val="003A6107"/>
    <w:rsid w:val="003B257A"/>
    <w:rsid w:val="003B279D"/>
    <w:rsid w:val="003B2E94"/>
    <w:rsid w:val="003B3692"/>
    <w:rsid w:val="003B3E3F"/>
    <w:rsid w:val="003B4D1B"/>
    <w:rsid w:val="003B64F2"/>
    <w:rsid w:val="003B6797"/>
    <w:rsid w:val="003B67FB"/>
    <w:rsid w:val="003B7678"/>
    <w:rsid w:val="003C080C"/>
    <w:rsid w:val="003C1B10"/>
    <w:rsid w:val="003C39FE"/>
    <w:rsid w:val="003C3DD9"/>
    <w:rsid w:val="003C511A"/>
    <w:rsid w:val="003C6F27"/>
    <w:rsid w:val="003C71DD"/>
    <w:rsid w:val="003D4706"/>
    <w:rsid w:val="003D553E"/>
    <w:rsid w:val="003D5FC4"/>
    <w:rsid w:val="003D7251"/>
    <w:rsid w:val="003E0D2D"/>
    <w:rsid w:val="003E1994"/>
    <w:rsid w:val="003E47BA"/>
    <w:rsid w:val="003F4674"/>
    <w:rsid w:val="003F5397"/>
    <w:rsid w:val="003F5A04"/>
    <w:rsid w:val="003F6215"/>
    <w:rsid w:val="003F782A"/>
    <w:rsid w:val="00401C01"/>
    <w:rsid w:val="00405B6F"/>
    <w:rsid w:val="0041465C"/>
    <w:rsid w:val="0041653D"/>
    <w:rsid w:val="00421E2D"/>
    <w:rsid w:val="00427F4E"/>
    <w:rsid w:val="0043341A"/>
    <w:rsid w:val="00435981"/>
    <w:rsid w:val="00436069"/>
    <w:rsid w:val="00437CFA"/>
    <w:rsid w:val="00441EEF"/>
    <w:rsid w:val="00443190"/>
    <w:rsid w:val="0044503B"/>
    <w:rsid w:val="00445CEB"/>
    <w:rsid w:val="00446FCA"/>
    <w:rsid w:val="00452E69"/>
    <w:rsid w:val="00457316"/>
    <w:rsid w:val="00457FC6"/>
    <w:rsid w:val="004656D0"/>
    <w:rsid w:val="00471BD2"/>
    <w:rsid w:val="00474D58"/>
    <w:rsid w:val="00476DD2"/>
    <w:rsid w:val="004823F4"/>
    <w:rsid w:val="00482762"/>
    <w:rsid w:val="00486C2F"/>
    <w:rsid w:val="00486CE2"/>
    <w:rsid w:val="00491372"/>
    <w:rsid w:val="004935F6"/>
    <w:rsid w:val="00493996"/>
    <w:rsid w:val="004944C4"/>
    <w:rsid w:val="00496004"/>
    <w:rsid w:val="00496069"/>
    <w:rsid w:val="004A2D1D"/>
    <w:rsid w:val="004A44CA"/>
    <w:rsid w:val="004A4A25"/>
    <w:rsid w:val="004A76E2"/>
    <w:rsid w:val="004B0F7F"/>
    <w:rsid w:val="004B16BA"/>
    <w:rsid w:val="004B703C"/>
    <w:rsid w:val="004B7826"/>
    <w:rsid w:val="004C03AA"/>
    <w:rsid w:val="004C0E2F"/>
    <w:rsid w:val="004C0FB4"/>
    <w:rsid w:val="004C4DB1"/>
    <w:rsid w:val="004C562D"/>
    <w:rsid w:val="004C63BA"/>
    <w:rsid w:val="004D364A"/>
    <w:rsid w:val="004D485D"/>
    <w:rsid w:val="004D4FED"/>
    <w:rsid w:val="004D5433"/>
    <w:rsid w:val="004D54BB"/>
    <w:rsid w:val="004D6B73"/>
    <w:rsid w:val="004D7A93"/>
    <w:rsid w:val="004E0107"/>
    <w:rsid w:val="004E22E5"/>
    <w:rsid w:val="004E27E7"/>
    <w:rsid w:val="004E2BC9"/>
    <w:rsid w:val="004E38CE"/>
    <w:rsid w:val="004E5DAD"/>
    <w:rsid w:val="004E6ED9"/>
    <w:rsid w:val="004F01E4"/>
    <w:rsid w:val="004F1A9A"/>
    <w:rsid w:val="004F36A0"/>
    <w:rsid w:val="004F39A9"/>
    <w:rsid w:val="004F5879"/>
    <w:rsid w:val="004F65B9"/>
    <w:rsid w:val="005001DA"/>
    <w:rsid w:val="005006A3"/>
    <w:rsid w:val="00502173"/>
    <w:rsid w:val="0050221C"/>
    <w:rsid w:val="00506D34"/>
    <w:rsid w:val="00507148"/>
    <w:rsid w:val="00507FD5"/>
    <w:rsid w:val="005103A2"/>
    <w:rsid w:val="0051159B"/>
    <w:rsid w:val="005138BF"/>
    <w:rsid w:val="00513F14"/>
    <w:rsid w:val="005166C8"/>
    <w:rsid w:val="005175B5"/>
    <w:rsid w:val="00521368"/>
    <w:rsid w:val="00523C18"/>
    <w:rsid w:val="00523E11"/>
    <w:rsid w:val="005240A3"/>
    <w:rsid w:val="00525059"/>
    <w:rsid w:val="00526FEA"/>
    <w:rsid w:val="005276EC"/>
    <w:rsid w:val="00530B00"/>
    <w:rsid w:val="00532A23"/>
    <w:rsid w:val="00532B5B"/>
    <w:rsid w:val="00534ADD"/>
    <w:rsid w:val="00535DA9"/>
    <w:rsid w:val="005366E4"/>
    <w:rsid w:val="00537AAC"/>
    <w:rsid w:val="00537FE1"/>
    <w:rsid w:val="0054112B"/>
    <w:rsid w:val="005417FB"/>
    <w:rsid w:val="005429EE"/>
    <w:rsid w:val="00545C82"/>
    <w:rsid w:val="00545F45"/>
    <w:rsid w:val="00547A45"/>
    <w:rsid w:val="005512FD"/>
    <w:rsid w:val="005547D6"/>
    <w:rsid w:val="00572511"/>
    <w:rsid w:val="0057343A"/>
    <w:rsid w:val="00574581"/>
    <w:rsid w:val="00575154"/>
    <w:rsid w:val="00577334"/>
    <w:rsid w:val="00577C9A"/>
    <w:rsid w:val="00582BE0"/>
    <w:rsid w:val="00585034"/>
    <w:rsid w:val="00587A7E"/>
    <w:rsid w:val="00594669"/>
    <w:rsid w:val="0059468B"/>
    <w:rsid w:val="005A1CF2"/>
    <w:rsid w:val="005A37A3"/>
    <w:rsid w:val="005A5EED"/>
    <w:rsid w:val="005A5FB1"/>
    <w:rsid w:val="005B0BDF"/>
    <w:rsid w:val="005B23E5"/>
    <w:rsid w:val="005B386F"/>
    <w:rsid w:val="005B3AFE"/>
    <w:rsid w:val="005B3CB3"/>
    <w:rsid w:val="005B49AA"/>
    <w:rsid w:val="005B673E"/>
    <w:rsid w:val="005B7673"/>
    <w:rsid w:val="005C1210"/>
    <w:rsid w:val="005C176D"/>
    <w:rsid w:val="005C51BC"/>
    <w:rsid w:val="005C68D0"/>
    <w:rsid w:val="005C7810"/>
    <w:rsid w:val="005D2819"/>
    <w:rsid w:val="005D5647"/>
    <w:rsid w:val="005D6DEA"/>
    <w:rsid w:val="005D74BD"/>
    <w:rsid w:val="005E05B3"/>
    <w:rsid w:val="005E0747"/>
    <w:rsid w:val="005E2973"/>
    <w:rsid w:val="005E29B6"/>
    <w:rsid w:val="005E5D27"/>
    <w:rsid w:val="005E78A3"/>
    <w:rsid w:val="005F4315"/>
    <w:rsid w:val="005F4572"/>
    <w:rsid w:val="005F5547"/>
    <w:rsid w:val="00600D33"/>
    <w:rsid w:val="00601328"/>
    <w:rsid w:val="00601D89"/>
    <w:rsid w:val="00602B68"/>
    <w:rsid w:val="00605B5A"/>
    <w:rsid w:val="0061331E"/>
    <w:rsid w:val="00613EC7"/>
    <w:rsid w:val="00614B1F"/>
    <w:rsid w:val="0061678B"/>
    <w:rsid w:val="006224DE"/>
    <w:rsid w:val="0062280E"/>
    <w:rsid w:val="00627CEB"/>
    <w:rsid w:val="0063189F"/>
    <w:rsid w:val="00631A86"/>
    <w:rsid w:val="0063212A"/>
    <w:rsid w:val="006326B2"/>
    <w:rsid w:val="00632E20"/>
    <w:rsid w:val="006340D4"/>
    <w:rsid w:val="00634D19"/>
    <w:rsid w:val="00635D86"/>
    <w:rsid w:val="00641895"/>
    <w:rsid w:val="00642533"/>
    <w:rsid w:val="006448F7"/>
    <w:rsid w:val="006448FB"/>
    <w:rsid w:val="00647447"/>
    <w:rsid w:val="00647889"/>
    <w:rsid w:val="00652034"/>
    <w:rsid w:val="00653972"/>
    <w:rsid w:val="00655166"/>
    <w:rsid w:val="006565A5"/>
    <w:rsid w:val="00660AAA"/>
    <w:rsid w:val="00662C92"/>
    <w:rsid w:val="006637B1"/>
    <w:rsid w:val="00665041"/>
    <w:rsid w:val="0066718A"/>
    <w:rsid w:val="00670B3E"/>
    <w:rsid w:val="00671CEC"/>
    <w:rsid w:val="00672159"/>
    <w:rsid w:val="00672356"/>
    <w:rsid w:val="0067275B"/>
    <w:rsid w:val="006728DC"/>
    <w:rsid w:val="006734B6"/>
    <w:rsid w:val="00675B93"/>
    <w:rsid w:val="0067686E"/>
    <w:rsid w:val="00676A5B"/>
    <w:rsid w:val="0068203F"/>
    <w:rsid w:val="00683593"/>
    <w:rsid w:val="00683CDE"/>
    <w:rsid w:val="00683F32"/>
    <w:rsid w:val="00685B79"/>
    <w:rsid w:val="00687054"/>
    <w:rsid w:val="006872F5"/>
    <w:rsid w:val="0069575F"/>
    <w:rsid w:val="00695CF2"/>
    <w:rsid w:val="006A0E7B"/>
    <w:rsid w:val="006A3CBC"/>
    <w:rsid w:val="006A5003"/>
    <w:rsid w:val="006A51CE"/>
    <w:rsid w:val="006A5EE5"/>
    <w:rsid w:val="006A6938"/>
    <w:rsid w:val="006A6C42"/>
    <w:rsid w:val="006A7354"/>
    <w:rsid w:val="006B67D7"/>
    <w:rsid w:val="006C1A36"/>
    <w:rsid w:val="006C2509"/>
    <w:rsid w:val="006C3FA1"/>
    <w:rsid w:val="006C5D44"/>
    <w:rsid w:val="006C63A5"/>
    <w:rsid w:val="006C7F40"/>
    <w:rsid w:val="006D16E3"/>
    <w:rsid w:val="006D451D"/>
    <w:rsid w:val="006D600F"/>
    <w:rsid w:val="006D768C"/>
    <w:rsid w:val="006E083A"/>
    <w:rsid w:val="006E4BB2"/>
    <w:rsid w:val="006F183A"/>
    <w:rsid w:val="006F19CF"/>
    <w:rsid w:val="006F2D27"/>
    <w:rsid w:val="006F3A8F"/>
    <w:rsid w:val="00702023"/>
    <w:rsid w:val="007047B2"/>
    <w:rsid w:val="00705240"/>
    <w:rsid w:val="00706106"/>
    <w:rsid w:val="00706125"/>
    <w:rsid w:val="007063DE"/>
    <w:rsid w:val="00710054"/>
    <w:rsid w:val="00710564"/>
    <w:rsid w:val="00712994"/>
    <w:rsid w:val="00713644"/>
    <w:rsid w:val="00716481"/>
    <w:rsid w:val="00717827"/>
    <w:rsid w:val="007227A5"/>
    <w:rsid w:val="00724BAF"/>
    <w:rsid w:val="00725AA5"/>
    <w:rsid w:val="0072619A"/>
    <w:rsid w:val="00726B76"/>
    <w:rsid w:val="00726EDF"/>
    <w:rsid w:val="0073075B"/>
    <w:rsid w:val="00730F80"/>
    <w:rsid w:val="0073512E"/>
    <w:rsid w:val="0073700E"/>
    <w:rsid w:val="00737FAA"/>
    <w:rsid w:val="00747495"/>
    <w:rsid w:val="00747BE2"/>
    <w:rsid w:val="0075617E"/>
    <w:rsid w:val="00760BB0"/>
    <w:rsid w:val="00761322"/>
    <w:rsid w:val="00761C15"/>
    <w:rsid w:val="00763458"/>
    <w:rsid w:val="007662D4"/>
    <w:rsid w:val="00766D1F"/>
    <w:rsid w:val="007724C5"/>
    <w:rsid w:val="00773A88"/>
    <w:rsid w:val="007762EE"/>
    <w:rsid w:val="0078162C"/>
    <w:rsid w:val="00781CB7"/>
    <w:rsid w:val="00782A06"/>
    <w:rsid w:val="00783838"/>
    <w:rsid w:val="00783910"/>
    <w:rsid w:val="007903D2"/>
    <w:rsid w:val="00791B72"/>
    <w:rsid w:val="00792F2C"/>
    <w:rsid w:val="007949C7"/>
    <w:rsid w:val="00794E2E"/>
    <w:rsid w:val="007952E6"/>
    <w:rsid w:val="00795433"/>
    <w:rsid w:val="007A0BB8"/>
    <w:rsid w:val="007A781C"/>
    <w:rsid w:val="007B118F"/>
    <w:rsid w:val="007B2159"/>
    <w:rsid w:val="007B40BB"/>
    <w:rsid w:val="007B4FBB"/>
    <w:rsid w:val="007B65E5"/>
    <w:rsid w:val="007B7572"/>
    <w:rsid w:val="007C1AE6"/>
    <w:rsid w:val="007C3634"/>
    <w:rsid w:val="007C40E0"/>
    <w:rsid w:val="007C63AC"/>
    <w:rsid w:val="007C744C"/>
    <w:rsid w:val="007D20E5"/>
    <w:rsid w:val="007D3506"/>
    <w:rsid w:val="007D3B73"/>
    <w:rsid w:val="007D44B2"/>
    <w:rsid w:val="007D6479"/>
    <w:rsid w:val="007D7E05"/>
    <w:rsid w:val="007E2E5C"/>
    <w:rsid w:val="007E2F03"/>
    <w:rsid w:val="007E2F33"/>
    <w:rsid w:val="007E3E2B"/>
    <w:rsid w:val="007E4AE8"/>
    <w:rsid w:val="007E4B6A"/>
    <w:rsid w:val="007E6179"/>
    <w:rsid w:val="007F05F1"/>
    <w:rsid w:val="007F6FB7"/>
    <w:rsid w:val="00800C0F"/>
    <w:rsid w:val="008046AD"/>
    <w:rsid w:val="00806B17"/>
    <w:rsid w:val="0080735C"/>
    <w:rsid w:val="0080797D"/>
    <w:rsid w:val="00810B72"/>
    <w:rsid w:val="008114FD"/>
    <w:rsid w:val="00811F63"/>
    <w:rsid w:val="00813F4D"/>
    <w:rsid w:val="0081490F"/>
    <w:rsid w:val="00815581"/>
    <w:rsid w:val="00817F4F"/>
    <w:rsid w:val="00821C25"/>
    <w:rsid w:val="008238B2"/>
    <w:rsid w:val="00830B8B"/>
    <w:rsid w:val="00830E2B"/>
    <w:rsid w:val="00831C51"/>
    <w:rsid w:val="00832CC0"/>
    <w:rsid w:val="00833287"/>
    <w:rsid w:val="0083407A"/>
    <w:rsid w:val="008343B9"/>
    <w:rsid w:val="00836540"/>
    <w:rsid w:val="00836669"/>
    <w:rsid w:val="00837686"/>
    <w:rsid w:val="008376F1"/>
    <w:rsid w:val="00840207"/>
    <w:rsid w:val="00840865"/>
    <w:rsid w:val="00842F86"/>
    <w:rsid w:val="008430AE"/>
    <w:rsid w:val="008454A4"/>
    <w:rsid w:val="00846DAF"/>
    <w:rsid w:val="00851F82"/>
    <w:rsid w:val="008563F8"/>
    <w:rsid w:val="00860210"/>
    <w:rsid w:val="0086053C"/>
    <w:rsid w:val="00861D4D"/>
    <w:rsid w:val="00861E1A"/>
    <w:rsid w:val="00864718"/>
    <w:rsid w:val="00865D6A"/>
    <w:rsid w:val="008670BD"/>
    <w:rsid w:val="00870D2A"/>
    <w:rsid w:val="0087316C"/>
    <w:rsid w:val="008735C7"/>
    <w:rsid w:val="008748B3"/>
    <w:rsid w:val="008748DF"/>
    <w:rsid w:val="00875B47"/>
    <w:rsid w:val="0088060E"/>
    <w:rsid w:val="0088074C"/>
    <w:rsid w:val="00881371"/>
    <w:rsid w:val="00881A5D"/>
    <w:rsid w:val="00883E38"/>
    <w:rsid w:val="008900FF"/>
    <w:rsid w:val="00891158"/>
    <w:rsid w:val="008A4388"/>
    <w:rsid w:val="008A50E8"/>
    <w:rsid w:val="008A540C"/>
    <w:rsid w:val="008B0CEB"/>
    <w:rsid w:val="008B12E8"/>
    <w:rsid w:val="008B3E17"/>
    <w:rsid w:val="008B3E85"/>
    <w:rsid w:val="008B4800"/>
    <w:rsid w:val="008B4FA7"/>
    <w:rsid w:val="008B531D"/>
    <w:rsid w:val="008B6308"/>
    <w:rsid w:val="008B6541"/>
    <w:rsid w:val="008B6597"/>
    <w:rsid w:val="008B74AE"/>
    <w:rsid w:val="008B7F20"/>
    <w:rsid w:val="008C3F6B"/>
    <w:rsid w:val="008C504B"/>
    <w:rsid w:val="008C5EC2"/>
    <w:rsid w:val="008C60B9"/>
    <w:rsid w:val="008C7418"/>
    <w:rsid w:val="008D119B"/>
    <w:rsid w:val="008D2CC3"/>
    <w:rsid w:val="008D3651"/>
    <w:rsid w:val="008D55D4"/>
    <w:rsid w:val="008D7779"/>
    <w:rsid w:val="008D7B90"/>
    <w:rsid w:val="008D7EE4"/>
    <w:rsid w:val="008E002C"/>
    <w:rsid w:val="008E0295"/>
    <w:rsid w:val="008E0660"/>
    <w:rsid w:val="008E0A19"/>
    <w:rsid w:val="008E46A0"/>
    <w:rsid w:val="008E4BB2"/>
    <w:rsid w:val="008E4FD8"/>
    <w:rsid w:val="008F0354"/>
    <w:rsid w:val="008F096A"/>
    <w:rsid w:val="008F24DA"/>
    <w:rsid w:val="008F369A"/>
    <w:rsid w:val="008F385F"/>
    <w:rsid w:val="008F40FD"/>
    <w:rsid w:val="008F5D13"/>
    <w:rsid w:val="008F6FC0"/>
    <w:rsid w:val="00903448"/>
    <w:rsid w:val="00904262"/>
    <w:rsid w:val="009059B5"/>
    <w:rsid w:val="009072F9"/>
    <w:rsid w:val="00913232"/>
    <w:rsid w:val="00913B97"/>
    <w:rsid w:val="00917D9C"/>
    <w:rsid w:val="0093145B"/>
    <w:rsid w:val="00932270"/>
    <w:rsid w:val="0093227A"/>
    <w:rsid w:val="00932904"/>
    <w:rsid w:val="00933232"/>
    <w:rsid w:val="0093461E"/>
    <w:rsid w:val="00935292"/>
    <w:rsid w:val="00935761"/>
    <w:rsid w:val="009362A3"/>
    <w:rsid w:val="009368AF"/>
    <w:rsid w:val="0094040E"/>
    <w:rsid w:val="00940528"/>
    <w:rsid w:val="00943669"/>
    <w:rsid w:val="009440B6"/>
    <w:rsid w:val="0094650F"/>
    <w:rsid w:val="00953253"/>
    <w:rsid w:val="00957166"/>
    <w:rsid w:val="009602E9"/>
    <w:rsid w:val="00960B0C"/>
    <w:rsid w:val="00961E7C"/>
    <w:rsid w:val="00965D8E"/>
    <w:rsid w:val="00966682"/>
    <w:rsid w:val="00967CCC"/>
    <w:rsid w:val="00967E32"/>
    <w:rsid w:val="00970D67"/>
    <w:rsid w:val="0097180C"/>
    <w:rsid w:val="009726E7"/>
    <w:rsid w:val="009728DA"/>
    <w:rsid w:val="00973FC2"/>
    <w:rsid w:val="00974E43"/>
    <w:rsid w:val="009752E5"/>
    <w:rsid w:val="00975B2D"/>
    <w:rsid w:val="00980613"/>
    <w:rsid w:val="00982246"/>
    <w:rsid w:val="00983CC4"/>
    <w:rsid w:val="0098508C"/>
    <w:rsid w:val="00986A00"/>
    <w:rsid w:val="0099165F"/>
    <w:rsid w:val="00991B14"/>
    <w:rsid w:val="00993059"/>
    <w:rsid w:val="00994A0B"/>
    <w:rsid w:val="0099564F"/>
    <w:rsid w:val="00996D32"/>
    <w:rsid w:val="00997AED"/>
    <w:rsid w:val="009A2A71"/>
    <w:rsid w:val="009A4F7C"/>
    <w:rsid w:val="009B13FB"/>
    <w:rsid w:val="009B36F4"/>
    <w:rsid w:val="009B3ACF"/>
    <w:rsid w:val="009C026D"/>
    <w:rsid w:val="009C0403"/>
    <w:rsid w:val="009C1683"/>
    <w:rsid w:val="009C1733"/>
    <w:rsid w:val="009C1C8E"/>
    <w:rsid w:val="009C59D8"/>
    <w:rsid w:val="009C68FC"/>
    <w:rsid w:val="009C69BC"/>
    <w:rsid w:val="009C7E50"/>
    <w:rsid w:val="009D008B"/>
    <w:rsid w:val="009D195E"/>
    <w:rsid w:val="009D3DA2"/>
    <w:rsid w:val="009D4A54"/>
    <w:rsid w:val="009E1B39"/>
    <w:rsid w:val="009E2B18"/>
    <w:rsid w:val="009E2E28"/>
    <w:rsid w:val="009E3B14"/>
    <w:rsid w:val="009E6293"/>
    <w:rsid w:val="009E6931"/>
    <w:rsid w:val="009E7372"/>
    <w:rsid w:val="009F1422"/>
    <w:rsid w:val="009F28D2"/>
    <w:rsid w:val="009F2B7C"/>
    <w:rsid w:val="009F49F6"/>
    <w:rsid w:val="009F64CE"/>
    <w:rsid w:val="009F7004"/>
    <w:rsid w:val="009F7C92"/>
    <w:rsid w:val="00A00482"/>
    <w:rsid w:val="00A01330"/>
    <w:rsid w:val="00A01726"/>
    <w:rsid w:val="00A021BB"/>
    <w:rsid w:val="00A02FA8"/>
    <w:rsid w:val="00A041F5"/>
    <w:rsid w:val="00A0483E"/>
    <w:rsid w:val="00A04DDF"/>
    <w:rsid w:val="00A0635A"/>
    <w:rsid w:val="00A06DC1"/>
    <w:rsid w:val="00A07F85"/>
    <w:rsid w:val="00A1023D"/>
    <w:rsid w:val="00A105E4"/>
    <w:rsid w:val="00A10C9D"/>
    <w:rsid w:val="00A114DD"/>
    <w:rsid w:val="00A15AF2"/>
    <w:rsid w:val="00A16FDC"/>
    <w:rsid w:val="00A17983"/>
    <w:rsid w:val="00A24197"/>
    <w:rsid w:val="00A2680A"/>
    <w:rsid w:val="00A309FA"/>
    <w:rsid w:val="00A3185C"/>
    <w:rsid w:val="00A31A56"/>
    <w:rsid w:val="00A320DC"/>
    <w:rsid w:val="00A32805"/>
    <w:rsid w:val="00A3339B"/>
    <w:rsid w:val="00A33687"/>
    <w:rsid w:val="00A354CD"/>
    <w:rsid w:val="00A3667F"/>
    <w:rsid w:val="00A36981"/>
    <w:rsid w:val="00A36B39"/>
    <w:rsid w:val="00A36CB0"/>
    <w:rsid w:val="00A37D22"/>
    <w:rsid w:val="00A41FA0"/>
    <w:rsid w:val="00A4619E"/>
    <w:rsid w:val="00A46CE0"/>
    <w:rsid w:val="00A47401"/>
    <w:rsid w:val="00A474D2"/>
    <w:rsid w:val="00A50F21"/>
    <w:rsid w:val="00A521AB"/>
    <w:rsid w:val="00A53C7D"/>
    <w:rsid w:val="00A5446F"/>
    <w:rsid w:val="00A55641"/>
    <w:rsid w:val="00A55C19"/>
    <w:rsid w:val="00A560EC"/>
    <w:rsid w:val="00A60474"/>
    <w:rsid w:val="00A61F88"/>
    <w:rsid w:val="00A644EE"/>
    <w:rsid w:val="00A649CF"/>
    <w:rsid w:val="00A6561E"/>
    <w:rsid w:val="00A66289"/>
    <w:rsid w:val="00A71CFC"/>
    <w:rsid w:val="00A71F22"/>
    <w:rsid w:val="00A71FBD"/>
    <w:rsid w:val="00A7394A"/>
    <w:rsid w:val="00A7476D"/>
    <w:rsid w:val="00A75592"/>
    <w:rsid w:val="00A77C39"/>
    <w:rsid w:val="00A81218"/>
    <w:rsid w:val="00A8127E"/>
    <w:rsid w:val="00A81F79"/>
    <w:rsid w:val="00A834D9"/>
    <w:rsid w:val="00A836CA"/>
    <w:rsid w:val="00A8396D"/>
    <w:rsid w:val="00A8521C"/>
    <w:rsid w:val="00A86674"/>
    <w:rsid w:val="00A87536"/>
    <w:rsid w:val="00A90518"/>
    <w:rsid w:val="00A90E55"/>
    <w:rsid w:val="00A9140A"/>
    <w:rsid w:val="00A9272A"/>
    <w:rsid w:val="00A93E94"/>
    <w:rsid w:val="00A94006"/>
    <w:rsid w:val="00A94B1A"/>
    <w:rsid w:val="00A9541F"/>
    <w:rsid w:val="00A964C3"/>
    <w:rsid w:val="00AA0E7F"/>
    <w:rsid w:val="00AA24BD"/>
    <w:rsid w:val="00AA2ADB"/>
    <w:rsid w:val="00AA325F"/>
    <w:rsid w:val="00AA32E6"/>
    <w:rsid w:val="00AA456F"/>
    <w:rsid w:val="00AA5B38"/>
    <w:rsid w:val="00AA5E11"/>
    <w:rsid w:val="00AA69EF"/>
    <w:rsid w:val="00AB11E4"/>
    <w:rsid w:val="00AC1650"/>
    <w:rsid w:val="00AC3112"/>
    <w:rsid w:val="00AC3AA2"/>
    <w:rsid w:val="00AC3AD8"/>
    <w:rsid w:val="00AC6773"/>
    <w:rsid w:val="00AC723C"/>
    <w:rsid w:val="00AC752B"/>
    <w:rsid w:val="00AD02A6"/>
    <w:rsid w:val="00AD100B"/>
    <w:rsid w:val="00AD1688"/>
    <w:rsid w:val="00AD4D1B"/>
    <w:rsid w:val="00AD6397"/>
    <w:rsid w:val="00AD7B4A"/>
    <w:rsid w:val="00AE1E4A"/>
    <w:rsid w:val="00AE28E4"/>
    <w:rsid w:val="00AE2D35"/>
    <w:rsid w:val="00AE77B7"/>
    <w:rsid w:val="00AF0393"/>
    <w:rsid w:val="00AF04EC"/>
    <w:rsid w:val="00AF157F"/>
    <w:rsid w:val="00AF43A5"/>
    <w:rsid w:val="00AF43AD"/>
    <w:rsid w:val="00AF4BD0"/>
    <w:rsid w:val="00AF5B63"/>
    <w:rsid w:val="00AF63B5"/>
    <w:rsid w:val="00AF6E7E"/>
    <w:rsid w:val="00AF7ADD"/>
    <w:rsid w:val="00B001F6"/>
    <w:rsid w:val="00B00420"/>
    <w:rsid w:val="00B0281D"/>
    <w:rsid w:val="00B02F41"/>
    <w:rsid w:val="00B035D4"/>
    <w:rsid w:val="00B05D2C"/>
    <w:rsid w:val="00B06D32"/>
    <w:rsid w:val="00B0762D"/>
    <w:rsid w:val="00B107A3"/>
    <w:rsid w:val="00B20178"/>
    <w:rsid w:val="00B21076"/>
    <w:rsid w:val="00B214AD"/>
    <w:rsid w:val="00B21B40"/>
    <w:rsid w:val="00B21BAC"/>
    <w:rsid w:val="00B22CD9"/>
    <w:rsid w:val="00B245D5"/>
    <w:rsid w:val="00B24C92"/>
    <w:rsid w:val="00B250AB"/>
    <w:rsid w:val="00B250BF"/>
    <w:rsid w:val="00B31109"/>
    <w:rsid w:val="00B31194"/>
    <w:rsid w:val="00B3258E"/>
    <w:rsid w:val="00B40164"/>
    <w:rsid w:val="00B403B2"/>
    <w:rsid w:val="00B44AD8"/>
    <w:rsid w:val="00B44EF4"/>
    <w:rsid w:val="00B47BCE"/>
    <w:rsid w:val="00B512E2"/>
    <w:rsid w:val="00B52AC6"/>
    <w:rsid w:val="00B534D7"/>
    <w:rsid w:val="00B540D0"/>
    <w:rsid w:val="00B64E56"/>
    <w:rsid w:val="00B656F2"/>
    <w:rsid w:val="00B65F77"/>
    <w:rsid w:val="00B6619A"/>
    <w:rsid w:val="00B7050F"/>
    <w:rsid w:val="00B706C0"/>
    <w:rsid w:val="00B70C6E"/>
    <w:rsid w:val="00B76090"/>
    <w:rsid w:val="00B76AB0"/>
    <w:rsid w:val="00B80160"/>
    <w:rsid w:val="00B81C03"/>
    <w:rsid w:val="00B8264F"/>
    <w:rsid w:val="00B832B9"/>
    <w:rsid w:val="00B85263"/>
    <w:rsid w:val="00B8561D"/>
    <w:rsid w:val="00B86310"/>
    <w:rsid w:val="00B9196E"/>
    <w:rsid w:val="00B942E0"/>
    <w:rsid w:val="00B9494A"/>
    <w:rsid w:val="00B95E07"/>
    <w:rsid w:val="00B96313"/>
    <w:rsid w:val="00B96D9A"/>
    <w:rsid w:val="00BA2780"/>
    <w:rsid w:val="00BA2B51"/>
    <w:rsid w:val="00BA3052"/>
    <w:rsid w:val="00BA4B7E"/>
    <w:rsid w:val="00BA5651"/>
    <w:rsid w:val="00BA7876"/>
    <w:rsid w:val="00BA7A43"/>
    <w:rsid w:val="00BB026E"/>
    <w:rsid w:val="00BB09E4"/>
    <w:rsid w:val="00BB0A83"/>
    <w:rsid w:val="00BB0E45"/>
    <w:rsid w:val="00BB3070"/>
    <w:rsid w:val="00BB3A2B"/>
    <w:rsid w:val="00BB4925"/>
    <w:rsid w:val="00BB4D12"/>
    <w:rsid w:val="00BB509A"/>
    <w:rsid w:val="00BC2929"/>
    <w:rsid w:val="00BC3D4E"/>
    <w:rsid w:val="00BC4CE2"/>
    <w:rsid w:val="00BC5849"/>
    <w:rsid w:val="00BD143A"/>
    <w:rsid w:val="00BD2EDB"/>
    <w:rsid w:val="00BD33A3"/>
    <w:rsid w:val="00BD3C86"/>
    <w:rsid w:val="00BD44D1"/>
    <w:rsid w:val="00BD6952"/>
    <w:rsid w:val="00BE0494"/>
    <w:rsid w:val="00BE1237"/>
    <w:rsid w:val="00BE5E72"/>
    <w:rsid w:val="00BE6592"/>
    <w:rsid w:val="00BE71BF"/>
    <w:rsid w:val="00BE758B"/>
    <w:rsid w:val="00BE7C26"/>
    <w:rsid w:val="00BF03FA"/>
    <w:rsid w:val="00BF06D6"/>
    <w:rsid w:val="00BF0E01"/>
    <w:rsid w:val="00BF105D"/>
    <w:rsid w:val="00BF18BA"/>
    <w:rsid w:val="00BF2AD9"/>
    <w:rsid w:val="00BF3BA4"/>
    <w:rsid w:val="00BF40E4"/>
    <w:rsid w:val="00BF504D"/>
    <w:rsid w:val="00BF550F"/>
    <w:rsid w:val="00BF55A8"/>
    <w:rsid w:val="00BF6954"/>
    <w:rsid w:val="00C01C42"/>
    <w:rsid w:val="00C0349A"/>
    <w:rsid w:val="00C0377D"/>
    <w:rsid w:val="00C07D04"/>
    <w:rsid w:val="00C07D97"/>
    <w:rsid w:val="00C11C0B"/>
    <w:rsid w:val="00C134B2"/>
    <w:rsid w:val="00C136A3"/>
    <w:rsid w:val="00C14C99"/>
    <w:rsid w:val="00C15CAB"/>
    <w:rsid w:val="00C21BDC"/>
    <w:rsid w:val="00C22FF3"/>
    <w:rsid w:val="00C24E72"/>
    <w:rsid w:val="00C2670F"/>
    <w:rsid w:val="00C2796D"/>
    <w:rsid w:val="00C3497D"/>
    <w:rsid w:val="00C34E14"/>
    <w:rsid w:val="00C3576E"/>
    <w:rsid w:val="00C3666A"/>
    <w:rsid w:val="00C40E14"/>
    <w:rsid w:val="00C41E16"/>
    <w:rsid w:val="00C4563A"/>
    <w:rsid w:val="00C4607C"/>
    <w:rsid w:val="00C4713A"/>
    <w:rsid w:val="00C50F16"/>
    <w:rsid w:val="00C51899"/>
    <w:rsid w:val="00C5404C"/>
    <w:rsid w:val="00C55020"/>
    <w:rsid w:val="00C551B1"/>
    <w:rsid w:val="00C55D3B"/>
    <w:rsid w:val="00C640AA"/>
    <w:rsid w:val="00C723BD"/>
    <w:rsid w:val="00C7471E"/>
    <w:rsid w:val="00C80754"/>
    <w:rsid w:val="00C81367"/>
    <w:rsid w:val="00C8138E"/>
    <w:rsid w:val="00C81DE1"/>
    <w:rsid w:val="00C8243A"/>
    <w:rsid w:val="00C8266A"/>
    <w:rsid w:val="00C826F8"/>
    <w:rsid w:val="00C8293B"/>
    <w:rsid w:val="00C863E9"/>
    <w:rsid w:val="00C864F6"/>
    <w:rsid w:val="00C90A2B"/>
    <w:rsid w:val="00C91987"/>
    <w:rsid w:val="00C93849"/>
    <w:rsid w:val="00C95459"/>
    <w:rsid w:val="00C9578D"/>
    <w:rsid w:val="00C97E81"/>
    <w:rsid w:val="00CA0006"/>
    <w:rsid w:val="00CA0D69"/>
    <w:rsid w:val="00CA0ED1"/>
    <w:rsid w:val="00CA16DD"/>
    <w:rsid w:val="00CA2B58"/>
    <w:rsid w:val="00CA4207"/>
    <w:rsid w:val="00CA5388"/>
    <w:rsid w:val="00CA7038"/>
    <w:rsid w:val="00CA76A0"/>
    <w:rsid w:val="00CA77FB"/>
    <w:rsid w:val="00CB61B2"/>
    <w:rsid w:val="00CB775D"/>
    <w:rsid w:val="00CC0E05"/>
    <w:rsid w:val="00CC4138"/>
    <w:rsid w:val="00CC690E"/>
    <w:rsid w:val="00CC7514"/>
    <w:rsid w:val="00CD276B"/>
    <w:rsid w:val="00CD4D7F"/>
    <w:rsid w:val="00CD56CC"/>
    <w:rsid w:val="00CD5CBE"/>
    <w:rsid w:val="00CD5D4D"/>
    <w:rsid w:val="00CD67F5"/>
    <w:rsid w:val="00CD7DFE"/>
    <w:rsid w:val="00CE38EB"/>
    <w:rsid w:val="00CF1FDE"/>
    <w:rsid w:val="00CF2D66"/>
    <w:rsid w:val="00CF548E"/>
    <w:rsid w:val="00CF62AD"/>
    <w:rsid w:val="00CF6A2B"/>
    <w:rsid w:val="00CF6B67"/>
    <w:rsid w:val="00CF6D4A"/>
    <w:rsid w:val="00CF7427"/>
    <w:rsid w:val="00D01CDA"/>
    <w:rsid w:val="00D035F5"/>
    <w:rsid w:val="00D04552"/>
    <w:rsid w:val="00D04E14"/>
    <w:rsid w:val="00D125BD"/>
    <w:rsid w:val="00D1271B"/>
    <w:rsid w:val="00D159DC"/>
    <w:rsid w:val="00D16581"/>
    <w:rsid w:val="00D1669D"/>
    <w:rsid w:val="00D200F2"/>
    <w:rsid w:val="00D210CA"/>
    <w:rsid w:val="00D240B9"/>
    <w:rsid w:val="00D277EF"/>
    <w:rsid w:val="00D303CA"/>
    <w:rsid w:val="00D31CC6"/>
    <w:rsid w:val="00D42B3F"/>
    <w:rsid w:val="00D433DC"/>
    <w:rsid w:val="00D43440"/>
    <w:rsid w:val="00D451F7"/>
    <w:rsid w:val="00D45707"/>
    <w:rsid w:val="00D46959"/>
    <w:rsid w:val="00D46CA0"/>
    <w:rsid w:val="00D46F79"/>
    <w:rsid w:val="00D47274"/>
    <w:rsid w:val="00D5123A"/>
    <w:rsid w:val="00D5294C"/>
    <w:rsid w:val="00D529FB"/>
    <w:rsid w:val="00D5387F"/>
    <w:rsid w:val="00D64EEC"/>
    <w:rsid w:val="00D661A6"/>
    <w:rsid w:val="00D70527"/>
    <w:rsid w:val="00D707ED"/>
    <w:rsid w:val="00D7127E"/>
    <w:rsid w:val="00D72455"/>
    <w:rsid w:val="00D74EC2"/>
    <w:rsid w:val="00D76EF0"/>
    <w:rsid w:val="00D80FF5"/>
    <w:rsid w:val="00D812EA"/>
    <w:rsid w:val="00D85258"/>
    <w:rsid w:val="00D86435"/>
    <w:rsid w:val="00D87D6D"/>
    <w:rsid w:val="00D946D7"/>
    <w:rsid w:val="00D96B99"/>
    <w:rsid w:val="00DA02B3"/>
    <w:rsid w:val="00DA3F99"/>
    <w:rsid w:val="00DA445F"/>
    <w:rsid w:val="00DA5EBC"/>
    <w:rsid w:val="00DA78F4"/>
    <w:rsid w:val="00DB019D"/>
    <w:rsid w:val="00DB25A0"/>
    <w:rsid w:val="00DB2735"/>
    <w:rsid w:val="00DB2AF7"/>
    <w:rsid w:val="00DB3948"/>
    <w:rsid w:val="00DC01FB"/>
    <w:rsid w:val="00DC0460"/>
    <w:rsid w:val="00DC05BC"/>
    <w:rsid w:val="00DC0D97"/>
    <w:rsid w:val="00DC2392"/>
    <w:rsid w:val="00DC2E51"/>
    <w:rsid w:val="00DC3E28"/>
    <w:rsid w:val="00DC6730"/>
    <w:rsid w:val="00DC7973"/>
    <w:rsid w:val="00DD3B38"/>
    <w:rsid w:val="00DD3F1E"/>
    <w:rsid w:val="00DD4A2D"/>
    <w:rsid w:val="00DD4ABC"/>
    <w:rsid w:val="00DD6EF1"/>
    <w:rsid w:val="00DE1B9A"/>
    <w:rsid w:val="00DE1D85"/>
    <w:rsid w:val="00DE52A9"/>
    <w:rsid w:val="00DE6001"/>
    <w:rsid w:val="00DE622F"/>
    <w:rsid w:val="00DF1596"/>
    <w:rsid w:val="00DF45EB"/>
    <w:rsid w:val="00DF630F"/>
    <w:rsid w:val="00DF71D5"/>
    <w:rsid w:val="00E02005"/>
    <w:rsid w:val="00E03052"/>
    <w:rsid w:val="00E05364"/>
    <w:rsid w:val="00E0687E"/>
    <w:rsid w:val="00E102A7"/>
    <w:rsid w:val="00E1188C"/>
    <w:rsid w:val="00E14DA6"/>
    <w:rsid w:val="00E15D88"/>
    <w:rsid w:val="00E204C1"/>
    <w:rsid w:val="00E20711"/>
    <w:rsid w:val="00E23E6B"/>
    <w:rsid w:val="00E3032C"/>
    <w:rsid w:val="00E30C1C"/>
    <w:rsid w:val="00E30D0D"/>
    <w:rsid w:val="00E3279F"/>
    <w:rsid w:val="00E36BBA"/>
    <w:rsid w:val="00E410FC"/>
    <w:rsid w:val="00E43AD7"/>
    <w:rsid w:val="00E44EA1"/>
    <w:rsid w:val="00E474C6"/>
    <w:rsid w:val="00E50F18"/>
    <w:rsid w:val="00E52B2F"/>
    <w:rsid w:val="00E52F25"/>
    <w:rsid w:val="00E537E1"/>
    <w:rsid w:val="00E55A1E"/>
    <w:rsid w:val="00E5626B"/>
    <w:rsid w:val="00E57CCA"/>
    <w:rsid w:val="00E63419"/>
    <w:rsid w:val="00E6641E"/>
    <w:rsid w:val="00E67067"/>
    <w:rsid w:val="00E67607"/>
    <w:rsid w:val="00E71ACB"/>
    <w:rsid w:val="00E720CA"/>
    <w:rsid w:val="00E73A89"/>
    <w:rsid w:val="00E73E0D"/>
    <w:rsid w:val="00E73ECD"/>
    <w:rsid w:val="00E75A65"/>
    <w:rsid w:val="00E75B2C"/>
    <w:rsid w:val="00E75CF3"/>
    <w:rsid w:val="00E76A42"/>
    <w:rsid w:val="00E81788"/>
    <w:rsid w:val="00E81EC3"/>
    <w:rsid w:val="00E82464"/>
    <w:rsid w:val="00E824DC"/>
    <w:rsid w:val="00E84A32"/>
    <w:rsid w:val="00E85013"/>
    <w:rsid w:val="00E86712"/>
    <w:rsid w:val="00E91210"/>
    <w:rsid w:val="00E91418"/>
    <w:rsid w:val="00E91F37"/>
    <w:rsid w:val="00E92484"/>
    <w:rsid w:val="00E93BD2"/>
    <w:rsid w:val="00E96C75"/>
    <w:rsid w:val="00E97600"/>
    <w:rsid w:val="00EA14F3"/>
    <w:rsid w:val="00EA371A"/>
    <w:rsid w:val="00EA6FB4"/>
    <w:rsid w:val="00EA7336"/>
    <w:rsid w:val="00EA7D19"/>
    <w:rsid w:val="00EB055C"/>
    <w:rsid w:val="00EB0B17"/>
    <w:rsid w:val="00EB1B27"/>
    <w:rsid w:val="00EB1D81"/>
    <w:rsid w:val="00EB2F59"/>
    <w:rsid w:val="00EB3B91"/>
    <w:rsid w:val="00EB63BC"/>
    <w:rsid w:val="00EB6413"/>
    <w:rsid w:val="00EB66A3"/>
    <w:rsid w:val="00EB738F"/>
    <w:rsid w:val="00EC23B7"/>
    <w:rsid w:val="00EC2585"/>
    <w:rsid w:val="00EC7696"/>
    <w:rsid w:val="00ED1812"/>
    <w:rsid w:val="00ED3760"/>
    <w:rsid w:val="00ED3996"/>
    <w:rsid w:val="00ED3D73"/>
    <w:rsid w:val="00ED43B0"/>
    <w:rsid w:val="00ED69A1"/>
    <w:rsid w:val="00ED6E94"/>
    <w:rsid w:val="00EE1470"/>
    <w:rsid w:val="00EE18CB"/>
    <w:rsid w:val="00EE205F"/>
    <w:rsid w:val="00EE24E2"/>
    <w:rsid w:val="00EE2780"/>
    <w:rsid w:val="00EE330B"/>
    <w:rsid w:val="00EE6CDB"/>
    <w:rsid w:val="00EF0C54"/>
    <w:rsid w:val="00EF2857"/>
    <w:rsid w:val="00EF5341"/>
    <w:rsid w:val="00EF534A"/>
    <w:rsid w:val="00EF625F"/>
    <w:rsid w:val="00EF7C54"/>
    <w:rsid w:val="00F02FB9"/>
    <w:rsid w:val="00F03958"/>
    <w:rsid w:val="00F0475E"/>
    <w:rsid w:val="00F06F57"/>
    <w:rsid w:val="00F139A9"/>
    <w:rsid w:val="00F15DAE"/>
    <w:rsid w:val="00F1791B"/>
    <w:rsid w:val="00F17F52"/>
    <w:rsid w:val="00F2479D"/>
    <w:rsid w:val="00F26D78"/>
    <w:rsid w:val="00F27107"/>
    <w:rsid w:val="00F274D2"/>
    <w:rsid w:val="00F33668"/>
    <w:rsid w:val="00F33F23"/>
    <w:rsid w:val="00F3416C"/>
    <w:rsid w:val="00F37535"/>
    <w:rsid w:val="00F41F65"/>
    <w:rsid w:val="00F43869"/>
    <w:rsid w:val="00F468CF"/>
    <w:rsid w:val="00F503CE"/>
    <w:rsid w:val="00F50F3F"/>
    <w:rsid w:val="00F5115B"/>
    <w:rsid w:val="00F549F4"/>
    <w:rsid w:val="00F555DA"/>
    <w:rsid w:val="00F55841"/>
    <w:rsid w:val="00F62D7E"/>
    <w:rsid w:val="00F64A95"/>
    <w:rsid w:val="00F64B5A"/>
    <w:rsid w:val="00F67462"/>
    <w:rsid w:val="00F67A2C"/>
    <w:rsid w:val="00F67D39"/>
    <w:rsid w:val="00F7111C"/>
    <w:rsid w:val="00F7271A"/>
    <w:rsid w:val="00F73C0A"/>
    <w:rsid w:val="00F74199"/>
    <w:rsid w:val="00F77F92"/>
    <w:rsid w:val="00F843E2"/>
    <w:rsid w:val="00F866DB"/>
    <w:rsid w:val="00F915D7"/>
    <w:rsid w:val="00F949E3"/>
    <w:rsid w:val="00F957E1"/>
    <w:rsid w:val="00F961EC"/>
    <w:rsid w:val="00FA045D"/>
    <w:rsid w:val="00FA1727"/>
    <w:rsid w:val="00FA1E3B"/>
    <w:rsid w:val="00FA2A18"/>
    <w:rsid w:val="00FA4768"/>
    <w:rsid w:val="00FA64BF"/>
    <w:rsid w:val="00FA688F"/>
    <w:rsid w:val="00FB015B"/>
    <w:rsid w:val="00FB372A"/>
    <w:rsid w:val="00FB506A"/>
    <w:rsid w:val="00FB5C9B"/>
    <w:rsid w:val="00FB5EAA"/>
    <w:rsid w:val="00FB76B4"/>
    <w:rsid w:val="00FC23E9"/>
    <w:rsid w:val="00FC34D0"/>
    <w:rsid w:val="00FC3504"/>
    <w:rsid w:val="00FC3CD1"/>
    <w:rsid w:val="00FC48BC"/>
    <w:rsid w:val="00FC4A93"/>
    <w:rsid w:val="00FC79FC"/>
    <w:rsid w:val="00FC7DFA"/>
    <w:rsid w:val="00FD3915"/>
    <w:rsid w:val="00FD3CBA"/>
    <w:rsid w:val="00FD3FCE"/>
    <w:rsid w:val="00FD4519"/>
    <w:rsid w:val="00FD5E76"/>
    <w:rsid w:val="00FD6A0A"/>
    <w:rsid w:val="00FD7D7E"/>
    <w:rsid w:val="00FD7E09"/>
    <w:rsid w:val="00FE0017"/>
    <w:rsid w:val="00FE23AA"/>
    <w:rsid w:val="00FE23BF"/>
    <w:rsid w:val="00FE274E"/>
    <w:rsid w:val="00FE3552"/>
    <w:rsid w:val="00FE5A90"/>
    <w:rsid w:val="00FE5E84"/>
    <w:rsid w:val="00FE65CA"/>
    <w:rsid w:val="00FE7F89"/>
    <w:rsid w:val="00FF201B"/>
    <w:rsid w:val="00FF457E"/>
    <w:rsid w:val="00FF59F4"/>
    <w:rsid w:val="00FF6591"/>
    <w:rsid w:val="00FF70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63F8"/>
    <w:pPr>
      <w:spacing w:after="60" w:line="360" w:lineRule="auto"/>
      <w:ind w:firstLine="567"/>
      <w:jc w:val="both"/>
    </w:pPr>
    <w:rPr>
      <w:sz w:val="24"/>
      <w:szCs w:val="22"/>
      <w:lang w:eastAsia="en-US"/>
    </w:rPr>
  </w:style>
  <w:style w:type="paragraph" w:styleId="Nadpis1">
    <w:name w:val="heading 1"/>
    <w:basedOn w:val="Normln"/>
    <w:next w:val="Normln"/>
    <w:link w:val="Nadpis1Char"/>
    <w:uiPriority w:val="9"/>
    <w:qFormat/>
    <w:rsid w:val="00064F7F"/>
    <w:pPr>
      <w:keepNext/>
      <w:keepLines/>
      <w:numPr>
        <w:numId w:val="1"/>
      </w:numPr>
      <w:ind w:left="357" w:hanging="357"/>
      <w:jc w:val="left"/>
      <w:outlineLvl w:val="0"/>
    </w:pPr>
    <w:rPr>
      <w:rFonts w:ascii="Cambria" w:eastAsia="Times New Roman" w:hAnsi="Cambria"/>
      <w:b/>
      <w:bCs/>
      <w:sz w:val="32"/>
      <w:szCs w:val="28"/>
    </w:rPr>
  </w:style>
  <w:style w:type="paragraph" w:styleId="Nadpis2">
    <w:name w:val="heading 2"/>
    <w:basedOn w:val="Normln"/>
    <w:next w:val="Normln"/>
    <w:link w:val="Nadpis2Char"/>
    <w:uiPriority w:val="9"/>
    <w:unhideWhenUsed/>
    <w:qFormat/>
    <w:rsid w:val="00F33F23"/>
    <w:pPr>
      <w:keepNext/>
      <w:keepLines/>
      <w:numPr>
        <w:ilvl w:val="1"/>
        <w:numId w:val="1"/>
      </w:numPr>
      <w:spacing w:before="240" w:after="0"/>
      <w:ind w:left="567" w:hanging="567"/>
      <w:jc w:val="left"/>
      <w:outlineLvl w:val="1"/>
    </w:pPr>
    <w:rPr>
      <w:rFonts w:ascii="Cambria" w:eastAsia="Times New Roman" w:hAnsi="Cambria"/>
      <w:b/>
      <w:bCs/>
      <w:sz w:val="28"/>
      <w:szCs w:val="26"/>
    </w:rPr>
  </w:style>
  <w:style w:type="paragraph" w:styleId="Nadpis3">
    <w:name w:val="heading 3"/>
    <w:basedOn w:val="Normln"/>
    <w:next w:val="Normln"/>
    <w:link w:val="Nadpis3Char"/>
    <w:uiPriority w:val="9"/>
    <w:unhideWhenUsed/>
    <w:qFormat/>
    <w:rsid w:val="009C1C8E"/>
    <w:pPr>
      <w:keepNext/>
      <w:keepLines/>
      <w:numPr>
        <w:ilvl w:val="2"/>
        <w:numId w:val="1"/>
      </w:numPr>
      <w:spacing w:before="180" w:after="0"/>
      <w:jc w:val="left"/>
      <w:outlineLvl w:val="2"/>
    </w:pPr>
    <w:rPr>
      <w:rFonts w:ascii="Cambria" w:eastAsia="Times New Roman" w:hAnsi="Cambria"/>
      <w:b/>
      <w:bCs/>
    </w:rPr>
  </w:style>
  <w:style w:type="paragraph" w:styleId="Nadpis4">
    <w:name w:val="heading 4"/>
    <w:basedOn w:val="Nadpis3"/>
    <w:next w:val="Normln"/>
    <w:link w:val="Nadpis4Char"/>
    <w:uiPriority w:val="9"/>
    <w:unhideWhenUsed/>
    <w:qFormat/>
    <w:rsid w:val="00F33F23"/>
    <w:pPr>
      <w:numPr>
        <w:ilvl w:val="3"/>
      </w:numPr>
      <w:ind w:left="862" w:hanging="862"/>
      <w:outlineLvl w:val="3"/>
    </w:pPr>
    <w:rPr>
      <w:szCs w:val="24"/>
    </w:rPr>
  </w:style>
  <w:style w:type="paragraph" w:styleId="Nadpis5">
    <w:name w:val="heading 5"/>
    <w:basedOn w:val="Normln"/>
    <w:next w:val="Normln"/>
    <w:link w:val="Nadpis5Char"/>
    <w:uiPriority w:val="9"/>
    <w:semiHidden/>
    <w:unhideWhenUsed/>
    <w:qFormat/>
    <w:rsid w:val="00A77C39"/>
    <w:pPr>
      <w:keepNext/>
      <w:keepLines/>
      <w:numPr>
        <w:ilvl w:val="4"/>
        <w:numId w:val="1"/>
      </w:numPr>
      <w:spacing w:before="200" w:after="0"/>
      <w:outlineLvl w:val="4"/>
    </w:pPr>
    <w:rPr>
      <w:rFonts w:ascii="Cambria" w:eastAsia="Times New Roman" w:hAnsi="Cambria"/>
      <w:color w:val="243F60"/>
      <w:sz w:val="22"/>
    </w:rPr>
  </w:style>
  <w:style w:type="paragraph" w:styleId="Nadpis6">
    <w:name w:val="heading 6"/>
    <w:basedOn w:val="Normln"/>
    <w:next w:val="Normln"/>
    <w:link w:val="Nadpis6Char"/>
    <w:uiPriority w:val="9"/>
    <w:semiHidden/>
    <w:unhideWhenUsed/>
    <w:qFormat/>
    <w:rsid w:val="00A77C39"/>
    <w:pPr>
      <w:keepNext/>
      <w:keepLines/>
      <w:numPr>
        <w:ilvl w:val="5"/>
        <w:numId w:val="1"/>
      </w:numPr>
      <w:spacing w:before="200" w:after="0"/>
      <w:outlineLvl w:val="5"/>
    </w:pPr>
    <w:rPr>
      <w:rFonts w:ascii="Cambria" w:eastAsia="Times New Roman" w:hAnsi="Cambria"/>
      <w:i/>
      <w:iCs/>
      <w:color w:val="243F60"/>
      <w:sz w:val="22"/>
    </w:rPr>
  </w:style>
  <w:style w:type="paragraph" w:styleId="Nadpis7">
    <w:name w:val="heading 7"/>
    <w:basedOn w:val="Normln"/>
    <w:next w:val="Normln"/>
    <w:link w:val="Nadpis7Char"/>
    <w:uiPriority w:val="9"/>
    <w:semiHidden/>
    <w:unhideWhenUsed/>
    <w:qFormat/>
    <w:rsid w:val="00A77C39"/>
    <w:pPr>
      <w:keepNext/>
      <w:keepLines/>
      <w:numPr>
        <w:ilvl w:val="6"/>
        <w:numId w:val="1"/>
      </w:numPr>
      <w:spacing w:before="200" w:after="0"/>
      <w:outlineLvl w:val="6"/>
    </w:pPr>
    <w:rPr>
      <w:rFonts w:ascii="Cambria" w:eastAsia="Times New Roman" w:hAnsi="Cambria"/>
      <w:i/>
      <w:iCs/>
      <w:color w:val="404040"/>
      <w:sz w:val="22"/>
    </w:rPr>
  </w:style>
  <w:style w:type="paragraph" w:styleId="Nadpis8">
    <w:name w:val="heading 8"/>
    <w:basedOn w:val="Normln"/>
    <w:next w:val="Normln"/>
    <w:link w:val="Nadpis8Char"/>
    <w:uiPriority w:val="9"/>
    <w:semiHidden/>
    <w:unhideWhenUsed/>
    <w:qFormat/>
    <w:rsid w:val="00A77C39"/>
    <w:pPr>
      <w:keepNext/>
      <w:keepLines/>
      <w:numPr>
        <w:ilvl w:val="7"/>
        <w:numId w:val="1"/>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semiHidden/>
    <w:unhideWhenUsed/>
    <w:qFormat/>
    <w:rsid w:val="00A77C39"/>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064F7F"/>
    <w:rPr>
      <w:rFonts w:ascii="Cambria" w:eastAsia="Times New Roman" w:hAnsi="Cambria"/>
      <w:b/>
      <w:bCs/>
      <w:sz w:val="32"/>
      <w:szCs w:val="28"/>
      <w:lang w:eastAsia="en-US"/>
    </w:rPr>
  </w:style>
  <w:style w:type="character" w:customStyle="1" w:styleId="Nadpis3Char">
    <w:name w:val="Nadpis 3 Char"/>
    <w:link w:val="Nadpis3"/>
    <w:uiPriority w:val="9"/>
    <w:rsid w:val="009C1C8E"/>
    <w:rPr>
      <w:rFonts w:ascii="Cambria" w:eastAsia="Times New Roman" w:hAnsi="Cambria"/>
      <w:b/>
      <w:bCs/>
      <w:sz w:val="24"/>
      <w:szCs w:val="22"/>
      <w:lang w:eastAsia="en-US"/>
    </w:rPr>
  </w:style>
  <w:style w:type="paragraph" w:styleId="Odstavecseseznamem">
    <w:name w:val="List Paragraph"/>
    <w:basedOn w:val="Normln"/>
    <w:uiPriority w:val="34"/>
    <w:qFormat/>
    <w:rsid w:val="00E52F25"/>
    <w:pPr>
      <w:ind w:left="720"/>
      <w:contextualSpacing/>
    </w:pPr>
  </w:style>
  <w:style w:type="character" w:styleId="Hypertextovodkaz">
    <w:name w:val="Hyperlink"/>
    <w:uiPriority w:val="99"/>
    <w:unhideWhenUsed/>
    <w:rsid w:val="00FC3504"/>
    <w:rPr>
      <w:color w:val="0000FF"/>
      <w:u w:val="single"/>
    </w:rPr>
  </w:style>
  <w:style w:type="character" w:customStyle="1" w:styleId="Nadpis2Char">
    <w:name w:val="Nadpis 2 Char"/>
    <w:link w:val="Nadpis2"/>
    <w:uiPriority w:val="9"/>
    <w:rsid w:val="00F33F23"/>
    <w:rPr>
      <w:rFonts w:ascii="Cambria" w:eastAsia="Times New Roman" w:hAnsi="Cambria"/>
      <w:b/>
      <w:bCs/>
      <w:sz w:val="28"/>
      <w:szCs w:val="26"/>
      <w:lang w:eastAsia="en-US"/>
    </w:rPr>
  </w:style>
  <w:style w:type="paragraph" w:styleId="Textpoznpodarou">
    <w:name w:val="footnote text"/>
    <w:basedOn w:val="Normln"/>
    <w:link w:val="TextpoznpodarouChar"/>
    <w:uiPriority w:val="99"/>
    <w:unhideWhenUsed/>
    <w:rsid w:val="00ED1812"/>
    <w:pPr>
      <w:spacing w:after="0" w:line="240" w:lineRule="auto"/>
    </w:pPr>
    <w:rPr>
      <w:sz w:val="20"/>
      <w:szCs w:val="20"/>
    </w:rPr>
  </w:style>
  <w:style w:type="character" w:customStyle="1" w:styleId="TextpoznpodarouChar">
    <w:name w:val="Text pozn. pod čarou Char"/>
    <w:link w:val="Textpoznpodarou"/>
    <w:uiPriority w:val="99"/>
    <w:rsid w:val="00ED1812"/>
    <w:rPr>
      <w:sz w:val="20"/>
      <w:szCs w:val="20"/>
    </w:rPr>
  </w:style>
  <w:style w:type="character" w:styleId="Znakapoznpodarou">
    <w:name w:val="footnote reference"/>
    <w:uiPriority w:val="99"/>
    <w:semiHidden/>
    <w:unhideWhenUsed/>
    <w:rsid w:val="00ED1812"/>
    <w:rPr>
      <w:vertAlign w:val="superscript"/>
    </w:rPr>
  </w:style>
  <w:style w:type="paragraph" w:styleId="Textbubliny">
    <w:name w:val="Balloon Text"/>
    <w:basedOn w:val="Normln"/>
    <w:link w:val="TextbublinyChar"/>
    <w:uiPriority w:val="99"/>
    <w:semiHidden/>
    <w:unhideWhenUsed/>
    <w:rsid w:val="003B257A"/>
    <w:pPr>
      <w:spacing w:after="0" w:line="240" w:lineRule="auto"/>
    </w:pPr>
    <w:rPr>
      <w:rFonts w:ascii="Tahoma" w:hAnsi="Tahoma"/>
      <w:sz w:val="16"/>
      <w:szCs w:val="16"/>
    </w:rPr>
  </w:style>
  <w:style w:type="character" w:customStyle="1" w:styleId="TextbublinyChar">
    <w:name w:val="Text bubliny Char"/>
    <w:link w:val="Textbubliny"/>
    <w:uiPriority w:val="99"/>
    <w:semiHidden/>
    <w:rsid w:val="003B257A"/>
    <w:rPr>
      <w:rFonts w:ascii="Tahoma" w:hAnsi="Tahoma" w:cs="Tahoma"/>
      <w:sz w:val="16"/>
      <w:szCs w:val="16"/>
    </w:rPr>
  </w:style>
  <w:style w:type="paragraph" w:styleId="Revize">
    <w:name w:val="Revision"/>
    <w:hidden/>
    <w:uiPriority w:val="99"/>
    <w:semiHidden/>
    <w:rsid w:val="00B44EF4"/>
    <w:rPr>
      <w:sz w:val="22"/>
      <w:szCs w:val="22"/>
      <w:lang w:eastAsia="en-US"/>
    </w:rPr>
  </w:style>
  <w:style w:type="table" w:styleId="Mkatabulky">
    <w:name w:val="Table Grid"/>
    <w:basedOn w:val="Normlntabulka"/>
    <w:uiPriority w:val="59"/>
    <w:rsid w:val="006013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CB61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B61B2"/>
  </w:style>
  <w:style w:type="paragraph" w:styleId="Zpat">
    <w:name w:val="footer"/>
    <w:basedOn w:val="Normln"/>
    <w:link w:val="ZpatChar"/>
    <w:uiPriority w:val="99"/>
    <w:unhideWhenUsed/>
    <w:rsid w:val="00CB61B2"/>
    <w:pPr>
      <w:tabs>
        <w:tab w:val="center" w:pos="4536"/>
        <w:tab w:val="right" w:pos="9072"/>
      </w:tabs>
      <w:spacing w:after="0" w:line="240" w:lineRule="auto"/>
    </w:pPr>
  </w:style>
  <w:style w:type="character" w:customStyle="1" w:styleId="ZpatChar">
    <w:name w:val="Zápatí Char"/>
    <w:basedOn w:val="Standardnpsmoodstavce"/>
    <w:link w:val="Zpat"/>
    <w:uiPriority w:val="99"/>
    <w:rsid w:val="00CB61B2"/>
  </w:style>
  <w:style w:type="paragraph" w:styleId="Bibliografie">
    <w:name w:val="Bibliography"/>
    <w:basedOn w:val="Normln"/>
    <w:next w:val="Normln"/>
    <w:uiPriority w:val="37"/>
    <w:unhideWhenUsed/>
    <w:rsid w:val="00016B12"/>
  </w:style>
  <w:style w:type="paragraph" w:styleId="Nzev">
    <w:name w:val="Title"/>
    <w:basedOn w:val="Normln"/>
    <w:next w:val="Normln"/>
    <w:link w:val="NzevChar"/>
    <w:uiPriority w:val="10"/>
    <w:qFormat/>
    <w:rsid w:val="00726B7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NzevChar">
    <w:name w:val="Název Char"/>
    <w:link w:val="Nzev"/>
    <w:uiPriority w:val="10"/>
    <w:rsid w:val="00726B76"/>
    <w:rPr>
      <w:rFonts w:ascii="Cambria" w:eastAsia="Times New Roman" w:hAnsi="Cambria"/>
      <w:color w:val="17365D"/>
      <w:spacing w:val="5"/>
      <w:kern w:val="28"/>
      <w:sz w:val="52"/>
      <w:szCs w:val="52"/>
      <w:lang w:eastAsia="en-US"/>
    </w:rPr>
  </w:style>
  <w:style w:type="character" w:styleId="Zstupntext">
    <w:name w:val="Placeholder Text"/>
    <w:uiPriority w:val="99"/>
    <w:semiHidden/>
    <w:rsid w:val="006F2D27"/>
    <w:rPr>
      <w:color w:val="808080"/>
    </w:rPr>
  </w:style>
  <w:style w:type="character" w:styleId="Odkaznakoment">
    <w:name w:val="annotation reference"/>
    <w:uiPriority w:val="99"/>
    <w:semiHidden/>
    <w:unhideWhenUsed/>
    <w:rsid w:val="003314FD"/>
    <w:rPr>
      <w:sz w:val="16"/>
      <w:szCs w:val="16"/>
    </w:rPr>
  </w:style>
  <w:style w:type="paragraph" w:styleId="Textkomente">
    <w:name w:val="annotation text"/>
    <w:basedOn w:val="Normln"/>
    <w:link w:val="TextkomenteChar"/>
    <w:uiPriority w:val="99"/>
    <w:semiHidden/>
    <w:unhideWhenUsed/>
    <w:rsid w:val="003314FD"/>
    <w:pPr>
      <w:spacing w:line="240" w:lineRule="auto"/>
    </w:pPr>
    <w:rPr>
      <w:sz w:val="20"/>
      <w:szCs w:val="20"/>
    </w:rPr>
  </w:style>
  <w:style w:type="character" w:customStyle="1" w:styleId="TextkomenteChar">
    <w:name w:val="Text komentáře Char"/>
    <w:link w:val="Textkomente"/>
    <w:uiPriority w:val="99"/>
    <w:semiHidden/>
    <w:rsid w:val="003314FD"/>
    <w:rPr>
      <w:lang w:eastAsia="en-US"/>
    </w:rPr>
  </w:style>
  <w:style w:type="paragraph" w:styleId="Pedmtkomente">
    <w:name w:val="annotation subject"/>
    <w:basedOn w:val="Textkomente"/>
    <w:next w:val="Textkomente"/>
    <w:link w:val="PedmtkomenteChar"/>
    <w:uiPriority w:val="99"/>
    <w:semiHidden/>
    <w:unhideWhenUsed/>
    <w:rsid w:val="003314FD"/>
    <w:rPr>
      <w:b/>
      <w:bCs/>
    </w:rPr>
  </w:style>
  <w:style w:type="character" w:customStyle="1" w:styleId="PedmtkomenteChar">
    <w:name w:val="Předmět komentáře Char"/>
    <w:link w:val="Pedmtkomente"/>
    <w:uiPriority w:val="99"/>
    <w:semiHidden/>
    <w:rsid w:val="003314FD"/>
    <w:rPr>
      <w:b/>
      <w:bCs/>
      <w:lang w:eastAsia="en-US"/>
    </w:rPr>
  </w:style>
  <w:style w:type="character" w:customStyle="1" w:styleId="Nadpis4Char">
    <w:name w:val="Nadpis 4 Char"/>
    <w:link w:val="Nadpis4"/>
    <w:uiPriority w:val="9"/>
    <w:rsid w:val="00F33F23"/>
    <w:rPr>
      <w:rFonts w:ascii="Cambria" w:eastAsia="Times New Roman" w:hAnsi="Cambria"/>
      <w:b/>
      <w:bCs/>
      <w:sz w:val="24"/>
      <w:szCs w:val="24"/>
      <w:lang w:eastAsia="en-US"/>
    </w:rPr>
  </w:style>
  <w:style w:type="character" w:customStyle="1" w:styleId="Nadpis5Char">
    <w:name w:val="Nadpis 5 Char"/>
    <w:link w:val="Nadpis5"/>
    <w:uiPriority w:val="9"/>
    <w:semiHidden/>
    <w:rsid w:val="00A77C39"/>
    <w:rPr>
      <w:rFonts w:ascii="Cambria" w:eastAsia="Times New Roman" w:hAnsi="Cambria"/>
      <w:color w:val="243F60"/>
      <w:sz w:val="22"/>
      <w:szCs w:val="22"/>
      <w:lang w:eastAsia="en-US"/>
    </w:rPr>
  </w:style>
  <w:style w:type="character" w:customStyle="1" w:styleId="Nadpis6Char">
    <w:name w:val="Nadpis 6 Char"/>
    <w:link w:val="Nadpis6"/>
    <w:uiPriority w:val="9"/>
    <w:semiHidden/>
    <w:rsid w:val="00A77C39"/>
    <w:rPr>
      <w:rFonts w:ascii="Cambria" w:eastAsia="Times New Roman" w:hAnsi="Cambria"/>
      <w:i/>
      <w:iCs/>
      <w:color w:val="243F60"/>
      <w:sz w:val="22"/>
      <w:szCs w:val="22"/>
      <w:lang w:eastAsia="en-US"/>
    </w:rPr>
  </w:style>
  <w:style w:type="character" w:customStyle="1" w:styleId="Nadpis7Char">
    <w:name w:val="Nadpis 7 Char"/>
    <w:link w:val="Nadpis7"/>
    <w:uiPriority w:val="9"/>
    <w:semiHidden/>
    <w:rsid w:val="00A77C39"/>
    <w:rPr>
      <w:rFonts w:ascii="Cambria" w:eastAsia="Times New Roman" w:hAnsi="Cambria"/>
      <w:i/>
      <w:iCs/>
      <w:color w:val="404040"/>
      <w:sz w:val="22"/>
      <w:szCs w:val="22"/>
      <w:lang w:eastAsia="en-US"/>
    </w:rPr>
  </w:style>
  <w:style w:type="character" w:customStyle="1" w:styleId="Nadpis8Char">
    <w:name w:val="Nadpis 8 Char"/>
    <w:link w:val="Nadpis8"/>
    <w:uiPriority w:val="9"/>
    <w:semiHidden/>
    <w:rsid w:val="00A77C39"/>
    <w:rPr>
      <w:rFonts w:ascii="Cambria" w:eastAsia="Times New Roman" w:hAnsi="Cambria"/>
      <w:color w:val="404040"/>
      <w:lang w:eastAsia="en-US"/>
    </w:rPr>
  </w:style>
  <w:style w:type="character" w:customStyle="1" w:styleId="Nadpis9Char">
    <w:name w:val="Nadpis 9 Char"/>
    <w:link w:val="Nadpis9"/>
    <w:uiPriority w:val="9"/>
    <w:semiHidden/>
    <w:rsid w:val="00A77C39"/>
    <w:rPr>
      <w:rFonts w:ascii="Cambria" w:eastAsia="Times New Roman" w:hAnsi="Cambria"/>
      <w:i/>
      <w:iCs/>
      <w:color w:val="404040"/>
      <w:lang w:eastAsia="en-US"/>
    </w:rPr>
  </w:style>
  <w:style w:type="paragraph" w:styleId="Normlnweb">
    <w:name w:val="Normal (Web)"/>
    <w:basedOn w:val="Normln"/>
    <w:uiPriority w:val="99"/>
    <w:unhideWhenUsed/>
    <w:rsid w:val="00276331"/>
    <w:pPr>
      <w:spacing w:before="100" w:beforeAutospacing="1" w:after="100" w:afterAutospacing="1" w:line="240" w:lineRule="auto"/>
      <w:jc w:val="left"/>
    </w:pPr>
    <w:rPr>
      <w:rFonts w:ascii="Times New Roman" w:eastAsia="Times New Roman" w:hAnsi="Times New Roman"/>
      <w:szCs w:val="24"/>
      <w:lang w:eastAsia="cs-CZ"/>
    </w:rPr>
  </w:style>
  <w:style w:type="character" w:customStyle="1" w:styleId="apple-converted-space">
    <w:name w:val="apple-converted-space"/>
    <w:basedOn w:val="Standardnpsmoodstavce"/>
    <w:rsid w:val="00200C63"/>
  </w:style>
  <w:style w:type="character" w:customStyle="1" w:styleId="il">
    <w:name w:val="il"/>
    <w:basedOn w:val="Standardnpsmoodstavce"/>
    <w:rsid w:val="00200C63"/>
  </w:style>
  <w:style w:type="character" w:styleId="Siln">
    <w:name w:val="Strong"/>
    <w:uiPriority w:val="22"/>
    <w:qFormat/>
    <w:rsid w:val="00F06F57"/>
    <w:rPr>
      <w:b/>
      <w:bCs/>
    </w:rPr>
  </w:style>
  <w:style w:type="character" w:styleId="Sledovanodkaz">
    <w:name w:val="FollowedHyperlink"/>
    <w:uiPriority w:val="99"/>
    <w:semiHidden/>
    <w:unhideWhenUsed/>
    <w:rsid w:val="00195733"/>
    <w:rPr>
      <w:color w:val="800080"/>
      <w:u w:val="single"/>
    </w:rPr>
  </w:style>
  <w:style w:type="character" w:styleId="slostrnky">
    <w:name w:val="page number"/>
    <w:basedOn w:val="Standardnpsmoodstavce"/>
    <w:uiPriority w:val="99"/>
    <w:semiHidden/>
    <w:unhideWhenUsed/>
    <w:rsid w:val="009726E7"/>
  </w:style>
  <w:style w:type="paragraph" w:styleId="Nadpisobsahu">
    <w:name w:val="TOC Heading"/>
    <w:basedOn w:val="Nadpis1"/>
    <w:next w:val="Normln"/>
    <w:uiPriority w:val="39"/>
    <w:semiHidden/>
    <w:unhideWhenUsed/>
    <w:qFormat/>
    <w:rsid w:val="000A616B"/>
    <w:pPr>
      <w:numPr>
        <w:numId w:val="0"/>
      </w:numPr>
      <w:spacing w:after="0"/>
      <w:outlineLvl w:val="9"/>
    </w:pPr>
    <w:rPr>
      <w:color w:val="365F91"/>
      <w:sz w:val="28"/>
      <w:lang w:eastAsia="cs-CZ"/>
    </w:rPr>
  </w:style>
  <w:style w:type="paragraph" w:styleId="Obsah1">
    <w:name w:val="toc 1"/>
    <w:basedOn w:val="Normln"/>
    <w:next w:val="Normln"/>
    <w:autoRedefine/>
    <w:uiPriority w:val="39"/>
    <w:unhideWhenUsed/>
    <w:rsid w:val="00155F71"/>
    <w:pPr>
      <w:spacing w:after="100"/>
      <w:ind w:firstLine="0"/>
    </w:pPr>
  </w:style>
  <w:style w:type="paragraph" w:styleId="Obsah2">
    <w:name w:val="toc 2"/>
    <w:basedOn w:val="Normln"/>
    <w:next w:val="Normln"/>
    <w:autoRedefine/>
    <w:uiPriority w:val="39"/>
    <w:unhideWhenUsed/>
    <w:rsid w:val="00155F71"/>
    <w:pPr>
      <w:spacing w:after="100"/>
      <w:ind w:left="221" w:firstLine="0"/>
    </w:pPr>
  </w:style>
  <w:style w:type="paragraph" w:styleId="Obsah3">
    <w:name w:val="toc 3"/>
    <w:basedOn w:val="Normln"/>
    <w:next w:val="Normln"/>
    <w:autoRedefine/>
    <w:uiPriority w:val="39"/>
    <w:unhideWhenUsed/>
    <w:rsid w:val="00155F71"/>
    <w:pPr>
      <w:spacing w:after="100"/>
      <w:ind w:left="442" w:firstLine="0"/>
    </w:pPr>
  </w:style>
  <w:style w:type="paragraph" w:styleId="Obsah4">
    <w:name w:val="toc 4"/>
    <w:basedOn w:val="Normln"/>
    <w:next w:val="Normln"/>
    <w:autoRedefine/>
    <w:uiPriority w:val="39"/>
    <w:unhideWhenUsed/>
    <w:rsid w:val="00155F71"/>
    <w:pPr>
      <w:spacing w:after="100"/>
      <w:ind w:left="567"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63F8"/>
    <w:pPr>
      <w:spacing w:after="60" w:line="360" w:lineRule="auto"/>
      <w:ind w:firstLine="567"/>
      <w:jc w:val="both"/>
    </w:pPr>
    <w:rPr>
      <w:sz w:val="24"/>
      <w:szCs w:val="22"/>
      <w:lang w:eastAsia="en-US"/>
    </w:rPr>
  </w:style>
  <w:style w:type="paragraph" w:styleId="Nadpis1">
    <w:name w:val="heading 1"/>
    <w:basedOn w:val="Normln"/>
    <w:next w:val="Normln"/>
    <w:link w:val="Nadpis1Char"/>
    <w:uiPriority w:val="9"/>
    <w:qFormat/>
    <w:rsid w:val="00064F7F"/>
    <w:pPr>
      <w:keepNext/>
      <w:keepLines/>
      <w:numPr>
        <w:numId w:val="1"/>
      </w:numPr>
      <w:ind w:left="357" w:hanging="357"/>
      <w:jc w:val="left"/>
      <w:outlineLvl w:val="0"/>
    </w:pPr>
    <w:rPr>
      <w:rFonts w:ascii="Cambria" w:eastAsia="Times New Roman" w:hAnsi="Cambria"/>
      <w:b/>
      <w:bCs/>
      <w:sz w:val="32"/>
      <w:szCs w:val="28"/>
    </w:rPr>
  </w:style>
  <w:style w:type="paragraph" w:styleId="Nadpis2">
    <w:name w:val="heading 2"/>
    <w:basedOn w:val="Normln"/>
    <w:next w:val="Normln"/>
    <w:link w:val="Nadpis2Char"/>
    <w:uiPriority w:val="9"/>
    <w:unhideWhenUsed/>
    <w:qFormat/>
    <w:rsid w:val="00F33F23"/>
    <w:pPr>
      <w:keepNext/>
      <w:keepLines/>
      <w:numPr>
        <w:ilvl w:val="1"/>
        <w:numId w:val="1"/>
      </w:numPr>
      <w:spacing w:before="240" w:after="0"/>
      <w:ind w:left="567" w:hanging="567"/>
      <w:jc w:val="left"/>
      <w:outlineLvl w:val="1"/>
    </w:pPr>
    <w:rPr>
      <w:rFonts w:ascii="Cambria" w:eastAsia="Times New Roman" w:hAnsi="Cambria"/>
      <w:b/>
      <w:bCs/>
      <w:sz w:val="28"/>
      <w:szCs w:val="26"/>
    </w:rPr>
  </w:style>
  <w:style w:type="paragraph" w:styleId="Nadpis3">
    <w:name w:val="heading 3"/>
    <w:basedOn w:val="Normln"/>
    <w:next w:val="Normln"/>
    <w:link w:val="Nadpis3Char"/>
    <w:uiPriority w:val="9"/>
    <w:unhideWhenUsed/>
    <w:qFormat/>
    <w:rsid w:val="009C1C8E"/>
    <w:pPr>
      <w:keepNext/>
      <w:keepLines/>
      <w:numPr>
        <w:ilvl w:val="2"/>
        <w:numId w:val="1"/>
      </w:numPr>
      <w:spacing w:before="180" w:after="0"/>
      <w:jc w:val="left"/>
      <w:outlineLvl w:val="2"/>
    </w:pPr>
    <w:rPr>
      <w:rFonts w:ascii="Cambria" w:eastAsia="Times New Roman" w:hAnsi="Cambria"/>
      <w:b/>
      <w:bCs/>
    </w:rPr>
  </w:style>
  <w:style w:type="paragraph" w:styleId="Nadpis4">
    <w:name w:val="heading 4"/>
    <w:basedOn w:val="Nadpis3"/>
    <w:next w:val="Normln"/>
    <w:link w:val="Nadpis4Char"/>
    <w:uiPriority w:val="9"/>
    <w:unhideWhenUsed/>
    <w:qFormat/>
    <w:rsid w:val="00F33F23"/>
    <w:pPr>
      <w:numPr>
        <w:ilvl w:val="3"/>
      </w:numPr>
      <w:ind w:left="862" w:hanging="862"/>
      <w:outlineLvl w:val="3"/>
    </w:pPr>
    <w:rPr>
      <w:szCs w:val="24"/>
    </w:rPr>
  </w:style>
  <w:style w:type="paragraph" w:styleId="Nadpis5">
    <w:name w:val="heading 5"/>
    <w:basedOn w:val="Normln"/>
    <w:next w:val="Normln"/>
    <w:link w:val="Nadpis5Char"/>
    <w:uiPriority w:val="9"/>
    <w:semiHidden/>
    <w:unhideWhenUsed/>
    <w:qFormat/>
    <w:rsid w:val="00A77C39"/>
    <w:pPr>
      <w:keepNext/>
      <w:keepLines/>
      <w:numPr>
        <w:ilvl w:val="4"/>
        <w:numId w:val="1"/>
      </w:numPr>
      <w:spacing w:before="200" w:after="0"/>
      <w:outlineLvl w:val="4"/>
    </w:pPr>
    <w:rPr>
      <w:rFonts w:ascii="Cambria" w:eastAsia="Times New Roman" w:hAnsi="Cambria"/>
      <w:color w:val="243F60"/>
      <w:sz w:val="22"/>
    </w:rPr>
  </w:style>
  <w:style w:type="paragraph" w:styleId="Nadpis6">
    <w:name w:val="heading 6"/>
    <w:basedOn w:val="Normln"/>
    <w:next w:val="Normln"/>
    <w:link w:val="Nadpis6Char"/>
    <w:uiPriority w:val="9"/>
    <w:semiHidden/>
    <w:unhideWhenUsed/>
    <w:qFormat/>
    <w:rsid w:val="00A77C39"/>
    <w:pPr>
      <w:keepNext/>
      <w:keepLines/>
      <w:numPr>
        <w:ilvl w:val="5"/>
        <w:numId w:val="1"/>
      </w:numPr>
      <w:spacing w:before="200" w:after="0"/>
      <w:outlineLvl w:val="5"/>
    </w:pPr>
    <w:rPr>
      <w:rFonts w:ascii="Cambria" w:eastAsia="Times New Roman" w:hAnsi="Cambria"/>
      <w:i/>
      <w:iCs/>
      <w:color w:val="243F60"/>
      <w:sz w:val="22"/>
    </w:rPr>
  </w:style>
  <w:style w:type="paragraph" w:styleId="Nadpis7">
    <w:name w:val="heading 7"/>
    <w:basedOn w:val="Normln"/>
    <w:next w:val="Normln"/>
    <w:link w:val="Nadpis7Char"/>
    <w:uiPriority w:val="9"/>
    <w:semiHidden/>
    <w:unhideWhenUsed/>
    <w:qFormat/>
    <w:rsid w:val="00A77C39"/>
    <w:pPr>
      <w:keepNext/>
      <w:keepLines/>
      <w:numPr>
        <w:ilvl w:val="6"/>
        <w:numId w:val="1"/>
      </w:numPr>
      <w:spacing w:before="200" w:after="0"/>
      <w:outlineLvl w:val="6"/>
    </w:pPr>
    <w:rPr>
      <w:rFonts w:ascii="Cambria" w:eastAsia="Times New Roman" w:hAnsi="Cambria"/>
      <w:i/>
      <w:iCs/>
      <w:color w:val="404040"/>
      <w:sz w:val="22"/>
    </w:rPr>
  </w:style>
  <w:style w:type="paragraph" w:styleId="Nadpis8">
    <w:name w:val="heading 8"/>
    <w:basedOn w:val="Normln"/>
    <w:next w:val="Normln"/>
    <w:link w:val="Nadpis8Char"/>
    <w:uiPriority w:val="9"/>
    <w:semiHidden/>
    <w:unhideWhenUsed/>
    <w:qFormat/>
    <w:rsid w:val="00A77C39"/>
    <w:pPr>
      <w:keepNext/>
      <w:keepLines/>
      <w:numPr>
        <w:ilvl w:val="7"/>
        <w:numId w:val="1"/>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semiHidden/>
    <w:unhideWhenUsed/>
    <w:qFormat/>
    <w:rsid w:val="00A77C39"/>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064F7F"/>
    <w:rPr>
      <w:rFonts w:ascii="Cambria" w:eastAsia="Times New Roman" w:hAnsi="Cambria"/>
      <w:b/>
      <w:bCs/>
      <w:sz w:val="32"/>
      <w:szCs w:val="28"/>
      <w:lang w:eastAsia="en-US"/>
    </w:rPr>
  </w:style>
  <w:style w:type="character" w:customStyle="1" w:styleId="Nadpis3Char">
    <w:name w:val="Nadpis 3 Char"/>
    <w:link w:val="Nadpis3"/>
    <w:uiPriority w:val="9"/>
    <w:rsid w:val="009C1C8E"/>
    <w:rPr>
      <w:rFonts w:ascii="Cambria" w:eastAsia="Times New Roman" w:hAnsi="Cambria"/>
      <w:b/>
      <w:bCs/>
      <w:sz w:val="24"/>
      <w:szCs w:val="22"/>
      <w:lang w:eastAsia="en-US"/>
    </w:rPr>
  </w:style>
  <w:style w:type="paragraph" w:styleId="Odstavecseseznamem">
    <w:name w:val="List Paragraph"/>
    <w:basedOn w:val="Normln"/>
    <w:uiPriority w:val="34"/>
    <w:qFormat/>
    <w:rsid w:val="00E52F25"/>
    <w:pPr>
      <w:ind w:left="720"/>
      <w:contextualSpacing/>
    </w:pPr>
  </w:style>
  <w:style w:type="character" w:styleId="Hypertextovodkaz">
    <w:name w:val="Hyperlink"/>
    <w:uiPriority w:val="99"/>
    <w:unhideWhenUsed/>
    <w:rsid w:val="00FC3504"/>
    <w:rPr>
      <w:color w:val="0000FF"/>
      <w:u w:val="single"/>
    </w:rPr>
  </w:style>
  <w:style w:type="character" w:customStyle="1" w:styleId="Nadpis2Char">
    <w:name w:val="Nadpis 2 Char"/>
    <w:link w:val="Nadpis2"/>
    <w:uiPriority w:val="9"/>
    <w:rsid w:val="00F33F23"/>
    <w:rPr>
      <w:rFonts w:ascii="Cambria" w:eastAsia="Times New Roman" w:hAnsi="Cambria"/>
      <w:b/>
      <w:bCs/>
      <w:sz w:val="28"/>
      <w:szCs w:val="26"/>
      <w:lang w:eastAsia="en-US"/>
    </w:rPr>
  </w:style>
  <w:style w:type="paragraph" w:styleId="Textpoznpodarou">
    <w:name w:val="footnote text"/>
    <w:basedOn w:val="Normln"/>
    <w:link w:val="TextpoznpodarouChar"/>
    <w:uiPriority w:val="99"/>
    <w:unhideWhenUsed/>
    <w:rsid w:val="00ED1812"/>
    <w:pPr>
      <w:spacing w:after="0" w:line="240" w:lineRule="auto"/>
    </w:pPr>
    <w:rPr>
      <w:sz w:val="20"/>
      <w:szCs w:val="20"/>
    </w:rPr>
  </w:style>
  <w:style w:type="character" w:customStyle="1" w:styleId="TextpoznpodarouChar">
    <w:name w:val="Text pozn. pod čarou Char"/>
    <w:link w:val="Textpoznpodarou"/>
    <w:uiPriority w:val="99"/>
    <w:rsid w:val="00ED1812"/>
    <w:rPr>
      <w:sz w:val="20"/>
      <w:szCs w:val="20"/>
    </w:rPr>
  </w:style>
  <w:style w:type="character" w:styleId="Znakapoznpodarou">
    <w:name w:val="footnote reference"/>
    <w:uiPriority w:val="99"/>
    <w:semiHidden/>
    <w:unhideWhenUsed/>
    <w:rsid w:val="00ED1812"/>
    <w:rPr>
      <w:vertAlign w:val="superscript"/>
    </w:rPr>
  </w:style>
  <w:style w:type="paragraph" w:styleId="Textbubliny">
    <w:name w:val="Balloon Text"/>
    <w:basedOn w:val="Normln"/>
    <w:link w:val="TextbublinyChar"/>
    <w:uiPriority w:val="99"/>
    <w:semiHidden/>
    <w:unhideWhenUsed/>
    <w:rsid w:val="003B257A"/>
    <w:pPr>
      <w:spacing w:after="0" w:line="240" w:lineRule="auto"/>
    </w:pPr>
    <w:rPr>
      <w:rFonts w:ascii="Tahoma" w:hAnsi="Tahoma"/>
      <w:sz w:val="16"/>
      <w:szCs w:val="16"/>
    </w:rPr>
  </w:style>
  <w:style w:type="character" w:customStyle="1" w:styleId="TextbublinyChar">
    <w:name w:val="Text bubliny Char"/>
    <w:link w:val="Textbubliny"/>
    <w:uiPriority w:val="99"/>
    <w:semiHidden/>
    <w:rsid w:val="003B257A"/>
    <w:rPr>
      <w:rFonts w:ascii="Tahoma" w:hAnsi="Tahoma" w:cs="Tahoma"/>
      <w:sz w:val="16"/>
      <w:szCs w:val="16"/>
    </w:rPr>
  </w:style>
  <w:style w:type="paragraph" w:styleId="Revize">
    <w:name w:val="Revision"/>
    <w:hidden/>
    <w:uiPriority w:val="99"/>
    <w:semiHidden/>
    <w:rsid w:val="00B44EF4"/>
    <w:rPr>
      <w:sz w:val="22"/>
      <w:szCs w:val="22"/>
      <w:lang w:eastAsia="en-US"/>
    </w:rPr>
  </w:style>
  <w:style w:type="table" w:styleId="Mkatabulky">
    <w:name w:val="Table Grid"/>
    <w:basedOn w:val="Normlntabulka"/>
    <w:uiPriority w:val="59"/>
    <w:rsid w:val="006013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CB61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B61B2"/>
  </w:style>
  <w:style w:type="paragraph" w:styleId="Zpat">
    <w:name w:val="footer"/>
    <w:basedOn w:val="Normln"/>
    <w:link w:val="ZpatChar"/>
    <w:uiPriority w:val="99"/>
    <w:unhideWhenUsed/>
    <w:rsid w:val="00CB61B2"/>
    <w:pPr>
      <w:tabs>
        <w:tab w:val="center" w:pos="4536"/>
        <w:tab w:val="right" w:pos="9072"/>
      </w:tabs>
      <w:spacing w:after="0" w:line="240" w:lineRule="auto"/>
    </w:pPr>
  </w:style>
  <w:style w:type="character" w:customStyle="1" w:styleId="ZpatChar">
    <w:name w:val="Zápatí Char"/>
    <w:basedOn w:val="Standardnpsmoodstavce"/>
    <w:link w:val="Zpat"/>
    <w:uiPriority w:val="99"/>
    <w:rsid w:val="00CB61B2"/>
  </w:style>
  <w:style w:type="paragraph" w:styleId="Bibliografie">
    <w:name w:val="Bibliography"/>
    <w:basedOn w:val="Normln"/>
    <w:next w:val="Normln"/>
    <w:uiPriority w:val="37"/>
    <w:unhideWhenUsed/>
    <w:rsid w:val="00016B12"/>
  </w:style>
  <w:style w:type="paragraph" w:styleId="Nzev">
    <w:name w:val="Title"/>
    <w:basedOn w:val="Normln"/>
    <w:next w:val="Normln"/>
    <w:link w:val="NzevChar"/>
    <w:uiPriority w:val="10"/>
    <w:qFormat/>
    <w:rsid w:val="00726B7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NzevChar">
    <w:name w:val="Název Char"/>
    <w:link w:val="Nzev"/>
    <w:uiPriority w:val="10"/>
    <w:rsid w:val="00726B76"/>
    <w:rPr>
      <w:rFonts w:ascii="Cambria" w:eastAsia="Times New Roman" w:hAnsi="Cambria"/>
      <w:color w:val="17365D"/>
      <w:spacing w:val="5"/>
      <w:kern w:val="28"/>
      <w:sz w:val="52"/>
      <w:szCs w:val="52"/>
      <w:lang w:eastAsia="en-US"/>
    </w:rPr>
  </w:style>
  <w:style w:type="character" w:styleId="Zstupntext">
    <w:name w:val="Placeholder Text"/>
    <w:uiPriority w:val="99"/>
    <w:semiHidden/>
    <w:rsid w:val="006F2D27"/>
    <w:rPr>
      <w:color w:val="808080"/>
    </w:rPr>
  </w:style>
  <w:style w:type="character" w:styleId="Odkaznakoment">
    <w:name w:val="annotation reference"/>
    <w:uiPriority w:val="99"/>
    <w:semiHidden/>
    <w:unhideWhenUsed/>
    <w:rsid w:val="003314FD"/>
    <w:rPr>
      <w:sz w:val="16"/>
      <w:szCs w:val="16"/>
    </w:rPr>
  </w:style>
  <w:style w:type="paragraph" w:styleId="Textkomente">
    <w:name w:val="annotation text"/>
    <w:basedOn w:val="Normln"/>
    <w:link w:val="TextkomenteChar"/>
    <w:uiPriority w:val="99"/>
    <w:semiHidden/>
    <w:unhideWhenUsed/>
    <w:rsid w:val="003314FD"/>
    <w:pPr>
      <w:spacing w:line="240" w:lineRule="auto"/>
    </w:pPr>
    <w:rPr>
      <w:sz w:val="20"/>
      <w:szCs w:val="20"/>
    </w:rPr>
  </w:style>
  <w:style w:type="character" w:customStyle="1" w:styleId="TextkomenteChar">
    <w:name w:val="Text komentáře Char"/>
    <w:link w:val="Textkomente"/>
    <w:uiPriority w:val="99"/>
    <w:semiHidden/>
    <w:rsid w:val="003314FD"/>
    <w:rPr>
      <w:lang w:eastAsia="en-US"/>
    </w:rPr>
  </w:style>
  <w:style w:type="paragraph" w:styleId="Pedmtkomente">
    <w:name w:val="annotation subject"/>
    <w:basedOn w:val="Textkomente"/>
    <w:next w:val="Textkomente"/>
    <w:link w:val="PedmtkomenteChar"/>
    <w:uiPriority w:val="99"/>
    <w:semiHidden/>
    <w:unhideWhenUsed/>
    <w:rsid w:val="003314FD"/>
    <w:rPr>
      <w:b/>
      <w:bCs/>
    </w:rPr>
  </w:style>
  <w:style w:type="character" w:customStyle="1" w:styleId="PedmtkomenteChar">
    <w:name w:val="Předmět komentáře Char"/>
    <w:link w:val="Pedmtkomente"/>
    <w:uiPriority w:val="99"/>
    <w:semiHidden/>
    <w:rsid w:val="003314FD"/>
    <w:rPr>
      <w:b/>
      <w:bCs/>
      <w:lang w:eastAsia="en-US"/>
    </w:rPr>
  </w:style>
  <w:style w:type="character" w:customStyle="1" w:styleId="Nadpis4Char">
    <w:name w:val="Nadpis 4 Char"/>
    <w:link w:val="Nadpis4"/>
    <w:uiPriority w:val="9"/>
    <w:rsid w:val="00F33F23"/>
    <w:rPr>
      <w:rFonts w:ascii="Cambria" w:eastAsia="Times New Roman" w:hAnsi="Cambria"/>
      <w:b/>
      <w:bCs/>
      <w:sz w:val="24"/>
      <w:szCs w:val="24"/>
      <w:lang w:eastAsia="en-US"/>
    </w:rPr>
  </w:style>
  <w:style w:type="character" w:customStyle="1" w:styleId="Nadpis5Char">
    <w:name w:val="Nadpis 5 Char"/>
    <w:link w:val="Nadpis5"/>
    <w:uiPriority w:val="9"/>
    <w:semiHidden/>
    <w:rsid w:val="00A77C39"/>
    <w:rPr>
      <w:rFonts w:ascii="Cambria" w:eastAsia="Times New Roman" w:hAnsi="Cambria"/>
      <w:color w:val="243F60"/>
      <w:sz w:val="22"/>
      <w:szCs w:val="22"/>
      <w:lang w:eastAsia="en-US"/>
    </w:rPr>
  </w:style>
  <w:style w:type="character" w:customStyle="1" w:styleId="Nadpis6Char">
    <w:name w:val="Nadpis 6 Char"/>
    <w:link w:val="Nadpis6"/>
    <w:uiPriority w:val="9"/>
    <w:semiHidden/>
    <w:rsid w:val="00A77C39"/>
    <w:rPr>
      <w:rFonts w:ascii="Cambria" w:eastAsia="Times New Roman" w:hAnsi="Cambria"/>
      <w:i/>
      <w:iCs/>
      <w:color w:val="243F60"/>
      <w:sz w:val="22"/>
      <w:szCs w:val="22"/>
      <w:lang w:eastAsia="en-US"/>
    </w:rPr>
  </w:style>
  <w:style w:type="character" w:customStyle="1" w:styleId="Nadpis7Char">
    <w:name w:val="Nadpis 7 Char"/>
    <w:link w:val="Nadpis7"/>
    <w:uiPriority w:val="9"/>
    <w:semiHidden/>
    <w:rsid w:val="00A77C39"/>
    <w:rPr>
      <w:rFonts w:ascii="Cambria" w:eastAsia="Times New Roman" w:hAnsi="Cambria"/>
      <w:i/>
      <w:iCs/>
      <w:color w:val="404040"/>
      <w:sz w:val="22"/>
      <w:szCs w:val="22"/>
      <w:lang w:eastAsia="en-US"/>
    </w:rPr>
  </w:style>
  <w:style w:type="character" w:customStyle="1" w:styleId="Nadpis8Char">
    <w:name w:val="Nadpis 8 Char"/>
    <w:link w:val="Nadpis8"/>
    <w:uiPriority w:val="9"/>
    <w:semiHidden/>
    <w:rsid w:val="00A77C39"/>
    <w:rPr>
      <w:rFonts w:ascii="Cambria" w:eastAsia="Times New Roman" w:hAnsi="Cambria"/>
      <w:color w:val="404040"/>
      <w:lang w:eastAsia="en-US"/>
    </w:rPr>
  </w:style>
  <w:style w:type="character" w:customStyle="1" w:styleId="Nadpis9Char">
    <w:name w:val="Nadpis 9 Char"/>
    <w:link w:val="Nadpis9"/>
    <w:uiPriority w:val="9"/>
    <w:semiHidden/>
    <w:rsid w:val="00A77C39"/>
    <w:rPr>
      <w:rFonts w:ascii="Cambria" w:eastAsia="Times New Roman" w:hAnsi="Cambria"/>
      <w:i/>
      <w:iCs/>
      <w:color w:val="404040"/>
      <w:lang w:eastAsia="en-US"/>
    </w:rPr>
  </w:style>
  <w:style w:type="paragraph" w:styleId="Normlnweb">
    <w:name w:val="Normal (Web)"/>
    <w:basedOn w:val="Normln"/>
    <w:uiPriority w:val="99"/>
    <w:unhideWhenUsed/>
    <w:rsid w:val="00276331"/>
    <w:pPr>
      <w:spacing w:before="100" w:beforeAutospacing="1" w:after="100" w:afterAutospacing="1" w:line="240" w:lineRule="auto"/>
      <w:jc w:val="left"/>
    </w:pPr>
    <w:rPr>
      <w:rFonts w:ascii="Times New Roman" w:eastAsia="Times New Roman" w:hAnsi="Times New Roman"/>
      <w:szCs w:val="24"/>
      <w:lang w:eastAsia="cs-CZ"/>
    </w:rPr>
  </w:style>
  <w:style w:type="character" w:customStyle="1" w:styleId="apple-converted-space">
    <w:name w:val="apple-converted-space"/>
    <w:basedOn w:val="Standardnpsmoodstavce"/>
    <w:rsid w:val="00200C63"/>
  </w:style>
  <w:style w:type="character" w:customStyle="1" w:styleId="il">
    <w:name w:val="il"/>
    <w:basedOn w:val="Standardnpsmoodstavce"/>
    <w:rsid w:val="00200C63"/>
  </w:style>
  <w:style w:type="character" w:styleId="Siln">
    <w:name w:val="Strong"/>
    <w:uiPriority w:val="22"/>
    <w:qFormat/>
    <w:rsid w:val="00F06F57"/>
    <w:rPr>
      <w:b/>
      <w:bCs/>
    </w:rPr>
  </w:style>
  <w:style w:type="character" w:styleId="Sledovanodkaz">
    <w:name w:val="FollowedHyperlink"/>
    <w:uiPriority w:val="99"/>
    <w:semiHidden/>
    <w:unhideWhenUsed/>
    <w:rsid w:val="00195733"/>
    <w:rPr>
      <w:color w:val="800080"/>
      <w:u w:val="single"/>
    </w:rPr>
  </w:style>
  <w:style w:type="character" w:styleId="slostrnky">
    <w:name w:val="page number"/>
    <w:basedOn w:val="Standardnpsmoodstavce"/>
    <w:uiPriority w:val="99"/>
    <w:semiHidden/>
    <w:unhideWhenUsed/>
    <w:rsid w:val="009726E7"/>
  </w:style>
  <w:style w:type="paragraph" w:styleId="Nadpisobsahu">
    <w:name w:val="TOC Heading"/>
    <w:basedOn w:val="Nadpis1"/>
    <w:next w:val="Normln"/>
    <w:uiPriority w:val="39"/>
    <w:semiHidden/>
    <w:unhideWhenUsed/>
    <w:qFormat/>
    <w:rsid w:val="000A616B"/>
    <w:pPr>
      <w:numPr>
        <w:numId w:val="0"/>
      </w:numPr>
      <w:spacing w:after="0"/>
      <w:outlineLvl w:val="9"/>
    </w:pPr>
    <w:rPr>
      <w:color w:val="365F91"/>
      <w:sz w:val="28"/>
      <w:lang w:eastAsia="cs-CZ"/>
    </w:rPr>
  </w:style>
  <w:style w:type="paragraph" w:styleId="Obsah1">
    <w:name w:val="toc 1"/>
    <w:basedOn w:val="Normln"/>
    <w:next w:val="Normln"/>
    <w:autoRedefine/>
    <w:uiPriority w:val="39"/>
    <w:unhideWhenUsed/>
    <w:rsid w:val="00155F71"/>
    <w:pPr>
      <w:spacing w:after="100"/>
      <w:ind w:firstLine="0"/>
    </w:pPr>
  </w:style>
  <w:style w:type="paragraph" w:styleId="Obsah2">
    <w:name w:val="toc 2"/>
    <w:basedOn w:val="Normln"/>
    <w:next w:val="Normln"/>
    <w:autoRedefine/>
    <w:uiPriority w:val="39"/>
    <w:unhideWhenUsed/>
    <w:rsid w:val="00155F71"/>
    <w:pPr>
      <w:spacing w:after="100"/>
      <w:ind w:left="221" w:firstLine="0"/>
    </w:pPr>
  </w:style>
  <w:style w:type="paragraph" w:styleId="Obsah3">
    <w:name w:val="toc 3"/>
    <w:basedOn w:val="Normln"/>
    <w:next w:val="Normln"/>
    <w:autoRedefine/>
    <w:uiPriority w:val="39"/>
    <w:unhideWhenUsed/>
    <w:rsid w:val="00155F71"/>
    <w:pPr>
      <w:spacing w:after="100"/>
      <w:ind w:left="442" w:firstLine="0"/>
    </w:pPr>
  </w:style>
  <w:style w:type="paragraph" w:styleId="Obsah4">
    <w:name w:val="toc 4"/>
    <w:basedOn w:val="Normln"/>
    <w:next w:val="Normln"/>
    <w:autoRedefine/>
    <w:uiPriority w:val="39"/>
    <w:unhideWhenUsed/>
    <w:rsid w:val="00155F71"/>
    <w:pPr>
      <w:spacing w:after="100"/>
      <w:ind w:left="567"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5878">
      <w:bodyDiv w:val="1"/>
      <w:marLeft w:val="0"/>
      <w:marRight w:val="0"/>
      <w:marTop w:val="0"/>
      <w:marBottom w:val="0"/>
      <w:divBdr>
        <w:top w:val="none" w:sz="0" w:space="0" w:color="auto"/>
        <w:left w:val="none" w:sz="0" w:space="0" w:color="auto"/>
        <w:bottom w:val="none" w:sz="0" w:space="0" w:color="auto"/>
        <w:right w:val="none" w:sz="0" w:space="0" w:color="auto"/>
      </w:divBdr>
      <w:divsChild>
        <w:div w:id="1492283920">
          <w:marLeft w:val="0"/>
          <w:marRight w:val="0"/>
          <w:marTop w:val="0"/>
          <w:marBottom w:val="0"/>
          <w:divBdr>
            <w:top w:val="none" w:sz="0" w:space="0" w:color="auto"/>
            <w:left w:val="none" w:sz="0" w:space="0" w:color="auto"/>
            <w:bottom w:val="none" w:sz="0" w:space="0" w:color="auto"/>
            <w:right w:val="none" w:sz="0" w:space="0" w:color="auto"/>
          </w:divBdr>
        </w:div>
      </w:divsChild>
    </w:div>
    <w:div w:id="208029471">
      <w:bodyDiv w:val="1"/>
      <w:marLeft w:val="0"/>
      <w:marRight w:val="0"/>
      <w:marTop w:val="0"/>
      <w:marBottom w:val="0"/>
      <w:divBdr>
        <w:top w:val="none" w:sz="0" w:space="0" w:color="auto"/>
        <w:left w:val="none" w:sz="0" w:space="0" w:color="auto"/>
        <w:bottom w:val="none" w:sz="0" w:space="0" w:color="auto"/>
        <w:right w:val="none" w:sz="0" w:space="0" w:color="auto"/>
      </w:divBdr>
    </w:div>
    <w:div w:id="226498126">
      <w:bodyDiv w:val="1"/>
      <w:marLeft w:val="0"/>
      <w:marRight w:val="0"/>
      <w:marTop w:val="0"/>
      <w:marBottom w:val="0"/>
      <w:divBdr>
        <w:top w:val="none" w:sz="0" w:space="0" w:color="auto"/>
        <w:left w:val="none" w:sz="0" w:space="0" w:color="auto"/>
        <w:bottom w:val="none" w:sz="0" w:space="0" w:color="auto"/>
        <w:right w:val="none" w:sz="0" w:space="0" w:color="auto"/>
      </w:divBdr>
    </w:div>
    <w:div w:id="264965322">
      <w:bodyDiv w:val="1"/>
      <w:marLeft w:val="0"/>
      <w:marRight w:val="0"/>
      <w:marTop w:val="0"/>
      <w:marBottom w:val="0"/>
      <w:divBdr>
        <w:top w:val="none" w:sz="0" w:space="0" w:color="auto"/>
        <w:left w:val="none" w:sz="0" w:space="0" w:color="auto"/>
        <w:bottom w:val="none" w:sz="0" w:space="0" w:color="auto"/>
        <w:right w:val="none" w:sz="0" w:space="0" w:color="auto"/>
      </w:divBdr>
    </w:div>
    <w:div w:id="280306099">
      <w:bodyDiv w:val="1"/>
      <w:marLeft w:val="0"/>
      <w:marRight w:val="0"/>
      <w:marTop w:val="0"/>
      <w:marBottom w:val="0"/>
      <w:divBdr>
        <w:top w:val="none" w:sz="0" w:space="0" w:color="auto"/>
        <w:left w:val="none" w:sz="0" w:space="0" w:color="auto"/>
        <w:bottom w:val="none" w:sz="0" w:space="0" w:color="auto"/>
        <w:right w:val="none" w:sz="0" w:space="0" w:color="auto"/>
      </w:divBdr>
    </w:div>
    <w:div w:id="455755286">
      <w:bodyDiv w:val="1"/>
      <w:marLeft w:val="0"/>
      <w:marRight w:val="0"/>
      <w:marTop w:val="0"/>
      <w:marBottom w:val="0"/>
      <w:divBdr>
        <w:top w:val="none" w:sz="0" w:space="0" w:color="auto"/>
        <w:left w:val="none" w:sz="0" w:space="0" w:color="auto"/>
        <w:bottom w:val="none" w:sz="0" w:space="0" w:color="auto"/>
        <w:right w:val="none" w:sz="0" w:space="0" w:color="auto"/>
      </w:divBdr>
      <w:divsChild>
        <w:div w:id="1960261623">
          <w:marLeft w:val="0"/>
          <w:marRight w:val="0"/>
          <w:marTop w:val="0"/>
          <w:marBottom w:val="0"/>
          <w:divBdr>
            <w:top w:val="none" w:sz="0" w:space="0" w:color="auto"/>
            <w:left w:val="none" w:sz="0" w:space="0" w:color="auto"/>
            <w:bottom w:val="none" w:sz="0" w:space="0" w:color="auto"/>
            <w:right w:val="none" w:sz="0" w:space="0" w:color="auto"/>
          </w:divBdr>
        </w:div>
      </w:divsChild>
    </w:div>
    <w:div w:id="509568559">
      <w:bodyDiv w:val="1"/>
      <w:marLeft w:val="0"/>
      <w:marRight w:val="0"/>
      <w:marTop w:val="0"/>
      <w:marBottom w:val="0"/>
      <w:divBdr>
        <w:top w:val="none" w:sz="0" w:space="0" w:color="auto"/>
        <w:left w:val="none" w:sz="0" w:space="0" w:color="auto"/>
        <w:bottom w:val="none" w:sz="0" w:space="0" w:color="auto"/>
        <w:right w:val="none" w:sz="0" w:space="0" w:color="auto"/>
      </w:divBdr>
      <w:divsChild>
        <w:div w:id="1230458172">
          <w:marLeft w:val="0"/>
          <w:marRight w:val="0"/>
          <w:marTop w:val="0"/>
          <w:marBottom w:val="0"/>
          <w:divBdr>
            <w:top w:val="none" w:sz="0" w:space="0" w:color="auto"/>
            <w:left w:val="none" w:sz="0" w:space="0" w:color="auto"/>
            <w:bottom w:val="none" w:sz="0" w:space="0" w:color="auto"/>
            <w:right w:val="none" w:sz="0" w:space="0" w:color="auto"/>
          </w:divBdr>
        </w:div>
      </w:divsChild>
    </w:div>
    <w:div w:id="611867385">
      <w:bodyDiv w:val="1"/>
      <w:marLeft w:val="0"/>
      <w:marRight w:val="0"/>
      <w:marTop w:val="0"/>
      <w:marBottom w:val="0"/>
      <w:divBdr>
        <w:top w:val="none" w:sz="0" w:space="0" w:color="auto"/>
        <w:left w:val="none" w:sz="0" w:space="0" w:color="auto"/>
        <w:bottom w:val="none" w:sz="0" w:space="0" w:color="auto"/>
        <w:right w:val="none" w:sz="0" w:space="0" w:color="auto"/>
      </w:divBdr>
    </w:div>
    <w:div w:id="633102631">
      <w:bodyDiv w:val="1"/>
      <w:marLeft w:val="0"/>
      <w:marRight w:val="0"/>
      <w:marTop w:val="0"/>
      <w:marBottom w:val="0"/>
      <w:divBdr>
        <w:top w:val="none" w:sz="0" w:space="0" w:color="auto"/>
        <w:left w:val="none" w:sz="0" w:space="0" w:color="auto"/>
        <w:bottom w:val="none" w:sz="0" w:space="0" w:color="auto"/>
        <w:right w:val="none" w:sz="0" w:space="0" w:color="auto"/>
      </w:divBdr>
    </w:div>
    <w:div w:id="678435686">
      <w:bodyDiv w:val="1"/>
      <w:marLeft w:val="0"/>
      <w:marRight w:val="0"/>
      <w:marTop w:val="0"/>
      <w:marBottom w:val="0"/>
      <w:divBdr>
        <w:top w:val="none" w:sz="0" w:space="0" w:color="auto"/>
        <w:left w:val="none" w:sz="0" w:space="0" w:color="auto"/>
        <w:bottom w:val="none" w:sz="0" w:space="0" w:color="auto"/>
        <w:right w:val="none" w:sz="0" w:space="0" w:color="auto"/>
      </w:divBdr>
    </w:div>
    <w:div w:id="701633840">
      <w:bodyDiv w:val="1"/>
      <w:marLeft w:val="0"/>
      <w:marRight w:val="0"/>
      <w:marTop w:val="0"/>
      <w:marBottom w:val="0"/>
      <w:divBdr>
        <w:top w:val="none" w:sz="0" w:space="0" w:color="auto"/>
        <w:left w:val="none" w:sz="0" w:space="0" w:color="auto"/>
        <w:bottom w:val="none" w:sz="0" w:space="0" w:color="auto"/>
        <w:right w:val="none" w:sz="0" w:space="0" w:color="auto"/>
      </w:divBdr>
      <w:divsChild>
        <w:div w:id="1115755002">
          <w:marLeft w:val="0"/>
          <w:marRight w:val="0"/>
          <w:marTop w:val="0"/>
          <w:marBottom w:val="0"/>
          <w:divBdr>
            <w:top w:val="none" w:sz="0" w:space="0" w:color="auto"/>
            <w:left w:val="none" w:sz="0" w:space="0" w:color="auto"/>
            <w:bottom w:val="none" w:sz="0" w:space="0" w:color="auto"/>
            <w:right w:val="none" w:sz="0" w:space="0" w:color="auto"/>
          </w:divBdr>
        </w:div>
      </w:divsChild>
    </w:div>
    <w:div w:id="968437657">
      <w:bodyDiv w:val="1"/>
      <w:marLeft w:val="0"/>
      <w:marRight w:val="0"/>
      <w:marTop w:val="0"/>
      <w:marBottom w:val="0"/>
      <w:divBdr>
        <w:top w:val="none" w:sz="0" w:space="0" w:color="auto"/>
        <w:left w:val="none" w:sz="0" w:space="0" w:color="auto"/>
        <w:bottom w:val="none" w:sz="0" w:space="0" w:color="auto"/>
        <w:right w:val="none" w:sz="0" w:space="0" w:color="auto"/>
      </w:divBdr>
    </w:div>
    <w:div w:id="1028720796">
      <w:bodyDiv w:val="1"/>
      <w:marLeft w:val="0"/>
      <w:marRight w:val="0"/>
      <w:marTop w:val="0"/>
      <w:marBottom w:val="0"/>
      <w:divBdr>
        <w:top w:val="none" w:sz="0" w:space="0" w:color="auto"/>
        <w:left w:val="none" w:sz="0" w:space="0" w:color="auto"/>
        <w:bottom w:val="none" w:sz="0" w:space="0" w:color="auto"/>
        <w:right w:val="none" w:sz="0" w:space="0" w:color="auto"/>
      </w:divBdr>
    </w:div>
    <w:div w:id="1160998575">
      <w:bodyDiv w:val="1"/>
      <w:marLeft w:val="0"/>
      <w:marRight w:val="0"/>
      <w:marTop w:val="0"/>
      <w:marBottom w:val="0"/>
      <w:divBdr>
        <w:top w:val="none" w:sz="0" w:space="0" w:color="auto"/>
        <w:left w:val="none" w:sz="0" w:space="0" w:color="auto"/>
        <w:bottom w:val="none" w:sz="0" w:space="0" w:color="auto"/>
        <w:right w:val="none" w:sz="0" w:space="0" w:color="auto"/>
      </w:divBdr>
    </w:div>
    <w:div w:id="1264723689">
      <w:bodyDiv w:val="1"/>
      <w:marLeft w:val="0"/>
      <w:marRight w:val="0"/>
      <w:marTop w:val="0"/>
      <w:marBottom w:val="0"/>
      <w:divBdr>
        <w:top w:val="none" w:sz="0" w:space="0" w:color="auto"/>
        <w:left w:val="none" w:sz="0" w:space="0" w:color="auto"/>
        <w:bottom w:val="none" w:sz="0" w:space="0" w:color="auto"/>
        <w:right w:val="none" w:sz="0" w:space="0" w:color="auto"/>
      </w:divBdr>
      <w:divsChild>
        <w:div w:id="1060666535">
          <w:marLeft w:val="0"/>
          <w:marRight w:val="0"/>
          <w:marTop w:val="0"/>
          <w:marBottom w:val="0"/>
          <w:divBdr>
            <w:top w:val="none" w:sz="0" w:space="0" w:color="auto"/>
            <w:left w:val="none" w:sz="0" w:space="0" w:color="auto"/>
            <w:bottom w:val="none" w:sz="0" w:space="0" w:color="auto"/>
            <w:right w:val="none" w:sz="0" w:space="0" w:color="auto"/>
          </w:divBdr>
        </w:div>
      </w:divsChild>
    </w:div>
    <w:div w:id="1312441649">
      <w:bodyDiv w:val="1"/>
      <w:marLeft w:val="0"/>
      <w:marRight w:val="0"/>
      <w:marTop w:val="0"/>
      <w:marBottom w:val="0"/>
      <w:divBdr>
        <w:top w:val="none" w:sz="0" w:space="0" w:color="auto"/>
        <w:left w:val="none" w:sz="0" w:space="0" w:color="auto"/>
        <w:bottom w:val="none" w:sz="0" w:space="0" w:color="auto"/>
        <w:right w:val="none" w:sz="0" w:space="0" w:color="auto"/>
      </w:divBdr>
    </w:div>
    <w:div w:id="1423801298">
      <w:bodyDiv w:val="1"/>
      <w:marLeft w:val="0"/>
      <w:marRight w:val="0"/>
      <w:marTop w:val="0"/>
      <w:marBottom w:val="0"/>
      <w:divBdr>
        <w:top w:val="none" w:sz="0" w:space="0" w:color="auto"/>
        <w:left w:val="none" w:sz="0" w:space="0" w:color="auto"/>
        <w:bottom w:val="none" w:sz="0" w:space="0" w:color="auto"/>
        <w:right w:val="none" w:sz="0" w:space="0" w:color="auto"/>
      </w:divBdr>
    </w:div>
    <w:div w:id="1454323728">
      <w:bodyDiv w:val="1"/>
      <w:marLeft w:val="0"/>
      <w:marRight w:val="0"/>
      <w:marTop w:val="0"/>
      <w:marBottom w:val="0"/>
      <w:divBdr>
        <w:top w:val="none" w:sz="0" w:space="0" w:color="auto"/>
        <w:left w:val="none" w:sz="0" w:space="0" w:color="auto"/>
        <w:bottom w:val="none" w:sz="0" w:space="0" w:color="auto"/>
        <w:right w:val="none" w:sz="0" w:space="0" w:color="auto"/>
      </w:divBdr>
    </w:div>
    <w:div w:id="1513760974">
      <w:bodyDiv w:val="1"/>
      <w:marLeft w:val="0"/>
      <w:marRight w:val="0"/>
      <w:marTop w:val="0"/>
      <w:marBottom w:val="0"/>
      <w:divBdr>
        <w:top w:val="none" w:sz="0" w:space="0" w:color="auto"/>
        <w:left w:val="none" w:sz="0" w:space="0" w:color="auto"/>
        <w:bottom w:val="none" w:sz="0" w:space="0" w:color="auto"/>
        <w:right w:val="none" w:sz="0" w:space="0" w:color="auto"/>
      </w:divBdr>
    </w:div>
    <w:div w:id="1628120425">
      <w:bodyDiv w:val="1"/>
      <w:marLeft w:val="0"/>
      <w:marRight w:val="0"/>
      <w:marTop w:val="0"/>
      <w:marBottom w:val="0"/>
      <w:divBdr>
        <w:top w:val="none" w:sz="0" w:space="0" w:color="auto"/>
        <w:left w:val="none" w:sz="0" w:space="0" w:color="auto"/>
        <w:bottom w:val="none" w:sz="0" w:space="0" w:color="auto"/>
        <w:right w:val="none" w:sz="0" w:space="0" w:color="auto"/>
      </w:divBdr>
    </w:div>
    <w:div w:id="1767537442">
      <w:bodyDiv w:val="1"/>
      <w:marLeft w:val="0"/>
      <w:marRight w:val="0"/>
      <w:marTop w:val="0"/>
      <w:marBottom w:val="0"/>
      <w:divBdr>
        <w:top w:val="none" w:sz="0" w:space="0" w:color="auto"/>
        <w:left w:val="none" w:sz="0" w:space="0" w:color="auto"/>
        <w:bottom w:val="none" w:sz="0" w:space="0" w:color="auto"/>
        <w:right w:val="none" w:sz="0" w:space="0" w:color="auto"/>
      </w:divBdr>
    </w:div>
    <w:div w:id="1789663997">
      <w:bodyDiv w:val="1"/>
      <w:marLeft w:val="0"/>
      <w:marRight w:val="0"/>
      <w:marTop w:val="0"/>
      <w:marBottom w:val="0"/>
      <w:divBdr>
        <w:top w:val="none" w:sz="0" w:space="0" w:color="auto"/>
        <w:left w:val="none" w:sz="0" w:space="0" w:color="auto"/>
        <w:bottom w:val="none" w:sz="0" w:space="0" w:color="auto"/>
        <w:right w:val="none" w:sz="0" w:space="0" w:color="auto"/>
      </w:divBdr>
    </w:div>
    <w:div w:id="1857421930">
      <w:bodyDiv w:val="1"/>
      <w:marLeft w:val="0"/>
      <w:marRight w:val="0"/>
      <w:marTop w:val="0"/>
      <w:marBottom w:val="0"/>
      <w:divBdr>
        <w:top w:val="none" w:sz="0" w:space="0" w:color="auto"/>
        <w:left w:val="none" w:sz="0" w:space="0" w:color="auto"/>
        <w:bottom w:val="none" w:sz="0" w:space="0" w:color="auto"/>
        <w:right w:val="none" w:sz="0" w:space="0" w:color="auto"/>
      </w:divBdr>
    </w:div>
    <w:div w:id="208498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uropa.eu/transparency-register/index_en.ht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Eur11</b:Tag>
    <b:SourceType>InternetSite</b:SourceType>
    <b:Guid>{0A8C210A-44B0-4D48-AF43-B522A5B71714}</b:Guid>
    <b:InternetSiteTitle>Europarl.europa.eu</b:InternetSiteTitle>
    <b:YearAccessed>2011</b:YearAccessed>
    <b:MonthAccessed>listopadu</b:MonthAccessed>
    <b:DayAccessed>20</b:DayAccessed>
    <b:URL>http://www.europarl.europa.eu/parliament/expert/staticDisplay.do?language=CS&amp;id=65</b:URL>
    <b:Title>Představitelé zájmových skupin v EP</b:Title>
    <b:RefOrder>1</b:RefOrder>
  </b:Source>
  <b:Source>
    <b:Tag>PIT11</b:Tag>
    <b:SourceType>JournalArticle</b:SourceType>
    <b:Guid>{FDADEABD-59BD-4CA8-8148-2FFFA2638D7A}</b:Guid>
    <b:Title>Rejstřík zástupců zájmových skupin Evropské komise: očekávání a skutečnost</b:Title>
    <b:Year>3/2011</b:Year>
    <b:PeriodicalTitle>Politologický časopis</b:PeriodicalTitle>
    <b:Author>
      <b:Author>
        <b:NameList>
          <b:Person>
            <b:Last>PITROVÁ</b:Last>
            <b:First>Markéta</b:First>
          </b:Person>
          <b:Person>
            <b:Last>ZATLOUKALOVÁ</b:Last>
            <b:First>Jana</b:First>
          </b:Person>
        </b:NameList>
      </b:Author>
    </b:Author>
    <b:JournalName>Politologický časopis</b:JournalName>
    <b:Pages>274-299</b:Pages>
    <b:RefOrder>2</b:RefOrder>
  </b:Source>
  <b:Source>
    <b:Tag>PIT10</b:Tag>
    <b:SourceType>JournalArticle</b:SourceType>
    <b:Guid>{37E1D20E-1F60-41CB-8F52-65333CAEA561}</b:Guid>
    <b:Title>Regulace procesu prosazování zájmů v Evropksé unii: Lobbistické kodexy chování</b:Title>
    <b:JournalName>Mezinárodní vztahy</b:JournalName>
    <b:Year>3/2010</b:Year>
    <b:Pages>30-54</b:Pages>
    <b:Author>
      <b:Author>
        <b:NameList>
          <b:Person>
            <b:Last>PITROVÁ</b:Last>
            <b:First>Markéta</b:First>
          </b:Person>
          <b:Person>
            <b:Last>KUBOVÁ</b:Last>
            <b:First>Radana</b:First>
          </b:Person>
        </b:NameList>
      </b:Author>
    </b:Author>
    <b:RefOrder>3</b:RefOrder>
  </b:Source>
  <b:Source>
    <b:Tag>LEH03</b:Tag>
    <b:SourceType>Misc</b:SourceType>
    <b:Guid>{5929A54E-F016-48D9-84BC-0CB1FBBCFBF3}</b:Guid>
    <b:Title>Lobbying in the European Union: Current Rules and Practices</b:Title>
    <b:Year>2003</b:Year>
    <b:Publisher>Evropský parlament - DG for Research</b:Publisher>
    <b:PublicationTitle>Working Paper</b:PublicationTitle>
    <b:Author>
      <b:Author>
        <b:NameList>
          <b:Person>
            <b:Last>LEHMANN</b:Last>
            <b:First>Wilhelm</b:First>
          </b:Person>
          <b:Person>
            <b:Last>BOSCHE</b:Last>
            <b:First>Lars</b:First>
          </b:Person>
        </b:NameList>
      </b:Author>
    </b:Author>
    <b:RefOrder>4</b:RefOrder>
  </b:Source>
  <b:Source>
    <b:Tag>KRE</b:Tag>
    <b:SourceType>ElectronicSource</b:SourceType>
    <b:Guid>{B6364280-1FA9-4983-AD70-61C5387D19CC}</b:Guid>
    <b:Title>Enhancing Transparency in EU Lobbying? How the European Commission’s Lack of Courage and Determination Impedes Substantial Progress</b:Title>
    <b:Author>
      <b:Author>
        <b:NameList>
          <b:Person>
            <b:Last>KRETSCHMER</b:Last>
            <b:First>Heiko</b:First>
          </b:Person>
          <b:Person>
            <b:Last>SCHMEDES</b:Last>
            <b:First>Hans-Jörg</b:First>
          </b:Person>
        </b:NameList>
      </b:Author>
    </b:Author>
    <b:RefOrder>5</b:RefOrder>
  </b:Source>
  <b:Source>
    <b:Tag>Mül10</b:Tag>
    <b:SourceType>Book</b:SourceType>
    <b:Guid>{56ACA3AE-DD0E-451F-9359-08571C3004EF}</b:Guid>
    <b:Title>Lobbing v moderních demokraciích</b:Title>
    <b:Year>2010</b:Year>
    <b:City>Praha</b:City>
    <b:Publisher>Grada Publishing</b:Publisher>
    <b:Author>
      <b:Author>
        <b:NameList>
          <b:Person>
            <b:Last>MÜLLER</b:Last>
            <b:First>Karel</b:First>
            <b:Middle>B.</b:Middle>
          </b:Person>
        </b:NameList>
      </b:Author>
    </b:Author>
    <b:RefOrder>6</b:RefOrder>
  </b:Source>
  <b:Source>
    <b:Tag>COE07</b:Tag>
    <b:SourceType>ArticleInAPeriodical</b:SourceType>
    <b:Guid>{CDA34723-7FB8-45E8-A539-6EF9C3E09931}</b:Guid>
    <b:Title>Empirical and Theoretical Studies in EU Lobbying</b:Title>
    <b:Year>2007</b:Year>
    <b:Author>
      <b:Author>
        <b:NameList>
          <b:Person>
            <b:Last>COEN</b:Last>
            <b:First>David</b:First>
          </b:Person>
        </b:NameList>
      </b:Author>
    </b:Author>
    <b:PeriodicalTitle>Journal of European Public Policy</b:PeriodicalTitle>
    <b:Volume>14</b:Volume>
    <b:Issue>3</b:Issue>
    <b:Pages>333-345</b:Pages>
    <b:RefOrder>7</b:RefOrder>
  </b:Source>
  <b:Source>
    <b:Tag>COE071</b:Tag>
    <b:SourceType>ElectronicSource</b:SourceType>
    <b:Guid>{D7E6E7DC-B829-4CA2-8B90-D66D1CE4A291}</b:Guid>
    <b:Title>Lobbying in the European Union</b:Title>
    <b:Year>2007</b:Year>
    <b:Author>
      <b:Author>
        <b:NameList>
          <b:Person>
            <b:Last>COEN</b:Last>
            <b:First>David</b:First>
          </b:Person>
        </b:NameList>
      </b:Author>
    </b:Author>
    <b:City>Brusel</b:City>
    <b:ProductionCompany>Evropský parlament</b:ProductionCompany>
    <b:Medium>Instruktážní dokument</b:Medium>
    <b:RefOrder>8</b:RefOrder>
  </b:Source>
  <b:Source>
    <b:Tag>BOU02</b:Tag>
    <b:SourceType>ElectronicSource</b:SourceType>
    <b:Guid>{8A79585F-EF42-4622-8A1C-3AFCF7AE8A18}</b:Guid>
    <b:Title>A Comparative Study of Business Lobbying in the European Parliament, the European Commission and the Council of Ministers</b:Title>
    <b:Year>2002</b:Year>
    <b:City>Kolín nad Rýnem</b:City>
    <b:ProductionCompany>Max-Planck-Institut für Gesellschaftsforschung</b:ProductionCompany>
    <b:Author>
      <b:Author>
        <b:NameList>
          <b:Person>
            <b:Last>BOUWEN</b:Last>
            <b:First>Pieter</b:First>
          </b:Person>
        </b:NameList>
      </b:Author>
    </b:Author>
    <b:Medium>Diskuzní dokument</b:Medium>
    <b:RefOrder>9</b:RefOrder>
  </b:Source>
  <b:Source>
    <b:Tag>CHA05</b:Tag>
    <b:SourceType>ElectronicSource</b:SourceType>
    <b:Guid>{94BAB19C-51F2-4FB3-8D9C-42A51F01E863}</b:Guid>
    <b:Author>
      <b:Author>
        <b:NameList>
          <b:Person>
            <b:Last>CHARRAD</b:Last>
            <b:First>Kristina</b:First>
          </b:Person>
        </b:NameList>
      </b:Author>
    </b:Author>
    <b:Title>Lobbying the European Union</b:Title>
    <b:City>Münster</b:City>
    <b:ProductionCompany>Westfälische Wilhelms-Universität</b:ProductionCompany>
    <b:Year>2005</b:Year>
    <b:RefOrder>10</b:RefOrder>
  </b:Source>
  <b:Source>
    <b:Tag>LAB11</b:Tag>
    <b:SourceType>ArticleInAPeriodical</b:SourceType>
    <b:Guid>{6239ED91-80F4-4B40-8E17-140866ADD5CF}</b:Guid>
    <b:Title>Transparentnost lobbingu v EU: mírný pokrok v mezích zájmů průmyslové lobby</b:Title>
    <b:Year>2011</b:Year>
    <b:Author>
      <b:Author>
        <b:NameList>
          <b:Person>
            <b:Last>LABOUTKOVÁ</b:Last>
            <b:First>Šárka</b:First>
          </b:Person>
        </b:NameList>
      </b:Author>
    </b:Author>
    <b:PeriodicalTitle>Ekonomické listy</b:PeriodicalTitle>
    <b:Issue>3</b:Issue>
    <b:RefOrder>11</b:RefOrder>
  </b:Source>
  <b:Source>
    <b:Tag>RAS11</b:Tag>
    <b:SourceType>ElectronicSource</b:SourceType>
    <b:Guid>{011FC8AC-3257-4475-A3DA-C219A9146BD8}</b:Guid>
    <b:Title>Lobbying in the European Parliament: A Necessary Evil</b:Title>
    <b:Year>2011</b:Year>
    <b:Author>
      <b:Author>
        <b:NameList>
          <b:Person>
            <b:Last>RASMUSSEN</b:Last>
            <b:First>Maja</b:First>
            <b:Middle>Kluger</b:Middle>
          </b:Person>
        </b:NameList>
      </b:Author>
    </b:Author>
    <b:ProductionCompany>CEPS</b:ProductionCompany>
    <b:City>Brussels</b:City>
    <b:RefOrder>12</b:RefOrder>
  </b:Source>
</b:Sources>
</file>

<file path=customXml/itemProps1.xml><?xml version="1.0" encoding="utf-8"?>
<ds:datastoreItem xmlns:ds="http://schemas.openxmlformats.org/officeDocument/2006/customXml" ds:itemID="{65490544-5AFE-4ADD-ACEB-304537508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73</Pages>
  <Words>19934</Words>
  <Characters>117612</Characters>
  <Application>Microsoft Office Word</Application>
  <DocSecurity>0</DocSecurity>
  <Lines>980</Lines>
  <Paragraphs>274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137272</CharactersWithSpaces>
  <SharedDoc>false</SharedDoc>
  <HLinks>
    <vt:vector size="6" baseType="variant">
      <vt:variant>
        <vt:i4>8061007</vt:i4>
      </vt:variant>
      <vt:variant>
        <vt:i4>114</vt:i4>
      </vt:variant>
      <vt:variant>
        <vt:i4>0</vt:i4>
      </vt:variant>
      <vt:variant>
        <vt:i4>5</vt:i4>
      </vt:variant>
      <vt:variant>
        <vt:lpwstr>http://europa.eu/transparency-register/index_en.htm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Mehmed</dc:creator>
  <cp:lastModifiedBy>Mehmed</cp:lastModifiedBy>
  <cp:revision>14</cp:revision>
  <cp:lastPrinted>2012-07-14T12:30:00Z</cp:lastPrinted>
  <dcterms:created xsi:type="dcterms:W3CDTF">2012-07-09T19:40:00Z</dcterms:created>
  <dcterms:modified xsi:type="dcterms:W3CDTF">2012-07-14T12:30:00Z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false</vt:lpwstr>
  </property>
  <property fmtid="{D5CDD505-2E9C-101B-9397-08002B2CF9AE}" pid="3" name="Google.Documents.DocumentId">
    <vt:lpwstr>1apRIpnXZeM376fbdeh5KPONO8r0712ImScFeiM98MxI</vt:lpwstr>
  </property>
  <property fmtid="{D5CDD505-2E9C-101B-9397-08002B2CF9AE}" pid="4" name="Google.Documents.RevisionId">
    <vt:lpwstr>09966647731570501743</vt:lpwstr>
  </property>
  <property fmtid="{D5CDD505-2E9C-101B-9397-08002B2CF9AE}" pid="5" name="Google.Documents.PreviousRevisionId">
    <vt:lpwstr>08002995522532959574</vt:lpwstr>
  </property>
  <property fmtid="{D5CDD505-2E9C-101B-9397-08002B2CF9AE}" pid="6" name="Google.Documents.PluginVersion">
    <vt:lpwstr>2.0.2424.7283</vt:lpwstr>
  </property>
  <property fmtid="{D5CDD505-2E9C-101B-9397-08002B2CF9AE}" pid="7" name="Google.Documents.MergeIncapabilityFlags">
    <vt:i4>0</vt:i4>
  </property>
</Properties>
</file>