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43DA5060" w14:textId="77777777" w:rsidTr="00077793">
        <w:trPr>
          <w:trHeight w:val="5806"/>
        </w:trPr>
        <w:tc>
          <w:tcPr>
            <w:tcW w:w="8493" w:type="dxa"/>
          </w:tcPr>
          <w:p w14:paraId="5D1B50F4" w14:textId="6AF8961F" w:rsidR="00887F71" w:rsidRDefault="00206AA7" w:rsidP="00887F71">
            <w:pPr>
              <w:pStyle w:val="Titulka"/>
            </w:pPr>
            <w:r>
              <w:t xml:space="preserve"> N </w:t>
            </w:r>
            <w:r w:rsidR="00887F71">
              <w:t>Univerzita Palackého v Olomouci</w:t>
            </w:r>
          </w:p>
          <w:p w14:paraId="7BFD98AC" w14:textId="77777777" w:rsidR="00887F71" w:rsidRDefault="00887F71" w:rsidP="00887F71">
            <w:pPr>
              <w:pStyle w:val="Titulka"/>
            </w:pPr>
            <w:r>
              <w:t>Fakulta tělesné kultury</w:t>
            </w:r>
          </w:p>
          <w:p w14:paraId="4AD6FE3D" w14:textId="77777777" w:rsidR="00887F71" w:rsidRDefault="00887F71" w:rsidP="00887F71">
            <w:pPr>
              <w:pStyle w:val="Titulka"/>
            </w:pPr>
          </w:p>
          <w:p w14:paraId="34E43876" w14:textId="77777777" w:rsidR="00887F71" w:rsidRDefault="00887F71" w:rsidP="00887F71">
            <w:pPr>
              <w:pStyle w:val="Titulka"/>
            </w:pPr>
            <w:r>
              <w:rPr>
                <w:noProof/>
              </w:rPr>
              <w:drawing>
                <wp:anchor distT="0" distB="0" distL="114300" distR="114300" simplePos="0" relativeHeight="251660288" behindDoc="0" locked="0" layoutInCell="1" allowOverlap="1" wp14:anchorId="02F8C999" wp14:editId="1D5AAD1A">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3256D997" w14:textId="77777777" w:rsidR="00887F71" w:rsidRDefault="00887F71" w:rsidP="00887F71">
            <w:pPr>
              <w:pStyle w:val="Titulka"/>
            </w:pPr>
          </w:p>
          <w:p w14:paraId="48E63DB6" w14:textId="77777777" w:rsidR="00887F71" w:rsidRDefault="00887F71" w:rsidP="00887F71">
            <w:pPr>
              <w:pStyle w:val="Titulka"/>
            </w:pPr>
          </w:p>
        </w:tc>
      </w:tr>
      <w:tr w:rsidR="00887F71" w14:paraId="211AA96A" w14:textId="77777777" w:rsidTr="00077793">
        <w:trPr>
          <w:trHeight w:val="2131"/>
        </w:trPr>
        <w:tc>
          <w:tcPr>
            <w:tcW w:w="8493" w:type="dxa"/>
          </w:tcPr>
          <w:sdt>
            <w:sdtPr>
              <w:id w:val="1968161073"/>
              <w:lock w:val="sdtLocked"/>
              <w:placeholder>
                <w:docPart w:val="10755E8F638A4FBCA067AC8DE71C90BC"/>
              </w:placeholder>
              <w15:appearance w15:val="hidden"/>
              <w:text w:multiLine="1"/>
            </w:sdtPr>
            <w:sdtContent>
              <w:p w14:paraId="294A43E0" w14:textId="38F185F7" w:rsidR="00887F71" w:rsidRDefault="00AC3A7B" w:rsidP="00077793">
                <w:pPr>
                  <w:pStyle w:val="TitulkaNazev"/>
                </w:pPr>
                <w:r>
                  <w:t>Databáze bojovýchchemických látek</w:t>
                </w:r>
              </w:p>
            </w:sdtContent>
          </w:sdt>
        </w:tc>
      </w:tr>
      <w:tr w:rsidR="00887F71" w14:paraId="7A37BB3F" w14:textId="77777777" w:rsidTr="00887F71">
        <w:tc>
          <w:tcPr>
            <w:tcW w:w="8493" w:type="dxa"/>
          </w:tcPr>
          <w:sdt>
            <w:sdtPr>
              <w:id w:val="-576523871"/>
              <w:lock w:val="sdtLocked"/>
              <w:placeholder>
                <w:docPart w:val="39763D21438A4C719F1678F7DED71F8D"/>
              </w:placeholder>
              <w:dropDownList>
                <w:listItem w:displayText="Bakalářská práce" w:value="Bakalářská práce"/>
                <w:listItem w:displayText="Diplomová práce" w:value="Diplomová práce"/>
                <w:listItem w:displayText="Disertační práce" w:value="Disertační práce"/>
              </w:dropDownList>
            </w:sdtPr>
            <w:sdtContent>
              <w:p w14:paraId="16E21476" w14:textId="76BC082B" w:rsidR="00887F71" w:rsidRDefault="00AC3A7B" w:rsidP="00077793">
                <w:pPr>
                  <w:pStyle w:val="Titulka"/>
                </w:pPr>
                <w:r>
                  <w:t>Diplomová práce</w:t>
                </w:r>
              </w:p>
            </w:sdtContent>
          </w:sdt>
        </w:tc>
      </w:tr>
      <w:tr w:rsidR="00887F71" w14:paraId="3398CF93" w14:textId="77777777" w:rsidTr="00077793">
        <w:trPr>
          <w:trHeight w:val="5288"/>
        </w:trPr>
        <w:tc>
          <w:tcPr>
            <w:tcW w:w="8493" w:type="dxa"/>
            <w:vAlign w:val="bottom"/>
          </w:tcPr>
          <w:p w14:paraId="47174B8F" w14:textId="133A763C" w:rsidR="00077793" w:rsidRDefault="00077793" w:rsidP="00077793">
            <w:pPr>
              <w:pStyle w:val="Titulka"/>
            </w:pPr>
            <w:r>
              <w:t xml:space="preserve">Autor: </w:t>
            </w:r>
            <w:sdt>
              <w:sdtPr>
                <w:id w:val="-370068702"/>
                <w:lock w:val="sdtLocked"/>
                <w:placeholder>
                  <w:docPart w:val="DD3F8F3F9F874FB5BDE3FF47121A08ED"/>
                </w:placeholder>
                <w15:appearance w15:val="hidden"/>
                <w:text/>
              </w:sdtPr>
              <w:sdtContent>
                <w:r w:rsidR="00AC3A7B">
                  <w:t>Bc. Sylva Pašková</w:t>
                </w:r>
              </w:sdtContent>
            </w:sdt>
          </w:p>
          <w:p w14:paraId="63BA8789" w14:textId="3D4B0F01" w:rsidR="00077793" w:rsidRPr="00AC3A7B" w:rsidRDefault="00077793" w:rsidP="00077793">
            <w:pPr>
              <w:pStyle w:val="Titulka"/>
              <w:rPr>
                <w:szCs w:val="28"/>
              </w:rPr>
            </w:pPr>
            <w:r>
              <w:t>Studijní program</w:t>
            </w:r>
            <w:r w:rsidRPr="00AC3A7B">
              <w:rPr>
                <w:szCs w:val="28"/>
              </w:rPr>
              <w:t xml:space="preserve">: </w:t>
            </w:r>
            <w:sdt>
              <w:sdtPr>
                <w:rPr>
                  <w:rFonts w:eastAsiaTheme="minorEastAsia"/>
                  <w:szCs w:val="28"/>
                  <w:lang w:val="cs-CZ" w:eastAsia="en-US"/>
                </w:rPr>
                <w:id w:val="-570425049"/>
                <w:lock w:val="sdtLocked"/>
                <w:placeholder>
                  <w:docPart w:val="24FB8B9E05F94EBB841A03E255B44C4B"/>
                </w:placeholder>
                <w15:appearance w15:val="hidden"/>
                <w:text/>
              </w:sdtPr>
              <w:sdtContent>
                <w:r w:rsidR="00AC3A7B" w:rsidRPr="00AC3A7B">
                  <w:rPr>
                    <w:rFonts w:eastAsiaTheme="minorEastAsia"/>
                    <w:szCs w:val="28"/>
                    <w:lang w:val="cs-CZ" w:eastAsia="en-US"/>
                  </w:rPr>
                  <w:t>Učitelství tělesné výchovy pro 2. stupeň ZŠ a SŠ a ochrana obyvatelstva</w:t>
                </w:r>
              </w:sdtContent>
            </w:sdt>
          </w:p>
          <w:p w14:paraId="05EE83C4" w14:textId="4699617E" w:rsidR="00077793" w:rsidRDefault="00077793" w:rsidP="00077793">
            <w:pPr>
              <w:pStyle w:val="Titulka"/>
            </w:pPr>
            <w:r>
              <w:t>Vedoucí práce</w:t>
            </w:r>
            <w:r w:rsidRPr="00AC3A7B">
              <w:rPr>
                <w:szCs w:val="28"/>
              </w:rPr>
              <w:t xml:space="preserve">: </w:t>
            </w:r>
            <w:sdt>
              <w:sdtPr>
                <w:rPr>
                  <w:szCs w:val="28"/>
                </w:rPr>
                <w:id w:val="1851834304"/>
                <w:lock w:val="sdtLocked"/>
                <w:placeholder>
                  <w:docPart w:val="8A0C15AAB2AD47E4B1041139FD77E935"/>
                </w:placeholder>
                <w15:appearance w15:val="hidden"/>
                <w:text/>
              </w:sdtPr>
              <w:sdtContent>
                <w:r w:rsidR="00AC3A7B" w:rsidRPr="00AC3A7B">
                  <w:rPr>
                    <w:szCs w:val="28"/>
                  </w:rPr>
                  <w:t>prof. Ing. Pavel Otřísal, Ph.D., MBA</w:t>
                </w:r>
              </w:sdtContent>
            </w:sdt>
          </w:p>
          <w:p w14:paraId="2A41A662" w14:textId="0FE37DE6" w:rsidR="00887F71" w:rsidRDefault="00077793" w:rsidP="00077793">
            <w:pPr>
              <w:pStyle w:val="Titulka"/>
            </w:pPr>
            <w:r>
              <w:t xml:space="preserve">Olomouc </w:t>
            </w:r>
            <w:sdt>
              <w:sdtPr>
                <w:id w:val="-2146952530"/>
                <w:lock w:val="sdtLocked"/>
                <w:placeholder>
                  <w:docPart w:val="0E7AE681EA39472EB0D69DA8B8F32179"/>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AC3A7B">
                  <w:t>2025</w:t>
                </w:r>
              </w:sdtContent>
            </w:sdt>
          </w:p>
        </w:tc>
      </w:tr>
    </w:tbl>
    <w:p w14:paraId="0860094E"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6751B313"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4DEEF371" w14:textId="77777777" w:rsidTr="00292564">
        <w:tc>
          <w:tcPr>
            <w:tcW w:w="1843" w:type="dxa"/>
          </w:tcPr>
          <w:p w14:paraId="444FD384" w14:textId="77777777" w:rsidR="001A057F" w:rsidRDefault="001A057F" w:rsidP="005C6624">
            <w:pPr>
              <w:pStyle w:val="BiblioNadpis"/>
            </w:pPr>
            <w:bookmarkStart w:id="0" w:name="_Hlk78549238"/>
            <w:r>
              <w:t>Jméno autora:</w:t>
            </w:r>
          </w:p>
        </w:tc>
        <w:sdt>
          <w:sdtPr>
            <w:id w:val="612165830"/>
            <w:lock w:val="sdtLocked"/>
            <w:placeholder>
              <w:docPart w:val="B102AEEB5C394CF58D6A8B9E9A5ADE1E"/>
            </w:placeholder>
            <w15:appearance w15:val="hidden"/>
            <w:text/>
          </w:sdtPr>
          <w:sdtContent>
            <w:tc>
              <w:tcPr>
                <w:tcW w:w="6650" w:type="dxa"/>
              </w:tcPr>
              <w:p w14:paraId="45725335" w14:textId="74FB3DEB" w:rsidR="001A057F" w:rsidRDefault="00AC3A7B" w:rsidP="001A057F">
                <w:pPr>
                  <w:pStyle w:val="BiblioText"/>
                </w:pPr>
                <w:r>
                  <w:t>Bc. Sylva Pašková</w:t>
                </w:r>
              </w:p>
            </w:tc>
          </w:sdtContent>
        </w:sdt>
      </w:tr>
      <w:tr w:rsidR="001A057F" w14:paraId="6E2059B7" w14:textId="77777777" w:rsidTr="0026207F">
        <w:trPr>
          <w:trHeight w:val="1210"/>
        </w:trPr>
        <w:tc>
          <w:tcPr>
            <w:tcW w:w="1843" w:type="dxa"/>
          </w:tcPr>
          <w:p w14:paraId="62FE1210" w14:textId="77777777" w:rsidR="001A057F" w:rsidRDefault="001A057F" w:rsidP="005C6624">
            <w:pPr>
              <w:pStyle w:val="BiblioNadpis"/>
            </w:pPr>
            <w:r>
              <w:t>Název práce:</w:t>
            </w:r>
          </w:p>
        </w:tc>
        <w:sdt>
          <w:sdtPr>
            <w:id w:val="-143666939"/>
            <w:lock w:val="sdtLocked"/>
            <w:placeholder>
              <w:docPart w:val="624F0A6BD4B64E4F97811D2F3AF9E05E"/>
            </w:placeholder>
            <w15:appearance w15:val="hidden"/>
            <w:text/>
          </w:sdtPr>
          <w:sdtContent>
            <w:tc>
              <w:tcPr>
                <w:tcW w:w="6650" w:type="dxa"/>
              </w:tcPr>
              <w:p w14:paraId="4807CBC0" w14:textId="01C085F3" w:rsidR="0026207F" w:rsidRDefault="00AC3A7B" w:rsidP="001A057F">
                <w:pPr>
                  <w:pStyle w:val="BiblioText"/>
                </w:pPr>
                <w:r>
                  <w:t>Databáze bojových chemických látek</w:t>
                </w:r>
              </w:p>
            </w:tc>
          </w:sdtContent>
        </w:sdt>
      </w:tr>
      <w:tr w:rsidR="001A057F" w14:paraId="7ACC8F3D" w14:textId="77777777" w:rsidTr="00292564">
        <w:tc>
          <w:tcPr>
            <w:tcW w:w="1843" w:type="dxa"/>
          </w:tcPr>
          <w:p w14:paraId="6A1EC0EE" w14:textId="77777777" w:rsidR="001A057F" w:rsidRDefault="001A057F" w:rsidP="005C6624">
            <w:pPr>
              <w:pStyle w:val="BiblioNadpis"/>
            </w:pPr>
            <w:r>
              <w:t>Vedoucí práce:</w:t>
            </w:r>
          </w:p>
        </w:tc>
        <w:sdt>
          <w:sdtPr>
            <w:id w:val="-934050729"/>
            <w:lock w:val="sdtLocked"/>
            <w:placeholder>
              <w:docPart w:val="04D893B49EB2443FADA70157AF410B2B"/>
            </w:placeholder>
            <w15:appearance w15:val="hidden"/>
            <w:text/>
          </w:sdtPr>
          <w:sdtContent>
            <w:tc>
              <w:tcPr>
                <w:tcW w:w="6650" w:type="dxa"/>
              </w:tcPr>
              <w:p w14:paraId="38DC699D" w14:textId="67E6FFA4" w:rsidR="001A057F" w:rsidRDefault="00AC3A7B" w:rsidP="001A057F">
                <w:pPr>
                  <w:pStyle w:val="BiblioText"/>
                </w:pPr>
                <w:r w:rsidRPr="00AC3A7B">
                  <w:t>prof. Ing. Pavel Otřísal, Ph.D., MBA</w:t>
                </w:r>
              </w:p>
            </w:tc>
          </w:sdtContent>
        </w:sdt>
      </w:tr>
      <w:tr w:rsidR="001A057F" w14:paraId="78A8E230" w14:textId="77777777" w:rsidTr="00292564">
        <w:tc>
          <w:tcPr>
            <w:tcW w:w="1843" w:type="dxa"/>
          </w:tcPr>
          <w:p w14:paraId="14A003E2" w14:textId="77777777" w:rsidR="001A057F" w:rsidRDefault="001A057F" w:rsidP="005C6624">
            <w:pPr>
              <w:pStyle w:val="BiblioNadpis"/>
            </w:pPr>
            <w:r>
              <w:t>Pracoviště:</w:t>
            </w:r>
          </w:p>
        </w:tc>
        <w:sdt>
          <w:sdtPr>
            <w:id w:val="-1096787823"/>
            <w:lock w:val="sdtLocked"/>
            <w:placeholder>
              <w:docPart w:val="D0C26D7F7A97470985983FC59FAC051E"/>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59C1BE28" w14:textId="46D67F3D" w:rsidR="001A057F" w:rsidRDefault="00AC3A7B" w:rsidP="001A057F">
                <w:pPr>
                  <w:pStyle w:val="BiblioText"/>
                </w:pPr>
                <w:r>
                  <w:t>Katedra aplikovaných pohybových aktivit</w:t>
                </w:r>
              </w:p>
            </w:tc>
          </w:sdtContent>
        </w:sdt>
      </w:tr>
      <w:tr w:rsidR="001A057F" w14:paraId="03B7A5AC" w14:textId="77777777" w:rsidTr="00292564">
        <w:tc>
          <w:tcPr>
            <w:tcW w:w="1843" w:type="dxa"/>
          </w:tcPr>
          <w:p w14:paraId="01FA4D98" w14:textId="77777777" w:rsidR="001A057F" w:rsidRDefault="001A057F" w:rsidP="005C6624">
            <w:pPr>
              <w:pStyle w:val="BiblioNadpis"/>
            </w:pPr>
            <w:r>
              <w:t>Rok obhajoby:</w:t>
            </w:r>
          </w:p>
        </w:tc>
        <w:sdt>
          <w:sdtPr>
            <w:id w:val="1319299684"/>
            <w:lock w:val="sdtLocked"/>
            <w:placeholder>
              <w:docPart w:val="BD3C7063C4FE461383258D2718469E76"/>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7A7F60F6" w14:textId="71CB0495" w:rsidR="001A057F" w:rsidRDefault="00AC3A7B" w:rsidP="001A057F">
                <w:pPr>
                  <w:pStyle w:val="BiblioText"/>
                </w:pPr>
                <w:r>
                  <w:t>2025</w:t>
                </w:r>
              </w:p>
            </w:tc>
          </w:sdtContent>
        </w:sdt>
      </w:tr>
      <w:tr w:rsidR="00292564" w14:paraId="4BB2938D" w14:textId="77777777" w:rsidTr="00BE3DE6">
        <w:tc>
          <w:tcPr>
            <w:tcW w:w="8493" w:type="dxa"/>
            <w:gridSpan w:val="2"/>
          </w:tcPr>
          <w:p w14:paraId="375B7C0B" w14:textId="77777777" w:rsidR="00292564" w:rsidRDefault="00292564" w:rsidP="005C6624">
            <w:pPr>
              <w:pStyle w:val="BiblioNadpis"/>
            </w:pPr>
            <w:r>
              <w:t>Abstrakt:</w:t>
            </w:r>
          </w:p>
        </w:tc>
      </w:tr>
      <w:tr w:rsidR="00292564" w14:paraId="773FF0A2" w14:textId="77777777" w:rsidTr="00B10CC5">
        <w:trPr>
          <w:trHeight w:val="5669"/>
        </w:trPr>
        <w:tc>
          <w:tcPr>
            <w:tcW w:w="8493" w:type="dxa"/>
            <w:gridSpan w:val="2"/>
          </w:tcPr>
          <w:p w14:paraId="45153B24" w14:textId="77777777" w:rsidR="00AC3A7B" w:rsidRDefault="00AC3A7B" w:rsidP="00AC3A7B">
            <w:pPr>
              <w:pStyle w:val="BiblioText"/>
            </w:pPr>
            <w:r>
              <w:t>Bojové chemické látky představují vážnou hrozbu pro lidské zdraví a životní prostředí, jejichž destruktivní účinky jsou známé po staletí. Moderní chemické zbraně, jako toxické plyny, jsou extrémně nebezpečné pro člověka i přírodu a jejich zneužití je stále aktuálním rizikem. Tato diplomová práce se zaměřuje na vytvoření přehledné databáze bojových chemických látek, zahrnující jejich chemické, fyzikální a toxikologické vlastnosti, mechanismy účinku, metody detekce a ochrany, včetně legislativního rámce.</w:t>
            </w:r>
          </w:p>
          <w:p w14:paraId="5A8AA500" w14:textId="77777777" w:rsidR="00AC3A7B" w:rsidRDefault="00AC3A7B" w:rsidP="00AC3A7B">
            <w:pPr>
              <w:pStyle w:val="BiblioText"/>
            </w:pPr>
            <w:r>
              <w:t>Databáze bude přístupná prostřednictvím webového rozhraní a umožní odborné i laické veřejnosti snadný přístup k informacím o těchto látkách. Cílem je posílit povědomí o rizicích, prevenci nelegálního využití a zneužití chemických zbraní. Metodika zahrnuje analýzu vědecké literatury, mezinárodních studií a legislativních dokumentů, včetně Úmluvy o chemických zbraních. Informace budou systematicky zpracovány a organizovány pro snadnou identifikaci látek a hodnocení jejich rizik.</w:t>
            </w:r>
          </w:p>
          <w:p w14:paraId="13E8D170" w14:textId="77777777" w:rsidR="00AC3A7B" w:rsidRDefault="00AC3A7B" w:rsidP="00AC3A7B">
            <w:pPr>
              <w:pStyle w:val="BiblioText"/>
            </w:pPr>
            <w:r>
              <w:t>Výsledkem bude funkční databáze obsahující podrobné informace o chemických látkách, jejich strukturách, toxikologických účincích, způsobech ochrany a právních regulacích. Databáze nabídne uživatelsky přívětivé rozhraní, které bude přístupné odborníkům i široké veřejnosti, včetně zdravotnických a bezpečnostních složek. Tento nástroj přispěje k prevenci zneužití chemických zbraní a k celosvětovému úsilí o jejich regulaci a kontrolu.</w:t>
            </w:r>
          </w:p>
          <w:p w14:paraId="1CD37519" w14:textId="2B1A188F" w:rsidR="00B10CC5" w:rsidRDefault="00B10CC5" w:rsidP="00B10CC5">
            <w:pPr>
              <w:pStyle w:val="BiblioText"/>
            </w:pPr>
          </w:p>
        </w:tc>
      </w:tr>
      <w:tr w:rsidR="00292564" w14:paraId="63D2397D" w14:textId="77777777" w:rsidTr="00BE3DE6">
        <w:tc>
          <w:tcPr>
            <w:tcW w:w="8493" w:type="dxa"/>
            <w:gridSpan w:val="2"/>
          </w:tcPr>
          <w:p w14:paraId="6AFF6BAA" w14:textId="77777777" w:rsidR="00292564" w:rsidRDefault="00292564" w:rsidP="005C6624">
            <w:pPr>
              <w:pStyle w:val="BiblioNadpis"/>
            </w:pPr>
            <w:r>
              <w:t>Klíčová slova:</w:t>
            </w:r>
          </w:p>
        </w:tc>
      </w:tr>
      <w:tr w:rsidR="00292564" w14:paraId="43B129D1" w14:textId="77777777" w:rsidTr="00A16FEE">
        <w:trPr>
          <w:trHeight w:val="567"/>
        </w:trPr>
        <w:tc>
          <w:tcPr>
            <w:tcW w:w="8493" w:type="dxa"/>
            <w:gridSpan w:val="2"/>
          </w:tcPr>
          <w:p w14:paraId="12F45D6F" w14:textId="07E1C331" w:rsidR="00A16FEE" w:rsidRDefault="00AC3A7B" w:rsidP="00292564">
            <w:pPr>
              <w:pStyle w:val="BiblioText"/>
            </w:pPr>
            <w:r>
              <w:t>Bojové chemické látky, databáze</w:t>
            </w:r>
            <w:r w:rsidR="002D26D9">
              <w:t xml:space="preserve">, ochrana </w:t>
            </w:r>
            <w:r w:rsidR="002823DD">
              <w:t>obyvatelstva</w:t>
            </w:r>
            <w:r w:rsidR="002D26D9">
              <w:t>, chemické látky, webové stránky</w:t>
            </w:r>
          </w:p>
        </w:tc>
      </w:tr>
      <w:tr w:rsidR="00292564" w14:paraId="0E04E2C3" w14:textId="77777777" w:rsidTr="00A16FEE">
        <w:trPr>
          <w:trHeight w:val="2835"/>
        </w:trPr>
        <w:tc>
          <w:tcPr>
            <w:tcW w:w="8493" w:type="dxa"/>
            <w:gridSpan w:val="2"/>
            <w:vAlign w:val="bottom"/>
          </w:tcPr>
          <w:p w14:paraId="7E9DFD21" w14:textId="77777777" w:rsidR="00292564" w:rsidRPr="00CE1D97" w:rsidRDefault="00292564" w:rsidP="00CE1D97">
            <w:pPr>
              <w:pStyle w:val="BiblioText"/>
            </w:pPr>
          </w:p>
        </w:tc>
      </w:tr>
      <w:tr w:rsidR="00292564" w14:paraId="6DCE9A4D" w14:textId="77777777" w:rsidTr="0026207F">
        <w:trPr>
          <w:trHeight w:val="564"/>
        </w:trPr>
        <w:tc>
          <w:tcPr>
            <w:tcW w:w="8493" w:type="dxa"/>
            <w:gridSpan w:val="2"/>
            <w:vAlign w:val="bottom"/>
          </w:tcPr>
          <w:p w14:paraId="6C7C0B69"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2A027030"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3A96B0CA"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1F377F9A" w14:textId="77777777" w:rsidTr="00BE3DE6">
        <w:tc>
          <w:tcPr>
            <w:tcW w:w="1843" w:type="dxa"/>
          </w:tcPr>
          <w:p w14:paraId="4208F692"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id w:val="446438767"/>
            <w:lock w:val="sdtLocked"/>
            <w:placeholder>
              <w:docPart w:val="E8379230394C4415BE875FE770139230"/>
            </w:placeholder>
            <w15:appearance w15:val="hidden"/>
            <w:text/>
          </w:sdtPr>
          <w:sdtContent>
            <w:tc>
              <w:tcPr>
                <w:tcW w:w="6650" w:type="dxa"/>
              </w:tcPr>
              <w:p w14:paraId="6CE819ED" w14:textId="647DD074" w:rsidR="00C14602" w:rsidRPr="004E4562" w:rsidRDefault="00AC3A7B" w:rsidP="00BE3DE6">
                <w:pPr>
                  <w:pStyle w:val="BiblioText"/>
                  <w:rPr>
                    <w:lang w:val="en-US"/>
                  </w:rPr>
                </w:pPr>
                <w:r w:rsidRPr="00AC3A7B">
                  <w:t>Bc. Sylva Pašková</w:t>
                </w:r>
              </w:p>
            </w:tc>
          </w:sdtContent>
        </w:sdt>
      </w:tr>
      <w:tr w:rsidR="00C14602" w:rsidRPr="004E4562" w14:paraId="6D3EEC8D" w14:textId="77777777" w:rsidTr="00BE3DE6">
        <w:trPr>
          <w:trHeight w:val="1210"/>
        </w:trPr>
        <w:tc>
          <w:tcPr>
            <w:tcW w:w="1843" w:type="dxa"/>
          </w:tcPr>
          <w:p w14:paraId="2F26FD01"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sz w:val="24"/>
            </w:rPr>
            <w:id w:val="1772813757"/>
            <w:lock w:val="sdtLocked"/>
            <w:placeholder>
              <w:docPart w:val="20557529276545FEB752D9A432470868"/>
            </w:placeholder>
            <w15:appearance w15:val="hidden"/>
            <w:text/>
          </w:sdtPr>
          <w:sdtContent>
            <w:tc>
              <w:tcPr>
                <w:tcW w:w="6650" w:type="dxa"/>
              </w:tcPr>
              <w:p w14:paraId="05C4E2D6" w14:textId="27F0312B" w:rsidR="00C14602" w:rsidRPr="004E4562" w:rsidRDefault="00BB798C" w:rsidP="00BE3DE6">
                <w:pPr>
                  <w:pStyle w:val="BiblioText"/>
                  <w:rPr>
                    <w:lang w:val="en-US"/>
                  </w:rPr>
                </w:pPr>
                <w:r w:rsidRPr="00BB798C">
                  <w:rPr>
                    <w:sz w:val="24"/>
                  </w:rPr>
                  <w:t>Database of chemical warfare agents</w:t>
                </w:r>
              </w:p>
            </w:tc>
          </w:sdtContent>
        </w:sdt>
      </w:tr>
      <w:tr w:rsidR="00C14602" w:rsidRPr="004E4562" w14:paraId="7D031BC8" w14:textId="77777777" w:rsidTr="00BE3DE6">
        <w:tc>
          <w:tcPr>
            <w:tcW w:w="1843" w:type="dxa"/>
          </w:tcPr>
          <w:p w14:paraId="2205E1FF"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sz w:val="24"/>
            </w:rPr>
            <w:id w:val="-1413146860"/>
            <w:lock w:val="sdtLocked"/>
            <w:placeholder>
              <w:docPart w:val="F9B1AD0051ED45289AA977F9E02E9E2E"/>
            </w:placeholder>
            <w15:appearance w15:val="hidden"/>
            <w:text/>
          </w:sdtPr>
          <w:sdtContent>
            <w:tc>
              <w:tcPr>
                <w:tcW w:w="6650" w:type="dxa"/>
              </w:tcPr>
              <w:p w14:paraId="56BBC861" w14:textId="20344490" w:rsidR="00C14602" w:rsidRPr="004E4562" w:rsidRDefault="00AC3A7B" w:rsidP="00BE3DE6">
                <w:pPr>
                  <w:pStyle w:val="BiblioText"/>
                  <w:rPr>
                    <w:lang w:val="en-US"/>
                  </w:rPr>
                </w:pPr>
                <w:r w:rsidRPr="00AC3A7B">
                  <w:rPr>
                    <w:sz w:val="24"/>
                  </w:rPr>
                  <w:t>prof. Ing. Pavel Otřísal, Ph.D., MBA</w:t>
                </w:r>
              </w:p>
            </w:tc>
          </w:sdtContent>
        </w:sdt>
      </w:tr>
      <w:tr w:rsidR="00C14602" w:rsidRPr="004E4562" w14:paraId="18DCD028" w14:textId="77777777" w:rsidTr="00BE3DE6">
        <w:tc>
          <w:tcPr>
            <w:tcW w:w="1843" w:type="dxa"/>
          </w:tcPr>
          <w:p w14:paraId="7B4DD318"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5C48886456FC4444A867B5F6B436C7FD"/>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73A84144" w14:textId="57342BFC" w:rsidR="00C14602" w:rsidRPr="004E4562" w:rsidRDefault="00AC3A7B" w:rsidP="00BE3DE6">
                <w:pPr>
                  <w:pStyle w:val="BiblioText"/>
                  <w:rPr>
                    <w:lang w:val="en-US"/>
                  </w:rPr>
                </w:pPr>
                <w:r>
                  <w:rPr>
                    <w:lang w:val="en-US"/>
                  </w:rPr>
                  <w:t>Department of Adapted Physical Activities</w:t>
                </w:r>
              </w:p>
            </w:tc>
          </w:sdtContent>
        </w:sdt>
      </w:tr>
      <w:tr w:rsidR="00C14602" w:rsidRPr="004E4562" w14:paraId="3ACA511B" w14:textId="77777777" w:rsidTr="00BE3DE6">
        <w:tc>
          <w:tcPr>
            <w:tcW w:w="1843" w:type="dxa"/>
          </w:tcPr>
          <w:p w14:paraId="6A2A4B25"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9557F40151584D0B852DB95102EB62AF"/>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7391C89E" w14:textId="5ADEF09C" w:rsidR="00C14602" w:rsidRPr="004E4562" w:rsidRDefault="00AC3A7B" w:rsidP="00BE3DE6">
                <w:pPr>
                  <w:pStyle w:val="BiblioText"/>
                  <w:rPr>
                    <w:lang w:val="en-US"/>
                  </w:rPr>
                </w:pPr>
                <w:r>
                  <w:rPr>
                    <w:lang w:val="en-US"/>
                  </w:rPr>
                  <w:t>2025</w:t>
                </w:r>
              </w:p>
            </w:tc>
          </w:sdtContent>
        </w:sdt>
      </w:tr>
      <w:tr w:rsidR="00C14602" w:rsidRPr="004E4562" w14:paraId="674C8337" w14:textId="77777777" w:rsidTr="00BE3DE6">
        <w:tc>
          <w:tcPr>
            <w:tcW w:w="8493" w:type="dxa"/>
            <w:gridSpan w:val="2"/>
          </w:tcPr>
          <w:p w14:paraId="7E964E73"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6DD4BD3A" w14:textId="77777777" w:rsidTr="00BE3DE6">
        <w:trPr>
          <w:trHeight w:val="5669"/>
        </w:trPr>
        <w:tc>
          <w:tcPr>
            <w:tcW w:w="8493" w:type="dxa"/>
            <w:gridSpan w:val="2"/>
          </w:tcPr>
          <w:p w14:paraId="6F6C3A7F" w14:textId="77777777" w:rsidR="00AC3A7B" w:rsidRPr="00AC3A7B" w:rsidRDefault="00AC3A7B" w:rsidP="00AC3A7B">
            <w:pPr>
              <w:pStyle w:val="BiblioText"/>
              <w:rPr>
                <w:lang w:val="en-US"/>
              </w:rPr>
            </w:pPr>
            <w:r w:rsidRPr="00AC3A7B">
              <w:rPr>
                <w:lang w:val="en-US"/>
              </w:rPr>
              <w:t>Chemical warfare agents represent a serious threat to human health and the environment, with their destructive effects being known for centuries. Modern chemical weapons, such as toxic gases, pose extreme dangers to both humans and nature, and their misuse remains a current risk. This thesis focuses on creating a comprehensive database of chemical warfare agents, including their chemical, physical, and toxicological properties, mechanisms of action, detection methods, and protection measures, along with the relevant legislative framework.</w:t>
            </w:r>
          </w:p>
          <w:p w14:paraId="260D0716" w14:textId="77777777" w:rsidR="00AC3A7B" w:rsidRPr="00AC3A7B" w:rsidRDefault="00AC3A7B" w:rsidP="00AC3A7B">
            <w:pPr>
              <w:pStyle w:val="BiblioText"/>
              <w:rPr>
                <w:lang w:val="en-US"/>
              </w:rPr>
            </w:pPr>
          </w:p>
          <w:p w14:paraId="5CD59A0D" w14:textId="00D2E6FF" w:rsidR="00AC3A7B" w:rsidRPr="00AC3A7B" w:rsidRDefault="00AC3A7B" w:rsidP="00AC3A7B">
            <w:pPr>
              <w:pStyle w:val="BiblioText"/>
              <w:rPr>
                <w:lang w:val="en-US"/>
              </w:rPr>
            </w:pPr>
            <w:r w:rsidRPr="00AC3A7B">
              <w:rPr>
                <w:lang w:val="en-US"/>
              </w:rPr>
              <w:t xml:space="preserve">The database will be accessible via a web interface, providing both professionals and the </w:t>
            </w:r>
            <w:r w:rsidR="00B97B20" w:rsidRPr="00AC3A7B">
              <w:rPr>
                <w:lang w:val="en-US"/>
              </w:rPr>
              <w:t>public</w:t>
            </w:r>
            <w:r w:rsidRPr="00AC3A7B">
              <w:rPr>
                <w:lang w:val="en-US"/>
              </w:rPr>
              <w:t xml:space="preserve"> with easy access to information about these substances. The goal is to raise awareness of the risks and contribute to the prevention of the illegal use and misuse of chemical weapons. The methodology includes an analysis of scientific literature, international studies, and legislative documents, including the Chemical Weapons Convention. The information will </w:t>
            </w:r>
            <w:proofErr w:type="gramStart"/>
            <w:r w:rsidRPr="00AC3A7B">
              <w:rPr>
                <w:lang w:val="en-US"/>
              </w:rPr>
              <w:t>be systematically processed</w:t>
            </w:r>
            <w:proofErr w:type="gramEnd"/>
            <w:r w:rsidRPr="00AC3A7B">
              <w:rPr>
                <w:lang w:val="en-US"/>
              </w:rPr>
              <w:t xml:space="preserve"> and organized for easy identification of substances and risk assessment.</w:t>
            </w:r>
          </w:p>
          <w:p w14:paraId="0983D45F" w14:textId="77777777" w:rsidR="00AC3A7B" w:rsidRPr="00AC3A7B" w:rsidRDefault="00AC3A7B" w:rsidP="00AC3A7B">
            <w:pPr>
              <w:pStyle w:val="BiblioText"/>
              <w:rPr>
                <w:lang w:val="en-US"/>
              </w:rPr>
            </w:pPr>
          </w:p>
          <w:p w14:paraId="7D52D57B" w14:textId="7E57A637" w:rsidR="00C14602" w:rsidRPr="004E4562" w:rsidRDefault="00AC3A7B" w:rsidP="00AC3A7B">
            <w:pPr>
              <w:pStyle w:val="BiblioText"/>
              <w:rPr>
                <w:lang w:val="en-US"/>
              </w:rPr>
            </w:pPr>
            <w:r w:rsidRPr="00AC3A7B">
              <w:rPr>
                <w:lang w:val="en-US"/>
              </w:rPr>
              <w:t xml:space="preserve">The result will be a functional database containing detailed information on chemical agents, their structures, toxicological effects, protection methods, and legal regulations. The database will feature a user-friendly interface accessible to experts and the </w:t>
            </w:r>
            <w:r w:rsidR="00B97B20" w:rsidRPr="00AC3A7B">
              <w:rPr>
                <w:lang w:val="en-US"/>
              </w:rPr>
              <w:t>public</w:t>
            </w:r>
            <w:r w:rsidRPr="00AC3A7B">
              <w:rPr>
                <w:lang w:val="en-US"/>
              </w:rPr>
              <w:t>, including healthcare and security personnel. This tool will contribute to the prevention of chemical weapons misuse and support global efforts toward their regulation and control.</w:t>
            </w:r>
          </w:p>
        </w:tc>
      </w:tr>
      <w:tr w:rsidR="00C14602" w:rsidRPr="004E4562" w14:paraId="764C1E24" w14:textId="77777777" w:rsidTr="00BE3DE6">
        <w:tc>
          <w:tcPr>
            <w:tcW w:w="8493" w:type="dxa"/>
            <w:gridSpan w:val="2"/>
          </w:tcPr>
          <w:p w14:paraId="156C497E"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2303EB97" w14:textId="77777777" w:rsidTr="00BE3DE6">
        <w:trPr>
          <w:trHeight w:val="567"/>
        </w:trPr>
        <w:tc>
          <w:tcPr>
            <w:tcW w:w="8493" w:type="dxa"/>
            <w:gridSpan w:val="2"/>
          </w:tcPr>
          <w:p w14:paraId="612D5432" w14:textId="7E37D14C" w:rsidR="00C14602" w:rsidRPr="00BB798C" w:rsidRDefault="00BB798C" w:rsidP="00BE3DE6">
            <w:pPr>
              <w:pStyle w:val="BiblioText"/>
              <w:rPr>
                <w:lang w:val="cs-CZ"/>
              </w:rPr>
            </w:pPr>
            <w:r w:rsidRPr="00BB798C">
              <w:rPr>
                <w:lang w:val="en"/>
              </w:rPr>
              <w:t>Database of chemical warfare agents</w:t>
            </w:r>
            <w:r w:rsidR="00C71BAE">
              <w:t>,</w:t>
            </w:r>
            <w:r w:rsidR="00C71BAE" w:rsidRPr="00C71BAE">
              <w:t xml:space="preserve"> </w:t>
            </w:r>
            <w:r w:rsidR="002823DD">
              <w:t>d</w:t>
            </w:r>
            <w:r w:rsidR="00C71BAE" w:rsidRPr="00C71BAE">
              <w:t>atabase</w:t>
            </w:r>
            <w:r w:rsidR="002D26D9">
              <w:t xml:space="preserve">, </w:t>
            </w:r>
            <w:r w:rsidR="002823DD">
              <w:t>c</w:t>
            </w:r>
            <w:r w:rsidR="002D26D9" w:rsidRPr="002D26D9">
              <w:t>ivil protection</w:t>
            </w:r>
            <w:r w:rsidR="002D26D9">
              <w:t xml:space="preserve">, </w:t>
            </w:r>
            <w:r w:rsidR="002823DD">
              <w:t>c</w:t>
            </w:r>
            <w:r w:rsidR="002D26D9" w:rsidRPr="002D26D9">
              <w:t>hemicals</w:t>
            </w:r>
            <w:r w:rsidR="002D26D9">
              <w:t xml:space="preserve">, </w:t>
            </w:r>
            <w:r w:rsidR="002823DD">
              <w:t>w</w:t>
            </w:r>
            <w:r w:rsidR="002D26D9" w:rsidRPr="002D26D9">
              <w:t>ebsites</w:t>
            </w:r>
          </w:p>
        </w:tc>
      </w:tr>
      <w:tr w:rsidR="00C14602" w:rsidRPr="004E4562" w14:paraId="703E0FEA" w14:textId="77777777" w:rsidTr="00BE3DE6">
        <w:trPr>
          <w:trHeight w:val="2835"/>
        </w:trPr>
        <w:tc>
          <w:tcPr>
            <w:tcW w:w="8493" w:type="dxa"/>
            <w:gridSpan w:val="2"/>
            <w:vAlign w:val="bottom"/>
          </w:tcPr>
          <w:p w14:paraId="6871C922" w14:textId="77777777" w:rsidR="00C14602" w:rsidRPr="004E4562" w:rsidRDefault="00C14602" w:rsidP="00BE3DE6">
            <w:pPr>
              <w:pStyle w:val="BiblioText"/>
              <w:rPr>
                <w:lang w:val="en-US"/>
              </w:rPr>
            </w:pPr>
          </w:p>
        </w:tc>
      </w:tr>
      <w:tr w:rsidR="00C14602" w:rsidRPr="004E4562" w14:paraId="3F4E4F44" w14:textId="77777777" w:rsidTr="00BE3DE6">
        <w:trPr>
          <w:trHeight w:val="564"/>
        </w:trPr>
        <w:tc>
          <w:tcPr>
            <w:tcW w:w="8493" w:type="dxa"/>
            <w:gridSpan w:val="2"/>
            <w:vAlign w:val="bottom"/>
          </w:tcPr>
          <w:p w14:paraId="17F579CC" w14:textId="282210F2" w:rsidR="00C14602" w:rsidRPr="004E4562" w:rsidRDefault="004E4562" w:rsidP="00BE3DE6">
            <w:pPr>
              <w:pStyle w:val="BiblioText"/>
              <w:rPr>
                <w:lang w:val="en-US"/>
              </w:rPr>
            </w:pPr>
            <w:r w:rsidRPr="004E4562">
              <w:rPr>
                <w:lang w:val="en-US"/>
              </w:rPr>
              <w:t xml:space="preserve">I </w:t>
            </w:r>
            <w:r w:rsidR="001E26E9" w:rsidRPr="004E4562">
              <w:rPr>
                <w:lang w:val="en-US"/>
              </w:rPr>
              <w:t>agree that</w:t>
            </w:r>
            <w:r w:rsidRPr="004E4562">
              <w:rPr>
                <w:lang w:val="en-US"/>
              </w:rPr>
              <w:t xml:space="preserve"> the thesis paper to </w:t>
            </w:r>
            <w:proofErr w:type="gramStart"/>
            <w:r w:rsidRPr="004E4562">
              <w:rPr>
                <w:lang w:val="en-US"/>
              </w:rPr>
              <w:t>be lent</w:t>
            </w:r>
            <w:proofErr w:type="gramEnd"/>
            <w:r w:rsidRPr="004E4562">
              <w:rPr>
                <w:lang w:val="en-US"/>
              </w:rPr>
              <w:t xml:space="preserve"> within the library service</w:t>
            </w:r>
            <w:r w:rsidR="00C14602" w:rsidRPr="004E4562">
              <w:rPr>
                <w:lang w:val="en-US"/>
              </w:rPr>
              <w:t>.</w:t>
            </w:r>
          </w:p>
        </w:tc>
      </w:tr>
    </w:tbl>
    <w:p w14:paraId="3A43BA79"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0BF9ECF7" w14:textId="77777777" w:rsidTr="00427828">
        <w:trPr>
          <w:trHeight w:val="13039"/>
        </w:trPr>
        <w:tc>
          <w:tcPr>
            <w:tcW w:w="8493" w:type="dxa"/>
            <w:tcBorders>
              <w:top w:val="nil"/>
              <w:left w:val="nil"/>
              <w:bottom w:val="nil"/>
              <w:right w:val="nil"/>
            </w:tcBorders>
            <w:vAlign w:val="bottom"/>
          </w:tcPr>
          <w:p w14:paraId="53557478" w14:textId="7763CA10" w:rsidR="00706236" w:rsidRDefault="00427828" w:rsidP="00427828">
            <w:pPr>
              <w:pStyle w:val="BiblioText"/>
            </w:pPr>
            <w:r>
              <w:lastRenderedPageBreak/>
              <w:t xml:space="preserve">Prohlašuji, že jsem tuto práci </w:t>
            </w:r>
            <w:sdt>
              <w:sdtPr>
                <w:id w:val="457000802"/>
                <w:lock w:val="sdtLocked"/>
                <w:placeholder>
                  <w:docPart w:val="742606215DD543FA81BF6D1F7987639B"/>
                </w:placeholder>
                <w:dropDownList>
                  <w:listItem w:displayText="zpracoval" w:value="zpracoval"/>
                  <w:listItem w:displayText="zpracovala" w:value="zpracovala"/>
                </w:dropDownList>
              </w:sdtPr>
              <w:sdtContent>
                <w:r w:rsidR="00C71BAE">
                  <w:t>zpracovala</w:t>
                </w:r>
              </w:sdtContent>
            </w:sdt>
            <w:r>
              <w:t xml:space="preserve"> samostatně pod vedením </w:t>
            </w:r>
            <w:sdt>
              <w:sdtPr>
                <w:id w:val="2113773099"/>
                <w:lock w:val="sdtLocked"/>
                <w:placeholder>
                  <w:docPart w:val="0B32A77F0F3240FCA328F776CD42D7CB"/>
                </w:placeholder>
                <w15:appearance w15:val="hidden"/>
                <w:text/>
              </w:sdtPr>
              <w:sdtContent>
                <w:r w:rsidR="00C71BAE" w:rsidRPr="00C71BAE">
                  <w:t>prof. Ing. Pav</w:t>
                </w:r>
                <w:r w:rsidR="00C71BAE">
                  <w:t>la</w:t>
                </w:r>
                <w:r w:rsidR="00C71BAE" w:rsidRPr="00C71BAE">
                  <w:t xml:space="preserve"> Otřísa</w:t>
                </w:r>
                <w:r w:rsidR="00C71BAE">
                  <w:t>la</w:t>
                </w:r>
                <w:r w:rsidR="00C71BAE" w:rsidRPr="00C71BAE">
                  <w:t>, Ph.D., MBA</w:t>
                </w:r>
              </w:sdtContent>
            </w:sdt>
            <w:r>
              <w:t xml:space="preserve">, </w:t>
            </w:r>
            <w:sdt>
              <w:sdtPr>
                <w:id w:val="502479422"/>
                <w:lock w:val="sdtLocked"/>
                <w:placeholder>
                  <w:docPart w:val="7617341FF6D843429DC399420B817E49"/>
                </w:placeholder>
                <w:dropDownList>
                  <w:listItem w:displayText="uvedl" w:value="uvedl"/>
                  <w:listItem w:displayText="uvedla" w:value="uvedla"/>
                </w:dropDownList>
              </w:sdtPr>
              <w:sdtContent>
                <w:r w:rsidR="00C71BAE">
                  <w:t>uvedla</w:t>
                </w:r>
              </w:sdtContent>
            </w:sdt>
            <w:r>
              <w:t xml:space="preserve"> všechny použité literární a odborné zdroje a </w:t>
            </w:r>
            <w:sdt>
              <w:sdtPr>
                <w:id w:val="1698813651"/>
                <w:lock w:val="sdtLocked"/>
                <w:placeholder>
                  <w:docPart w:val="0A6FF56448C04A05BBE2344635F41527"/>
                </w:placeholder>
                <w:dropDownList>
                  <w:listItem w:displayText="dodržoval" w:value="dodržoval"/>
                  <w:listItem w:displayText="dodržovala" w:value="dodržovala"/>
                </w:dropDownList>
              </w:sdtPr>
              <w:sdtContent>
                <w:r w:rsidR="00C71BAE">
                  <w:t>dodržovala</w:t>
                </w:r>
              </w:sdtContent>
            </w:sdt>
            <w:r>
              <w:t xml:space="preserve"> zásady vědecké etiky.</w:t>
            </w:r>
          </w:p>
          <w:p w14:paraId="1062087F" w14:textId="77777777" w:rsidR="003A2777" w:rsidRDefault="003A2777" w:rsidP="00427828">
            <w:pPr>
              <w:pStyle w:val="BiblioText"/>
            </w:pPr>
          </w:p>
          <w:p w14:paraId="1BECAF01" w14:textId="77777777" w:rsidR="003A2777" w:rsidRDefault="003A2777" w:rsidP="00427828">
            <w:pPr>
              <w:pStyle w:val="BiblioText"/>
            </w:pPr>
          </w:p>
          <w:p w14:paraId="62027C0C" w14:textId="2DE2948B" w:rsidR="00C74665" w:rsidRDefault="003A2777" w:rsidP="00427828">
            <w:pPr>
              <w:pStyle w:val="BiblioText"/>
            </w:pPr>
            <w:r>
              <w:t>V </w:t>
            </w:r>
            <w:sdt>
              <w:sdtPr>
                <w:id w:val="-2115126490"/>
                <w:lock w:val="sdtLocked"/>
                <w:placeholder>
                  <w:docPart w:val="152AF9BA23E34084A15F5EC745DC2220"/>
                </w:placeholder>
                <w15:appearance w15:val="hidden"/>
                <w:text/>
              </w:sdtPr>
              <w:sdtContent>
                <w:r w:rsidR="00C71BAE">
                  <w:t>Olomouci</w:t>
                </w:r>
              </w:sdtContent>
            </w:sdt>
            <w:r>
              <w:t xml:space="preserve"> dne </w:t>
            </w:r>
            <w:sdt>
              <w:sdtPr>
                <w:id w:val="1893921092"/>
                <w:lock w:val="sdtLocked"/>
                <w:placeholder>
                  <w:docPart w:val="A660FC58D0C64FA0AD68C92A5E1077AA"/>
                </w:placeholder>
                <w:date w:fullDate="2024-11-20T00:00:00Z">
                  <w:dateFormat w:val="d. MMMM yyyy"/>
                  <w:lid w:val="cs-CZ"/>
                  <w:storeMappedDataAs w:val="dateTime"/>
                  <w:calendar w:val="gregorian"/>
                </w:date>
              </w:sdtPr>
              <w:sdtContent>
                <w:r w:rsidR="00C71BAE">
                  <w:rPr>
                    <w:lang w:val="cs-CZ"/>
                  </w:rPr>
                  <w:t>20. listopadu 2024</w:t>
                </w:r>
              </w:sdtContent>
            </w:sdt>
          </w:p>
          <w:p w14:paraId="145DCB87" w14:textId="77777777" w:rsidR="00C74665" w:rsidRDefault="00C74665" w:rsidP="00427828">
            <w:pPr>
              <w:pStyle w:val="BiblioText"/>
            </w:pPr>
          </w:p>
          <w:p w14:paraId="6D55B47C" w14:textId="0B0E04DB" w:rsidR="003A2777" w:rsidRPr="00427828" w:rsidRDefault="003A2777" w:rsidP="00C74665">
            <w:pPr>
              <w:pStyle w:val="BiblioText"/>
              <w:jc w:val="right"/>
            </w:pPr>
          </w:p>
        </w:tc>
      </w:tr>
    </w:tbl>
    <w:p w14:paraId="0E047336"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1DEC227D" w14:textId="77777777" w:rsidTr="009874DD">
        <w:trPr>
          <w:trHeight w:val="13039"/>
        </w:trPr>
        <w:tc>
          <w:tcPr>
            <w:tcW w:w="8493" w:type="dxa"/>
            <w:tcBorders>
              <w:top w:val="nil"/>
              <w:left w:val="nil"/>
              <w:bottom w:val="nil"/>
              <w:right w:val="nil"/>
            </w:tcBorders>
            <w:vAlign w:val="bottom"/>
          </w:tcPr>
          <w:p w14:paraId="5BC489ED" w14:textId="2A4B4E2E" w:rsidR="009874DD" w:rsidRPr="00C71BAE" w:rsidRDefault="00000000" w:rsidP="00C71BAE">
            <w:pPr>
              <w:pStyle w:val="BiblioText"/>
              <w:rPr>
                <w:bCs/>
              </w:rPr>
            </w:pPr>
            <w:sdt>
              <w:sdtPr>
                <w:rPr>
                  <w:rFonts w:eastAsiaTheme="minorEastAsia"/>
                  <w:bCs/>
                  <w:lang w:val="cs-CZ" w:eastAsia="en-US"/>
                </w:rPr>
                <w:id w:val="-1489856041"/>
                <w:lock w:val="sdtLocked"/>
                <w:placeholder>
                  <w:docPart w:val="440FF637E75445CAB8E84E44B6FCBABA"/>
                </w:placeholder>
                <w15:appearance w15:val="hidden"/>
                <w:text/>
              </w:sdtPr>
              <w:sdtContent>
                <w:r w:rsidR="00C71BAE" w:rsidRPr="00C71BAE">
                  <w:rPr>
                    <w:rFonts w:eastAsiaTheme="minorEastAsia"/>
                    <w:bCs/>
                    <w:lang w:val="cs-CZ" w:eastAsia="en-US"/>
                  </w:rPr>
                  <w:t>Děkuji především prof. Ing. Pavlu Otřísalovi, Ph.D., MBA za ochotu, čas, odborné vedení a poskytování cenných rad při zpracovávání této diplomové práce. Jeho podpora a odborné znalosti byly pro mě neocenitelné. V neposlední řadě patří mé upřímné poděkování také mé rodině za jejich neustálou podporu, trpělivost a víru ve mě během celého mého studia.</w:t>
                </w:r>
              </w:sdtContent>
            </w:sdt>
          </w:p>
        </w:tc>
      </w:tr>
    </w:tbl>
    <w:p w14:paraId="06F3E3A4"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sdt>
      <w:sdtPr>
        <w:rPr>
          <w:rFonts w:asciiTheme="minorHAnsi" w:eastAsiaTheme="minorHAnsi" w:hAnsiTheme="minorHAnsi" w:cstheme="minorBidi"/>
          <w:color w:val="auto"/>
          <w:sz w:val="22"/>
          <w:szCs w:val="22"/>
          <w:lang w:val="cs"/>
        </w:rPr>
        <w:id w:val="101852720"/>
        <w:docPartObj>
          <w:docPartGallery w:val="Table of Contents"/>
          <w:docPartUnique/>
        </w:docPartObj>
      </w:sdtPr>
      <w:sdtEndPr>
        <w:rPr>
          <w:b/>
          <w:bCs/>
        </w:rPr>
      </w:sdtEndPr>
      <w:sdtContent>
        <w:p w14:paraId="4C660738" w14:textId="58073B7A" w:rsidR="00067C46" w:rsidRDefault="00067C46">
          <w:pPr>
            <w:pStyle w:val="Nadpisobsahu"/>
            <w:rPr>
              <w:rFonts w:asciiTheme="minorHAnsi" w:hAnsiTheme="minorHAnsi" w:cstheme="minorHAnsi"/>
              <w:b/>
              <w:bCs/>
              <w:color w:val="auto"/>
            </w:rPr>
          </w:pPr>
          <w:r w:rsidRPr="00067C46">
            <w:rPr>
              <w:rFonts w:asciiTheme="minorHAnsi" w:hAnsiTheme="minorHAnsi" w:cstheme="minorHAnsi"/>
              <w:b/>
              <w:bCs/>
              <w:color w:val="auto"/>
            </w:rPr>
            <w:t>O</w:t>
          </w:r>
          <w:r>
            <w:rPr>
              <w:rFonts w:asciiTheme="minorHAnsi" w:hAnsiTheme="minorHAnsi" w:cstheme="minorHAnsi"/>
              <w:b/>
              <w:bCs/>
              <w:color w:val="auto"/>
            </w:rPr>
            <w:t>BSAH</w:t>
          </w:r>
        </w:p>
        <w:p w14:paraId="0D06CAF1" w14:textId="77777777" w:rsidR="00067C46" w:rsidRPr="00067C46" w:rsidRDefault="00067C46" w:rsidP="00067C46">
          <w:pPr>
            <w:rPr>
              <w:lang w:val="cs-CZ"/>
            </w:rPr>
          </w:pPr>
        </w:p>
        <w:p w14:paraId="6874E9F7" w14:textId="64ED878F" w:rsidR="00CA009D" w:rsidRDefault="00067C46">
          <w:pPr>
            <w:pStyle w:val="Obsah1"/>
            <w:rPr>
              <w:rFonts w:eastAsiaTheme="minorEastAsia"/>
              <w:kern w:val="2"/>
              <w:sz w:val="24"/>
              <w:szCs w:val="24"/>
              <w:lang w:val="cs-CZ"/>
              <w14:ligatures w14:val="standardContextual"/>
            </w:rPr>
          </w:pPr>
          <w:r>
            <w:fldChar w:fldCharType="begin"/>
          </w:r>
          <w:r>
            <w:instrText xml:space="preserve"> TOC \o "1-3" \h \z \u </w:instrText>
          </w:r>
          <w:r>
            <w:fldChar w:fldCharType="separate"/>
          </w:r>
          <w:hyperlink w:anchor="_Toc183029518" w:history="1">
            <w:r w:rsidR="00CA009D" w:rsidRPr="000E0135">
              <w:rPr>
                <w:rStyle w:val="Hypertextovodkaz"/>
              </w:rPr>
              <w:t>1</w:t>
            </w:r>
            <w:r w:rsidR="00CA009D">
              <w:rPr>
                <w:rFonts w:eastAsiaTheme="minorEastAsia"/>
                <w:kern w:val="2"/>
                <w:sz w:val="24"/>
                <w:szCs w:val="24"/>
                <w:lang w:val="cs-CZ"/>
                <w14:ligatures w14:val="standardContextual"/>
              </w:rPr>
              <w:tab/>
            </w:r>
            <w:r w:rsidR="00CA009D" w:rsidRPr="000E0135">
              <w:rPr>
                <w:rStyle w:val="Hypertextovodkaz"/>
              </w:rPr>
              <w:t>Úvod</w:t>
            </w:r>
            <w:r w:rsidR="00CA009D">
              <w:rPr>
                <w:webHidden/>
              </w:rPr>
              <w:tab/>
            </w:r>
            <w:r w:rsidR="00CA009D">
              <w:rPr>
                <w:webHidden/>
              </w:rPr>
              <w:fldChar w:fldCharType="begin"/>
            </w:r>
            <w:r w:rsidR="00CA009D">
              <w:rPr>
                <w:webHidden/>
              </w:rPr>
              <w:instrText xml:space="preserve"> PAGEREF _Toc183029518 \h </w:instrText>
            </w:r>
            <w:r w:rsidR="00CA009D">
              <w:rPr>
                <w:webHidden/>
              </w:rPr>
            </w:r>
            <w:r w:rsidR="00CA009D">
              <w:rPr>
                <w:webHidden/>
              </w:rPr>
              <w:fldChar w:fldCharType="separate"/>
            </w:r>
            <w:r w:rsidR="00CA009D">
              <w:rPr>
                <w:webHidden/>
              </w:rPr>
              <w:t>12</w:t>
            </w:r>
            <w:r w:rsidR="00CA009D">
              <w:rPr>
                <w:webHidden/>
              </w:rPr>
              <w:fldChar w:fldCharType="end"/>
            </w:r>
          </w:hyperlink>
        </w:p>
        <w:p w14:paraId="68408BA2" w14:textId="6A6451C1" w:rsidR="00CA009D" w:rsidRDefault="00CA009D">
          <w:pPr>
            <w:pStyle w:val="Obsah1"/>
            <w:rPr>
              <w:rFonts w:eastAsiaTheme="minorEastAsia"/>
              <w:kern w:val="2"/>
              <w:sz w:val="24"/>
              <w:szCs w:val="24"/>
              <w:lang w:val="cs-CZ"/>
              <w14:ligatures w14:val="standardContextual"/>
            </w:rPr>
          </w:pPr>
          <w:hyperlink w:anchor="_Toc183029519" w:history="1">
            <w:r w:rsidRPr="000E0135">
              <w:rPr>
                <w:rStyle w:val="Hypertextovodkaz"/>
              </w:rPr>
              <w:t>2</w:t>
            </w:r>
            <w:r>
              <w:rPr>
                <w:rFonts w:eastAsiaTheme="minorEastAsia"/>
                <w:kern w:val="2"/>
                <w:sz w:val="24"/>
                <w:szCs w:val="24"/>
                <w:lang w:val="cs-CZ"/>
                <w14:ligatures w14:val="standardContextual"/>
              </w:rPr>
              <w:tab/>
            </w:r>
            <w:r w:rsidRPr="000E0135">
              <w:rPr>
                <w:rStyle w:val="Hypertextovodkaz"/>
              </w:rPr>
              <w:t>Přehled poznatků</w:t>
            </w:r>
            <w:r>
              <w:rPr>
                <w:webHidden/>
              </w:rPr>
              <w:tab/>
            </w:r>
            <w:r>
              <w:rPr>
                <w:webHidden/>
              </w:rPr>
              <w:fldChar w:fldCharType="begin"/>
            </w:r>
            <w:r>
              <w:rPr>
                <w:webHidden/>
              </w:rPr>
              <w:instrText xml:space="preserve"> PAGEREF _Toc183029519 \h </w:instrText>
            </w:r>
            <w:r>
              <w:rPr>
                <w:webHidden/>
              </w:rPr>
            </w:r>
            <w:r>
              <w:rPr>
                <w:webHidden/>
              </w:rPr>
              <w:fldChar w:fldCharType="separate"/>
            </w:r>
            <w:r>
              <w:rPr>
                <w:webHidden/>
              </w:rPr>
              <w:t>14</w:t>
            </w:r>
            <w:r>
              <w:rPr>
                <w:webHidden/>
              </w:rPr>
              <w:fldChar w:fldCharType="end"/>
            </w:r>
          </w:hyperlink>
        </w:p>
        <w:p w14:paraId="0F39BD11" w14:textId="11A28621" w:rsidR="00CA009D" w:rsidRDefault="00CA009D">
          <w:pPr>
            <w:pStyle w:val="Obsah2"/>
            <w:rPr>
              <w:rFonts w:eastAsiaTheme="minorEastAsia"/>
              <w:kern w:val="2"/>
              <w:sz w:val="24"/>
              <w:szCs w:val="24"/>
              <w:lang w:val="cs-CZ"/>
              <w14:ligatures w14:val="standardContextual"/>
            </w:rPr>
          </w:pPr>
          <w:hyperlink w:anchor="_Toc183029520" w:history="1">
            <w:r w:rsidRPr="000E0135">
              <w:rPr>
                <w:rStyle w:val="Hypertextovodkaz"/>
                <w:lang w:val="cs-CZ"/>
              </w:rPr>
              <w:t>2.1</w:t>
            </w:r>
            <w:r>
              <w:rPr>
                <w:rFonts w:eastAsiaTheme="minorEastAsia"/>
                <w:kern w:val="2"/>
                <w:sz w:val="24"/>
                <w:szCs w:val="24"/>
                <w:lang w:val="cs-CZ"/>
                <w14:ligatures w14:val="standardContextual"/>
              </w:rPr>
              <w:tab/>
            </w:r>
            <w:r w:rsidRPr="000E0135">
              <w:rPr>
                <w:rStyle w:val="Hypertextovodkaz"/>
                <w:lang w:val="cs-CZ"/>
              </w:rPr>
              <w:t>Bojové chemické látky</w:t>
            </w:r>
            <w:r>
              <w:rPr>
                <w:webHidden/>
              </w:rPr>
              <w:tab/>
            </w:r>
            <w:r>
              <w:rPr>
                <w:webHidden/>
              </w:rPr>
              <w:fldChar w:fldCharType="begin"/>
            </w:r>
            <w:r>
              <w:rPr>
                <w:webHidden/>
              </w:rPr>
              <w:instrText xml:space="preserve"> PAGEREF _Toc183029520 \h </w:instrText>
            </w:r>
            <w:r>
              <w:rPr>
                <w:webHidden/>
              </w:rPr>
            </w:r>
            <w:r>
              <w:rPr>
                <w:webHidden/>
              </w:rPr>
              <w:fldChar w:fldCharType="separate"/>
            </w:r>
            <w:r>
              <w:rPr>
                <w:webHidden/>
              </w:rPr>
              <w:t>14</w:t>
            </w:r>
            <w:r>
              <w:rPr>
                <w:webHidden/>
              </w:rPr>
              <w:fldChar w:fldCharType="end"/>
            </w:r>
          </w:hyperlink>
        </w:p>
        <w:p w14:paraId="3516E847" w14:textId="2B6AD58B" w:rsidR="00CA009D" w:rsidRDefault="00CA009D">
          <w:pPr>
            <w:pStyle w:val="Obsah2"/>
            <w:rPr>
              <w:rFonts w:eastAsiaTheme="minorEastAsia"/>
              <w:kern w:val="2"/>
              <w:sz w:val="24"/>
              <w:szCs w:val="24"/>
              <w:lang w:val="cs-CZ"/>
              <w14:ligatures w14:val="standardContextual"/>
            </w:rPr>
          </w:pPr>
          <w:hyperlink w:anchor="_Toc183029521" w:history="1">
            <w:r w:rsidRPr="000E0135">
              <w:rPr>
                <w:rStyle w:val="Hypertextovodkaz"/>
                <w:lang w:val="cs-CZ"/>
              </w:rPr>
              <w:t>2.2</w:t>
            </w:r>
            <w:r>
              <w:rPr>
                <w:rFonts w:eastAsiaTheme="minorEastAsia"/>
                <w:kern w:val="2"/>
                <w:sz w:val="24"/>
                <w:szCs w:val="24"/>
                <w:lang w:val="cs-CZ"/>
                <w14:ligatures w14:val="standardContextual"/>
              </w:rPr>
              <w:tab/>
            </w:r>
            <w:r w:rsidRPr="000E0135">
              <w:rPr>
                <w:rStyle w:val="Hypertextovodkaz"/>
                <w:lang w:val="cs-CZ"/>
              </w:rPr>
              <w:t>Historie BCHL</w:t>
            </w:r>
            <w:r>
              <w:rPr>
                <w:webHidden/>
              </w:rPr>
              <w:tab/>
            </w:r>
            <w:r>
              <w:rPr>
                <w:webHidden/>
              </w:rPr>
              <w:fldChar w:fldCharType="begin"/>
            </w:r>
            <w:r>
              <w:rPr>
                <w:webHidden/>
              </w:rPr>
              <w:instrText xml:space="preserve"> PAGEREF _Toc183029521 \h </w:instrText>
            </w:r>
            <w:r>
              <w:rPr>
                <w:webHidden/>
              </w:rPr>
            </w:r>
            <w:r>
              <w:rPr>
                <w:webHidden/>
              </w:rPr>
              <w:fldChar w:fldCharType="separate"/>
            </w:r>
            <w:r>
              <w:rPr>
                <w:webHidden/>
              </w:rPr>
              <w:t>15</w:t>
            </w:r>
            <w:r>
              <w:rPr>
                <w:webHidden/>
              </w:rPr>
              <w:fldChar w:fldCharType="end"/>
            </w:r>
          </w:hyperlink>
        </w:p>
        <w:p w14:paraId="4AD9C0FC" w14:textId="6EA27284" w:rsidR="00CA009D" w:rsidRDefault="00CA009D">
          <w:pPr>
            <w:pStyle w:val="Obsah2"/>
            <w:rPr>
              <w:rFonts w:eastAsiaTheme="minorEastAsia"/>
              <w:kern w:val="2"/>
              <w:sz w:val="24"/>
              <w:szCs w:val="24"/>
              <w:lang w:val="cs-CZ"/>
              <w14:ligatures w14:val="standardContextual"/>
            </w:rPr>
          </w:pPr>
          <w:hyperlink w:anchor="_Toc183029522" w:history="1">
            <w:r w:rsidRPr="000E0135">
              <w:rPr>
                <w:rStyle w:val="Hypertextovodkaz"/>
                <w:lang w:val="cs-CZ"/>
              </w:rPr>
              <w:t>2.3</w:t>
            </w:r>
            <w:r>
              <w:rPr>
                <w:rFonts w:eastAsiaTheme="minorEastAsia"/>
                <w:kern w:val="2"/>
                <w:sz w:val="24"/>
                <w:szCs w:val="24"/>
                <w:lang w:val="cs-CZ"/>
                <w14:ligatures w14:val="standardContextual"/>
              </w:rPr>
              <w:tab/>
            </w:r>
            <w:r w:rsidRPr="000E0135">
              <w:rPr>
                <w:rStyle w:val="Hypertextovodkaz"/>
                <w:lang w:val="cs-CZ"/>
              </w:rPr>
              <w:t>Chemické zbraně</w:t>
            </w:r>
            <w:r>
              <w:rPr>
                <w:webHidden/>
              </w:rPr>
              <w:tab/>
            </w:r>
            <w:r>
              <w:rPr>
                <w:webHidden/>
              </w:rPr>
              <w:fldChar w:fldCharType="begin"/>
            </w:r>
            <w:r>
              <w:rPr>
                <w:webHidden/>
              </w:rPr>
              <w:instrText xml:space="preserve"> PAGEREF _Toc183029522 \h </w:instrText>
            </w:r>
            <w:r>
              <w:rPr>
                <w:webHidden/>
              </w:rPr>
            </w:r>
            <w:r>
              <w:rPr>
                <w:webHidden/>
              </w:rPr>
              <w:fldChar w:fldCharType="separate"/>
            </w:r>
            <w:r>
              <w:rPr>
                <w:webHidden/>
              </w:rPr>
              <w:t>18</w:t>
            </w:r>
            <w:r>
              <w:rPr>
                <w:webHidden/>
              </w:rPr>
              <w:fldChar w:fldCharType="end"/>
            </w:r>
          </w:hyperlink>
        </w:p>
        <w:p w14:paraId="1ECD718B" w14:textId="4F94F2D9" w:rsidR="00CA009D" w:rsidRDefault="00CA009D">
          <w:pPr>
            <w:pStyle w:val="Obsah2"/>
            <w:rPr>
              <w:rFonts w:eastAsiaTheme="minorEastAsia"/>
              <w:kern w:val="2"/>
              <w:sz w:val="24"/>
              <w:szCs w:val="24"/>
              <w:lang w:val="cs-CZ"/>
              <w14:ligatures w14:val="standardContextual"/>
            </w:rPr>
          </w:pPr>
          <w:hyperlink w:anchor="_Toc183029523" w:history="1">
            <w:r w:rsidRPr="000E0135">
              <w:rPr>
                <w:rStyle w:val="Hypertextovodkaz"/>
                <w:lang w:val="cs-CZ"/>
              </w:rPr>
              <w:t>2.4</w:t>
            </w:r>
            <w:r>
              <w:rPr>
                <w:rFonts w:eastAsiaTheme="minorEastAsia"/>
                <w:kern w:val="2"/>
                <w:sz w:val="24"/>
                <w:szCs w:val="24"/>
                <w:lang w:val="cs-CZ"/>
                <w14:ligatures w14:val="standardContextual"/>
              </w:rPr>
              <w:tab/>
            </w:r>
            <w:r w:rsidRPr="000E0135">
              <w:rPr>
                <w:rStyle w:val="Hypertextovodkaz"/>
                <w:lang w:val="cs-CZ"/>
              </w:rPr>
              <w:t>Legislativní aspekty související s danou problematikou</w:t>
            </w:r>
            <w:r>
              <w:rPr>
                <w:webHidden/>
              </w:rPr>
              <w:tab/>
            </w:r>
            <w:r>
              <w:rPr>
                <w:webHidden/>
              </w:rPr>
              <w:fldChar w:fldCharType="begin"/>
            </w:r>
            <w:r>
              <w:rPr>
                <w:webHidden/>
              </w:rPr>
              <w:instrText xml:space="preserve"> PAGEREF _Toc183029523 \h </w:instrText>
            </w:r>
            <w:r>
              <w:rPr>
                <w:webHidden/>
              </w:rPr>
            </w:r>
            <w:r>
              <w:rPr>
                <w:webHidden/>
              </w:rPr>
              <w:fldChar w:fldCharType="separate"/>
            </w:r>
            <w:r>
              <w:rPr>
                <w:webHidden/>
              </w:rPr>
              <w:t>19</w:t>
            </w:r>
            <w:r>
              <w:rPr>
                <w:webHidden/>
              </w:rPr>
              <w:fldChar w:fldCharType="end"/>
            </w:r>
          </w:hyperlink>
        </w:p>
        <w:p w14:paraId="4A89ADD9" w14:textId="0C4E41C6" w:rsidR="00CA009D" w:rsidRDefault="00CA009D">
          <w:pPr>
            <w:pStyle w:val="Obsah3"/>
            <w:rPr>
              <w:rFonts w:eastAsiaTheme="minorEastAsia"/>
              <w:kern w:val="2"/>
              <w:sz w:val="24"/>
              <w:szCs w:val="24"/>
              <w:lang w:val="cs-CZ"/>
              <w14:ligatures w14:val="standardContextual"/>
            </w:rPr>
          </w:pPr>
          <w:hyperlink w:anchor="_Toc183029524" w:history="1">
            <w:r w:rsidRPr="000E0135">
              <w:rPr>
                <w:rStyle w:val="Hypertextovodkaz"/>
                <w:lang w:val="cs-CZ"/>
              </w:rPr>
              <w:t>2.4.1</w:t>
            </w:r>
            <w:r>
              <w:rPr>
                <w:rFonts w:eastAsiaTheme="minorEastAsia"/>
                <w:kern w:val="2"/>
                <w:sz w:val="24"/>
                <w:szCs w:val="24"/>
                <w:lang w:val="cs-CZ"/>
                <w14:ligatures w14:val="standardContextual"/>
              </w:rPr>
              <w:tab/>
            </w:r>
            <w:r w:rsidRPr="000E0135">
              <w:rPr>
                <w:rStyle w:val="Hypertextovodkaz"/>
                <w:lang w:val="cs-CZ"/>
              </w:rPr>
              <w:t>Úmluva o zákazu vývoje, výroby, hromadění zásob a použití chemických zbraní a jejich ničení</w:t>
            </w:r>
            <w:r>
              <w:rPr>
                <w:webHidden/>
              </w:rPr>
              <w:tab/>
            </w:r>
            <w:r>
              <w:rPr>
                <w:webHidden/>
              </w:rPr>
              <w:fldChar w:fldCharType="begin"/>
            </w:r>
            <w:r>
              <w:rPr>
                <w:webHidden/>
              </w:rPr>
              <w:instrText xml:space="preserve"> PAGEREF _Toc183029524 \h </w:instrText>
            </w:r>
            <w:r>
              <w:rPr>
                <w:webHidden/>
              </w:rPr>
            </w:r>
            <w:r>
              <w:rPr>
                <w:webHidden/>
              </w:rPr>
              <w:fldChar w:fldCharType="separate"/>
            </w:r>
            <w:r>
              <w:rPr>
                <w:webHidden/>
              </w:rPr>
              <w:t>19</w:t>
            </w:r>
            <w:r>
              <w:rPr>
                <w:webHidden/>
              </w:rPr>
              <w:fldChar w:fldCharType="end"/>
            </w:r>
          </w:hyperlink>
        </w:p>
        <w:p w14:paraId="1EDF3B32" w14:textId="5345EEB5" w:rsidR="00CA009D" w:rsidRDefault="00CA009D">
          <w:pPr>
            <w:pStyle w:val="Obsah3"/>
            <w:rPr>
              <w:rFonts w:eastAsiaTheme="minorEastAsia"/>
              <w:kern w:val="2"/>
              <w:sz w:val="24"/>
              <w:szCs w:val="24"/>
              <w:lang w:val="cs-CZ"/>
              <w14:ligatures w14:val="standardContextual"/>
            </w:rPr>
          </w:pPr>
          <w:hyperlink w:anchor="_Toc183029525" w:history="1">
            <w:r w:rsidRPr="000E0135">
              <w:rPr>
                <w:rStyle w:val="Hypertextovodkaz"/>
                <w:lang w:val="cs-CZ"/>
              </w:rPr>
              <w:t>2.4.2</w:t>
            </w:r>
            <w:r>
              <w:rPr>
                <w:rFonts w:eastAsiaTheme="minorEastAsia"/>
                <w:kern w:val="2"/>
                <w:sz w:val="24"/>
                <w:szCs w:val="24"/>
                <w:lang w:val="cs-CZ"/>
                <w14:ligatures w14:val="standardContextual"/>
              </w:rPr>
              <w:tab/>
            </w:r>
            <w:r w:rsidRPr="000E0135">
              <w:rPr>
                <w:rStyle w:val="Hypertextovodkaz"/>
                <w:lang w:val="cs-CZ"/>
              </w:rPr>
              <w:t>Přehled základní legislativy České republiky</w:t>
            </w:r>
            <w:r>
              <w:rPr>
                <w:webHidden/>
              </w:rPr>
              <w:tab/>
            </w:r>
            <w:r>
              <w:rPr>
                <w:webHidden/>
              </w:rPr>
              <w:fldChar w:fldCharType="begin"/>
            </w:r>
            <w:r>
              <w:rPr>
                <w:webHidden/>
              </w:rPr>
              <w:instrText xml:space="preserve"> PAGEREF _Toc183029525 \h </w:instrText>
            </w:r>
            <w:r>
              <w:rPr>
                <w:webHidden/>
              </w:rPr>
            </w:r>
            <w:r>
              <w:rPr>
                <w:webHidden/>
              </w:rPr>
              <w:fldChar w:fldCharType="separate"/>
            </w:r>
            <w:r>
              <w:rPr>
                <w:webHidden/>
              </w:rPr>
              <w:t>20</w:t>
            </w:r>
            <w:r>
              <w:rPr>
                <w:webHidden/>
              </w:rPr>
              <w:fldChar w:fldCharType="end"/>
            </w:r>
          </w:hyperlink>
        </w:p>
        <w:p w14:paraId="74EEAD13" w14:textId="08E79B0A" w:rsidR="00CA009D" w:rsidRDefault="00CA009D">
          <w:pPr>
            <w:pStyle w:val="Obsah2"/>
            <w:rPr>
              <w:rFonts w:eastAsiaTheme="minorEastAsia"/>
              <w:kern w:val="2"/>
              <w:sz w:val="24"/>
              <w:szCs w:val="24"/>
              <w:lang w:val="cs-CZ"/>
              <w14:ligatures w14:val="standardContextual"/>
            </w:rPr>
          </w:pPr>
          <w:hyperlink w:anchor="_Toc183029526" w:history="1">
            <w:r w:rsidRPr="000E0135">
              <w:rPr>
                <w:rStyle w:val="Hypertextovodkaz"/>
              </w:rPr>
              <w:t>2.5</w:t>
            </w:r>
            <w:r>
              <w:rPr>
                <w:rFonts w:eastAsiaTheme="minorEastAsia"/>
                <w:kern w:val="2"/>
                <w:sz w:val="24"/>
                <w:szCs w:val="24"/>
                <w:lang w:val="cs-CZ"/>
                <w14:ligatures w14:val="standardContextual"/>
              </w:rPr>
              <w:tab/>
            </w:r>
            <w:r w:rsidRPr="000E0135">
              <w:rPr>
                <w:rStyle w:val="Hypertextovodkaz"/>
              </w:rPr>
              <w:t>Klasifikace bojových chemických látek</w:t>
            </w:r>
            <w:r>
              <w:rPr>
                <w:webHidden/>
              </w:rPr>
              <w:tab/>
            </w:r>
            <w:r>
              <w:rPr>
                <w:webHidden/>
              </w:rPr>
              <w:fldChar w:fldCharType="begin"/>
            </w:r>
            <w:r>
              <w:rPr>
                <w:webHidden/>
              </w:rPr>
              <w:instrText xml:space="preserve"> PAGEREF _Toc183029526 \h </w:instrText>
            </w:r>
            <w:r>
              <w:rPr>
                <w:webHidden/>
              </w:rPr>
            </w:r>
            <w:r>
              <w:rPr>
                <w:webHidden/>
              </w:rPr>
              <w:fldChar w:fldCharType="separate"/>
            </w:r>
            <w:r>
              <w:rPr>
                <w:webHidden/>
              </w:rPr>
              <w:t>21</w:t>
            </w:r>
            <w:r>
              <w:rPr>
                <w:webHidden/>
              </w:rPr>
              <w:fldChar w:fldCharType="end"/>
            </w:r>
          </w:hyperlink>
        </w:p>
        <w:p w14:paraId="0372AFC9" w14:textId="7C92FCC4" w:rsidR="00CA009D" w:rsidRDefault="00CA009D">
          <w:pPr>
            <w:pStyle w:val="Obsah3"/>
            <w:rPr>
              <w:rFonts w:eastAsiaTheme="minorEastAsia"/>
              <w:kern w:val="2"/>
              <w:sz w:val="24"/>
              <w:szCs w:val="24"/>
              <w:lang w:val="cs-CZ"/>
              <w14:ligatures w14:val="standardContextual"/>
            </w:rPr>
          </w:pPr>
          <w:hyperlink w:anchor="_Toc183029527" w:history="1">
            <w:r w:rsidRPr="000E0135">
              <w:rPr>
                <w:rStyle w:val="Hypertextovodkaz"/>
              </w:rPr>
              <w:t>2.5.1</w:t>
            </w:r>
            <w:r>
              <w:rPr>
                <w:rFonts w:eastAsiaTheme="minorEastAsia"/>
                <w:kern w:val="2"/>
                <w:sz w:val="24"/>
                <w:szCs w:val="24"/>
                <w:lang w:val="cs-CZ"/>
                <w14:ligatures w14:val="standardContextual"/>
              </w:rPr>
              <w:tab/>
            </w:r>
            <w:r w:rsidRPr="000E0135">
              <w:rPr>
                <w:rStyle w:val="Hypertextovodkaz"/>
              </w:rPr>
              <w:t>Klasifikace podle účinku na organismus</w:t>
            </w:r>
            <w:r>
              <w:rPr>
                <w:webHidden/>
              </w:rPr>
              <w:tab/>
            </w:r>
            <w:r>
              <w:rPr>
                <w:webHidden/>
              </w:rPr>
              <w:fldChar w:fldCharType="begin"/>
            </w:r>
            <w:r>
              <w:rPr>
                <w:webHidden/>
              </w:rPr>
              <w:instrText xml:space="preserve"> PAGEREF _Toc183029527 \h </w:instrText>
            </w:r>
            <w:r>
              <w:rPr>
                <w:webHidden/>
              </w:rPr>
            </w:r>
            <w:r>
              <w:rPr>
                <w:webHidden/>
              </w:rPr>
              <w:fldChar w:fldCharType="separate"/>
            </w:r>
            <w:r>
              <w:rPr>
                <w:webHidden/>
              </w:rPr>
              <w:t>22</w:t>
            </w:r>
            <w:r>
              <w:rPr>
                <w:webHidden/>
              </w:rPr>
              <w:fldChar w:fldCharType="end"/>
            </w:r>
          </w:hyperlink>
        </w:p>
        <w:p w14:paraId="61CE6B7D" w14:textId="31350FBF" w:rsidR="00CA009D" w:rsidRDefault="00CA009D">
          <w:pPr>
            <w:pStyle w:val="Obsah3"/>
            <w:rPr>
              <w:rFonts w:eastAsiaTheme="minorEastAsia"/>
              <w:kern w:val="2"/>
              <w:sz w:val="24"/>
              <w:szCs w:val="24"/>
              <w:lang w:val="cs-CZ"/>
              <w14:ligatures w14:val="standardContextual"/>
            </w:rPr>
          </w:pPr>
          <w:hyperlink w:anchor="_Toc183029528" w:history="1">
            <w:r w:rsidRPr="000E0135">
              <w:rPr>
                <w:rStyle w:val="Hypertextovodkaz"/>
              </w:rPr>
              <w:t>2.5.2</w:t>
            </w:r>
            <w:r>
              <w:rPr>
                <w:rFonts w:eastAsiaTheme="minorEastAsia"/>
                <w:kern w:val="2"/>
                <w:sz w:val="24"/>
                <w:szCs w:val="24"/>
                <w:lang w:val="cs-CZ"/>
                <w14:ligatures w14:val="standardContextual"/>
              </w:rPr>
              <w:tab/>
            </w:r>
            <w:r w:rsidRPr="000E0135">
              <w:rPr>
                <w:rStyle w:val="Hypertextovodkaz"/>
              </w:rPr>
              <w:t>Klasifikace podle stability v terénu</w:t>
            </w:r>
            <w:r>
              <w:rPr>
                <w:webHidden/>
              </w:rPr>
              <w:tab/>
            </w:r>
            <w:r>
              <w:rPr>
                <w:webHidden/>
              </w:rPr>
              <w:fldChar w:fldCharType="begin"/>
            </w:r>
            <w:r>
              <w:rPr>
                <w:webHidden/>
              </w:rPr>
              <w:instrText xml:space="preserve"> PAGEREF _Toc183029528 \h </w:instrText>
            </w:r>
            <w:r>
              <w:rPr>
                <w:webHidden/>
              </w:rPr>
            </w:r>
            <w:r>
              <w:rPr>
                <w:webHidden/>
              </w:rPr>
              <w:fldChar w:fldCharType="separate"/>
            </w:r>
            <w:r>
              <w:rPr>
                <w:webHidden/>
              </w:rPr>
              <w:t>22</w:t>
            </w:r>
            <w:r>
              <w:rPr>
                <w:webHidden/>
              </w:rPr>
              <w:fldChar w:fldCharType="end"/>
            </w:r>
          </w:hyperlink>
        </w:p>
        <w:p w14:paraId="46FE8076" w14:textId="740F53CF" w:rsidR="00CA009D" w:rsidRDefault="00CA009D">
          <w:pPr>
            <w:pStyle w:val="Obsah3"/>
            <w:rPr>
              <w:rFonts w:eastAsiaTheme="minorEastAsia"/>
              <w:kern w:val="2"/>
              <w:sz w:val="24"/>
              <w:szCs w:val="24"/>
              <w:lang w:val="cs-CZ"/>
              <w14:ligatures w14:val="standardContextual"/>
            </w:rPr>
          </w:pPr>
          <w:hyperlink w:anchor="_Toc183029529" w:history="1">
            <w:r w:rsidRPr="000E0135">
              <w:rPr>
                <w:rStyle w:val="Hypertextovodkaz"/>
              </w:rPr>
              <w:t>2.5.3</w:t>
            </w:r>
            <w:r>
              <w:rPr>
                <w:rFonts w:eastAsiaTheme="minorEastAsia"/>
                <w:kern w:val="2"/>
                <w:sz w:val="24"/>
                <w:szCs w:val="24"/>
                <w:lang w:val="cs-CZ"/>
                <w14:ligatures w14:val="standardContextual"/>
              </w:rPr>
              <w:tab/>
            </w:r>
            <w:r w:rsidRPr="000E0135">
              <w:rPr>
                <w:rStyle w:val="Hypertextovodkaz"/>
              </w:rPr>
              <w:t>Klasifikace podle rychlosti nástupu účinku</w:t>
            </w:r>
            <w:r>
              <w:rPr>
                <w:webHidden/>
              </w:rPr>
              <w:tab/>
            </w:r>
            <w:r>
              <w:rPr>
                <w:webHidden/>
              </w:rPr>
              <w:fldChar w:fldCharType="begin"/>
            </w:r>
            <w:r>
              <w:rPr>
                <w:webHidden/>
              </w:rPr>
              <w:instrText xml:space="preserve"> PAGEREF _Toc183029529 \h </w:instrText>
            </w:r>
            <w:r>
              <w:rPr>
                <w:webHidden/>
              </w:rPr>
            </w:r>
            <w:r>
              <w:rPr>
                <w:webHidden/>
              </w:rPr>
              <w:fldChar w:fldCharType="separate"/>
            </w:r>
            <w:r>
              <w:rPr>
                <w:webHidden/>
              </w:rPr>
              <w:t>23</w:t>
            </w:r>
            <w:r>
              <w:rPr>
                <w:webHidden/>
              </w:rPr>
              <w:fldChar w:fldCharType="end"/>
            </w:r>
          </w:hyperlink>
        </w:p>
        <w:p w14:paraId="2C9317D8" w14:textId="471C1076" w:rsidR="00CA009D" w:rsidRDefault="00CA009D">
          <w:pPr>
            <w:pStyle w:val="Obsah3"/>
            <w:rPr>
              <w:rFonts w:eastAsiaTheme="minorEastAsia"/>
              <w:kern w:val="2"/>
              <w:sz w:val="24"/>
              <w:szCs w:val="24"/>
              <w:lang w:val="cs-CZ"/>
              <w14:ligatures w14:val="standardContextual"/>
            </w:rPr>
          </w:pPr>
          <w:hyperlink w:anchor="_Toc183029530" w:history="1">
            <w:r w:rsidRPr="000E0135">
              <w:rPr>
                <w:rStyle w:val="Hypertextovodkaz"/>
              </w:rPr>
              <w:t>2.5.4</w:t>
            </w:r>
            <w:r>
              <w:rPr>
                <w:rFonts w:eastAsiaTheme="minorEastAsia"/>
                <w:kern w:val="2"/>
                <w:sz w:val="24"/>
                <w:szCs w:val="24"/>
                <w:lang w:val="cs-CZ"/>
                <w14:ligatures w14:val="standardContextual"/>
              </w:rPr>
              <w:tab/>
            </w:r>
            <w:r w:rsidRPr="000E0135">
              <w:rPr>
                <w:rStyle w:val="Hypertextovodkaz"/>
              </w:rPr>
              <w:t>Interakce s organismem a faktory ovlivňující toxicitu</w:t>
            </w:r>
            <w:r>
              <w:rPr>
                <w:webHidden/>
              </w:rPr>
              <w:tab/>
            </w:r>
            <w:r>
              <w:rPr>
                <w:webHidden/>
              </w:rPr>
              <w:fldChar w:fldCharType="begin"/>
            </w:r>
            <w:r>
              <w:rPr>
                <w:webHidden/>
              </w:rPr>
              <w:instrText xml:space="preserve"> PAGEREF _Toc183029530 \h </w:instrText>
            </w:r>
            <w:r>
              <w:rPr>
                <w:webHidden/>
              </w:rPr>
            </w:r>
            <w:r>
              <w:rPr>
                <w:webHidden/>
              </w:rPr>
              <w:fldChar w:fldCharType="separate"/>
            </w:r>
            <w:r>
              <w:rPr>
                <w:webHidden/>
              </w:rPr>
              <w:t>23</w:t>
            </w:r>
            <w:r>
              <w:rPr>
                <w:webHidden/>
              </w:rPr>
              <w:fldChar w:fldCharType="end"/>
            </w:r>
          </w:hyperlink>
        </w:p>
        <w:p w14:paraId="22067F4E" w14:textId="48FCDAE7" w:rsidR="00CA009D" w:rsidRDefault="00CA009D">
          <w:pPr>
            <w:pStyle w:val="Obsah3"/>
            <w:rPr>
              <w:rFonts w:eastAsiaTheme="minorEastAsia"/>
              <w:kern w:val="2"/>
              <w:sz w:val="24"/>
              <w:szCs w:val="24"/>
              <w:lang w:val="cs-CZ"/>
              <w14:ligatures w14:val="standardContextual"/>
            </w:rPr>
          </w:pPr>
          <w:hyperlink w:anchor="_Toc183029531" w:history="1">
            <w:r w:rsidRPr="000E0135">
              <w:rPr>
                <w:rStyle w:val="Hypertextovodkaz"/>
              </w:rPr>
              <w:t>2.5.5</w:t>
            </w:r>
            <w:r>
              <w:rPr>
                <w:rFonts w:eastAsiaTheme="minorEastAsia"/>
                <w:kern w:val="2"/>
                <w:sz w:val="24"/>
                <w:szCs w:val="24"/>
                <w:lang w:val="cs-CZ"/>
                <w14:ligatures w14:val="standardContextual"/>
              </w:rPr>
              <w:tab/>
            </w:r>
            <w:r w:rsidRPr="000E0135">
              <w:rPr>
                <w:rStyle w:val="Hypertextovodkaz"/>
              </w:rPr>
              <w:t>Smrtící BCHL</w:t>
            </w:r>
            <w:r>
              <w:rPr>
                <w:webHidden/>
              </w:rPr>
              <w:tab/>
            </w:r>
            <w:r>
              <w:rPr>
                <w:webHidden/>
              </w:rPr>
              <w:fldChar w:fldCharType="begin"/>
            </w:r>
            <w:r>
              <w:rPr>
                <w:webHidden/>
              </w:rPr>
              <w:instrText xml:space="preserve"> PAGEREF _Toc183029531 \h </w:instrText>
            </w:r>
            <w:r>
              <w:rPr>
                <w:webHidden/>
              </w:rPr>
            </w:r>
            <w:r>
              <w:rPr>
                <w:webHidden/>
              </w:rPr>
              <w:fldChar w:fldCharType="separate"/>
            </w:r>
            <w:r>
              <w:rPr>
                <w:webHidden/>
              </w:rPr>
              <w:t>24</w:t>
            </w:r>
            <w:r>
              <w:rPr>
                <w:webHidden/>
              </w:rPr>
              <w:fldChar w:fldCharType="end"/>
            </w:r>
          </w:hyperlink>
        </w:p>
        <w:p w14:paraId="6E4E91E6" w14:textId="7C50EF92" w:rsidR="00CA009D" w:rsidRDefault="00CA009D">
          <w:pPr>
            <w:pStyle w:val="Obsah3"/>
            <w:rPr>
              <w:rFonts w:eastAsiaTheme="minorEastAsia"/>
              <w:kern w:val="2"/>
              <w:sz w:val="24"/>
              <w:szCs w:val="24"/>
              <w:lang w:val="cs-CZ"/>
              <w14:ligatures w14:val="standardContextual"/>
            </w:rPr>
          </w:pPr>
          <w:hyperlink w:anchor="_Toc183029532" w:history="1">
            <w:r w:rsidRPr="000E0135">
              <w:rPr>
                <w:rStyle w:val="Hypertextovodkaz"/>
              </w:rPr>
              <w:t>2.5.6</w:t>
            </w:r>
            <w:r>
              <w:rPr>
                <w:rFonts w:eastAsiaTheme="minorEastAsia"/>
                <w:kern w:val="2"/>
                <w:sz w:val="24"/>
                <w:szCs w:val="24"/>
                <w:lang w:val="cs-CZ"/>
                <w14:ligatures w14:val="standardContextual"/>
              </w:rPr>
              <w:tab/>
            </w:r>
            <w:r w:rsidRPr="000E0135">
              <w:rPr>
                <w:rStyle w:val="Hypertextovodkaz"/>
              </w:rPr>
              <w:t>Historie a vývoj smrtících BCHL</w:t>
            </w:r>
            <w:r>
              <w:rPr>
                <w:webHidden/>
              </w:rPr>
              <w:tab/>
            </w:r>
            <w:r>
              <w:rPr>
                <w:webHidden/>
              </w:rPr>
              <w:fldChar w:fldCharType="begin"/>
            </w:r>
            <w:r>
              <w:rPr>
                <w:webHidden/>
              </w:rPr>
              <w:instrText xml:space="preserve"> PAGEREF _Toc183029532 \h </w:instrText>
            </w:r>
            <w:r>
              <w:rPr>
                <w:webHidden/>
              </w:rPr>
            </w:r>
            <w:r>
              <w:rPr>
                <w:webHidden/>
              </w:rPr>
              <w:fldChar w:fldCharType="separate"/>
            </w:r>
            <w:r>
              <w:rPr>
                <w:webHidden/>
              </w:rPr>
              <w:t>24</w:t>
            </w:r>
            <w:r>
              <w:rPr>
                <w:webHidden/>
              </w:rPr>
              <w:fldChar w:fldCharType="end"/>
            </w:r>
          </w:hyperlink>
        </w:p>
        <w:p w14:paraId="57401818" w14:textId="5CA54F62" w:rsidR="00CA009D" w:rsidRDefault="00CA009D">
          <w:pPr>
            <w:pStyle w:val="Obsah3"/>
            <w:rPr>
              <w:rFonts w:eastAsiaTheme="minorEastAsia"/>
              <w:kern w:val="2"/>
              <w:sz w:val="24"/>
              <w:szCs w:val="24"/>
              <w:lang w:val="cs-CZ"/>
              <w14:ligatures w14:val="standardContextual"/>
            </w:rPr>
          </w:pPr>
          <w:hyperlink w:anchor="_Toc183029533" w:history="1">
            <w:r w:rsidRPr="000E0135">
              <w:rPr>
                <w:rStyle w:val="Hypertextovodkaz"/>
              </w:rPr>
              <w:t>2.5.7</w:t>
            </w:r>
            <w:r>
              <w:rPr>
                <w:rFonts w:eastAsiaTheme="minorEastAsia"/>
                <w:kern w:val="2"/>
                <w:sz w:val="24"/>
                <w:szCs w:val="24"/>
                <w:lang w:val="cs-CZ"/>
                <w14:ligatures w14:val="standardContextual"/>
              </w:rPr>
              <w:tab/>
            </w:r>
            <w:r w:rsidRPr="000E0135">
              <w:rPr>
                <w:rStyle w:val="Hypertextovodkaz"/>
              </w:rPr>
              <w:t>Typologie smrtících BCHL</w:t>
            </w:r>
            <w:r>
              <w:rPr>
                <w:webHidden/>
              </w:rPr>
              <w:tab/>
            </w:r>
            <w:r>
              <w:rPr>
                <w:webHidden/>
              </w:rPr>
              <w:fldChar w:fldCharType="begin"/>
            </w:r>
            <w:r>
              <w:rPr>
                <w:webHidden/>
              </w:rPr>
              <w:instrText xml:space="preserve"> PAGEREF _Toc183029533 \h </w:instrText>
            </w:r>
            <w:r>
              <w:rPr>
                <w:webHidden/>
              </w:rPr>
            </w:r>
            <w:r>
              <w:rPr>
                <w:webHidden/>
              </w:rPr>
              <w:fldChar w:fldCharType="separate"/>
            </w:r>
            <w:r>
              <w:rPr>
                <w:webHidden/>
              </w:rPr>
              <w:t>24</w:t>
            </w:r>
            <w:r>
              <w:rPr>
                <w:webHidden/>
              </w:rPr>
              <w:fldChar w:fldCharType="end"/>
            </w:r>
          </w:hyperlink>
        </w:p>
        <w:p w14:paraId="50E92E27" w14:textId="4E71A8B4" w:rsidR="00CA009D" w:rsidRDefault="00CA009D">
          <w:pPr>
            <w:pStyle w:val="Obsah3"/>
            <w:rPr>
              <w:rFonts w:eastAsiaTheme="minorEastAsia"/>
              <w:kern w:val="2"/>
              <w:sz w:val="24"/>
              <w:szCs w:val="24"/>
              <w:lang w:val="cs-CZ"/>
              <w14:ligatures w14:val="standardContextual"/>
            </w:rPr>
          </w:pPr>
          <w:hyperlink w:anchor="_Toc183029534" w:history="1">
            <w:r w:rsidRPr="000E0135">
              <w:rPr>
                <w:rStyle w:val="Hypertextovodkaz"/>
              </w:rPr>
              <w:t>2.5.8</w:t>
            </w:r>
            <w:r>
              <w:rPr>
                <w:rFonts w:eastAsiaTheme="minorEastAsia"/>
                <w:kern w:val="2"/>
                <w:sz w:val="24"/>
                <w:szCs w:val="24"/>
                <w:lang w:val="cs-CZ"/>
                <w14:ligatures w14:val="standardContextual"/>
              </w:rPr>
              <w:tab/>
            </w:r>
            <w:r w:rsidRPr="000E0135">
              <w:rPr>
                <w:rStyle w:val="Hypertextovodkaz"/>
              </w:rPr>
              <w:t>Mechanismus účinku smrtících BCHL</w:t>
            </w:r>
            <w:r>
              <w:rPr>
                <w:webHidden/>
              </w:rPr>
              <w:tab/>
            </w:r>
            <w:r>
              <w:rPr>
                <w:webHidden/>
              </w:rPr>
              <w:fldChar w:fldCharType="begin"/>
            </w:r>
            <w:r>
              <w:rPr>
                <w:webHidden/>
              </w:rPr>
              <w:instrText xml:space="preserve"> PAGEREF _Toc183029534 \h </w:instrText>
            </w:r>
            <w:r>
              <w:rPr>
                <w:webHidden/>
              </w:rPr>
            </w:r>
            <w:r>
              <w:rPr>
                <w:webHidden/>
              </w:rPr>
              <w:fldChar w:fldCharType="separate"/>
            </w:r>
            <w:r>
              <w:rPr>
                <w:webHidden/>
              </w:rPr>
              <w:t>25</w:t>
            </w:r>
            <w:r>
              <w:rPr>
                <w:webHidden/>
              </w:rPr>
              <w:fldChar w:fldCharType="end"/>
            </w:r>
          </w:hyperlink>
        </w:p>
        <w:p w14:paraId="1C9C7B6A" w14:textId="5DC0EAB0" w:rsidR="00CA009D" w:rsidRDefault="00CA009D">
          <w:pPr>
            <w:pStyle w:val="Obsah3"/>
            <w:rPr>
              <w:rFonts w:eastAsiaTheme="minorEastAsia"/>
              <w:kern w:val="2"/>
              <w:sz w:val="24"/>
              <w:szCs w:val="24"/>
              <w:lang w:val="cs-CZ"/>
              <w14:ligatures w14:val="standardContextual"/>
            </w:rPr>
          </w:pPr>
          <w:hyperlink w:anchor="_Toc183029535" w:history="1">
            <w:r w:rsidRPr="000E0135">
              <w:rPr>
                <w:rStyle w:val="Hypertextovodkaz"/>
              </w:rPr>
              <w:t>2.5.9</w:t>
            </w:r>
            <w:r>
              <w:rPr>
                <w:rFonts w:eastAsiaTheme="minorEastAsia"/>
                <w:kern w:val="2"/>
                <w:sz w:val="24"/>
                <w:szCs w:val="24"/>
                <w:lang w:val="cs-CZ"/>
                <w14:ligatures w14:val="standardContextual"/>
              </w:rPr>
              <w:tab/>
            </w:r>
            <w:r w:rsidRPr="000E0135">
              <w:rPr>
                <w:rStyle w:val="Hypertextovodkaz"/>
              </w:rPr>
              <w:t>Ochrana a dekontaminace</w:t>
            </w:r>
            <w:r>
              <w:rPr>
                <w:webHidden/>
              </w:rPr>
              <w:tab/>
            </w:r>
            <w:r>
              <w:rPr>
                <w:webHidden/>
              </w:rPr>
              <w:fldChar w:fldCharType="begin"/>
            </w:r>
            <w:r>
              <w:rPr>
                <w:webHidden/>
              </w:rPr>
              <w:instrText xml:space="preserve"> PAGEREF _Toc183029535 \h </w:instrText>
            </w:r>
            <w:r>
              <w:rPr>
                <w:webHidden/>
              </w:rPr>
            </w:r>
            <w:r>
              <w:rPr>
                <w:webHidden/>
              </w:rPr>
              <w:fldChar w:fldCharType="separate"/>
            </w:r>
            <w:r>
              <w:rPr>
                <w:webHidden/>
              </w:rPr>
              <w:t>25</w:t>
            </w:r>
            <w:r>
              <w:rPr>
                <w:webHidden/>
              </w:rPr>
              <w:fldChar w:fldCharType="end"/>
            </w:r>
          </w:hyperlink>
        </w:p>
        <w:p w14:paraId="3A3764E7" w14:textId="3A06B505" w:rsidR="00CA009D" w:rsidRDefault="00CA009D">
          <w:pPr>
            <w:pStyle w:val="Obsah2"/>
            <w:rPr>
              <w:rFonts w:eastAsiaTheme="minorEastAsia"/>
              <w:kern w:val="2"/>
              <w:sz w:val="24"/>
              <w:szCs w:val="24"/>
              <w:lang w:val="cs-CZ"/>
              <w14:ligatures w14:val="standardContextual"/>
            </w:rPr>
          </w:pPr>
          <w:hyperlink w:anchor="_Toc183029536" w:history="1">
            <w:r w:rsidRPr="000E0135">
              <w:rPr>
                <w:rStyle w:val="Hypertextovodkaz"/>
              </w:rPr>
              <w:t>2.6</w:t>
            </w:r>
            <w:r>
              <w:rPr>
                <w:rFonts w:eastAsiaTheme="minorEastAsia"/>
                <w:kern w:val="2"/>
                <w:sz w:val="24"/>
                <w:szCs w:val="24"/>
                <w:lang w:val="cs-CZ"/>
                <w14:ligatures w14:val="standardContextual"/>
              </w:rPr>
              <w:tab/>
            </w:r>
            <w:r w:rsidRPr="000E0135">
              <w:rPr>
                <w:rStyle w:val="Hypertextovodkaz"/>
              </w:rPr>
              <w:t>Zneschopňující a oslabující BCHL</w:t>
            </w:r>
            <w:r>
              <w:rPr>
                <w:webHidden/>
              </w:rPr>
              <w:tab/>
            </w:r>
            <w:r>
              <w:rPr>
                <w:webHidden/>
              </w:rPr>
              <w:fldChar w:fldCharType="begin"/>
            </w:r>
            <w:r>
              <w:rPr>
                <w:webHidden/>
              </w:rPr>
              <w:instrText xml:space="preserve"> PAGEREF _Toc183029536 \h </w:instrText>
            </w:r>
            <w:r>
              <w:rPr>
                <w:webHidden/>
              </w:rPr>
            </w:r>
            <w:r>
              <w:rPr>
                <w:webHidden/>
              </w:rPr>
              <w:fldChar w:fldCharType="separate"/>
            </w:r>
            <w:r>
              <w:rPr>
                <w:webHidden/>
              </w:rPr>
              <w:t>25</w:t>
            </w:r>
            <w:r>
              <w:rPr>
                <w:webHidden/>
              </w:rPr>
              <w:fldChar w:fldCharType="end"/>
            </w:r>
          </w:hyperlink>
        </w:p>
        <w:p w14:paraId="7A26D21F" w14:textId="1E896EF9" w:rsidR="00CA009D" w:rsidRDefault="00CA009D">
          <w:pPr>
            <w:pStyle w:val="Obsah3"/>
            <w:rPr>
              <w:rFonts w:eastAsiaTheme="minorEastAsia"/>
              <w:kern w:val="2"/>
              <w:sz w:val="24"/>
              <w:szCs w:val="24"/>
              <w:lang w:val="cs-CZ"/>
              <w14:ligatures w14:val="standardContextual"/>
            </w:rPr>
          </w:pPr>
          <w:hyperlink w:anchor="_Toc183029537" w:history="1">
            <w:r w:rsidRPr="000E0135">
              <w:rPr>
                <w:rStyle w:val="Hypertextovodkaz"/>
              </w:rPr>
              <w:t>2.6.1</w:t>
            </w:r>
            <w:r>
              <w:rPr>
                <w:rFonts w:eastAsiaTheme="minorEastAsia"/>
                <w:kern w:val="2"/>
                <w:sz w:val="24"/>
                <w:szCs w:val="24"/>
                <w:lang w:val="cs-CZ"/>
                <w14:ligatures w14:val="standardContextual"/>
              </w:rPr>
              <w:tab/>
            </w:r>
            <w:r w:rsidRPr="000E0135">
              <w:rPr>
                <w:rStyle w:val="Hypertextovodkaz"/>
              </w:rPr>
              <w:t>Typy a vlastnosti zneschopňujících a oslabujících látek</w:t>
            </w:r>
            <w:r>
              <w:rPr>
                <w:webHidden/>
              </w:rPr>
              <w:tab/>
            </w:r>
            <w:r>
              <w:rPr>
                <w:webHidden/>
              </w:rPr>
              <w:fldChar w:fldCharType="begin"/>
            </w:r>
            <w:r>
              <w:rPr>
                <w:webHidden/>
              </w:rPr>
              <w:instrText xml:space="preserve"> PAGEREF _Toc183029537 \h </w:instrText>
            </w:r>
            <w:r>
              <w:rPr>
                <w:webHidden/>
              </w:rPr>
            </w:r>
            <w:r>
              <w:rPr>
                <w:webHidden/>
              </w:rPr>
              <w:fldChar w:fldCharType="separate"/>
            </w:r>
            <w:r>
              <w:rPr>
                <w:webHidden/>
              </w:rPr>
              <w:t>26</w:t>
            </w:r>
            <w:r>
              <w:rPr>
                <w:webHidden/>
              </w:rPr>
              <w:fldChar w:fldCharType="end"/>
            </w:r>
          </w:hyperlink>
        </w:p>
        <w:p w14:paraId="3E57F828" w14:textId="3348F4BB" w:rsidR="00CA009D" w:rsidRDefault="00CA009D">
          <w:pPr>
            <w:pStyle w:val="Obsah3"/>
            <w:rPr>
              <w:rFonts w:eastAsiaTheme="minorEastAsia"/>
              <w:kern w:val="2"/>
              <w:sz w:val="24"/>
              <w:szCs w:val="24"/>
              <w:lang w:val="cs-CZ"/>
              <w14:ligatures w14:val="standardContextual"/>
            </w:rPr>
          </w:pPr>
          <w:hyperlink w:anchor="_Toc183029538" w:history="1">
            <w:r w:rsidRPr="000E0135">
              <w:rPr>
                <w:rStyle w:val="Hypertextovodkaz"/>
              </w:rPr>
              <w:t>2.6.2</w:t>
            </w:r>
            <w:r>
              <w:rPr>
                <w:rFonts w:eastAsiaTheme="minorEastAsia"/>
                <w:kern w:val="2"/>
                <w:sz w:val="24"/>
                <w:szCs w:val="24"/>
                <w:lang w:val="cs-CZ"/>
                <w14:ligatures w14:val="standardContextual"/>
              </w:rPr>
              <w:tab/>
            </w:r>
            <w:r w:rsidRPr="000E0135">
              <w:rPr>
                <w:rStyle w:val="Hypertextovodkaz"/>
              </w:rPr>
              <w:t>Historie a vývoj zneschopňujících a oslabujících BCHL</w:t>
            </w:r>
            <w:r>
              <w:rPr>
                <w:webHidden/>
              </w:rPr>
              <w:tab/>
            </w:r>
            <w:r>
              <w:rPr>
                <w:webHidden/>
              </w:rPr>
              <w:fldChar w:fldCharType="begin"/>
            </w:r>
            <w:r>
              <w:rPr>
                <w:webHidden/>
              </w:rPr>
              <w:instrText xml:space="preserve"> PAGEREF _Toc183029538 \h </w:instrText>
            </w:r>
            <w:r>
              <w:rPr>
                <w:webHidden/>
              </w:rPr>
            </w:r>
            <w:r>
              <w:rPr>
                <w:webHidden/>
              </w:rPr>
              <w:fldChar w:fldCharType="separate"/>
            </w:r>
            <w:r>
              <w:rPr>
                <w:webHidden/>
              </w:rPr>
              <w:t>26</w:t>
            </w:r>
            <w:r>
              <w:rPr>
                <w:webHidden/>
              </w:rPr>
              <w:fldChar w:fldCharType="end"/>
            </w:r>
          </w:hyperlink>
        </w:p>
        <w:p w14:paraId="4FD7EAFA" w14:textId="2EBE2A6B" w:rsidR="00CA009D" w:rsidRDefault="00CA009D">
          <w:pPr>
            <w:pStyle w:val="Obsah3"/>
            <w:rPr>
              <w:rFonts w:eastAsiaTheme="minorEastAsia"/>
              <w:kern w:val="2"/>
              <w:sz w:val="24"/>
              <w:szCs w:val="24"/>
              <w:lang w:val="cs-CZ"/>
              <w14:ligatures w14:val="standardContextual"/>
            </w:rPr>
          </w:pPr>
          <w:hyperlink w:anchor="_Toc183029539" w:history="1">
            <w:r w:rsidRPr="000E0135">
              <w:rPr>
                <w:rStyle w:val="Hypertextovodkaz"/>
              </w:rPr>
              <w:t>2.6.3</w:t>
            </w:r>
            <w:r>
              <w:rPr>
                <w:rFonts w:eastAsiaTheme="minorEastAsia"/>
                <w:kern w:val="2"/>
                <w:sz w:val="24"/>
                <w:szCs w:val="24"/>
                <w:lang w:val="cs-CZ"/>
                <w14:ligatures w14:val="standardContextual"/>
              </w:rPr>
              <w:tab/>
            </w:r>
            <w:r w:rsidRPr="000E0135">
              <w:rPr>
                <w:rStyle w:val="Hypertextovodkaz"/>
              </w:rPr>
              <w:t>Mechanismy účinku</w:t>
            </w:r>
            <w:r>
              <w:rPr>
                <w:webHidden/>
              </w:rPr>
              <w:tab/>
            </w:r>
            <w:r>
              <w:rPr>
                <w:webHidden/>
              </w:rPr>
              <w:fldChar w:fldCharType="begin"/>
            </w:r>
            <w:r>
              <w:rPr>
                <w:webHidden/>
              </w:rPr>
              <w:instrText xml:space="preserve"> PAGEREF _Toc183029539 \h </w:instrText>
            </w:r>
            <w:r>
              <w:rPr>
                <w:webHidden/>
              </w:rPr>
            </w:r>
            <w:r>
              <w:rPr>
                <w:webHidden/>
              </w:rPr>
              <w:fldChar w:fldCharType="separate"/>
            </w:r>
            <w:r>
              <w:rPr>
                <w:webHidden/>
              </w:rPr>
              <w:t>27</w:t>
            </w:r>
            <w:r>
              <w:rPr>
                <w:webHidden/>
              </w:rPr>
              <w:fldChar w:fldCharType="end"/>
            </w:r>
          </w:hyperlink>
        </w:p>
        <w:p w14:paraId="295E477F" w14:textId="373AD632" w:rsidR="00CA009D" w:rsidRDefault="00CA009D">
          <w:pPr>
            <w:pStyle w:val="Obsah3"/>
            <w:rPr>
              <w:rFonts w:eastAsiaTheme="minorEastAsia"/>
              <w:kern w:val="2"/>
              <w:sz w:val="24"/>
              <w:szCs w:val="24"/>
              <w:lang w:val="cs-CZ"/>
              <w14:ligatures w14:val="standardContextual"/>
            </w:rPr>
          </w:pPr>
          <w:hyperlink w:anchor="_Toc183029540" w:history="1">
            <w:r w:rsidRPr="000E0135">
              <w:rPr>
                <w:rStyle w:val="Hypertextovodkaz"/>
              </w:rPr>
              <w:t>2.6.4</w:t>
            </w:r>
            <w:r>
              <w:rPr>
                <w:rFonts w:eastAsiaTheme="minorEastAsia"/>
                <w:kern w:val="2"/>
                <w:sz w:val="24"/>
                <w:szCs w:val="24"/>
                <w:lang w:val="cs-CZ"/>
                <w14:ligatures w14:val="standardContextual"/>
              </w:rPr>
              <w:tab/>
            </w:r>
            <w:r w:rsidRPr="000E0135">
              <w:rPr>
                <w:rStyle w:val="Hypertextovodkaz"/>
              </w:rPr>
              <w:t>Bezpečnostní opatření a dekontaminace</w:t>
            </w:r>
            <w:r>
              <w:rPr>
                <w:webHidden/>
              </w:rPr>
              <w:tab/>
            </w:r>
            <w:r>
              <w:rPr>
                <w:webHidden/>
              </w:rPr>
              <w:fldChar w:fldCharType="begin"/>
            </w:r>
            <w:r>
              <w:rPr>
                <w:webHidden/>
              </w:rPr>
              <w:instrText xml:space="preserve"> PAGEREF _Toc183029540 \h </w:instrText>
            </w:r>
            <w:r>
              <w:rPr>
                <w:webHidden/>
              </w:rPr>
            </w:r>
            <w:r>
              <w:rPr>
                <w:webHidden/>
              </w:rPr>
              <w:fldChar w:fldCharType="separate"/>
            </w:r>
            <w:r>
              <w:rPr>
                <w:webHidden/>
              </w:rPr>
              <w:t>27</w:t>
            </w:r>
            <w:r>
              <w:rPr>
                <w:webHidden/>
              </w:rPr>
              <w:fldChar w:fldCharType="end"/>
            </w:r>
          </w:hyperlink>
        </w:p>
        <w:p w14:paraId="20E9A257" w14:textId="4C5CEDBA" w:rsidR="00CA009D" w:rsidRDefault="00CA009D">
          <w:pPr>
            <w:pStyle w:val="Obsah2"/>
            <w:rPr>
              <w:rFonts w:eastAsiaTheme="minorEastAsia"/>
              <w:kern w:val="2"/>
              <w:sz w:val="24"/>
              <w:szCs w:val="24"/>
              <w:lang w:val="cs-CZ"/>
              <w14:ligatures w14:val="standardContextual"/>
            </w:rPr>
          </w:pPr>
          <w:hyperlink w:anchor="_Toc183029541" w:history="1">
            <w:r w:rsidRPr="000E0135">
              <w:rPr>
                <w:rStyle w:val="Hypertextovodkaz"/>
                <w:lang w:val="cs-CZ"/>
              </w:rPr>
              <w:t>2.7</w:t>
            </w:r>
            <w:r>
              <w:rPr>
                <w:rFonts w:eastAsiaTheme="minorEastAsia"/>
                <w:kern w:val="2"/>
                <w:sz w:val="24"/>
                <w:szCs w:val="24"/>
                <w:lang w:val="cs-CZ"/>
                <w14:ligatures w14:val="standardContextual"/>
              </w:rPr>
              <w:tab/>
            </w:r>
            <w:r w:rsidRPr="000E0135">
              <w:rPr>
                <w:rStyle w:val="Hypertextovodkaz"/>
                <w:lang w:val="cs-CZ"/>
              </w:rPr>
              <w:t>BCHL určené k zasažení rostlinstva</w:t>
            </w:r>
            <w:r>
              <w:rPr>
                <w:webHidden/>
              </w:rPr>
              <w:tab/>
            </w:r>
            <w:r>
              <w:rPr>
                <w:webHidden/>
              </w:rPr>
              <w:fldChar w:fldCharType="begin"/>
            </w:r>
            <w:r>
              <w:rPr>
                <w:webHidden/>
              </w:rPr>
              <w:instrText xml:space="preserve"> PAGEREF _Toc183029541 \h </w:instrText>
            </w:r>
            <w:r>
              <w:rPr>
                <w:webHidden/>
              </w:rPr>
            </w:r>
            <w:r>
              <w:rPr>
                <w:webHidden/>
              </w:rPr>
              <w:fldChar w:fldCharType="separate"/>
            </w:r>
            <w:r>
              <w:rPr>
                <w:webHidden/>
              </w:rPr>
              <w:t>27</w:t>
            </w:r>
            <w:r>
              <w:rPr>
                <w:webHidden/>
              </w:rPr>
              <w:fldChar w:fldCharType="end"/>
            </w:r>
          </w:hyperlink>
        </w:p>
        <w:p w14:paraId="3E0596DB" w14:textId="08579C78" w:rsidR="00CA009D" w:rsidRDefault="00CA009D">
          <w:pPr>
            <w:pStyle w:val="Obsah3"/>
            <w:rPr>
              <w:rFonts w:eastAsiaTheme="minorEastAsia"/>
              <w:kern w:val="2"/>
              <w:sz w:val="24"/>
              <w:szCs w:val="24"/>
              <w:lang w:val="cs-CZ"/>
              <w14:ligatures w14:val="standardContextual"/>
            </w:rPr>
          </w:pPr>
          <w:hyperlink w:anchor="_Toc183029542" w:history="1">
            <w:r w:rsidRPr="000E0135">
              <w:rPr>
                <w:rStyle w:val="Hypertextovodkaz"/>
              </w:rPr>
              <w:t>2.7.1</w:t>
            </w:r>
            <w:r>
              <w:rPr>
                <w:rFonts w:eastAsiaTheme="minorEastAsia"/>
                <w:kern w:val="2"/>
                <w:sz w:val="24"/>
                <w:szCs w:val="24"/>
                <w:lang w:val="cs-CZ"/>
                <w14:ligatures w14:val="standardContextual"/>
              </w:rPr>
              <w:tab/>
            </w:r>
            <w:r w:rsidRPr="000E0135">
              <w:rPr>
                <w:rStyle w:val="Hypertextovodkaz"/>
              </w:rPr>
              <w:t>Mechanismus účinku na rostlinstvo</w:t>
            </w:r>
            <w:r>
              <w:rPr>
                <w:webHidden/>
              </w:rPr>
              <w:tab/>
            </w:r>
            <w:r>
              <w:rPr>
                <w:webHidden/>
              </w:rPr>
              <w:fldChar w:fldCharType="begin"/>
            </w:r>
            <w:r>
              <w:rPr>
                <w:webHidden/>
              </w:rPr>
              <w:instrText xml:space="preserve"> PAGEREF _Toc183029542 \h </w:instrText>
            </w:r>
            <w:r>
              <w:rPr>
                <w:webHidden/>
              </w:rPr>
            </w:r>
            <w:r>
              <w:rPr>
                <w:webHidden/>
              </w:rPr>
              <w:fldChar w:fldCharType="separate"/>
            </w:r>
            <w:r>
              <w:rPr>
                <w:webHidden/>
              </w:rPr>
              <w:t>28</w:t>
            </w:r>
            <w:r>
              <w:rPr>
                <w:webHidden/>
              </w:rPr>
              <w:fldChar w:fldCharType="end"/>
            </w:r>
          </w:hyperlink>
        </w:p>
        <w:p w14:paraId="777932B0" w14:textId="3CEA79BE" w:rsidR="00CA009D" w:rsidRDefault="00CA009D">
          <w:pPr>
            <w:pStyle w:val="Obsah3"/>
            <w:rPr>
              <w:rFonts w:eastAsiaTheme="minorEastAsia"/>
              <w:kern w:val="2"/>
              <w:sz w:val="24"/>
              <w:szCs w:val="24"/>
              <w:lang w:val="cs-CZ"/>
              <w14:ligatures w14:val="standardContextual"/>
            </w:rPr>
          </w:pPr>
          <w:hyperlink w:anchor="_Toc183029543" w:history="1">
            <w:r w:rsidRPr="000E0135">
              <w:rPr>
                <w:rStyle w:val="Hypertextovodkaz"/>
              </w:rPr>
              <w:t>2.7.2</w:t>
            </w:r>
            <w:r>
              <w:rPr>
                <w:rFonts w:eastAsiaTheme="minorEastAsia"/>
                <w:kern w:val="2"/>
                <w:sz w:val="24"/>
                <w:szCs w:val="24"/>
                <w:lang w:val="cs-CZ"/>
                <w14:ligatures w14:val="standardContextual"/>
              </w:rPr>
              <w:tab/>
            </w:r>
            <w:r w:rsidRPr="000E0135">
              <w:rPr>
                <w:rStyle w:val="Hypertextovodkaz"/>
              </w:rPr>
              <w:t>Dopady na životní prostředí a lidské zdraví</w:t>
            </w:r>
            <w:r>
              <w:rPr>
                <w:webHidden/>
              </w:rPr>
              <w:tab/>
            </w:r>
            <w:r>
              <w:rPr>
                <w:webHidden/>
              </w:rPr>
              <w:fldChar w:fldCharType="begin"/>
            </w:r>
            <w:r>
              <w:rPr>
                <w:webHidden/>
              </w:rPr>
              <w:instrText xml:space="preserve"> PAGEREF _Toc183029543 \h </w:instrText>
            </w:r>
            <w:r>
              <w:rPr>
                <w:webHidden/>
              </w:rPr>
            </w:r>
            <w:r>
              <w:rPr>
                <w:webHidden/>
              </w:rPr>
              <w:fldChar w:fldCharType="separate"/>
            </w:r>
            <w:r>
              <w:rPr>
                <w:webHidden/>
              </w:rPr>
              <w:t>28</w:t>
            </w:r>
            <w:r>
              <w:rPr>
                <w:webHidden/>
              </w:rPr>
              <w:fldChar w:fldCharType="end"/>
            </w:r>
          </w:hyperlink>
        </w:p>
        <w:p w14:paraId="7F9A6FB0" w14:textId="2473AE06" w:rsidR="00CA009D" w:rsidRDefault="00CA009D">
          <w:pPr>
            <w:pStyle w:val="Obsah2"/>
            <w:rPr>
              <w:rFonts w:eastAsiaTheme="minorEastAsia"/>
              <w:kern w:val="2"/>
              <w:sz w:val="24"/>
              <w:szCs w:val="24"/>
              <w:lang w:val="cs-CZ"/>
              <w14:ligatures w14:val="standardContextual"/>
            </w:rPr>
          </w:pPr>
          <w:hyperlink w:anchor="_Toc183029544" w:history="1">
            <w:r w:rsidRPr="000E0135">
              <w:rPr>
                <w:rStyle w:val="Hypertextovodkaz"/>
                <w:rFonts w:cstheme="minorHAnsi"/>
              </w:rPr>
              <w:t>2.8</w:t>
            </w:r>
            <w:r>
              <w:rPr>
                <w:rFonts w:eastAsiaTheme="minorEastAsia"/>
                <w:kern w:val="2"/>
                <w:sz w:val="24"/>
                <w:szCs w:val="24"/>
                <w:lang w:val="cs-CZ"/>
                <w14:ligatures w14:val="standardContextual"/>
              </w:rPr>
              <w:tab/>
            </w:r>
            <w:r w:rsidRPr="000E0135">
              <w:rPr>
                <w:rStyle w:val="Hypertextovodkaz"/>
              </w:rPr>
              <w:t>Klasifikace podle účinku na organismus</w:t>
            </w:r>
            <w:r>
              <w:rPr>
                <w:webHidden/>
              </w:rPr>
              <w:tab/>
            </w:r>
            <w:r>
              <w:rPr>
                <w:webHidden/>
              </w:rPr>
              <w:fldChar w:fldCharType="begin"/>
            </w:r>
            <w:r>
              <w:rPr>
                <w:webHidden/>
              </w:rPr>
              <w:instrText xml:space="preserve"> PAGEREF _Toc183029544 \h </w:instrText>
            </w:r>
            <w:r>
              <w:rPr>
                <w:webHidden/>
              </w:rPr>
            </w:r>
            <w:r>
              <w:rPr>
                <w:webHidden/>
              </w:rPr>
              <w:fldChar w:fldCharType="separate"/>
            </w:r>
            <w:r>
              <w:rPr>
                <w:webHidden/>
              </w:rPr>
              <w:t>28</w:t>
            </w:r>
            <w:r>
              <w:rPr>
                <w:webHidden/>
              </w:rPr>
              <w:fldChar w:fldCharType="end"/>
            </w:r>
          </w:hyperlink>
        </w:p>
        <w:p w14:paraId="62BBA68D" w14:textId="6CDE3CDC" w:rsidR="00CA009D" w:rsidRDefault="00CA009D">
          <w:pPr>
            <w:pStyle w:val="Obsah3"/>
            <w:rPr>
              <w:rFonts w:eastAsiaTheme="minorEastAsia"/>
              <w:kern w:val="2"/>
              <w:sz w:val="24"/>
              <w:szCs w:val="24"/>
              <w:lang w:val="cs-CZ"/>
              <w14:ligatures w14:val="standardContextual"/>
            </w:rPr>
          </w:pPr>
          <w:hyperlink w:anchor="_Toc183029545" w:history="1">
            <w:r w:rsidRPr="000E0135">
              <w:rPr>
                <w:rStyle w:val="Hypertextovodkaz"/>
              </w:rPr>
              <w:t>2.8.1</w:t>
            </w:r>
            <w:r>
              <w:rPr>
                <w:rFonts w:eastAsiaTheme="minorEastAsia"/>
                <w:kern w:val="2"/>
                <w:sz w:val="24"/>
                <w:szCs w:val="24"/>
                <w:lang w:val="cs-CZ"/>
                <w14:ligatures w14:val="standardContextual"/>
              </w:rPr>
              <w:tab/>
            </w:r>
            <w:r w:rsidRPr="000E0135">
              <w:rPr>
                <w:rStyle w:val="Hypertextovodkaz"/>
              </w:rPr>
              <w:t>Nervově paralytické látky</w:t>
            </w:r>
            <w:r>
              <w:rPr>
                <w:webHidden/>
              </w:rPr>
              <w:tab/>
            </w:r>
            <w:r>
              <w:rPr>
                <w:webHidden/>
              </w:rPr>
              <w:fldChar w:fldCharType="begin"/>
            </w:r>
            <w:r>
              <w:rPr>
                <w:webHidden/>
              </w:rPr>
              <w:instrText xml:space="preserve"> PAGEREF _Toc183029545 \h </w:instrText>
            </w:r>
            <w:r>
              <w:rPr>
                <w:webHidden/>
              </w:rPr>
            </w:r>
            <w:r>
              <w:rPr>
                <w:webHidden/>
              </w:rPr>
              <w:fldChar w:fldCharType="separate"/>
            </w:r>
            <w:r>
              <w:rPr>
                <w:webHidden/>
              </w:rPr>
              <w:t>28</w:t>
            </w:r>
            <w:r>
              <w:rPr>
                <w:webHidden/>
              </w:rPr>
              <w:fldChar w:fldCharType="end"/>
            </w:r>
          </w:hyperlink>
        </w:p>
        <w:p w14:paraId="53F1538D" w14:textId="2AA33633" w:rsidR="00CA009D" w:rsidRDefault="00CA009D">
          <w:pPr>
            <w:pStyle w:val="Obsah3"/>
            <w:rPr>
              <w:rFonts w:eastAsiaTheme="minorEastAsia"/>
              <w:kern w:val="2"/>
              <w:sz w:val="24"/>
              <w:szCs w:val="24"/>
              <w:lang w:val="cs-CZ"/>
              <w14:ligatures w14:val="standardContextual"/>
            </w:rPr>
          </w:pPr>
          <w:hyperlink w:anchor="_Toc183029546" w:history="1">
            <w:r w:rsidRPr="000E0135">
              <w:rPr>
                <w:rStyle w:val="Hypertextovodkaz"/>
              </w:rPr>
              <w:t>2.8.2</w:t>
            </w:r>
            <w:r>
              <w:rPr>
                <w:rFonts w:eastAsiaTheme="minorEastAsia"/>
                <w:kern w:val="2"/>
                <w:sz w:val="24"/>
                <w:szCs w:val="24"/>
                <w:lang w:val="cs-CZ"/>
                <w14:ligatures w14:val="standardContextual"/>
              </w:rPr>
              <w:tab/>
            </w:r>
            <w:r w:rsidRPr="000E0135">
              <w:rPr>
                <w:rStyle w:val="Hypertextovodkaz"/>
              </w:rPr>
              <w:t>Zpuchýřující látky</w:t>
            </w:r>
            <w:r>
              <w:rPr>
                <w:webHidden/>
              </w:rPr>
              <w:tab/>
            </w:r>
            <w:r>
              <w:rPr>
                <w:webHidden/>
              </w:rPr>
              <w:fldChar w:fldCharType="begin"/>
            </w:r>
            <w:r>
              <w:rPr>
                <w:webHidden/>
              </w:rPr>
              <w:instrText xml:space="preserve"> PAGEREF _Toc183029546 \h </w:instrText>
            </w:r>
            <w:r>
              <w:rPr>
                <w:webHidden/>
              </w:rPr>
            </w:r>
            <w:r>
              <w:rPr>
                <w:webHidden/>
              </w:rPr>
              <w:fldChar w:fldCharType="separate"/>
            </w:r>
            <w:r>
              <w:rPr>
                <w:webHidden/>
              </w:rPr>
              <w:t>30</w:t>
            </w:r>
            <w:r>
              <w:rPr>
                <w:webHidden/>
              </w:rPr>
              <w:fldChar w:fldCharType="end"/>
            </w:r>
          </w:hyperlink>
        </w:p>
        <w:p w14:paraId="6C1F2A60" w14:textId="73675959" w:rsidR="00CA009D" w:rsidRDefault="00CA009D">
          <w:pPr>
            <w:pStyle w:val="Obsah3"/>
            <w:rPr>
              <w:rFonts w:eastAsiaTheme="minorEastAsia"/>
              <w:kern w:val="2"/>
              <w:sz w:val="24"/>
              <w:szCs w:val="24"/>
              <w:lang w:val="cs-CZ"/>
              <w14:ligatures w14:val="standardContextual"/>
            </w:rPr>
          </w:pPr>
          <w:hyperlink w:anchor="_Toc183029547" w:history="1">
            <w:r w:rsidRPr="000E0135">
              <w:rPr>
                <w:rStyle w:val="Hypertextovodkaz"/>
              </w:rPr>
              <w:t>2.8.3</w:t>
            </w:r>
            <w:r>
              <w:rPr>
                <w:rFonts w:eastAsiaTheme="minorEastAsia"/>
                <w:kern w:val="2"/>
                <w:sz w:val="24"/>
                <w:szCs w:val="24"/>
                <w:lang w:val="cs-CZ"/>
                <w14:ligatures w14:val="standardContextual"/>
              </w:rPr>
              <w:tab/>
            </w:r>
            <w:r w:rsidRPr="000E0135">
              <w:rPr>
                <w:rStyle w:val="Hypertextovodkaz"/>
              </w:rPr>
              <w:t>Všeobecně jedovaté látky</w:t>
            </w:r>
            <w:r>
              <w:rPr>
                <w:webHidden/>
              </w:rPr>
              <w:tab/>
            </w:r>
            <w:r>
              <w:rPr>
                <w:webHidden/>
              </w:rPr>
              <w:fldChar w:fldCharType="begin"/>
            </w:r>
            <w:r>
              <w:rPr>
                <w:webHidden/>
              </w:rPr>
              <w:instrText xml:space="preserve"> PAGEREF _Toc183029547 \h </w:instrText>
            </w:r>
            <w:r>
              <w:rPr>
                <w:webHidden/>
              </w:rPr>
            </w:r>
            <w:r>
              <w:rPr>
                <w:webHidden/>
              </w:rPr>
              <w:fldChar w:fldCharType="separate"/>
            </w:r>
            <w:r>
              <w:rPr>
                <w:webHidden/>
              </w:rPr>
              <w:t>33</w:t>
            </w:r>
            <w:r>
              <w:rPr>
                <w:webHidden/>
              </w:rPr>
              <w:fldChar w:fldCharType="end"/>
            </w:r>
          </w:hyperlink>
        </w:p>
        <w:p w14:paraId="02A9A322" w14:textId="5D3D06D5" w:rsidR="00CA009D" w:rsidRDefault="00CA009D">
          <w:pPr>
            <w:pStyle w:val="Obsah3"/>
            <w:rPr>
              <w:rFonts w:eastAsiaTheme="minorEastAsia"/>
              <w:kern w:val="2"/>
              <w:sz w:val="24"/>
              <w:szCs w:val="24"/>
              <w:lang w:val="cs-CZ"/>
              <w14:ligatures w14:val="standardContextual"/>
            </w:rPr>
          </w:pPr>
          <w:hyperlink w:anchor="_Toc183029548" w:history="1">
            <w:r w:rsidRPr="000E0135">
              <w:rPr>
                <w:rStyle w:val="Hypertextovodkaz"/>
              </w:rPr>
              <w:t>2.8.4</w:t>
            </w:r>
            <w:r>
              <w:rPr>
                <w:rFonts w:eastAsiaTheme="minorEastAsia"/>
                <w:kern w:val="2"/>
                <w:sz w:val="24"/>
                <w:szCs w:val="24"/>
                <w:lang w:val="cs-CZ"/>
                <w14:ligatures w14:val="standardContextual"/>
              </w:rPr>
              <w:tab/>
            </w:r>
            <w:r w:rsidRPr="000E0135">
              <w:rPr>
                <w:rStyle w:val="Hypertextovodkaz"/>
              </w:rPr>
              <w:t>Dusivé látky</w:t>
            </w:r>
            <w:r>
              <w:rPr>
                <w:webHidden/>
              </w:rPr>
              <w:tab/>
            </w:r>
            <w:r>
              <w:rPr>
                <w:webHidden/>
              </w:rPr>
              <w:fldChar w:fldCharType="begin"/>
            </w:r>
            <w:r>
              <w:rPr>
                <w:webHidden/>
              </w:rPr>
              <w:instrText xml:space="preserve"> PAGEREF _Toc183029548 \h </w:instrText>
            </w:r>
            <w:r>
              <w:rPr>
                <w:webHidden/>
              </w:rPr>
            </w:r>
            <w:r>
              <w:rPr>
                <w:webHidden/>
              </w:rPr>
              <w:fldChar w:fldCharType="separate"/>
            </w:r>
            <w:r>
              <w:rPr>
                <w:webHidden/>
              </w:rPr>
              <w:t>35</w:t>
            </w:r>
            <w:r>
              <w:rPr>
                <w:webHidden/>
              </w:rPr>
              <w:fldChar w:fldCharType="end"/>
            </w:r>
          </w:hyperlink>
        </w:p>
        <w:p w14:paraId="40E40560" w14:textId="35FEFEC0" w:rsidR="00CA009D" w:rsidRDefault="00CA009D">
          <w:pPr>
            <w:pStyle w:val="Obsah3"/>
            <w:rPr>
              <w:rFonts w:eastAsiaTheme="minorEastAsia"/>
              <w:kern w:val="2"/>
              <w:sz w:val="24"/>
              <w:szCs w:val="24"/>
              <w:lang w:val="cs-CZ"/>
              <w14:ligatures w14:val="standardContextual"/>
            </w:rPr>
          </w:pPr>
          <w:hyperlink w:anchor="_Toc183029549" w:history="1">
            <w:r w:rsidRPr="000E0135">
              <w:rPr>
                <w:rStyle w:val="Hypertextovodkaz"/>
              </w:rPr>
              <w:t>2.8.5</w:t>
            </w:r>
            <w:r>
              <w:rPr>
                <w:rFonts w:eastAsiaTheme="minorEastAsia"/>
                <w:kern w:val="2"/>
                <w:sz w:val="24"/>
                <w:szCs w:val="24"/>
                <w:lang w:val="cs-CZ"/>
                <w14:ligatures w14:val="standardContextual"/>
              </w:rPr>
              <w:tab/>
            </w:r>
            <w:r w:rsidRPr="000E0135">
              <w:rPr>
                <w:rStyle w:val="Hypertextovodkaz"/>
              </w:rPr>
              <w:t>Dráždivé látky</w:t>
            </w:r>
            <w:r>
              <w:rPr>
                <w:webHidden/>
              </w:rPr>
              <w:tab/>
            </w:r>
            <w:r>
              <w:rPr>
                <w:webHidden/>
              </w:rPr>
              <w:fldChar w:fldCharType="begin"/>
            </w:r>
            <w:r>
              <w:rPr>
                <w:webHidden/>
              </w:rPr>
              <w:instrText xml:space="preserve"> PAGEREF _Toc183029549 \h </w:instrText>
            </w:r>
            <w:r>
              <w:rPr>
                <w:webHidden/>
              </w:rPr>
            </w:r>
            <w:r>
              <w:rPr>
                <w:webHidden/>
              </w:rPr>
              <w:fldChar w:fldCharType="separate"/>
            </w:r>
            <w:r>
              <w:rPr>
                <w:webHidden/>
              </w:rPr>
              <w:t>37</w:t>
            </w:r>
            <w:r>
              <w:rPr>
                <w:webHidden/>
              </w:rPr>
              <w:fldChar w:fldCharType="end"/>
            </w:r>
          </w:hyperlink>
        </w:p>
        <w:p w14:paraId="06AF0C4C" w14:textId="4C87DCEA" w:rsidR="00CA009D" w:rsidRDefault="00CA009D">
          <w:pPr>
            <w:pStyle w:val="Obsah3"/>
            <w:rPr>
              <w:rFonts w:eastAsiaTheme="minorEastAsia"/>
              <w:kern w:val="2"/>
              <w:sz w:val="24"/>
              <w:szCs w:val="24"/>
              <w:lang w:val="cs-CZ"/>
              <w14:ligatures w14:val="standardContextual"/>
            </w:rPr>
          </w:pPr>
          <w:hyperlink w:anchor="_Toc183029550" w:history="1">
            <w:r w:rsidRPr="000E0135">
              <w:rPr>
                <w:rStyle w:val="Hypertextovodkaz"/>
              </w:rPr>
              <w:t>2.8.6</w:t>
            </w:r>
            <w:r>
              <w:rPr>
                <w:rFonts w:eastAsiaTheme="minorEastAsia"/>
                <w:kern w:val="2"/>
                <w:sz w:val="24"/>
                <w:szCs w:val="24"/>
                <w:lang w:val="cs-CZ"/>
                <w14:ligatures w14:val="standardContextual"/>
              </w:rPr>
              <w:tab/>
            </w:r>
            <w:r w:rsidRPr="000E0135">
              <w:rPr>
                <w:rStyle w:val="Hypertextovodkaz"/>
              </w:rPr>
              <w:t>Psychicky a fyzicky zneschopňující látky</w:t>
            </w:r>
            <w:r>
              <w:rPr>
                <w:webHidden/>
              </w:rPr>
              <w:tab/>
            </w:r>
            <w:r>
              <w:rPr>
                <w:webHidden/>
              </w:rPr>
              <w:fldChar w:fldCharType="begin"/>
            </w:r>
            <w:r>
              <w:rPr>
                <w:webHidden/>
              </w:rPr>
              <w:instrText xml:space="preserve"> PAGEREF _Toc183029550 \h </w:instrText>
            </w:r>
            <w:r>
              <w:rPr>
                <w:webHidden/>
              </w:rPr>
            </w:r>
            <w:r>
              <w:rPr>
                <w:webHidden/>
              </w:rPr>
              <w:fldChar w:fldCharType="separate"/>
            </w:r>
            <w:r>
              <w:rPr>
                <w:webHidden/>
              </w:rPr>
              <w:t>39</w:t>
            </w:r>
            <w:r>
              <w:rPr>
                <w:webHidden/>
              </w:rPr>
              <w:fldChar w:fldCharType="end"/>
            </w:r>
          </w:hyperlink>
        </w:p>
        <w:p w14:paraId="0477709E" w14:textId="1C0EF4A0" w:rsidR="00CA009D" w:rsidRDefault="00CA009D">
          <w:pPr>
            <w:pStyle w:val="Obsah3"/>
            <w:rPr>
              <w:rFonts w:eastAsiaTheme="minorEastAsia"/>
              <w:kern w:val="2"/>
              <w:sz w:val="24"/>
              <w:szCs w:val="24"/>
              <w:lang w:val="cs-CZ"/>
              <w14:ligatures w14:val="standardContextual"/>
            </w:rPr>
          </w:pPr>
          <w:hyperlink w:anchor="_Toc183029551" w:history="1">
            <w:r w:rsidRPr="000E0135">
              <w:rPr>
                <w:rStyle w:val="Hypertextovodkaz"/>
              </w:rPr>
              <w:t>2.8.7</w:t>
            </w:r>
            <w:r>
              <w:rPr>
                <w:rFonts w:eastAsiaTheme="minorEastAsia"/>
                <w:kern w:val="2"/>
                <w:sz w:val="24"/>
                <w:szCs w:val="24"/>
                <w:lang w:val="cs-CZ"/>
                <w14:ligatures w14:val="standardContextual"/>
              </w:rPr>
              <w:tab/>
            </w:r>
            <w:r w:rsidRPr="000E0135">
              <w:rPr>
                <w:rStyle w:val="Hypertextovodkaz"/>
              </w:rPr>
              <w:t>Toxiny</w:t>
            </w:r>
            <w:r>
              <w:rPr>
                <w:webHidden/>
              </w:rPr>
              <w:tab/>
            </w:r>
            <w:r>
              <w:rPr>
                <w:webHidden/>
              </w:rPr>
              <w:fldChar w:fldCharType="begin"/>
            </w:r>
            <w:r>
              <w:rPr>
                <w:webHidden/>
              </w:rPr>
              <w:instrText xml:space="preserve"> PAGEREF _Toc183029551 \h </w:instrText>
            </w:r>
            <w:r>
              <w:rPr>
                <w:webHidden/>
              </w:rPr>
            </w:r>
            <w:r>
              <w:rPr>
                <w:webHidden/>
              </w:rPr>
              <w:fldChar w:fldCharType="separate"/>
            </w:r>
            <w:r>
              <w:rPr>
                <w:webHidden/>
              </w:rPr>
              <w:t>41</w:t>
            </w:r>
            <w:r>
              <w:rPr>
                <w:webHidden/>
              </w:rPr>
              <w:fldChar w:fldCharType="end"/>
            </w:r>
          </w:hyperlink>
        </w:p>
        <w:p w14:paraId="752808EE" w14:textId="16964F9F" w:rsidR="00CA009D" w:rsidRDefault="00CA009D">
          <w:pPr>
            <w:pStyle w:val="Obsah2"/>
            <w:rPr>
              <w:rFonts w:eastAsiaTheme="minorEastAsia"/>
              <w:kern w:val="2"/>
              <w:sz w:val="24"/>
              <w:szCs w:val="24"/>
              <w:lang w:val="cs-CZ"/>
              <w14:ligatures w14:val="standardContextual"/>
            </w:rPr>
          </w:pPr>
          <w:hyperlink w:anchor="_Toc183029552" w:history="1">
            <w:r w:rsidRPr="000E0135">
              <w:rPr>
                <w:rStyle w:val="Hypertextovodkaz"/>
                <w:lang w:val="cs-CZ"/>
              </w:rPr>
              <w:t>2.9</w:t>
            </w:r>
            <w:r>
              <w:rPr>
                <w:rFonts w:eastAsiaTheme="minorEastAsia"/>
                <w:kern w:val="2"/>
                <w:sz w:val="24"/>
                <w:szCs w:val="24"/>
                <w:lang w:val="cs-CZ"/>
                <w14:ligatures w14:val="standardContextual"/>
              </w:rPr>
              <w:tab/>
            </w:r>
            <w:r w:rsidRPr="000E0135">
              <w:rPr>
                <w:rStyle w:val="Hypertextovodkaz"/>
                <w:lang w:val="cs-CZ"/>
              </w:rPr>
              <w:t>Klasifikace podle stability v terénu</w:t>
            </w:r>
            <w:r>
              <w:rPr>
                <w:webHidden/>
              </w:rPr>
              <w:tab/>
            </w:r>
            <w:r>
              <w:rPr>
                <w:webHidden/>
              </w:rPr>
              <w:fldChar w:fldCharType="begin"/>
            </w:r>
            <w:r>
              <w:rPr>
                <w:webHidden/>
              </w:rPr>
              <w:instrText xml:space="preserve"> PAGEREF _Toc183029552 \h </w:instrText>
            </w:r>
            <w:r>
              <w:rPr>
                <w:webHidden/>
              </w:rPr>
            </w:r>
            <w:r>
              <w:rPr>
                <w:webHidden/>
              </w:rPr>
              <w:fldChar w:fldCharType="separate"/>
            </w:r>
            <w:r>
              <w:rPr>
                <w:webHidden/>
              </w:rPr>
              <w:t>43</w:t>
            </w:r>
            <w:r>
              <w:rPr>
                <w:webHidden/>
              </w:rPr>
              <w:fldChar w:fldCharType="end"/>
            </w:r>
          </w:hyperlink>
        </w:p>
        <w:p w14:paraId="1BEB80C2" w14:textId="61C52CDC" w:rsidR="00CA009D" w:rsidRDefault="00CA009D">
          <w:pPr>
            <w:pStyle w:val="Obsah2"/>
            <w:rPr>
              <w:rFonts w:eastAsiaTheme="minorEastAsia"/>
              <w:kern w:val="2"/>
              <w:sz w:val="24"/>
              <w:szCs w:val="24"/>
              <w:lang w:val="cs-CZ"/>
              <w14:ligatures w14:val="standardContextual"/>
            </w:rPr>
          </w:pPr>
          <w:hyperlink w:anchor="_Toc183029553" w:history="1">
            <w:r w:rsidRPr="000E0135">
              <w:rPr>
                <w:rStyle w:val="Hypertextovodkaz"/>
              </w:rPr>
              <w:t>2.10</w:t>
            </w:r>
            <w:r>
              <w:rPr>
                <w:rFonts w:eastAsiaTheme="minorEastAsia"/>
                <w:kern w:val="2"/>
                <w:sz w:val="24"/>
                <w:szCs w:val="24"/>
                <w:lang w:val="cs-CZ"/>
                <w14:ligatures w14:val="standardContextual"/>
              </w:rPr>
              <w:tab/>
            </w:r>
            <w:r w:rsidRPr="000E0135">
              <w:rPr>
                <w:rStyle w:val="Hypertextovodkaz"/>
              </w:rPr>
              <w:t>Klasifikace podle rychlosti nástupu účinku</w:t>
            </w:r>
            <w:r>
              <w:rPr>
                <w:webHidden/>
              </w:rPr>
              <w:tab/>
            </w:r>
            <w:r>
              <w:rPr>
                <w:webHidden/>
              </w:rPr>
              <w:fldChar w:fldCharType="begin"/>
            </w:r>
            <w:r>
              <w:rPr>
                <w:webHidden/>
              </w:rPr>
              <w:instrText xml:space="preserve"> PAGEREF _Toc183029553 \h </w:instrText>
            </w:r>
            <w:r>
              <w:rPr>
                <w:webHidden/>
              </w:rPr>
            </w:r>
            <w:r>
              <w:rPr>
                <w:webHidden/>
              </w:rPr>
              <w:fldChar w:fldCharType="separate"/>
            </w:r>
            <w:r>
              <w:rPr>
                <w:webHidden/>
              </w:rPr>
              <w:t>45</w:t>
            </w:r>
            <w:r>
              <w:rPr>
                <w:webHidden/>
              </w:rPr>
              <w:fldChar w:fldCharType="end"/>
            </w:r>
          </w:hyperlink>
        </w:p>
        <w:p w14:paraId="34B75457" w14:textId="45D30E6A" w:rsidR="00CA009D" w:rsidRDefault="00CA009D">
          <w:pPr>
            <w:pStyle w:val="Obsah2"/>
            <w:rPr>
              <w:rFonts w:eastAsiaTheme="minorEastAsia"/>
              <w:kern w:val="2"/>
              <w:sz w:val="24"/>
              <w:szCs w:val="24"/>
              <w:lang w:val="cs-CZ"/>
              <w14:ligatures w14:val="standardContextual"/>
            </w:rPr>
          </w:pPr>
          <w:hyperlink w:anchor="_Toc183029554" w:history="1">
            <w:r w:rsidRPr="000E0135">
              <w:rPr>
                <w:rStyle w:val="Hypertextovodkaz"/>
                <w:rFonts w:cstheme="minorHAnsi"/>
              </w:rPr>
              <w:t>2.11</w:t>
            </w:r>
            <w:r>
              <w:rPr>
                <w:rFonts w:eastAsiaTheme="minorEastAsia"/>
                <w:kern w:val="2"/>
                <w:sz w:val="24"/>
                <w:szCs w:val="24"/>
                <w:lang w:val="cs-CZ"/>
                <w14:ligatures w14:val="standardContextual"/>
              </w:rPr>
              <w:tab/>
            </w:r>
            <w:r w:rsidRPr="000E0135">
              <w:rPr>
                <w:rStyle w:val="Hypertextovodkaz"/>
              </w:rPr>
              <w:t>Toxikologické účinky BCHL</w:t>
            </w:r>
            <w:r>
              <w:rPr>
                <w:webHidden/>
              </w:rPr>
              <w:tab/>
            </w:r>
            <w:r>
              <w:rPr>
                <w:webHidden/>
              </w:rPr>
              <w:fldChar w:fldCharType="begin"/>
            </w:r>
            <w:r>
              <w:rPr>
                <w:webHidden/>
              </w:rPr>
              <w:instrText xml:space="preserve"> PAGEREF _Toc183029554 \h </w:instrText>
            </w:r>
            <w:r>
              <w:rPr>
                <w:webHidden/>
              </w:rPr>
            </w:r>
            <w:r>
              <w:rPr>
                <w:webHidden/>
              </w:rPr>
              <w:fldChar w:fldCharType="separate"/>
            </w:r>
            <w:r>
              <w:rPr>
                <w:webHidden/>
              </w:rPr>
              <w:t>46</w:t>
            </w:r>
            <w:r>
              <w:rPr>
                <w:webHidden/>
              </w:rPr>
              <w:fldChar w:fldCharType="end"/>
            </w:r>
          </w:hyperlink>
        </w:p>
        <w:p w14:paraId="782B5A7B" w14:textId="30FFE2CF" w:rsidR="00CA009D" w:rsidRDefault="00CA009D">
          <w:pPr>
            <w:pStyle w:val="Obsah2"/>
            <w:rPr>
              <w:rFonts w:eastAsiaTheme="minorEastAsia"/>
              <w:kern w:val="2"/>
              <w:sz w:val="24"/>
              <w:szCs w:val="24"/>
              <w:lang w:val="cs-CZ"/>
              <w14:ligatures w14:val="standardContextual"/>
            </w:rPr>
          </w:pPr>
          <w:hyperlink w:anchor="_Toc183029555" w:history="1">
            <w:r w:rsidRPr="000E0135">
              <w:rPr>
                <w:rStyle w:val="Hypertextovodkaz"/>
              </w:rPr>
              <w:t>2.12</w:t>
            </w:r>
            <w:r>
              <w:rPr>
                <w:rFonts w:eastAsiaTheme="minorEastAsia"/>
                <w:kern w:val="2"/>
                <w:sz w:val="24"/>
                <w:szCs w:val="24"/>
                <w:lang w:val="cs-CZ"/>
                <w14:ligatures w14:val="standardContextual"/>
              </w:rPr>
              <w:tab/>
            </w:r>
            <w:r w:rsidRPr="000E0135">
              <w:rPr>
                <w:rStyle w:val="Hypertextovodkaz"/>
              </w:rPr>
              <w:t>Klíčové faktory ovlivňující interakci BCHL s organismem</w:t>
            </w:r>
            <w:r>
              <w:rPr>
                <w:webHidden/>
              </w:rPr>
              <w:tab/>
            </w:r>
            <w:r>
              <w:rPr>
                <w:webHidden/>
              </w:rPr>
              <w:fldChar w:fldCharType="begin"/>
            </w:r>
            <w:r>
              <w:rPr>
                <w:webHidden/>
              </w:rPr>
              <w:instrText xml:space="preserve"> PAGEREF _Toc183029555 \h </w:instrText>
            </w:r>
            <w:r>
              <w:rPr>
                <w:webHidden/>
              </w:rPr>
            </w:r>
            <w:r>
              <w:rPr>
                <w:webHidden/>
              </w:rPr>
              <w:fldChar w:fldCharType="separate"/>
            </w:r>
            <w:r>
              <w:rPr>
                <w:webHidden/>
              </w:rPr>
              <w:t>47</w:t>
            </w:r>
            <w:r>
              <w:rPr>
                <w:webHidden/>
              </w:rPr>
              <w:fldChar w:fldCharType="end"/>
            </w:r>
          </w:hyperlink>
        </w:p>
        <w:p w14:paraId="323B0876" w14:textId="237147FF" w:rsidR="00CA009D" w:rsidRDefault="00CA009D">
          <w:pPr>
            <w:pStyle w:val="Obsah2"/>
            <w:rPr>
              <w:rFonts w:eastAsiaTheme="minorEastAsia"/>
              <w:kern w:val="2"/>
              <w:sz w:val="24"/>
              <w:szCs w:val="24"/>
              <w:lang w:val="cs-CZ"/>
              <w14:ligatures w14:val="standardContextual"/>
            </w:rPr>
          </w:pPr>
          <w:hyperlink w:anchor="_Toc183029556" w:history="1">
            <w:r w:rsidRPr="000E0135">
              <w:rPr>
                <w:rStyle w:val="Hypertextovodkaz"/>
                <w:rFonts w:cstheme="minorHAnsi"/>
              </w:rPr>
              <w:t>2.13</w:t>
            </w:r>
            <w:r>
              <w:rPr>
                <w:rFonts w:eastAsiaTheme="minorEastAsia"/>
                <w:kern w:val="2"/>
                <w:sz w:val="24"/>
                <w:szCs w:val="24"/>
                <w:lang w:val="cs-CZ"/>
                <w14:ligatures w14:val="standardContextual"/>
              </w:rPr>
              <w:tab/>
            </w:r>
            <w:r w:rsidRPr="000E0135">
              <w:rPr>
                <w:rStyle w:val="Hypertextovodkaz"/>
              </w:rPr>
              <w:t>Dělení BCHL podle rychlosti nástupu účinku</w:t>
            </w:r>
            <w:r>
              <w:rPr>
                <w:webHidden/>
              </w:rPr>
              <w:tab/>
            </w:r>
            <w:r>
              <w:rPr>
                <w:webHidden/>
              </w:rPr>
              <w:fldChar w:fldCharType="begin"/>
            </w:r>
            <w:r>
              <w:rPr>
                <w:webHidden/>
              </w:rPr>
              <w:instrText xml:space="preserve"> PAGEREF _Toc183029556 \h </w:instrText>
            </w:r>
            <w:r>
              <w:rPr>
                <w:webHidden/>
              </w:rPr>
            </w:r>
            <w:r>
              <w:rPr>
                <w:webHidden/>
              </w:rPr>
              <w:fldChar w:fldCharType="separate"/>
            </w:r>
            <w:r>
              <w:rPr>
                <w:webHidden/>
              </w:rPr>
              <w:t>49</w:t>
            </w:r>
            <w:r>
              <w:rPr>
                <w:webHidden/>
              </w:rPr>
              <w:fldChar w:fldCharType="end"/>
            </w:r>
          </w:hyperlink>
        </w:p>
        <w:p w14:paraId="1DC06060" w14:textId="0247F1B9" w:rsidR="00CA009D" w:rsidRDefault="00CA009D">
          <w:pPr>
            <w:pStyle w:val="Obsah2"/>
            <w:rPr>
              <w:rFonts w:eastAsiaTheme="minorEastAsia"/>
              <w:kern w:val="2"/>
              <w:sz w:val="24"/>
              <w:szCs w:val="24"/>
              <w:lang w:val="cs-CZ"/>
              <w14:ligatures w14:val="standardContextual"/>
            </w:rPr>
          </w:pPr>
          <w:hyperlink w:anchor="_Toc183029557" w:history="1">
            <w:r w:rsidRPr="000E0135">
              <w:rPr>
                <w:rStyle w:val="Hypertextovodkaz"/>
              </w:rPr>
              <w:t>2.14</w:t>
            </w:r>
            <w:r>
              <w:rPr>
                <w:rFonts w:eastAsiaTheme="minorEastAsia"/>
                <w:kern w:val="2"/>
                <w:sz w:val="24"/>
                <w:szCs w:val="24"/>
                <w:lang w:val="cs-CZ"/>
                <w14:ligatures w14:val="standardContextual"/>
              </w:rPr>
              <w:tab/>
            </w:r>
            <w:r w:rsidRPr="000E0135">
              <w:rPr>
                <w:rStyle w:val="Hypertextovodkaz"/>
              </w:rPr>
              <w:t>Specifikace chemických látek</w:t>
            </w:r>
            <w:r>
              <w:rPr>
                <w:webHidden/>
              </w:rPr>
              <w:tab/>
            </w:r>
            <w:r>
              <w:rPr>
                <w:webHidden/>
              </w:rPr>
              <w:fldChar w:fldCharType="begin"/>
            </w:r>
            <w:r>
              <w:rPr>
                <w:webHidden/>
              </w:rPr>
              <w:instrText xml:space="preserve"> PAGEREF _Toc183029557 \h </w:instrText>
            </w:r>
            <w:r>
              <w:rPr>
                <w:webHidden/>
              </w:rPr>
            </w:r>
            <w:r>
              <w:rPr>
                <w:webHidden/>
              </w:rPr>
              <w:fldChar w:fldCharType="separate"/>
            </w:r>
            <w:r>
              <w:rPr>
                <w:webHidden/>
              </w:rPr>
              <w:t>51</w:t>
            </w:r>
            <w:r>
              <w:rPr>
                <w:webHidden/>
              </w:rPr>
              <w:fldChar w:fldCharType="end"/>
            </w:r>
          </w:hyperlink>
        </w:p>
        <w:p w14:paraId="783DFD9E" w14:textId="51CCBE6D" w:rsidR="00CA009D" w:rsidRDefault="00CA009D">
          <w:pPr>
            <w:pStyle w:val="Obsah2"/>
            <w:rPr>
              <w:rFonts w:eastAsiaTheme="minorEastAsia"/>
              <w:kern w:val="2"/>
              <w:sz w:val="24"/>
              <w:szCs w:val="24"/>
              <w:lang w:val="cs-CZ"/>
              <w14:ligatures w14:val="standardContextual"/>
            </w:rPr>
          </w:pPr>
          <w:hyperlink w:anchor="_Toc183029558" w:history="1">
            <w:r w:rsidRPr="000E0135">
              <w:rPr>
                <w:rStyle w:val="Hypertextovodkaz"/>
                <w:rFonts w:cstheme="minorHAnsi"/>
              </w:rPr>
              <w:t>2.15</w:t>
            </w:r>
            <w:r>
              <w:rPr>
                <w:rFonts w:eastAsiaTheme="minorEastAsia"/>
                <w:kern w:val="2"/>
                <w:sz w:val="24"/>
                <w:szCs w:val="24"/>
                <w:lang w:val="cs-CZ"/>
                <w14:ligatures w14:val="standardContextual"/>
              </w:rPr>
              <w:tab/>
            </w:r>
            <w:r w:rsidRPr="000E0135">
              <w:rPr>
                <w:rStyle w:val="Hypertextovodkaz"/>
              </w:rPr>
              <w:t>Ekologické dopady použití BCHL</w:t>
            </w:r>
            <w:r>
              <w:rPr>
                <w:webHidden/>
              </w:rPr>
              <w:tab/>
            </w:r>
            <w:r>
              <w:rPr>
                <w:webHidden/>
              </w:rPr>
              <w:fldChar w:fldCharType="begin"/>
            </w:r>
            <w:r>
              <w:rPr>
                <w:webHidden/>
              </w:rPr>
              <w:instrText xml:space="preserve"> PAGEREF _Toc183029558 \h </w:instrText>
            </w:r>
            <w:r>
              <w:rPr>
                <w:webHidden/>
              </w:rPr>
            </w:r>
            <w:r>
              <w:rPr>
                <w:webHidden/>
              </w:rPr>
              <w:fldChar w:fldCharType="separate"/>
            </w:r>
            <w:r>
              <w:rPr>
                <w:webHidden/>
              </w:rPr>
              <w:t>52</w:t>
            </w:r>
            <w:r>
              <w:rPr>
                <w:webHidden/>
              </w:rPr>
              <w:fldChar w:fldCharType="end"/>
            </w:r>
          </w:hyperlink>
        </w:p>
        <w:p w14:paraId="7D377FD2" w14:textId="4A05B1C9" w:rsidR="00CA009D" w:rsidRDefault="00CA009D">
          <w:pPr>
            <w:pStyle w:val="Obsah1"/>
            <w:rPr>
              <w:rFonts w:eastAsiaTheme="minorEastAsia"/>
              <w:kern w:val="2"/>
              <w:sz w:val="24"/>
              <w:szCs w:val="24"/>
              <w:lang w:val="cs-CZ"/>
              <w14:ligatures w14:val="standardContextual"/>
            </w:rPr>
          </w:pPr>
          <w:hyperlink w:anchor="_Toc183029559" w:history="1">
            <w:r w:rsidRPr="000E0135">
              <w:rPr>
                <w:rStyle w:val="Hypertextovodkaz"/>
              </w:rPr>
              <w:t>3</w:t>
            </w:r>
            <w:r>
              <w:rPr>
                <w:rFonts w:eastAsiaTheme="minorEastAsia"/>
                <w:kern w:val="2"/>
                <w:sz w:val="24"/>
                <w:szCs w:val="24"/>
                <w:lang w:val="cs-CZ"/>
                <w14:ligatures w14:val="standardContextual"/>
              </w:rPr>
              <w:tab/>
            </w:r>
            <w:r w:rsidRPr="000E0135">
              <w:rPr>
                <w:rStyle w:val="Hypertextovodkaz"/>
              </w:rPr>
              <w:t>Cíl</w:t>
            </w:r>
            <w:r>
              <w:rPr>
                <w:webHidden/>
              </w:rPr>
              <w:tab/>
            </w:r>
            <w:r>
              <w:rPr>
                <w:webHidden/>
              </w:rPr>
              <w:fldChar w:fldCharType="begin"/>
            </w:r>
            <w:r>
              <w:rPr>
                <w:webHidden/>
              </w:rPr>
              <w:instrText xml:space="preserve"> PAGEREF _Toc183029559 \h </w:instrText>
            </w:r>
            <w:r>
              <w:rPr>
                <w:webHidden/>
              </w:rPr>
            </w:r>
            <w:r>
              <w:rPr>
                <w:webHidden/>
              </w:rPr>
              <w:fldChar w:fldCharType="separate"/>
            </w:r>
            <w:r>
              <w:rPr>
                <w:webHidden/>
              </w:rPr>
              <w:t>54</w:t>
            </w:r>
            <w:r>
              <w:rPr>
                <w:webHidden/>
              </w:rPr>
              <w:fldChar w:fldCharType="end"/>
            </w:r>
          </w:hyperlink>
        </w:p>
        <w:p w14:paraId="552F8B02" w14:textId="2BECD74B" w:rsidR="00CA009D" w:rsidRDefault="00CA009D">
          <w:pPr>
            <w:pStyle w:val="Obsah2"/>
            <w:rPr>
              <w:rFonts w:eastAsiaTheme="minorEastAsia"/>
              <w:kern w:val="2"/>
              <w:sz w:val="24"/>
              <w:szCs w:val="24"/>
              <w:lang w:val="cs-CZ"/>
              <w14:ligatures w14:val="standardContextual"/>
            </w:rPr>
          </w:pPr>
          <w:hyperlink w:anchor="_Toc183029560" w:history="1">
            <w:r w:rsidRPr="000E0135">
              <w:rPr>
                <w:rStyle w:val="Hypertextovodkaz"/>
              </w:rPr>
              <w:t>3.1</w:t>
            </w:r>
            <w:r>
              <w:rPr>
                <w:rFonts w:eastAsiaTheme="minorEastAsia"/>
                <w:kern w:val="2"/>
                <w:sz w:val="24"/>
                <w:szCs w:val="24"/>
                <w:lang w:val="cs-CZ"/>
                <w14:ligatures w14:val="standardContextual"/>
              </w:rPr>
              <w:tab/>
            </w:r>
            <w:r w:rsidRPr="000E0135">
              <w:rPr>
                <w:rStyle w:val="Hypertextovodkaz"/>
              </w:rPr>
              <w:t>Cíle práce</w:t>
            </w:r>
            <w:r>
              <w:rPr>
                <w:webHidden/>
              </w:rPr>
              <w:tab/>
            </w:r>
            <w:r>
              <w:rPr>
                <w:webHidden/>
              </w:rPr>
              <w:fldChar w:fldCharType="begin"/>
            </w:r>
            <w:r>
              <w:rPr>
                <w:webHidden/>
              </w:rPr>
              <w:instrText xml:space="preserve"> PAGEREF _Toc183029560 \h </w:instrText>
            </w:r>
            <w:r>
              <w:rPr>
                <w:webHidden/>
              </w:rPr>
            </w:r>
            <w:r>
              <w:rPr>
                <w:webHidden/>
              </w:rPr>
              <w:fldChar w:fldCharType="separate"/>
            </w:r>
            <w:r>
              <w:rPr>
                <w:webHidden/>
              </w:rPr>
              <w:t>54</w:t>
            </w:r>
            <w:r>
              <w:rPr>
                <w:webHidden/>
              </w:rPr>
              <w:fldChar w:fldCharType="end"/>
            </w:r>
          </w:hyperlink>
        </w:p>
        <w:p w14:paraId="1BF49EF9" w14:textId="1575E088" w:rsidR="00CA009D" w:rsidRDefault="00CA009D">
          <w:pPr>
            <w:pStyle w:val="Obsah2"/>
            <w:rPr>
              <w:rFonts w:eastAsiaTheme="minorEastAsia"/>
              <w:kern w:val="2"/>
              <w:sz w:val="24"/>
              <w:szCs w:val="24"/>
              <w:lang w:val="cs-CZ"/>
              <w14:ligatures w14:val="standardContextual"/>
            </w:rPr>
          </w:pPr>
          <w:hyperlink w:anchor="_Toc183029561" w:history="1">
            <w:r w:rsidRPr="000E0135">
              <w:rPr>
                <w:rStyle w:val="Hypertextovodkaz"/>
              </w:rPr>
              <w:t>3.2</w:t>
            </w:r>
            <w:r>
              <w:rPr>
                <w:rFonts w:eastAsiaTheme="minorEastAsia"/>
                <w:kern w:val="2"/>
                <w:sz w:val="24"/>
                <w:szCs w:val="24"/>
                <w:lang w:val="cs-CZ"/>
                <w14:ligatures w14:val="standardContextual"/>
              </w:rPr>
              <w:tab/>
            </w:r>
            <w:r w:rsidRPr="000E0135">
              <w:rPr>
                <w:rStyle w:val="Hypertextovodkaz"/>
              </w:rPr>
              <w:t>Výzkumné otázky</w:t>
            </w:r>
            <w:r>
              <w:rPr>
                <w:webHidden/>
              </w:rPr>
              <w:tab/>
            </w:r>
            <w:r>
              <w:rPr>
                <w:webHidden/>
              </w:rPr>
              <w:fldChar w:fldCharType="begin"/>
            </w:r>
            <w:r>
              <w:rPr>
                <w:webHidden/>
              </w:rPr>
              <w:instrText xml:space="preserve"> PAGEREF _Toc183029561 \h </w:instrText>
            </w:r>
            <w:r>
              <w:rPr>
                <w:webHidden/>
              </w:rPr>
            </w:r>
            <w:r>
              <w:rPr>
                <w:webHidden/>
              </w:rPr>
              <w:fldChar w:fldCharType="separate"/>
            </w:r>
            <w:r>
              <w:rPr>
                <w:webHidden/>
              </w:rPr>
              <w:t>54</w:t>
            </w:r>
            <w:r>
              <w:rPr>
                <w:webHidden/>
              </w:rPr>
              <w:fldChar w:fldCharType="end"/>
            </w:r>
          </w:hyperlink>
        </w:p>
        <w:p w14:paraId="128388BB" w14:textId="454E333C" w:rsidR="00CA009D" w:rsidRDefault="00CA009D">
          <w:pPr>
            <w:pStyle w:val="Obsah1"/>
            <w:rPr>
              <w:rFonts w:eastAsiaTheme="minorEastAsia"/>
              <w:kern w:val="2"/>
              <w:sz w:val="24"/>
              <w:szCs w:val="24"/>
              <w:lang w:val="cs-CZ"/>
              <w14:ligatures w14:val="standardContextual"/>
            </w:rPr>
          </w:pPr>
          <w:hyperlink w:anchor="_Toc183029562" w:history="1">
            <w:r w:rsidRPr="000E0135">
              <w:rPr>
                <w:rStyle w:val="Hypertextovodkaz"/>
              </w:rPr>
              <w:t>4</w:t>
            </w:r>
            <w:r>
              <w:rPr>
                <w:rFonts w:eastAsiaTheme="minorEastAsia"/>
                <w:kern w:val="2"/>
                <w:sz w:val="24"/>
                <w:szCs w:val="24"/>
                <w:lang w:val="cs-CZ"/>
                <w14:ligatures w14:val="standardContextual"/>
              </w:rPr>
              <w:tab/>
            </w:r>
            <w:r w:rsidRPr="000E0135">
              <w:rPr>
                <w:rStyle w:val="Hypertextovodkaz"/>
              </w:rPr>
              <w:t>Metodika</w:t>
            </w:r>
            <w:r>
              <w:rPr>
                <w:webHidden/>
              </w:rPr>
              <w:tab/>
            </w:r>
            <w:r>
              <w:rPr>
                <w:webHidden/>
              </w:rPr>
              <w:fldChar w:fldCharType="begin"/>
            </w:r>
            <w:r>
              <w:rPr>
                <w:webHidden/>
              </w:rPr>
              <w:instrText xml:space="preserve"> PAGEREF _Toc183029562 \h </w:instrText>
            </w:r>
            <w:r>
              <w:rPr>
                <w:webHidden/>
              </w:rPr>
            </w:r>
            <w:r>
              <w:rPr>
                <w:webHidden/>
              </w:rPr>
              <w:fldChar w:fldCharType="separate"/>
            </w:r>
            <w:r>
              <w:rPr>
                <w:webHidden/>
              </w:rPr>
              <w:t>55</w:t>
            </w:r>
            <w:r>
              <w:rPr>
                <w:webHidden/>
              </w:rPr>
              <w:fldChar w:fldCharType="end"/>
            </w:r>
          </w:hyperlink>
        </w:p>
        <w:p w14:paraId="5B213257" w14:textId="52B2A758" w:rsidR="00CA009D" w:rsidRDefault="00CA009D">
          <w:pPr>
            <w:pStyle w:val="Obsah2"/>
            <w:rPr>
              <w:rFonts w:eastAsiaTheme="minorEastAsia"/>
              <w:kern w:val="2"/>
              <w:sz w:val="24"/>
              <w:szCs w:val="24"/>
              <w:lang w:val="cs-CZ"/>
              <w14:ligatures w14:val="standardContextual"/>
            </w:rPr>
          </w:pPr>
          <w:hyperlink w:anchor="_Toc183029563" w:history="1">
            <w:r w:rsidRPr="000E0135">
              <w:rPr>
                <w:rStyle w:val="Hypertextovodkaz"/>
              </w:rPr>
              <w:t>4.1</w:t>
            </w:r>
            <w:r>
              <w:rPr>
                <w:rFonts w:eastAsiaTheme="minorEastAsia"/>
                <w:kern w:val="2"/>
                <w:sz w:val="24"/>
                <w:szCs w:val="24"/>
                <w:lang w:val="cs-CZ"/>
                <w14:ligatures w14:val="standardContextual"/>
              </w:rPr>
              <w:tab/>
            </w:r>
            <w:r w:rsidRPr="000E0135">
              <w:rPr>
                <w:rStyle w:val="Hypertextovodkaz"/>
              </w:rPr>
              <w:t>Sběr dat</w:t>
            </w:r>
            <w:r>
              <w:rPr>
                <w:webHidden/>
              </w:rPr>
              <w:tab/>
            </w:r>
            <w:r>
              <w:rPr>
                <w:webHidden/>
              </w:rPr>
              <w:fldChar w:fldCharType="begin"/>
            </w:r>
            <w:r>
              <w:rPr>
                <w:webHidden/>
              </w:rPr>
              <w:instrText xml:space="preserve"> PAGEREF _Toc183029563 \h </w:instrText>
            </w:r>
            <w:r>
              <w:rPr>
                <w:webHidden/>
              </w:rPr>
            </w:r>
            <w:r>
              <w:rPr>
                <w:webHidden/>
              </w:rPr>
              <w:fldChar w:fldCharType="separate"/>
            </w:r>
            <w:r>
              <w:rPr>
                <w:webHidden/>
              </w:rPr>
              <w:t>55</w:t>
            </w:r>
            <w:r>
              <w:rPr>
                <w:webHidden/>
              </w:rPr>
              <w:fldChar w:fldCharType="end"/>
            </w:r>
          </w:hyperlink>
        </w:p>
        <w:p w14:paraId="23952D97" w14:textId="701EBCC7" w:rsidR="00CA009D" w:rsidRDefault="00CA009D">
          <w:pPr>
            <w:pStyle w:val="Obsah2"/>
            <w:rPr>
              <w:rFonts w:eastAsiaTheme="minorEastAsia"/>
              <w:kern w:val="2"/>
              <w:sz w:val="24"/>
              <w:szCs w:val="24"/>
              <w:lang w:val="cs-CZ"/>
              <w14:ligatures w14:val="standardContextual"/>
            </w:rPr>
          </w:pPr>
          <w:hyperlink w:anchor="_Toc183029564" w:history="1">
            <w:r w:rsidRPr="000E0135">
              <w:rPr>
                <w:rStyle w:val="Hypertextovodkaz"/>
              </w:rPr>
              <w:t>4.2</w:t>
            </w:r>
            <w:r>
              <w:rPr>
                <w:rFonts w:eastAsiaTheme="minorEastAsia"/>
                <w:kern w:val="2"/>
                <w:sz w:val="24"/>
                <w:szCs w:val="24"/>
                <w:lang w:val="cs-CZ"/>
                <w14:ligatures w14:val="standardContextual"/>
              </w:rPr>
              <w:tab/>
            </w:r>
            <w:r w:rsidRPr="000E0135">
              <w:rPr>
                <w:rStyle w:val="Hypertextovodkaz"/>
              </w:rPr>
              <w:t>Zpracování dat a návrh databázového systému</w:t>
            </w:r>
            <w:r>
              <w:rPr>
                <w:webHidden/>
              </w:rPr>
              <w:tab/>
            </w:r>
            <w:r>
              <w:rPr>
                <w:webHidden/>
              </w:rPr>
              <w:fldChar w:fldCharType="begin"/>
            </w:r>
            <w:r>
              <w:rPr>
                <w:webHidden/>
              </w:rPr>
              <w:instrText xml:space="preserve"> PAGEREF _Toc183029564 \h </w:instrText>
            </w:r>
            <w:r>
              <w:rPr>
                <w:webHidden/>
              </w:rPr>
            </w:r>
            <w:r>
              <w:rPr>
                <w:webHidden/>
              </w:rPr>
              <w:fldChar w:fldCharType="separate"/>
            </w:r>
            <w:r>
              <w:rPr>
                <w:webHidden/>
              </w:rPr>
              <w:t>55</w:t>
            </w:r>
            <w:r>
              <w:rPr>
                <w:webHidden/>
              </w:rPr>
              <w:fldChar w:fldCharType="end"/>
            </w:r>
          </w:hyperlink>
        </w:p>
        <w:p w14:paraId="2D02C89B" w14:textId="2EA65C69" w:rsidR="00CA009D" w:rsidRDefault="00CA009D">
          <w:pPr>
            <w:pStyle w:val="Obsah2"/>
            <w:rPr>
              <w:rFonts w:eastAsiaTheme="minorEastAsia"/>
              <w:kern w:val="2"/>
              <w:sz w:val="24"/>
              <w:szCs w:val="24"/>
              <w:lang w:val="cs-CZ"/>
              <w14:ligatures w14:val="standardContextual"/>
            </w:rPr>
          </w:pPr>
          <w:hyperlink w:anchor="_Toc183029565" w:history="1">
            <w:r w:rsidRPr="000E0135">
              <w:rPr>
                <w:rStyle w:val="Hypertextovodkaz"/>
              </w:rPr>
              <w:t>4.3</w:t>
            </w:r>
            <w:r>
              <w:rPr>
                <w:rFonts w:eastAsiaTheme="minorEastAsia"/>
                <w:kern w:val="2"/>
                <w:sz w:val="24"/>
                <w:szCs w:val="24"/>
                <w:lang w:val="cs-CZ"/>
                <w14:ligatures w14:val="standardContextual"/>
              </w:rPr>
              <w:tab/>
            </w:r>
            <w:r w:rsidRPr="000E0135">
              <w:rPr>
                <w:rStyle w:val="Hypertextovodkaz"/>
              </w:rPr>
              <w:t>Návrh struktury databáze</w:t>
            </w:r>
            <w:r>
              <w:rPr>
                <w:webHidden/>
              </w:rPr>
              <w:tab/>
            </w:r>
            <w:r>
              <w:rPr>
                <w:webHidden/>
              </w:rPr>
              <w:fldChar w:fldCharType="begin"/>
            </w:r>
            <w:r>
              <w:rPr>
                <w:webHidden/>
              </w:rPr>
              <w:instrText xml:space="preserve"> PAGEREF _Toc183029565 \h </w:instrText>
            </w:r>
            <w:r>
              <w:rPr>
                <w:webHidden/>
              </w:rPr>
            </w:r>
            <w:r>
              <w:rPr>
                <w:webHidden/>
              </w:rPr>
              <w:fldChar w:fldCharType="separate"/>
            </w:r>
            <w:r>
              <w:rPr>
                <w:webHidden/>
              </w:rPr>
              <w:t>55</w:t>
            </w:r>
            <w:r>
              <w:rPr>
                <w:webHidden/>
              </w:rPr>
              <w:fldChar w:fldCharType="end"/>
            </w:r>
          </w:hyperlink>
        </w:p>
        <w:p w14:paraId="5ED6B879" w14:textId="2CFB20D1" w:rsidR="00CA009D" w:rsidRDefault="00CA009D">
          <w:pPr>
            <w:pStyle w:val="Obsah2"/>
            <w:rPr>
              <w:rFonts w:eastAsiaTheme="minorEastAsia"/>
              <w:kern w:val="2"/>
              <w:sz w:val="24"/>
              <w:szCs w:val="24"/>
              <w:lang w:val="cs-CZ"/>
              <w14:ligatures w14:val="standardContextual"/>
            </w:rPr>
          </w:pPr>
          <w:hyperlink w:anchor="_Toc183029566" w:history="1">
            <w:r w:rsidRPr="000E0135">
              <w:rPr>
                <w:rStyle w:val="Hypertextovodkaz"/>
              </w:rPr>
              <w:t>4.4</w:t>
            </w:r>
            <w:r>
              <w:rPr>
                <w:rFonts w:eastAsiaTheme="minorEastAsia"/>
                <w:kern w:val="2"/>
                <w:sz w:val="24"/>
                <w:szCs w:val="24"/>
                <w:lang w:val="cs-CZ"/>
                <w14:ligatures w14:val="standardContextual"/>
              </w:rPr>
              <w:tab/>
            </w:r>
            <w:r w:rsidRPr="000E0135">
              <w:rPr>
                <w:rStyle w:val="Hypertextovodkaz"/>
              </w:rPr>
              <w:t>Struktura databáze</w:t>
            </w:r>
            <w:r>
              <w:rPr>
                <w:webHidden/>
              </w:rPr>
              <w:tab/>
            </w:r>
            <w:r>
              <w:rPr>
                <w:webHidden/>
              </w:rPr>
              <w:fldChar w:fldCharType="begin"/>
            </w:r>
            <w:r>
              <w:rPr>
                <w:webHidden/>
              </w:rPr>
              <w:instrText xml:space="preserve"> PAGEREF _Toc183029566 \h </w:instrText>
            </w:r>
            <w:r>
              <w:rPr>
                <w:webHidden/>
              </w:rPr>
            </w:r>
            <w:r>
              <w:rPr>
                <w:webHidden/>
              </w:rPr>
              <w:fldChar w:fldCharType="separate"/>
            </w:r>
            <w:r>
              <w:rPr>
                <w:webHidden/>
              </w:rPr>
              <w:t>56</w:t>
            </w:r>
            <w:r>
              <w:rPr>
                <w:webHidden/>
              </w:rPr>
              <w:fldChar w:fldCharType="end"/>
            </w:r>
          </w:hyperlink>
        </w:p>
        <w:p w14:paraId="6E6FF5D0" w14:textId="2CFD5631" w:rsidR="00CA009D" w:rsidRDefault="00CA009D">
          <w:pPr>
            <w:pStyle w:val="Obsah2"/>
            <w:rPr>
              <w:rFonts w:eastAsiaTheme="minorEastAsia"/>
              <w:kern w:val="2"/>
              <w:sz w:val="24"/>
              <w:szCs w:val="24"/>
              <w:lang w:val="cs-CZ"/>
              <w14:ligatures w14:val="standardContextual"/>
            </w:rPr>
          </w:pPr>
          <w:hyperlink w:anchor="_Toc183029567" w:history="1">
            <w:r w:rsidRPr="000E0135">
              <w:rPr>
                <w:rStyle w:val="Hypertextovodkaz"/>
              </w:rPr>
              <w:t>4.5</w:t>
            </w:r>
            <w:r>
              <w:rPr>
                <w:rFonts w:eastAsiaTheme="minorEastAsia"/>
                <w:kern w:val="2"/>
                <w:sz w:val="24"/>
                <w:szCs w:val="24"/>
                <w:lang w:val="cs-CZ"/>
                <w14:ligatures w14:val="standardContextual"/>
              </w:rPr>
              <w:tab/>
            </w:r>
            <w:r w:rsidRPr="000E0135">
              <w:rPr>
                <w:rStyle w:val="Hypertextovodkaz"/>
              </w:rPr>
              <w:t>Implementace databáze do webového prostředí</w:t>
            </w:r>
            <w:r>
              <w:rPr>
                <w:webHidden/>
              </w:rPr>
              <w:tab/>
            </w:r>
            <w:r>
              <w:rPr>
                <w:webHidden/>
              </w:rPr>
              <w:fldChar w:fldCharType="begin"/>
            </w:r>
            <w:r>
              <w:rPr>
                <w:webHidden/>
              </w:rPr>
              <w:instrText xml:space="preserve"> PAGEREF _Toc183029567 \h </w:instrText>
            </w:r>
            <w:r>
              <w:rPr>
                <w:webHidden/>
              </w:rPr>
            </w:r>
            <w:r>
              <w:rPr>
                <w:webHidden/>
              </w:rPr>
              <w:fldChar w:fldCharType="separate"/>
            </w:r>
            <w:r>
              <w:rPr>
                <w:webHidden/>
              </w:rPr>
              <w:t>57</w:t>
            </w:r>
            <w:r>
              <w:rPr>
                <w:webHidden/>
              </w:rPr>
              <w:fldChar w:fldCharType="end"/>
            </w:r>
          </w:hyperlink>
        </w:p>
        <w:p w14:paraId="58361011" w14:textId="7381DDAF" w:rsidR="00CA009D" w:rsidRDefault="00CA009D">
          <w:pPr>
            <w:pStyle w:val="Obsah2"/>
            <w:rPr>
              <w:rFonts w:eastAsiaTheme="minorEastAsia"/>
              <w:kern w:val="2"/>
              <w:sz w:val="24"/>
              <w:szCs w:val="24"/>
              <w:lang w:val="cs-CZ"/>
              <w14:ligatures w14:val="standardContextual"/>
            </w:rPr>
          </w:pPr>
          <w:hyperlink w:anchor="_Toc183029568" w:history="1">
            <w:r w:rsidRPr="000E0135">
              <w:rPr>
                <w:rStyle w:val="Hypertextovodkaz"/>
              </w:rPr>
              <w:t>4.6</w:t>
            </w:r>
            <w:r>
              <w:rPr>
                <w:rFonts w:eastAsiaTheme="minorEastAsia"/>
                <w:kern w:val="2"/>
                <w:sz w:val="24"/>
                <w:szCs w:val="24"/>
                <w:lang w:val="cs-CZ"/>
                <w14:ligatures w14:val="standardContextual"/>
              </w:rPr>
              <w:tab/>
            </w:r>
            <w:r w:rsidRPr="000E0135">
              <w:rPr>
                <w:rStyle w:val="Hypertextovodkaz"/>
              </w:rPr>
              <w:t>Testování a validace</w:t>
            </w:r>
            <w:r>
              <w:rPr>
                <w:webHidden/>
              </w:rPr>
              <w:tab/>
            </w:r>
            <w:r>
              <w:rPr>
                <w:webHidden/>
              </w:rPr>
              <w:fldChar w:fldCharType="begin"/>
            </w:r>
            <w:r>
              <w:rPr>
                <w:webHidden/>
              </w:rPr>
              <w:instrText xml:space="preserve"> PAGEREF _Toc183029568 \h </w:instrText>
            </w:r>
            <w:r>
              <w:rPr>
                <w:webHidden/>
              </w:rPr>
            </w:r>
            <w:r>
              <w:rPr>
                <w:webHidden/>
              </w:rPr>
              <w:fldChar w:fldCharType="separate"/>
            </w:r>
            <w:r>
              <w:rPr>
                <w:webHidden/>
              </w:rPr>
              <w:t>57</w:t>
            </w:r>
            <w:r>
              <w:rPr>
                <w:webHidden/>
              </w:rPr>
              <w:fldChar w:fldCharType="end"/>
            </w:r>
          </w:hyperlink>
        </w:p>
        <w:p w14:paraId="2D133E69" w14:textId="774D5C23" w:rsidR="00CA009D" w:rsidRDefault="00CA009D">
          <w:pPr>
            <w:pStyle w:val="Obsah2"/>
            <w:rPr>
              <w:rFonts w:eastAsiaTheme="minorEastAsia"/>
              <w:kern w:val="2"/>
              <w:sz w:val="24"/>
              <w:szCs w:val="24"/>
              <w:lang w:val="cs-CZ"/>
              <w14:ligatures w14:val="standardContextual"/>
            </w:rPr>
          </w:pPr>
          <w:hyperlink w:anchor="_Toc183029569" w:history="1">
            <w:r w:rsidRPr="000E0135">
              <w:rPr>
                <w:rStyle w:val="Hypertextovodkaz"/>
              </w:rPr>
              <w:t>4.7</w:t>
            </w:r>
            <w:r>
              <w:rPr>
                <w:rFonts w:eastAsiaTheme="minorEastAsia"/>
                <w:kern w:val="2"/>
                <w:sz w:val="24"/>
                <w:szCs w:val="24"/>
                <w:lang w:val="cs-CZ"/>
                <w14:ligatures w14:val="standardContextual"/>
              </w:rPr>
              <w:tab/>
            </w:r>
            <w:r w:rsidRPr="000E0135">
              <w:rPr>
                <w:rStyle w:val="Hypertextovodkaz"/>
              </w:rPr>
              <w:t>Aktualizace a správa databáze</w:t>
            </w:r>
            <w:r>
              <w:rPr>
                <w:webHidden/>
              </w:rPr>
              <w:tab/>
            </w:r>
            <w:r>
              <w:rPr>
                <w:webHidden/>
              </w:rPr>
              <w:fldChar w:fldCharType="begin"/>
            </w:r>
            <w:r>
              <w:rPr>
                <w:webHidden/>
              </w:rPr>
              <w:instrText xml:space="preserve"> PAGEREF _Toc183029569 \h </w:instrText>
            </w:r>
            <w:r>
              <w:rPr>
                <w:webHidden/>
              </w:rPr>
            </w:r>
            <w:r>
              <w:rPr>
                <w:webHidden/>
              </w:rPr>
              <w:fldChar w:fldCharType="separate"/>
            </w:r>
            <w:r>
              <w:rPr>
                <w:webHidden/>
              </w:rPr>
              <w:t>57</w:t>
            </w:r>
            <w:r>
              <w:rPr>
                <w:webHidden/>
              </w:rPr>
              <w:fldChar w:fldCharType="end"/>
            </w:r>
          </w:hyperlink>
        </w:p>
        <w:p w14:paraId="564DFAA4" w14:textId="4BEF8015" w:rsidR="00CA009D" w:rsidRDefault="00CA009D">
          <w:pPr>
            <w:pStyle w:val="Obsah2"/>
            <w:rPr>
              <w:rFonts w:eastAsiaTheme="minorEastAsia"/>
              <w:kern w:val="2"/>
              <w:sz w:val="24"/>
              <w:szCs w:val="24"/>
              <w:lang w:val="cs-CZ"/>
              <w14:ligatures w14:val="standardContextual"/>
            </w:rPr>
          </w:pPr>
          <w:hyperlink w:anchor="_Toc183029570" w:history="1">
            <w:r w:rsidRPr="000E0135">
              <w:rPr>
                <w:rStyle w:val="Hypertextovodkaz"/>
              </w:rPr>
              <w:t>4.8</w:t>
            </w:r>
            <w:r>
              <w:rPr>
                <w:rFonts w:eastAsiaTheme="minorEastAsia"/>
                <w:kern w:val="2"/>
                <w:sz w:val="24"/>
                <w:szCs w:val="24"/>
                <w:lang w:val="cs-CZ"/>
                <w14:ligatures w14:val="standardContextual"/>
              </w:rPr>
              <w:tab/>
            </w:r>
            <w:r w:rsidRPr="000E0135">
              <w:rPr>
                <w:rStyle w:val="Hypertextovodkaz"/>
              </w:rPr>
              <w:t>Zabezpečení databáze</w:t>
            </w:r>
            <w:r>
              <w:rPr>
                <w:webHidden/>
              </w:rPr>
              <w:tab/>
            </w:r>
            <w:r>
              <w:rPr>
                <w:webHidden/>
              </w:rPr>
              <w:fldChar w:fldCharType="begin"/>
            </w:r>
            <w:r>
              <w:rPr>
                <w:webHidden/>
              </w:rPr>
              <w:instrText xml:space="preserve"> PAGEREF _Toc183029570 \h </w:instrText>
            </w:r>
            <w:r>
              <w:rPr>
                <w:webHidden/>
              </w:rPr>
            </w:r>
            <w:r>
              <w:rPr>
                <w:webHidden/>
              </w:rPr>
              <w:fldChar w:fldCharType="separate"/>
            </w:r>
            <w:r>
              <w:rPr>
                <w:webHidden/>
              </w:rPr>
              <w:t>57</w:t>
            </w:r>
            <w:r>
              <w:rPr>
                <w:webHidden/>
              </w:rPr>
              <w:fldChar w:fldCharType="end"/>
            </w:r>
          </w:hyperlink>
        </w:p>
        <w:p w14:paraId="08953DC6" w14:textId="1305BDA3" w:rsidR="00CA009D" w:rsidRDefault="00CA009D">
          <w:pPr>
            <w:pStyle w:val="Obsah2"/>
            <w:rPr>
              <w:rFonts w:eastAsiaTheme="minorEastAsia"/>
              <w:kern w:val="2"/>
              <w:sz w:val="24"/>
              <w:szCs w:val="24"/>
              <w:lang w:val="cs-CZ"/>
              <w14:ligatures w14:val="standardContextual"/>
            </w:rPr>
          </w:pPr>
          <w:hyperlink w:anchor="_Toc183029571" w:history="1">
            <w:r w:rsidRPr="000E0135">
              <w:rPr>
                <w:rStyle w:val="Hypertextovodkaz"/>
              </w:rPr>
              <w:t>4.9</w:t>
            </w:r>
            <w:r>
              <w:rPr>
                <w:rFonts w:eastAsiaTheme="minorEastAsia"/>
                <w:kern w:val="2"/>
                <w:sz w:val="24"/>
                <w:szCs w:val="24"/>
                <w:lang w:val="cs-CZ"/>
                <w14:ligatures w14:val="standardContextual"/>
              </w:rPr>
              <w:tab/>
            </w:r>
            <w:r w:rsidRPr="000E0135">
              <w:rPr>
                <w:rStyle w:val="Hypertextovodkaz"/>
              </w:rPr>
              <w:t>Vzled databáze</w:t>
            </w:r>
            <w:r>
              <w:rPr>
                <w:webHidden/>
              </w:rPr>
              <w:tab/>
            </w:r>
            <w:r>
              <w:rPr>
                <w:webHidden/>
              </w:rPr>
              <w:fldChar w:fldCharType="begin"/>
            </w:r>
            <w:r>
              <w:rPr>
                <w:webHidden/>
              </w:rPr>
              <w:instrText xml:space="preserve"> PAGEREF _Toc183029571 \h </w:instrText>
            </w:r>
            <w:r>
              <w:rPr>
                <w:webHidden/>
              </w:rPr>
            </w:r>
            <w:r>
              <w:rPr>
                <w:webHidden/>
              </w:rPr>
              <w:fldChar w:fldCharType="separate"/>
            </w:r>
            <w:r>
              <w:rPr>
                <w:webHidden/>
              </w:rPr>
              <w:t>58</w:t>
            </w:r>
            <w:r>
              <w:rPr>
                <w:webHidden/>
              </w:rPr>
              <w:fldChar w:fldCharType="end"/>
            </w:r>
          </w:hyperlink>
        </w:p>
        <w:p w14:paraId="606F8063" w14:textId="12099A88" w:rsidR="00CA009D" w:rsidRDefault="00CA009D">
          <w:pPr>
            <w:pStyle w:val="Obsah2"/>
            <w:rPr>
              <w:rFonts w:eastAsiaTheme="minorEastAsia"/>
              <w:kern w:val="2"/>
              <w:sz w:val="24"/>
              <w:szCs w:val="24"/>
              <w:lang w:val="cs-CZ"/>
              <w14:ligatures w14:val="standardContextual"/>
            </w:rPr>
          </w:pPr>
          <w:hyperlink w:anchor="_Toc183029572" w:history="1">
            <w:r w:rsidRPr="000E0135">
              <w:rPr>
                <w:rStyle w:val="Hypertextovodkaz"/>
              </w:rPr>
              <w:t>4.10</w:t>
            </w:r>
            <w:r>
              <w:rPr>
                <w:rFonts w:eastAsiaTheme="minorEastAsia"/>
                <w:kern w:val="2"/>
                <w:sz w:val="24"/>
                <w:szCs w:val="24"/>
                <w:lang w:val="cs-CZ"/>
                <w14:ligatures w14:val="standardContextual"/>
              </w:rPr>
              <w:tab/>
            </w:r>
            <w:r w:rsidRPr="000E0135">
              <w:rPr>
                <w:rStyle w:val="Hypertextovodkaz"/>
              </w:rPr>
              <w:t>Návrh konkrétních variant využití databáze</w:t>
            </w:r>
            <w:r>
              <w:rPr>
                <w:webHidden/>
              </w:rPr>
              <w:tab/>
            </w:r>
            <w:r>
              <w:rPr>
                <w:webHidden/>
              </w:rPr>
              <w:fldChar w:fldCharType="begin"/>
            </w:r>
            <w:r>
              <w:rPr>
                <w:webHidden/>
              </w:rPr>
              <w:instrText xml:space="preserve"> PAGEREF _Toc183029572 \h </w:instrText>
            </w:r>
            <w:r>
              <w:rPr>
                <w:webHidden/>
              </w:rPr>
            </w:r>
            <w:r>
              <w:rPr>
                <w:webHidden/>
              </w:rPr>
              <w:fldChar w:fldCharType="separate"/>
            </w:r>
            <w:r>
              <w:rPr>
                <w:webHidden/>
              </w:rPr>
              <w:t>61</w:t>
            </w:r>
            <w:r>
              <w:rPr>
                <w:webHidden/>
              </w:rPr>
              <w:fldChar w:fldCharType="end"/>
            </w:r>
          </w:hyperlink>
        </w:p>
        <w:p w14:paraId="309D3D4B" w14:textId="53D458B8" w:rsidR="00CA009D" w:rsidRDefault="00CA009D">
          <w:pPr>
            <w:pStyle w:val="Obsah3"/>
            <w:tabs>
              <w:tab w:val="left" w:pos="1920"/>
            </w:tabs>
            <w:rPr>
              <w:rFonts w:eastAsiaTheme="minorEastAsia"/>
              <w:kern w:val="2"/>
              <w:sz w:val="24"/>
              <w:szCs w:val="24"/>
              <w:lang w:val="cs-CZ"/>
              <w14:ligatures w14:val="standardContextual"/>
            </w:rPr>
          </w:pPr>
          <w:hyperlink w:anchor="_Toc183029573" w:history="1">
            <w:r w:rsidRPr="000E0135">
              <w:rPr>
                <w:rStyle w:val="Hypertextovodkaz"/>
              </w:rPr>
              <w:t>4.10.1</w:t>
            </w:r>
            <w:r>
              <w:rPr>
                <w:rFonts w:eastAsiaTheme="minorEastAsia"/>
                <w:kern w:val="2"/>
                <w:sz w:val="24"/>
                <w:szCs w:val="24"/>
                <w:lang w:val="cs-CZ"/>
                <w14:ligatures w14:val="standardContextual"/>
              </w:rPr>
              <w:tab/>
            </w:r>
            <w:r w:rsidRPr="000E0135">
              <w:rPr>
                <w:rStyle w:val="Hypertextovodkaz"/>
              </w:rPr>
              <w:t>Využití databáze specialisty na ochranu obyvatelstva</w:t>
            </w:r>
            <w:r>
              <w:rPr>
                <w:webHidden/>
              </w:rPr>
              <w:tab/>
            </w:r>
            <w:r>
              <w:rPr>
                <w:webHidden/>
              </w:rPr>
              <w:fldChar w:fldCharType="begin"/>
            </w:r>
            <w:r>
              <w:rPr>
                <w:webHidden/>
              </w:rPr>
              <w:instrText xml:space="preserve"> PAGEREF _Toc183029573 \h </w:instrText>
            </w:r>
            <w:r>
              <w:rPr>
                <w:webHidden/>
              </w:rPr>
            </w:r>
            <w:r>
              <w:rPr>
                <w:webHidden/>
              </w:rPr>
              <w:fldChar w:fldCharType="separate"/>
            </w:r>
            <w:r>
              <w:rPr>
                <w:webHidden/>
              </w:rPr>
              <w:t>61</w:t>
            </w:r>
            <w:r>
              <w:rPr>
                <w:webHidden/>
              </w:rPr>
              <w:fldChar w:fldCharType="end"/>
            </w:r>
          </w:hyperlink>
        </w:p>
        <w:p w14:paraId="1B452C3B" w14:textId="276FD432" w:rsidR="00CA009D" w:rsidRDefault="00CA009D">
          <w:pPr>
            <w:pStyle w:val="Obsah3"/>
            <w:tabs>
              <w:tab w:val="left" w:pos="1920"/>
            </w:tabs>
            <w:rPr>
              <w:rFonts w:eastAsiaTheme="minorEastAsia"/>
              <w:kern w:val="2"/>
              <w:sz w:val="24"/>
              <w:szCs w:val="24"/>
              <w:lang w:val="cs-CZ"/>
              <w14:ligatures w14:val="standardContextual"/>
            </w:rPr>
          </w:pPr>
          <w:hyperlink w:anchor="_Toc183029574" w:history="1">
            <w:r w:rsidRPr="000E0135">
              <w:rPr>
                <w:rStyle w:val="Hypertextovodkaz"/>
              </w:rPr>
              <w:t>4.10.2</w:t>
            </w:r>
            <w:r>
              <w:rPr>
                <w:rFonts w:eastAsiaTheme="minorEastAsia"/>
                <w:kern w:val="2"/>
                <w:sz w:val="24"/>
                <w:szCs w:val="24"/>
                <w:lang w:val="cs-CZ"/>
                <w14:ligatures w14:val="standardContextual"/>
              </w:rPr>
              <w:tab/>
            </w:r>
            <w:r w:rsidRPr="000E0135">
              <w:rPr>
                <w:rStyle w:val="Hypertextovodkaz"/>
              </w:rPr>
              <w:t>Využití databáze ve školských zařízeních</w:t>
            </w:r>
            <w:r>
              <w:rPr>
                <w:webHidden/>
              </w:rPr>
              <w:tab/>
            </w:r>
            <w:r>
              <w:rPr>
                <w:webHidden/>
              </w:rPr>
              <w:fldChar w:fldCharType="begin"/>
            </w:r>
            <w:r>
              <w:rPr>
                <w:webHidden/>
              </w:rPr>
              <w:instrText xml:space="preserve"> PAGEREF _Toc183029574 \h </w:instrText>
            </w:r>
            <w:r>
              <w:rPr>
                <w:webHidden/>
              </w:rPr>
            </w:r>
            <w:r>
              <w:rPr>
                <w:webHidden/>
              </w:rPr>
              <w:fldChar w:fldCharType="separate"/>
            </w:r>
            <w:r>
              <w:rPr>
                <w:webHidden/>
              </w:rPr>
              <w:t>62</w:t>
            </w:r>
            <w:r>
              <w:rPr>
                <w:webHidden/>
              </w:rPr>
              <w:fldChar w:fldCharType="end"/>
            </w:r>
          </w:hyperlink>
        </w:p>
        <w:p w14:paraId="47BE9FEF" w14:textId="29093422" w:rsidR="00CA009D" w:rsidRDefault="00CA009D">
          <w:pPr>
            <w:pStyle w:val="Obsah3"/>
            <w:tabs>
              <w:tab w:val="left" w:pos="1920"/>
            </w:tabs>
            <w:rPr>
              <w:rFonts w:eastAsiaTheme="minorEastAsia"/>
              <w:kern w:val="2"/>
              <w:sz w:val="24"/>
              <w:szCs w:val="24"/>
              <w:lang w:val="cs-CZ"/>
              <w14:ligatures w14:val="standardContextual"/>
            </w:rPr>
          </w:pPr>
          <w:hyperlink w:anchor="_Toc183029575" w:history="1">
            <w:r w:rsidRPr="000E0135">
              <w:rPr>
                <w:rStyle w:val="Hypertextovodkaz"/>
              </w:rPr>
              <w:t>4.10.3</w:t>
            </w:r>
            <w:r>
              <w:rPr>
                <w:rFonts w:eastAsiaTheme="minorEastAsia"/>
                <w:kern w:val="2"/>
                <w:sz w:val="24"/>
                <w:szCs w:val="24"/>
                <w:lang w:val="cs-CZ"/>
                <w14:ligatures w14:val="standardContextual"/>
              </w:rPr>
              <w:tab/>
            </w:r>
            <w:r w:rsidRPr="000E0135">
              <w:rPr>
                <w:rStyle w:val="Hypertextovodkaz"/>
              </w:rPr>
              <w:t>Webová a mobilní aplikace pro širší přístupnost</w:t>
            </w:r>
            <w:r>
              <w:rPr>
                <w:webHidden/>
              </w:rPr>
              <w:tab/>
            </w:r>
            <w:r>
              <w:rPr>
                <w:webHidden/>
              </w:rPr>
              <w:fldChar w:fldCharType="begin"/>
            </w:r>
            <w:r>
              <w:rPr>
                <w:webHidden/>
              </w:rPr>
              <w:instrText xml:space="preserve"> PAGEREF _Toc183029575 \h </w:instrText>
            </w:r>
            <w:r>
              <w:rPr>
                <w:webHidden/>
              </w:rPr>
            </w:r>
            <w:r>
              <w:rPr>
                <w:webHidden/>
              </w:rPr>
              <w:fldChar w:fldCharType="separate"/>
            </w:r>
            <w:r>
              <w:rPr>
                <w:webHidden/>
              </w:rPr>
              <w:t>62</w:t>
            </w:r>
            <w:r>
              <w:rPr>
                <w:webHidden/>
              </w:rPr>
              <w:fldChar w:fldCharType="end"/>
            </w:r>
          </w:hyperlink>
        </w:p>
        <w:p w14:paraId="770A7F1E" w14:textId="337784B5" w:rsidR="00CA009D" w:rsidRDefault="00CA009D">
          <w:pPr>
            <w:pStyle w:val="Obsah2"/>
            <w:rPr>
              <w:rFonts w:eastAsiaTheme="minorEastAsia"/>
              <w:kern w:val="2"/>
              <w:sz w:val="24"/>
              <w:szCs w:val="24"/>
              <w:lang w:val="cs-CZ"/>
              <w14:ligatures w14:val="standardContextual"/>
            </w:rPr>
          </w:pPr>
          <w:hyperlink w:anchor="_Toc183029576" w:history="1">
            <w:r w:rsidRPr="000E0135">
              <w:rPr>
                <w:rStyle w:val="Hypertextovodkaz"/>
              </w:rPr>
              <w:t>4.11</w:t>
            </w:r>
            <w:r>
              <w:rPr>
                <w:rFonts w:eastAsiaTheme="minorEastAsia"/>
                <w:kern w:val="2"/>
                <w:sz w:val="24"/>
                <w:szCs w:val="24"/>
                <w:lang w:val="cs-CZ"/>
                <w14:ligatures w14:val="standardContextual"/>
              </w:rPr>
              <w:tab/>
            </w:r>
            <w:r w:rsidRPr="000E0135">
              <w:rPr>
                <w:rStyle w:val="Hypertextovodkaz"/>
              </w:rPr>
              <w:t>Existující databáze</w:t>
            </w:r>
            <w:r>
              <w:rPr>
                <w:webHidden/>
              </w:rPr>
              <w:tab/>
            </w:r>
            <w:r>
              <w:rPr>
                <w:webHidden/>
              </w:rPr>
              <w:fldChar w:fldCharType="begin"/>
            </w:r>
            <w:r>
              <w:rPr>
                <w:webHidden/>
              </w:rPr>
              <w:instrText xml:space="preserve"> PAGEREF _Toc183029576 \h </w:instrText>
            </w:r>
            <w:r>
              <w:rPr>
                <w:webHidden/>
              </w:rPr>
            </w:r>
            <w:r>
              <w:rPr>
                <w:webHidden/>
              </w:rPr>
              <w:fldChar w:fldCharType="separate"/>
            </w:r>
            <w:r>
              <w:rPr>
                <w:webHidden/>
              </w:rPr>
              <w:t>63</w:t>
            </w:r>
            <w:r>
              <w:rPr>
                <w:webHidden/>
              </w:rPr>
              <w:fldChar w:fldCharType="end"/>
            </w:r>
          </w:hyperlink>
        </w:p>
        <w:p w14:paraId="68BBA64B" w14:textId="3FEA6C0A" w:rsidR="00CA009D" w:rsidRDefault="00CA009D">
          <w:pPr>
            <w:pStyle w:val="Obsah2"/>
            <w:rPr>
              <w:rFonts w:eastAsiaTheme="minorEastAsia"/>
              <w:kern w:val="2"/>
              <w:sz w:val="24"/>
              <w:szCs w:val="24"/>
              <w:lang w:val="cs-CZ"/>
              <w14:ligatures w14:val="standardContextual"/>
            </w:rPr>
          </w:pPr>
          <w:hyperlink w:anchor="_Toc183029577" w:history="1">
            <w:r w:rsidRPr="000E0135">
              <w:rPr>
                <w:rStyle w:val="Hypertextovodkaz"/>
              </w:rPr>
              <w:t>4.12</w:t>
            </w:r>
            <w:r>
              <w:rPr>
                <w:rFonts w:eastAsiaTheme="minorEastAsia"/>
                <w:kern w:val="2"/>
                <w:sz w:val="24"/>
                <w:szCs w:val="24"/>
                <w:lang w:val="cs-CZ"/>
                <w14:ligatures w14:val="standardContextual"/>
              </w:rPr>
              <w:tab/>
            </w:r>
            <w:r w:rsidRPr="000E0135">
              <w:rPr>
                <w:rStyle w:val="Hypertextovodkaz"/>
              </w:rPr>
              <w:t>Porovnání existujících databází</w:t>
            </w:r>
            <w:r>
              <w:rPr>
                <w:webHidden/>
              </w:rPr>
              <w:tab/>
            </w:r>
            <w:r>
              <w:rPr>
                <w:webHidden/>
              </w:rPr>
              <w:fldChar w:fldCharType="begin"/>
            </w:r>
            <w:r>
              <w:rPr>
                <w:webHidden/>
              </w:rPr>
              <w:instrText xml:space="preserve"> PAGEREF _Toc183029577 \h </w:instrText>
            </w:r>
            <w:r>
              <w:rPr>
                <w:webHidden/>
              </w:rPr>
            </w:r>
            <w:r>
              <w:rPr>
                <w:webHidden/>
              </w:rPr>
              <w:fldChar w:fldCharType="separate"/>
            </w:r>
            <w:r>
              <w:rPr>
                <w:webHidden/>
              </w:rPr>
              <w:t>66</w:t>
            </w:r>
            <w:r>
              <w:rPr>
                <w:webHidden/>
              </w:rPr>
              <w:fldChar w:fldCharType="end"/>
            </w:r>
          </w:hyperlink>
        </w:p>
        <w:p w14:paraId="01E789F4" w14:textId="1D3836F7" w:rsidR="00CA009D" w:rsidRDefault="00CA009D">
          <w:pPr>
            <w:pStyle w:val="Obsah1"/>
            <w:rPr>
              <w:rFonts w:eastAsiaTheme="minorEastAsia"/>
              <w:kern w:val="2"/>
              <w:sz w:val="24"/>
              <w:szCs w:val="24"/>
              <w:lang w:val="cs-CZ"/>
              <w14:ligatures w14:val="standardContextual"/>
            </w:rPr>
          </w:pPr>
          <w:hyperlink w:anchor="_Toc183029578" w:history="1">
            <w:r w:rsidRPr="000E0135">
              <w:rPr>
                <w:rStyle w:val="Hypertextovodkaz"/>
              </w:rPr>
              <w:t>5</w:t>
            </w:r>
            <w:r>
              <w:rPr>
                <w:rFonts w:eastAsiaTheme="minorEastAsia"/>
                <w:kern w:val="2"/>
                <w:sz w:val="24"/>
                <w:szCs w:val="24"/>
                <w:lang w:val="cs-CZ"/>
                <w14:ligatures w14:val="standardContextual"/>
              </w:rPr>
              <w:tab/>
            </w:r>
            <w:r w:rsidRPr="000E0135">
              <w:rPr>
                <w:rStyle w:val="Hypertextovodkaz"/>
              </w:rPr>
              <w:t>Výsledky</w:t>
            </w:r>
            <w:r>
              <w:rPr>
                <w:webHidden/>
              </w:rPr>
              <w:tab/>
            </w:r>
            <w:r>
              <w:rPr>
                <w:webHidden/>
              </w:rPr>
              <w:fldChar w:fldCharType="begin"/>
            </w:r>
            <w:r>
              <w:rPr>
                <w:webHidden/>
              </w:rPr>
              <w:instrText xml:space="preserve"> PAGEREF _Toc183029578 \h </w:instrText>
            </w:r>
            <w:r>
              <w:rPr>
                <w:webHidden/>
              </w:rPr>
            </w:r>
            <w:r>
              <w:rPr>
                <w:webHidden/>
              </w:rPr>
              <w:fldChar w:fldCharType="separate"/>
            </w:r>
            <w:r>
              <w:rPr>
                <w:webHidden/>
              </w:rPr>
              <w:t>68</w:t>
            </w:r>
            <w:r>
              <w:rPr>
                <w:webHidden/>
              </w:rPr>
              <w:fldChar w:fldCharType="end"/>
            </w:r>
          </w:hyperlink>
        </w:p>
        <w:p w14:paraId="2AA40F0A" w14:textId="13FAACEA" w:rsidR="00CA009D" w:rsidRDefault="00CA009D">
          <w:pPr>
            <w:pStyle w:val="Obsah1"/>
            <w:rPr>
              <w:rFonts w:eastAsiaTheme="minorEastAsia"/>
              <w:kern w:val="2"/>
              <w:sz w:val="24"/>
              <w:szCs w:val="24"/>
              <w:lang w:val="cs-CZ"/>
              <w14:ligatures w14:val="standardContextual"/>
            </w:rPr>
          </w:pPr>
          <w:hyperlink w:anchor="_Toc183029579" w:history="1">
            <w:r w:rsidRPr="000E0135">
              <w:rPr>
                <w:rStyle w:val="Hypertextovodkaz"/>
              </w:rPr>
              <w:t>6</w:t>
            </w:r>
            <w:r>
              <w:rPr>
                <w:rFonts w:eastAsiaTheme="minorEastAsia"/>
                <w:kern w:val="2"/>
                <w:sz w:val="24"/>
                <w:szCs w:val="24"/>
                <w:lang w:val="cs-CZ"/>
                <w14:ligatures w14:val="standardContextual"/>
              </w:rPr>
              <w:tab/>
            </w:r>
            <w:r w:rsidRPr="000E0135">
              <w:rPr>
                <w:rStyle w:val="Hypertextovodkaz"/>
              </w:rPr>
              <w:t>Diskuze</w:t>
            </w:r>
            <w:r>
              <w:rPr>
                <w:webHidden/>
              </w:rPr>
              <w:tab/>
            </w:r>
            <w:r>
              <w:rPr>
                <w:webHidden/>
              </w:rPr>
              <w:fldChar w:fldCharType="begin"/>
            </w:r>
            <w:r>
              <w:rPr>
                <w:webHidden/>
              </w:rPr>
              <w:instrText xml:space="preserve"> PAGEREF _Toc183029579 \h </w:instrText>
            </w:r>
            <w:r>
              <w:rPr>
                <w:webHidden/>
              </w:rPr>
            </w:r>
            <w:r>
              <w:rPr>
                <w:webHidden/>
              </w:rPr>
              <w:fldChar w:fldCharType="separate"/>
            </w:r>
            <w:r>
              <w:rPr>
                <w:webHidden/>
              </w:rPr>
              <w:t>71</w:t>
            </w:r>
            <w:r>
              <w:rPr>
                <w:webHidden/>
              </w:rPr>
              <w:fldChar w:fldCharType="end"/>
            </w:r>
          </w:hyperlink>
        </w:p>
        <w:p w14:paraId="72E1AB5A" w14:textId="08B0174E" w:rsidR="00CA009D" w:rsidRDefault="00CA009D">
          <w:pPr>
            <w:pStyle w:val="Obsah2"/>
            <w:rPr>
              <w:rFonts w:eastAsiaTheme="minorEastAsia"/>
              <w:kern w:val="2"/>
              <w:sz w:val="24"/>
              <w:szCs w:val="24"/>
              <w:lang w:val="cs-CZ"/>
              <w14:ligatures w14:val="standardContextual"/>
            </w:rPr>
          </w:pPr>
          <w:hyperlink w:anchor="_Toc183029580" w:history="1">
            <w:r w:rsidRPr="000E0135">
              <w:rPr>
                <w:rStyle w:val="Hypertextovodkaz"/>
              </w:rPr>
              <w:t>6.1</w:t>
            </w:r>
            <w:r>
              <w:rPr>
                <w:rFonts w:eastAsiaTheme="minorEastAsia"/>
                <w:kern w:val="2"/>
                <w:sz w:val="24"/>
                <w:szCs w:val="24"/>
                <w:lang w:val="cs-CZ"/>
                <w14:ligatures w14:val="standardContextual"/>
              </w:rPr>
              <w:tab/>
            </w:r>
            <w:r w:rsidRPr="000E0135">
              <w:rPr>
                <w:rStyle w:val="Hypertextovodkaz"/>
              </w:rPr>
              <w:t>Závěry pro rozvoj oboru ochrany obyvatelstva a vzdělávání</w:t>
            </w:r>
            <w:r>
              <w:rPr>
                <w:webHidden/>
              </w:rPr>
              <w:tab/>
            </w:r>
            <w:r>
              <w:rPr>
                <w:webHidden/>
              </w:rPr>
              <w:fldChar w:fldCharType="begin"/>
            </w:r>
            <w:r>
              <w:rPr>
                <w:webHidden/>
              </w:rPr>
              <w:instrText xml:space="preserve"> PAGEREF _Toc183029580 \h </w:instrText>
            </w:r>
            <w:r>
              <w:rPr>
                <w:webHidden/>
              </w:rPr>
            </w:r>
            <w:r>
              <w:rPr>
                <w:webHidden/>
              </w:rPr>
              <w:fldChar w:fldCharType="separate"/>
            </w:r>
            <w:r>
              <w:rPr>
                <w:webHidden/>
              </w:rPr>
              <w:t>73</w:t>
            </w:r>
            <w:r>
              <w:rPr>
                <w:webHidden/>
              </w:rPr>
              <w:fldChar w:fldCharType="end"/>
            </w:r>
          </w:hyperlink>
        </w:p>
        <w:p w14:paraId="56779FCB" w14:textId="6854DA72" w:rsidR="00CA009D" w:rsidRDefault="00CA009D">
          <w:pPr>
            <w:pStyle w:val="Obsah1"/>
            <w:rPr>
              <w:rFonts w:eastAsiaTheme="minorEastAsia"/>
              <w:kern w:val="2"/>
              <w:sz w:val="24"/>
              <w:szCs w:val="24"/>
              <w:lang w:val="cs-CZ"/>
              <w14:ligatures w14:val="standardContextual"/>
            </w:rPr>
          </w:pPr>
          <w:hyperlink w:anchor="_Toc183029581" w:history="1">
            <w:r w:rsidRPr="000E0135">
              <w:rPr>
                <w:rStyle w:val="Hypertextovodkaz"/>
              </w:rPr>
              <w:t>7</w:t>
            </w:r>
            <w:r>
              <w:rPr>
                <w:rFonts w:eastAsiaTheme="minorEastAsia"/>
                <w:kern w:val="2"/>
                <w:sz w:val="24"/>
                <w:szCs w:val="24"/>
                <w:lang w:val="cs-CZ"/>
                <w14:ligatures w14:val="standardContextual"/>
              </w:rPr>
              <w:tab/>
            </w:r>
            <w:r w:rsidRPr="000E0135">
              <w:rPr>
                <w:rStyle w:val="Hypertextovodkaz"/>
              </w:rPr>
              <w:t>Závěry</w:t>
            </w:r>
            <w:r>
              <w:rPr>
                <w:webHidden/>
              </w:rPr>
              <w:tab/>
            </w:r>
            <w:r>
              <w:rPr>
                <w:webHidden/>
              </w:rPr>
              <w:fldChar w:fldCharType="begin"/>
            </w:r>
            <w:r>
              <w:rPr>
                <w:webHidden/>
              </w:rPr>
              <w:instrText xml:space="preserve"> PAGEREF _Toc183029581 \h </w:instrText>
            </w:r>
            <w:r>
              <w:rPr>
                <w:webHidden/>
              </w:rPr>
            </w:r>
            <w:r>
              <w:rPr>
                <w:webHidden/>
              </w:rPr>
              <w:fldChar w:fldCharType="separate"/>
            </w:r>
            <w:r>
              <w:rPr>
                <w:webHidden/>
              </w:rPr>
              <w:t>77</w:t>
            </w:r>
            <w:r>
              <w:rPr>
                <w:webHidden/>
              </w:rPr>
              <w:fldChar w:fldCharType="end"/>
            </w:r>
          </w:hyperlink>
        </w:p>
        <w:p w14:paraId="463A1194" w14:textId="27C9B631" w:rsidR="00CA009D" w:rsidRDefault="00CA009D">
          <w:pPr>
            <w:pStyle w:val="Obsah1"/>
            <w:rPr>
              <w:rFonts w:eastAsiaTheme="minorEastAsia"/>
              <w:kern w:val="2"/>
              <w:sz w:val="24"/>
              <w:szCs w:val="24"/>
              <w:lang w:val="cs-CZ"/>
              <w14:ligatures w14:val="standardContextual"/>
            </w:rPr>
          </w:pPr>
          <w:hyperlink w:anchor="_Toc183029582" w:history="1">
            <w:r w:rsidRPr="000E0135">
              <w:rPr>
                <w:rStyle w:val="Hypertextovodkaz"/>
              </w:rPr>
              <w:t>8</w:t>
            </w:r>
            <w:r>
              <w:rPr>
                <w:rFonts w:eastAsiaTheme="minorEastAsia"/>
                <w:kern w:val="2"/>
                <w:sz w:val="24"/>
                <w:szCs w:val="24"/>
                <w:lang w:val="cs-CZ"/>
                <w14:ligatures w14:val="standardContextual"/>
              </w:rPr>
              <w:tab/>
            </w:r>
            <w:r w:rsidRPr="000E0135">
              <w:rPr>
                <w:rStyle w:val="Hypertextovodkaz"/>
              </w:rPr>
              <w:t>Souhrn</w:t>
            </w:r>
            <w:r>
              <w:rPr>
                <w:webHidden/>
              </w:rPr>
              <w:tab/>
            </w:r>
            <w:r>
              <w:rPr>
                <w:webHidden/>
              </w:rPr>
              <w:fldChar w:fldCharType="begin"/>
            </w:r>
            <w:r>
              <w:rPr>
                <w:webHidden/>
              </w:rPr>
              <w:instrText xml:space="preserve"> PAGEREF _Toc183029582 \h </w:instrText>
            </w:r>
            <w:r>
              <w:rPr>
                <w:webHidden/>
              </w:rPr>
            </w:r>
            <w:r>
              <w:rPr>
                <w:webHidden/>
              </w:rPr>
              <w:fldChar w:fldCharType="separate"/>
            </w:r>
            <w:r>
              <w:rPr>
                <w:webHidden/>
              </w:rPr>
              <w:t>79</w:t>
            </w:r>
            <w:r>
              <w:rPr>
                <w:webHidden/>
              </w:rPr>
              <w:fldChar w:fldCharType="end"/>
            </w:r>
          </w:hyperlink>
        </w:p>
        <w:p w14:paraId="3CC124A5" w14:textId="13F25D01" w:rsidR="00CA009D" w:rsidRDefault="00CA009D">
          <w:pPr>
            <w:pStyle w:val="Obsah1"/>
            <w:rPr>
              <w:rFonts w:eastAsiaTheme="minorEastAsia"/>
              <w:kern w:val="2"/>
              <w:sz w:val="24"/>
              <w:szCs w:val="24"/>
              <w:lang w:val="cs-CZ"/>
              <w14:ligatures w14:val="standardContextual"/>
            </w:rPr>
          </w:pPr>
          <w:hyperlink w:anchor="_Toc183029583" w:history="1">
            <w:r w:rsidRPr="000E0135">
              <w:rPr>
                <w:rStyle w:val="Hypertextovodkaz"/>
              </w:rPr>
              <w:t>9</w:t>
            </w:r>
            <w:r>
              <w:rPr>
                <w:rFonts w:eastAsiaTheme="minorEastAsia"/>
                <w:kern w:val="2"/>
                <w:sz w:val="24"/>
                <w:szCs w:val="24"/>
                <w:lang w:val="cs-CZ"/>
                <w14:ligatures w14:val="standardContextual"/>
              </w:rPr>
              <w:tab/>
            </w:r>
            <w:r w:rsidRPr="000E0135">
              <w:rPr>
                <w:rStyle w:val="Hypertextovodkaz"/>
              </w:rPr>
              <w:t>Summary</w:t>
            </w:r>
            <w:r>
              <w:rPr>
                <w:webHidden/>
              </w:rPr>
              <w:tab/>
            </w:r>
            <w:r>
              <w:rPr>
                <w:webHidden/>
              </w:rPr>
              <w:fldChar w:fldCharType="begin"/>
            </w:r>
            <w:r>
              <w:rPr>
                <w:webHidden/>
              </w:rPr>
              <w:instrText xml:space="preserve"> PAGEREF _Toc183029583 \h </w:instrText>
            </w:r>
            <w:r>
              <w:rPr>
                <w:webHidden/>
              </w:rPr>
            </w:r>
            <w:r>
              <w:rPr>
                <w:webHidden/>
              </w:rPr>
              <w:fldChar w:fldCharType="separate"/>
            </w:r>
            <w:r>
              <w:rPr>
                <w:webHidden/>
              </w:rPr>
              <w:t>81</w:t>
            </w:r>
            <w:r>
              <w:rPr>
                <w:webHidden/>
              </w:rPr>
              <w:fldChar w:fldCharType="end"/>
            </w:r>
          </w:hyperlink>
        </w:p>
        <w:p w14:paraId="58A7AB87" w14:textId="6C5A766F" w:rsidR="00CA009D" w:rsidRDefault="00CA009D">
          <w:pPr>
            <w:pStyle w:val="Obsah1"/>
            <w:rPr>
              <w:rFonts w:eastAsiaTheme="minorEastAsia"/>
              <w:kern w:val="2"/>
              <w:sz w:val="24"/>
              <w:szCs w:val="24"/>
              <w:lang w:val="cs-CZ"/>
              <w14:ligatures w14:val="standardContextual"/>
            </w:rPr>
          </w:pPr>
          <w:hyperlink w:anchor="_Toc183029584" w:history="1">
            <w:r w:rsidRPr="000E0135">
              <w:rPr>
                <w:rStyle w:val="Hypertextovodkaz"/>
              </w:rPr>
              <w:t>10</w:t>
            </w:r>
            <w:r>
              <w:rPr>
                <w:rFonts w:eastAsiaTheme="minorEastAsia"/>
                <w:kern w:val="2"/>
                <w:sz w:val="24"/>
                <w:szCs w:val="24"/>
                <w:lang w:val="cs-CZ"/>
                <w14:ligatures w14:val="standardContextual"/>
              </w:rPr>
              <w:tab/>
            </w:r>
            <w:r w:rsidRPr="000E0135">
              <w:rPr>
                <w:rStyle w:val="Hypertextovodkaz"/>
              </w:rPr>
              <w:t>Referenční seznam</w:t>
            </w:r>
            <w:r>
              <w:rPr>
                <w:webHidden/>
              </w:rPr>
              <w:tab/>
            </w:r>
            <w:r>
              <w:rPr>
                <w:webHidden/>
              </w:rPr>
              <w:fldChar w:fldCharType="begin"/>
            </w:r>
            <w:r>
              <w:rPr>
                <w:webHidden/>
              </w:rPr>
              <w:instrText xml:space="preserve"> PAGEREF _Toc183029584 \h </w:instrText>
            </w:r>
            <w:r>
              <w:rPr>
                <w:webHidden/>
              </w:rPr>
            </w:r>
            <w:r>
              <w:rPr>
                <w:webHidden/>
              </w:rPr>
              <w:fldChar w:fldCharType="separate"/>
            </w:r>
            <w:r>
              <w:rPr>
                <w:webHidden/>
              </w:rPr>
              <w:t>83</w:t>
            </w:r>
            <w:r>
              <w:rPr>
                <w:webHidden/>
              </w:rPr>
              <w:fldChar w:fldCharType="end"/>
            </w:r>
          </w:hyperlink>
        </w:p>
        <w:p w14:paraId="336C2EDD" w14:textId="5B55DF91" w:rsidR="00CA009D" w:rsidRDefault="00CA009D">
          <w:pPr>
            <w:pStyle w:val="Obsah2"/>
            <w:rPr>
              <w:rFonts w:eastAsiaTheme="minorEastAsia"/>
              <w:kern w:val="2"/>
              <w:sz w:val="24"/>
              <w:szCs w:val="24"/>
              <w:lang w:val="cs-CZ"/>
              <w14:ligatures w14:val="standardContextual"/>
            </w:rPr>
          </w:pPr>
          <w:hyperlink w:anchor="_Toc183029585" w:history="1">
            <w:r w:rsidRPr="000E0135">
              <w:rPr>
                <w:rStyle w:val="Hypertextovodkaz"/>
              </w:rPr>
              <w:t>10.1</w:t>
            </w:r>
            <w:r>
              <w:rPr>
                <w:rFonts w:eastAsiaTheme="minorEastAsia"/>
                <w:kern w:val="2"/>
                <w:sz w:val="24"/>
                <w:szCs w:val="24"/>
                <w:lang w:val="cs-CZ"/>
                <w14:ligatures w14:val="standardContextual"/>
              </w:rPr>
              <w:tab/>
            </w:r>
            <w:r w:rsidRPr="000E0135">
              <w:rPr>
                <w:rStyle w:val="Hypertextovodkaz"/>
              </w:rPr>
              <w:t>Zákony a legislativa</w:t>
            </w:r>
            <w:r>
              <w:rPr>
                <w:webHidden/>
              </w:rPr>
              <w:tab/>
            </w:r>
            <w:r>
              <w:rPr>
                <w:webHidden/>
              </w:rPr>
              <w:fldChar w:fldCharType="begin"/>
            </w:r>
            <w:r>
              <w:rPr>
                <w:webHidden/>
              </w:rPr>
              <w:instrText xml:space="preserve"> PAGEREF _Toc183029585 \h </w:instrText>
            </w:r>
            <w:r>
              <w:rPr>
                <w:webHidden/>
              </w:rPr>
            </w:r>
            <w:r>
              <w:rPr>
                <w:webHidden/>
              </w:rPr>
              <w:fldChar w:fldCharType="separate"/>
            </w:r>
            <w:r>
              <w:rPr>
                <w:webHidden/>
              </w:rPr>
              <w:t>88</w:t>
            </w:r>
            <w:r>
              <w:rPr>
                <w:webHidden/>
              </w:rPr>
              <w:fldChar w:fldCharType="end"/>
            </w:r>
          </w:hyperlink>
        </w:p>
        <w:p w14:paraId="584E9F70" w14:textId="19E01F00" w:rsidR="00CA009D" w:rsidRDefault="00CA009D">
          <w:pPr>
            <w:pStyle w:val="Obsah2"/>
            <w:rPr>
              <w:rFonts w:eastAsiaTheme="minorEastAsia"/>
              <w:kern w:val="2"/>
              <w:sz w:val="24"/>
              <w:szCs w:val="24"/>
              <w:lang w:val="cs-CZ"/>
              <w14:ligatures w14:val="standardContextual"/>
            </w:rPr>
          </w:pPr>
          <w:hyperlink w:anchor="_Toc183029586" w:history="1">
            <w:r w:rsidRPr="000E0135">
              <w:rPr>
                <w:rStyle w:val="Hypertextovodkaz"/>
              </w:rPr>
              <w:t>10.2</w:t>
            </w:r>
            <w:r>
              <w:rPr>
                <w:rFonts w:eastAsiaTheme="minorEastAsia"/>
                <w:kern w:val="2"/>
                <w:sz w:val="24"/>
                <w:szCs w:val="24"/>
                <w:lang w:val="cs-CZ"/>
                <w14:ligatures w14:val="standardContextual"/>
              </w:rPr>
              <w:tab/>
            </w:r>
            <w:r w:rsidRPr="000E0135">
              <w:rPr>
                <w:rStyle w:val="Hypertextovodkaz"/>
              </w:rPr>
              <w:t>Seznam obrázků</w:t>
            </w:r>
            <w:r>
              <w:rPr>
                <w:webHidden/>
              </w:rPr>
              <w:tab/>
            </w:r>
            <w:r>
              <w:rPr>
                <w:webHidden/>
              </w:rPr>
              <w:fldChar w:fldCharType="begin"/>
            </w:r>
            <w:r>
              <w:rPr>
                <w:webHidden/>
              </w:rPr>
              <w:instrText xml:space="preserve"> PAGEREF _Toc183029586 \h </w:instrText>
            </w:r>
            <w:r>
              <w:rPr>
                <w:webHidden/>
              </w:rPr>
            </w:r>
            <w:r>
              <w:rPr>
                <w:webHidden/>
              </w:rPr>
              <w:fldChar w:fldCharType="separate"/>
            </w:r>
            <w:r>
              <w:rPr>
                <w:webHidden/>
              </w:rPr>
              <w:t>88</w:t>
            </w:r>
            <w:r>
              <w:rPr>
                <w:webHidden/>
              </w:rPr>
              <w:fldChar w:fldCharType="end"/>
            </w:r>
          </w:hyperlink>
        </w:p>
        <w:p w14:paraId="1A5A773C" w14:textId="5B476CA5" w:rsidR="00067C46" w:rsidRPr="006F1062" w:rsidRDefault="00067C46" w:rsidP="006F1062">
          <w:r>
            <w:rPr>
              <w:b/>
              <w:bCs/>
            </w:rPr>
            <w:fldChar w:fldCharType="end"/>
          </w:r>
        </w:p>
      </w:sdtContent>
    </w:sdt>
    <w:p w14:paraId="0B44D902" w14:textId="6B45D31A" w:rsidR="00EC10B7" w:rsidRDefault="00EC10B7" w:rsidP="00EC10B7">
      <w:pPr>
        <w:spacing w:after="160" w:line="259" w:lineRule="auto"/>
        <w:ind w:firstLine="0"/>
        <w:contextualSpacing w:val="0"/>
        <w:jc w:val="left"/>
        <w:rPr>
          <w:b/>
          <w:bCs/>
          <w:sz w:val="28"/>
          <w:szCs w:val="28"/>
          <w:lang w:val="cs-CZ"/>
        </w:rPr>
      </w:pPr>
      <w:r>
        <w:rPr>
          <w:b/>
          <w:bCs/>
          <w:sz w:val="28"/>
          <w:szCs w:val="28"/>
          <w:lang w:val="cs-CZ"/>
        </w:rPr>
        <w:br w:type="page"/>
      </w:r>
    </w:p>
    <w:p w14:paraId="2DFC4D10" w14:textId="486774FB" w:rsidR="00C71BAE" w:rsidRDefault="00C71BAE" w:rsidP="00C71BAE">
      <w:pPr>
        <w:rPr>
          <w:b/>
          <w:bCs/>
          <w:sz w:val="28"/>
          <w:szCs w:val="28"/>
          <w:lang w:val="cs-CZ"/>
        </w:rPr>
      </w:pPr>
      <w:r w:rsidRPr="00067C46">
        <w:rPr>
          <w:b/>
          <w:bCs/>
          <w:sz w:val="28"/>
          <w:szCs w:val="28"/>
          <w:lang w:val="cs-CZ"/>
        </w:rPr>
        <w:lastRenderedPageBreak/>
        <w:t>Seznam používaných zkratek</w:t>
      </w:r>
    </w:p>
    <w:p w14:paraId="4D3AECE6" w14:textId="72EA020B" w:rsidR="006F1062" w:rsidRPr="006F1062" w:rsidRDefault="006F1062" w:rsidP="006F1062">
      <w:pPr>
        <w:spacing w:after="0"/>
        <w:rPr>
          <w:lang w:val="cs-CZ"/>
        </w:rPr>
      </w:pPr>
      <w:r w:rsidRPr="006F1062">
        <w:rPr>
          <w:b/>
          <w:bCs/>
          <w:lang w:val="cs-CZ"/>
        </w:rPr>
        <w:t>AC</w:t>
      </w:r>
      <w:r w:rsidRPr="006F1062">
        <w:rPr>
          <w:lang w:val="cs-CZ"/>
        </w:rPr>
        <w:t xml:space="preserve"> –Kyanovodík</w:t>
      </w:r>
    </w:p>
    <w:p w14:paraId="689F22BF" w14:textId="77777777" w:rsidR="006F1062" w:rsidRPr="006F1062" w:rsidRDefault="006F1062" w:rsidP="006F1062">
      <w:pPr>
        <w:spacing w:after="0"/>
        <w:rPr>
          <w:lang w:val="cs-CZ"/>
        </w:rPr>
      </w:pPr>
      <w:r w:rsidRPr="006F1062">
        <w:rPr>
          <w:b/>
          <w:bCs/>
          <w:lang w:val="cs-CZ"/>
        </w:rPr>
        <w:t xml:space="preserve">AR </w:t>
      </w:r>
      <w:r w:rsidRPr="006F1062">
        <w:rPr>
          <w:lang w:val="cs-CZ"/>
        </w:rPr>
        <w:t>– Rozšířená realita (Augmented Reality)</w:t>
      </w:r>
    </w:p>
    <w:p w14:paraId="3C04E882" w14:textId="77777777" w:rsidR="006F1062" w:rsidRPr="006F1062" w:rsidRDefault="006F1062" w:rsidP="006F1062">
      <w:pPr>
        <w:spacing w:after="0"/>
        <w:rPr>
          <w:lang w:val="cs-CZ"/>
        </w:rPr>
      </w:pPr>
      <w:r w:rsidRPr="006F1062">
        <w:rPr>
          <w:b/>
          <w:bCs/>
          <w:lang w:val="cs-CZ"/>
        </w:rPr>
        <w:t>BCHL</w:t>
      </w:r>
      <w:r w:rsidRPr="006F1062">
        <w:rPr>
          <w:lang w:val="cs-CZ"/>
        </w:rPr>
        <w:t xml:space="preserve"> – Bojové chemické látky</w:t>
      </w:r>
    </w:p>
    <w:p w14:paraId="23588504" w14:textId="77777777" w:rsidR="006F1062" w:rsidRPr="006F1062" w:rsidRDefault="006F1062" w:rsidP="006F1062">
      <w:pPr>
        <w:spacing w:after="0"/>
        <w:rPr>
          <w:lang w:val="cs-CZ"/>
        </w:rPr>
      </w:pPr>
      <w:r w:rsidRPr="006F1062">
        <w:rPr>
          <w:b/>
          <w:bCs/>
          <w:lang w:val="cs-CZ"/>
        </w:rPr>
        <w:t>BZ</w:t>
      </w:r>
      <w:r w:rsidRPr="006F1062">
        <w:rPr>
          <w:lang w:val="cs-CZ"/>
        </w:rPr>
        <w:t xml:space="preserve"> – 3-quinuclidinyl benzilate (syntetická chemická zneschopňující látka)</w:t>
      </w:r>
    </w:p>
    <w:p w14:paraId="15F3B05D" w14:textId="77777777" w:rsidR="006F1062" w:rsidRPr="006F1062" w:rsidRDefault="006F1062" w:rsidP="006F1062">
      <w:pPr>
        <w:spacing w:after="0"/>
        <w:rPr>
          <w:lang w:val="cs-CZ"/>
        </w:rPr>
      </w:pPr>
      <w:r w:rsidRPr="006F1062">
        <w:rPr>
          <w:b/>
          <w:bCs/>
          <w:lang w:val="cs-CZ"/>
        </w:rPr>
        <w:t>CAS číslo</w:t>
      </w:r>
      <w:r w:rsidRPr="006F1062">
        <w:rPr>
          <w:lang w:val="cs-CZ"/>
        </w:rPr>
        <w:t xml:space="preserve"> – Chemical Abstracts Service číslo (jedinečný identifikátor chemických látek)</w:t>
      </w:r>
    </w:p>
    <w:p w14:paraId="40C1A552" w14:textId="77777777" w:rsidR="006F1062" w:rsidRPr="006F1062" w:rsidRDefault="006F1062" w:rsidP="006F1062">
      <w:pPr>
        <w:spacing w:after="0"/>
        <w:rPr>
          <w:lang w:val="cs-CZ"/>
        </w:rPr>
      </w:pPr>
      <w:r w:rsidRPr="006F1062">
        <w:rPr>
          <w:b/>
          <w:bCs/>
          <w:lang w:val="cs-CZ"/>
        </w:rPr>
        <w:t>CK</w:t>
      </w:r>
      <w:r w:rsidRPr="006F1062">
        <w:rPr>
          <w:lang w:val="cs-CZ"/>
        </w:rPr>
        <w:t xml:space="preserve"> – Chlorkyan</w:t>
      </w:r>
    </w:p>
    <w:p w14:paraId="5FF003D8" w14:textId="1B2BE605" w:rsidR="006F1062" w:rsidRPr="006F1062" w:rsidRDefault="006F1062" w:rsidP="006F1062">
      <w:pPr>
        <w:spacing w:after="0"/>
        <w:rPr>
          <w:lang w:val="cs-CZ"/>
        </w:rPr>
      </w:pPr>
      <w:r w:rsidRPr="006F1062">
        <w:rPr>
          <w:b/>
          <w:bCs/>
          <w:lang w:val="cs-CZ"/>
        </w:rPr>
        <w:t>CLP</w:t>
      </w:r>
      <w:r w:rsidRPr="006F1062">
        <w:rPr>
          <w:lang w:val="cs-CZ"/>
        </w:rPr>
        <w:t xml:space="preserve"> – Klasifikace, označování a balení látek a směsí </w:t>
      </w:r>
    </w:p>
    <w:p w14:paraId="15D05322" w14:textId="77777777" w:rsidR="006F1062" w:rsidRPr="006F1062" w:rsidRDefault="006F1062" w:rsidP="006F1062">
      <w:pPr>
        <w:spacing w:after="0"/>
        <w:rPr>
          <w:lang w:val="cs-CZ"/>
        </w:rPr>
      </w:pPr>
      <w:r w:rsidRPr="006F1062">
        <w:rPr>
          <w:b/>
          <w:bCs/>
          <w:lang w:val="cs-CZ"/>
        </w:rPr>
        <w:t xml:space="preserve">CG </w:t>
      </w:r>
      <w:r w:rsidRPr="006F1062">
        <w:rPr>
          <w:lang w:val="cs-CZ"/>
        </w:rPr>
        <w:t>– Označení pro chemickou látku fosgen (carbonyl chloride)</w:t>
      </w:r>
    </w:p>
    <w:p w14:paraId="7411F4C6" w14:textId="77777777" w:rsidR="006F1062" w:rsidRPr="006F1062" w:rsidRDefault="006F1062" w:rsidP="006F1062">
      <w:pPr>
        <w:spacing w:after="0"/>
        <w:rPr>
          <w:lang w:val="cs-CZ"/>
        </w:rPr>
      </w:pPr>
      <w:r w:rsidRPr="00EC10B7">
        <w:rPr>
          <w:b/>
          <w:bCs/>
          <w:lang w:val="cs-CZ"/>
        </w:rPr>
        <w:t>CN</w:t>
      </w:r>
      <w:r w:rsidRPr="006F1062">
        <w:rPr>
          <w:lang w:val="cs-CZ"/>
        </w:rPr>
        <w:t xml:space="preserve"> – Chloracetofenon</w:t>
      </w:r>
    </w:p>
    <w:p w14:paraId="6FE83D53" w14:textId="77777777" w:rsidR="006F1062" w:rsidRPr="006F1062" w:rsidRDefault="006F1062" w:rsidP="006F1062">
      <w:pPr>
        <w:spacing w:after="0"/>
        <w:rPr>
          <w:lang w:val="cs-CZ"/>
        </w:rPr>
      </w:pPr>
      <w:r w:rsidRPr="00EC10B7">
        <w:rPr>
          <w:b/>
          <w:bCs/>
          <w:lang w:val="cs-CZ"/>
        </w:rPr>
        <w:t>CR</w:t>
      </w:r>
      <w:r w:rsidRPr="006F1062">
        <w:rPr>
          <w:lang w:val="cs-CZ"/>
        </w:rPr>
        <w:t xml:space="preserve"> – Dibenz [b, f] [1,4] oxazepin</w:t>
      </w:r>
    </w:p>
    <w:p w14:paraId="3B857A7C" w14:textId="77777777" w:rsidR="006F1062" w:rsidRPr="006F1062" w:rsidRDefault="006F1062" w:rsidP="006F1062">
      <w:pPr>
        <w:spacing w:after="0"/>
        <w:rPr>
          <w:lang w:val="cs-CZ"/>
        </w:rPr>
      </w:pPr>
      <w:r w:rsidRPr="00EC10B7">
        <w:rPr>
          <w:b/>
          <w:bCs/>
          <w:lang w:val="cs-CZ"/>
        </w:rPr>
        <w:t>CS</w:t>
      </w:r>
      <w:r w:rsidRPr="006F1062">
        <w:rPr>
          <w:lang w:val="cs-CZ"/>
        </w:rPr>
        <w:t xml:space="preserve"> – Chlorbenzylidenmalonitril</w:t>
      </w:r>
    </w:p>
    <w:p w14:paraId="0AB8BF17" w14:textId="77777777" w:rsidR="006F1062" w:rsidRPr="006F1062" w:rsidRDefault="006F1062" w:rsidP="006F1062">
      <w:pPr>
        <w:spacing w:after="0"/>
        <w:rPr>
          <w:lang w:val="cs-CZ"/>
        </w:rPr>
      </w:pPr>
      <w:r w:rsidRPr="00EC10B7">
        <w:rPr>
          <w:b/>
          <w:bCs/>
          <w:lang w:val="cs-CZ"/>
        </w:rPr>
        <w:t xml:space="preserve">CSS </w:t>
      </w:r>
      <w:r w:rsidRPr="006F1062">
        <w:rPr>
          <w:lang w:val="cs-CZ"/>
        </w:rPr>
        <w:t>– Cascading Style Sheets (kaskádové styly pro design webu)</w:t>
      </w:r>
    </w:p>
    <w:p w14:paraId="518EFB5E" w14:textId="754E1A7D" w:rsidR="00EC10B7" w:rsidRPr="006F1062" w:rsidRDefault="006F1062" w:rsidP="00EC10B7">
      <w:pPr>
        <w:spacing w:after="0"/>
        <w:rPr>
          <w:lang w:val="cs-CZ"/>
        </w:rPr>
      </w:pPr>
      <w:r w:rsidRPr="00EC10B7">
        <w:rPr>
          <w:b/>
          <w:bCs/>
          <w:lang w:val="cs-CZ"/>
        </w:rPr>
        <w:t>CWC</w:t>
      </w:r>
      <w:r w:rsidRPr="006F1062">
        <w:rPr>
          <w:lang w:val="cs-CZ"/>
        </w:rPr>
        <w:t xml:space="preserve"> – Úmluva o chemických zbraních (Chemical Weapons Convention)</w:t>
      </w:r>
    </w:p>
    <w:p w14:paraId="290EA8BB" w14:textId="77777777" w:rsidR="006F1062" w:rsidRPr="006F1062" w:rsidRDefault="006F1062" w:rsidP="006F1062">
      <w:pPr>
        <w:spacing w:after="0"/>
        <w:rPr>
          <w:lang w:val="cs-CZ"/>
        </w:rPr>
      </w:pPr>
      <w:r w:rsidRPr="00EC10B7">
        <w:rPr>
          <w:b/>
          <w:bCs/>
          <w:lang w:val="cs-CZ"/>
        </w:rPr>
        <w:t>ČR</w:t>
      </w:r>
      <w:r w:rsidRPr="006F1062">
        <w:rPr>
          <w:lang w:val="cs-CZ"/>
        </w:rPr>
        <w:t xml:space="preserve"> – Česká republika</w:t>
      </w:r>
    </w:p>
    <w:p w14:paraId="326BD33E" w14:textId="77777777" w:rsidR="006F1062" w:rsidRPr="006F1062" w:rsidRDefault="006F1062" w:rsidP="006F1062">
      <w:pPr>
        <w:spacing w:after="0"/>
        <w:rPr>
          <w:lang w:val="cs-CZ"/>
        </w:rPr>
      </w:pPr>
      <w:r w:rsidRPr="00EC10B7">
        <w:rPr>
          <w:b/>
          <w:bCs/>
          <w:lang w:val="cs-CZ"/>
        </w:rPr>
        <w:t>DM</w:t>
      </w:r>
      <w:r w:rsidRPr="006F1062">
        <w:rPr>
          <w:lang w:val="cs-CZ"/>
        </w:rPr>
        <w:t xml:space="preserve"> – Adamsit</w:t>
      </w:r>
    </w:p>
    <w:p w14:paraId="6D93CC09" w14:textId="77777777" w:rsidR="006F1062" w:rsidRPr="006F1062" w:rsidRDefault="006F1062" w:rsidP="006F1062">
      <w:pPr>
        <w:spacing w:after="0"/>
        <w:rPr>
          <w:lang w:val="cs-CZ"/>
        </w:rPr>
      </w:pPr>
      <w:r w:rsidRPr="00EC10B7">
        <w:rPr>
          <w:b/>
          <w:bCs/>
          <w:lang w:val="cs-CZ"/>
        </w:rPr>
        <w:t xml:space="preserve">ECHA </w:t>
      </w:r>
      <w:r w:rsidRPr="006F1062">
        <w:rPr>
          <w:lang w:val="cs-CZ"/>
        </w:rPr>
        <w:t>– Evropská agentura pro chemické látky (European Chemicals Agency)</w:t>
      </w:r>
    </w:p>
    <w:p w14:paraId="5A075F4B" w14:textId="77777777" w:rsidR="006F1062" w:rsidRPr="006F1062" w:rsidRDefault="006F1062" w:rsidP="006F1062">
      <w:pPr>
        <w:spacing w:after="0"/>
        <w:rPr>
          <w:lang w:val="cs-CZ"/>
        </w:rPr>
      </w:pPr>
      <w:r w:rsidRPr="00EC10B7">
        <w:rPr>
          <w:b/>
          <w:bCs/>
          <w:lang w:val="cs-CZ"/>
        </w:rPr>
        <w:t>EU</w:t>
      </w:r>
      <w:r w:rsidRPr="006F1062">
        <w:rPr>
          <w:lang w:val="cs-CZ"/>
        </w:rPr>
        <w:t xml:space="preserve"> – Evropská unie</w:t>
      </w:r>
    </w:p>
    <w:p w14:paraId="67DF9AFB" w14:textId="77777777" w:rsidR="006F1062" w:rsidRPr="006F1062" w:rsidRDefault="006F1062" w:rsidP="006F1062">
      <w:pPr>
        <w:spacing w:after="0"/>
        <w:rPr>
          <w:lang w:val="cs-CZ"/>
        </w:rPr>
      </w:pPr>
      <w:r w:rsidRPr="00EC10B7">
        <w:rPr>
          <w:b/>
          <w:bCs/>
          <w:lang w:val="cs-CZ"/>
        </w:rPr>
        <w:t xml:space="preserve">GA </w:t>
      </w:r>
      <w:r w:rsidRPr="006F1062">
        <w:rPr>
          <w:lang w:val="cs-CZ"/>
        </w:rPr>
        <w:t>– Tabun</w:t>
      </w:r>
    </w:p>
    <w:p w14:paraId="08498E1E" w14:textId="77777777" w:rsidR="006F1062" w:rsidRPr="006F1062" w:rsidRDefault="006F1062" w:rsidP="006F1062">
      <w:pPr>
        <w:spacing w:after="0"/>
        <w:rPr>
          <w:lang w:val="cs-CZ"/>
        </w:rPr>
      </w:pPr>
      <w:r w:rsidRPr="00EC10B7">
        <w:rPr>
          <w:b/>
          <w:bCs/>
          <w:lang w:val="cs-CZ"/>
        </w:rPr>
        <w:t>GB</w:t>
      </w:r>
      <w:r w:rsidRPr="006F1062">
        <w:rPr>
          <w:lang w:val="cs-CZ"/>
        </w:rPr>
        <w:t xml:space="preserve"> – Sarin</w:t>
      </w:r>
    </w:p>
    <w:p w14:paraId="08DDBCD7" w14:textId="77777777" w:rsidR="006F1062" w:rsidRPr="006F1062" w:rsidRDefault="006F1062" w:rsidP="006F1062">
      <w:pPr>
        <w:spacing w:after="0"/>
        <w:rPr>
          <w:lang w:val="cs-CZ"/>
        </w:rPr>
      </w:pPr>
      <w:r w:rsidRPr="00EC10B7">
        <w:rPr>
          <w:b/>
          <w:bCs/>
          <w:lang w:val="cs-CZ"/>
        </w:rPr>
        <w:t>GD</w:t>
      </w:r>
      <w:r w:rsidRPr="006F1062">
        <w:rPr>
          <w:lang w:val="cs-CZ"/>
        </w:rPr>
        <w:t xml:space="preserve"> – Soman</w:t>
      </w:r>
    </w:p>
    <w:p w14:paraId="3DA23077" w14:textId="77777777" w:rsidR="006F1062" w:rsidRPr="006F1062" w:rsidRDefault="006F1062" w:rsidP="006F1062">
      <w:pPr>
        <w:spacing w:after="0"/>
        <w:rPr>
          <w:lang w:val="cs-CZ"/>
        </w:rPr>
      </w:pPr>
      <w:r w:rsidRPr="00EC10B7">
        <w:rPr>
          <w:b/>
          <w:bCs/>
          <w:lang w:val="cs-CZ"/>
        </w:rPr>
        <w:t>HTML</w:t>
      </w:r>
      <w:r w:rsidRPr="006F1062">
        <w:rPr>
          <w:lang w:val="cs-CZ"/>
        </w:rPr>
        <w:t xml:space="preserve"> – HyperText Markup Language (jazyk pro tvorbu webových stránek)</w:t>
      </w:r>
    </w:p>
    <w:p w14:paraId="122A0D17" w14:textId="0B86AB54" w:rsidR="006F1062" w:rsidRPr="006F1062" w:rsidRDefault="006F1062" w:rsidP="006F1062">
      <w:pPr>
        <w:spacing w:after="0"/>
        <w:rPr>
          <w:lang w:val="cs-CZ"/>
        </w:rPr>
      </w:pPr>
      <w:r w:rsidRPr="00EC10B7">
        <w:rPr>
          <w:b/>
          <w:bCs/>
          <w:lang w:val="cs-CZ"/>
        </w:rPr>
        <w:t>ICt₅₀</w:t>
      </w:r>
      <w:r w:rsidRPr="006F1062">
        <w:rPr>
          <w:lang w:val="cs-CZ"/>
        </w:rPr>
        <w:t xml:space="preserve"> – Dráždivá koncentrace, zasaženo 50 % exponovaných jedinců (mg·min·m⁻³)</w:t>
      </w:r>
    </w:p>
    <w:p w14:paraId="7244E63F" w14:textId="505B2957" w:rsidR="006F1062" w:rsidRPr="006F1062" w:rsidRDefault="006F1062" w:rsidP="006F1062">
      <w:pPr>
        <w:spacing w:after="0"/>
        <w:rPr>
          <w:lang w:val="cs-CZ"/>
        </w:rPr>
      </w:pPr>
      <w:r w:rsidRPr="00EC10B7">
        <w:rPr>
          <w:b/>
          <w:bCs/>
          <w:lang w:val="cs-CZ"/>
        </w:rPr>
        <w:t>IDS/IPS</w:t>
      </w:r>
      <w:r w:rsidRPr="006F1062">
        <w:rPr>
          <w:lang w:val="cs-CZ"/>
        </w:rPr>
        <w:t xml:space="preserve"> – Systémy detekce a prevence </w:t>
      </w:r>
    </w:p>
    <w:p w14:paraId="5841F63F" w14:textId="77777777" w:rsidR="006F1062" w:rsidRPr="006F1062" w:rsidRDefault="006F1062" w:rsidP="006F1062">
      <w:pPr>
        <w:spacing w:after="0"/>
        <w:rPr>
          <w:lang w:val="cs-CZ"/>
        </w:rPr>
      </w:pPr>
      <w:r w:rsidRPr="00EC10B7">
        <w:rPr>
          <w:b/>
          <w:bCs/>
          <w:lang w:val="cs-CZ"/>
        </w:rPr>
        <w:t>LSD-25</w:t>
      </w:r>
      <w:r w:rsidRPr="006F1062">
        <w:rPr>
          <w:lang w:val="cs-CZ"/>
        </w:rPr>
        <w:t xml:space="preserve"> – Psychotropní látka patřící do skupiny halucinogenů</w:t>
      </w:r>
    </w:p>
    <w:p w14:paraId="7590B65C" w14:textId="77777777" w:rsidR="006F1062" w:rsidRPr="006F1062" w:rsidRDefault="006F1062" w:rsidP="006F1062">
      <w:pPr>
        <w:spacing w:after="0"/>
        <w:rPr>
          <w:lang w:val="cs-CZ"/>
        </w:rPr>
      </w:pPr>
      <w:r w:rsidRPr="00EC10B7">
        <w:rPr>
          <w:b/>
          <w:bCs/>
          <w:lang w:val="cs-CZ"/>
        </w:rPr>
        <w:t>LCt₅₀</w:t>
      </w:r>
      <w:r w:rsidRPr="006F1062">
        <w:rPr>
          <w:lang w:val="cs-CZ"/>
        </w:rPr>
        <w:t xml:space="preserve"> – Letální koncentrace, při které umírá 50 % exponovaných jedinců (mg·min·m⁻³)</w:t>
      </w:r>
    </w:p>
    <w:p w14:paraId="4BB0E1B4" w14:textId="77777777" w:rsidR="006F1062" w:rsidRPr="006F1062" w:rsidRDefault="006F1062" w:rsidP="006F1062">
      <w:pPr>
        <w:spacing w:after="0"/>
        <w:rPr>
          <w:lang w:val="cs-CZ"/>
        </w:rPr>
      </w:pPr>
      <w:r w:rsidRPr="00EC10B7">
        <w:rPr>
          <w:b/>
          <w:bCs/>
          <w:lang w:val="cs-CZ"/>
        </w:rPr>
        <w:t>LD₅₀</w:t>
      </w:r>
      <w:r w:rsidRPr="006F1062">
        <w:rPr>
          <w:lang w:val="cs-CZ"/>
        </w:rPr>
        <w:t xml:space="preserve"> – Letální dávka, při které umírá 50 % testovaných jedinců (mg·kg⁻¹)</w:t>
      </w:r>
    </w:p>
    <w:p w14:paraId="5BCFA103" w14:textId="77777777" w:rsidR="006F1062" w:rsidRPr="006F1062" w:rsidRDefault="006F1062" w:rsidP="006F1062">
      <w:pPr>
        <w:spacing w:after="0"/>
        <w:rPr>
          <w:lang w:val="cs-CZ"/>
        </w:rPr>
      </w:pPr>
      <w:r w:rsidRPr="00EC10B7">
        <w:rPr>
          <w:b/>
          <w:bCs/>
          <w:lang w:val="cs-CZ"/>
        </w:rPr>
        <w:t xml:space="preserve">MySQL </w:t>
      </w:r>
      <w:r w:rsidRPr="006F1062">
        <w:rPr>
          <w:lang w:val="cs-CZ"/>
        </w:rPr>
        <w:t>– Relační databázový systém založený na SQL</w:t>
      </w:r>
    </w:p>
    <w:p w14:paraId="4760DC23" w14:textId="77777777" w:rsidR="006F1062" w:rsidRPr="006F1062" w:rsidRDefault="006F1062" w:rsidP="006F1062">
      <w:pPr>
        <w:spacing w:after="0"/>
        <w:rPr>
          <w:lang w:val="cs-CZ"/>
        </w:rPr>
      </w:pPr>
      <w:r w:rsidRPr="00EC10B7">
        <w:rPr>
          <w:b/>
          <w:bCs/>
          <w:lang w:val="cs-CZ"/>
        </w:rPr>
        <w:t>NIH</w:t>
      </w:r>
      <w:r w:rsidRPr="006F1062">
        <w:rPr>
          <w:lang w:val="cs-CZ"/>
        </w:rPr>
        <w:t xml:space="preserve"> – Národní institut zdraví USA (National Institutes of Health)</w:t>
      </w:r>
    </w:p>
    <w:p w14:paraId="69EA01B4" w14:textId="77777777" w:rsidR="006F1062" w:rsidRPr="006F1062" w:rsidRDefault="006F1062" w:rsidP="006F1062">
      <w:pPr>
        <w:spacing w:after="0"/>
        <w:rPr>
          <w:lang w:val="cs-CZ"/>
        </w:rPr>
      </w:pPr>
      <w:r w:rsidRPr="00EC10B7">
        <w:rPr>
          <w:b/>
          <w:bCs/>
          <w:lang w:val="cs-CZ"/>
        </w:rPr>
        <w:t>NPL</w:t>
      </w:r>
      <w:r w:rsidRPr="006F1062">
        <w:rPr>
          <w:lang w:val="cs-CZ"/>
        </w:rPr>
        <w:t xml:space="preserve"> – Nervově paralytické látky</w:t>
      </w:r>
    </w:p>
    <w:p w14:paraId="5150522C" w14:textId="70C0812E" w:rsidR="006F1062" w:rsidRPr="006F1062" w:rsidRDefault="006F1062" w:rsidP="006F1062">
      <w:pPr>
        <w:spacing w:after="0"/>
        <w:rPr>
          <w:lang w:val="cs-CZ"/>
        </w:rPr>
      </w:pPr>
      <w:r w:rsidRPr="00EC10B7">
        <w:rPr>
          <w:b/>
          <w:bCs/>
          <w:lang w:val="cs-CZ"/>
        </w:rPr>
        <w:t>OPCW</w:t>
      </w:r>
      <w:r w:rsidRPr="006F1062">
        <w:rPr>
          <w:lang w:val="cs-CZ"/>
        </w:rPr>
        <w:t xml:space="preserve"> – Organizace pro zákaz chemických zbraní </w:t>
      </w:r>
    </w:p>
    <w:p w14:paraId="116D3E86" w14:textId="2428C1EA" w:rsidR="006F1062" w:rsidRPr="006F1062" w:rsidRDefault="006F1062" w:rsidP="006F1062">
      <w:pPr>
        <w:spacing w:after="0"/>
        <w:rPr>
          <w:lang w:val="cs-CZ"/>
        </w:rPr>
      </w:pPr>
      <w:r w:rsidRPr="00EC10B7">
        <w:rPr>
          <w:b/>
          <w:bCs/>
          <w:lang w:val="cs-CZ"/>
        </w:rPr>
        <w:t>REACH</w:t>
      </w:r>
      <w:r w:rsidRPr="006F1062">
        <w:rPr>
          <w:lang w:val="cs-CZ"/>
        </w:rPr>
        <w:t xml:space="preserve"> – Nařízení EU o registraci, hodnocení, povolování a omezování chemických látek </w:t>
      </w:r>
    </w:p>
    <w:p w14:paraId="27045AAC" w14:textId="77777777" w:rsidR="006F1062" w:rsidRDefault="006F1062" w:rsidP="006F1062">
      <w:pPr>
        <w:spacing w:after="0"/>
        <w:rPr>
          <w:lang w:val="cs-CZ"/>
        </w:rPr>
      </w:pPr>
      <w:r w:rsidRPr="00EC10B7">
        <w:rPr>
          <w:b/>
          <w:bCs/>
          <w:lang w:val="cs-CZ"/>
        </w:rPr>
        <w:t>RVP</w:t>
      </w:r>
      <w:r w:rsidRPr="006F1062">
        <w:rPr>
          <w:lang w:val="cs-CZ"/>
        </w:rPr>
        <w:t xml:space="preserve"> – Rámcový vzdělávací program</w:t>
      </w:r>
    </w:p>
    <w:p w14:paraId="0CF4F041" w14:textId="7E069949" w:rsidR="00AC6AC7" w:rsidRPr="00AC6AC7" w:rsidRDefault="00AC6AC7" w:rsidP="006F1062">
      <w:pPr>
        <w:spacing w:after="0"/>
        <w:rPr>
          <w:b/>
          <w:bCs/>
          <w:lang w:val="cs-CZ"/>
        </w:rPr>
      </w:pPr>
      <w:r w:rsidRPr="00AC6AC7">
        <w:rPr>
          <w:b/>
          <w:bCs/>
        </w:rPr>
        <w:t>SAICM</w:t>
      </w:r>
      <w:r>
        <w:rPr>
          <w:b/>
          <w:bCs/>
        </w:rPr>
        <w:t xml:space="preserve"> </w:t>
      </w:r>
      <w:r w:rsidRPr="006F1062">
        <w:rPr>
          <w:lang w:val="cs-CZ"/>
        </w:rPr>
        <w:t xml:space="preserve"> –</w:t>
      </w:r>
      <w:r>
        <w:rPr>
          <w:lang w:val="cs-CZ"/>
        </w:rPr>
        <w:t xml:space="preserve"> </w:t>
      </w:r>
      <w:r w:rsidRPr="00AC6AC7">
        <w:t>Strategický přístup k mezinárodnímu řízení chemických látek</w:t>
      </w:r>
    </w:p>
    <w:p w14:paraId="6D17309A" w14:textId="77777777" w:rsidR="006F1062" w:rsidRPr="006F1062" w:rsidRDefault="006F1062" w:rsidP="006F1062">
      <w:pPr>
        <w:spacing w:after="0"/>
        <w:rPr>
          <w:lang w:val="cs-CZ"/>
        </w:rPr>
      </w:pPr>
      <w:r w:rsidRPr="00EC10B7">
        <w:rPr>
          <w:b/>
          <w:bCs/>
          <w:lang w:val="cs-CZ"/>
        </w:rPr>
        <w:lastRenderedPageBreak/>
        <w:t>SQL</w:t>
      </w:r>
      <w:r w:rsidRPr="006F1062">
        <w:rPr>
          <w:lang w:val="cs-CZ"/>
        </w:rPr>
        <w:t xml:space="preserve"> – Structured Query Language (Strukturovaný dotazovací jazyk)</w:t>
      </w:r>
    </w:p>
    <w:p w14:paraId="2DB08606" w14:textId="1C9C3F10" w:rsidR="006F1062" w:rsidRDefault="006F1062" w:rsidP="006F1062">
      <w:pPr>
        <w:spacing w:after="0"/>
        <w:rPr>
          <w:lang w:val="cs-CZ"/>
        </w:rPr>
      </w:pPr>
      <w:r w:rsidRPr="00EC10B7">
        <w:rPr>
          <w:b/>
          <w:bCs/>
          <w:lang w:val="cs-CZ"/>
        </w:rPr>
        <w:t>SSL/TLS</w:t>
      </w:r>
      <w:r w:rsidRPr="006F1062">
        <w:rPr>
          <w:lang w:val="cs-CZ"/>
        </w:rPr>
        <w:t xml:space="preserve"> – protokol pro zabezpečený přenos dat</w:t>
      </w:r>
    </w:p>
    <w:p w14:paraId="3D818E16" w14:textId="7176C0C9" w:rsidR="00AC6AC7" w:rsidRPr="006F1062" w:rsidRDefault="00AC6AC7" w:rsidP="006F1062">
      <w:pPr>
        <w:spacing w:after="0"/>
        <w:rPr>
          <w:lang w:val="cs-CZ"/>
        </w:rPr>
      </w:pPr>
      <w:r w:rsidRPr="00EC10B7">
        <w:rPr>
          <w:b/>
          <w:bCs/>
          <w:lang w:val="cs-CZ"/>
        </w:rPr>
        <w:t>STANAG 2463</w:t>
      </w:r>
      <w:r w:rsidRPr="006F1062">
        <w:rPr>
          <w:lang w:val="cs-CZ"/>
        </w:rPr>
        <w:t xml:space="preserve"> – Standardizační dohoda NATO týkající se ochrany proti chemickým látkám</w:t>
      </w:r>
    </w:p>
    <w:p w14:paraId="6812543E" w14:textId="77777777" w:rsidR="006F1062" w:rsidRPr="006F1062" w:rsidRDefault="006F1062" w:rsidP="006F1062">
      <w:pPr>
        <w:spacing w:after="0"/>
        <w:rPr>
          <w:lang w:val="cs-CZ"/>
        </w:rPr>
      </w:pPr>
      <w:r w:rsidRPr="00EC10B7">
        <w:rPr>
          <w:b/>
          <w:bCs/>
          <w:lang w:val="cs-CZ"/>
        </w:rPr>
        <w:t>ŠVP</w:t>
      </w:r>
      <w:r w:rsidRPr="006F1062">
        <w:rPr>
          <w:lang w:val="cs-CZ"/>
        </w:rPr>
        <w:t xml:space="preserve"> – Školní vzdělávací program</w:t>
      </w:r>
    </w:p>
    <w:p w14:paraId="2236B3FA" w14:textId="77777777" w:rsidR="006F1062" w:rsidRPr="006F1062" w:rsidRDefault="006F1062" w:rsidP="006F1062">
      <w:pPr>
        <w:spacing w:after="0"/>
        <w:rPr>
          <w:lang w:val="cs-CZ"/>
        </w:rPr>
      </w:pPr>
      <w:r w:rsidRPr="00EC10B7">
        <w:rPr>
          <w:b/>
          <w:bCs/>
          <w:lang w:val="cs-CZ"/>
        </w:rPr>
        <w:t>ÚZIS ČR</w:t>
      </w:r>
      <w:r w:rsidRPr="006F1062">
        <w:rPr>
          <w:lang w:val="cs-CZ"/>
        </w:rPr>
        <w:t xml:space="preserve"> – Ústav zdravotnických informací a statistiky České republiky</w:t>
      </w:r>
    </w:p>
    <w:p w14:paraId="27A3556A" w14:textId="77777777" w:rsidR="006F1062" w:rsidRPr="006F1062" w:rsidRDefault="006F1062" w:rsidP="006F1062">
      <w:pPr>
        <w:spacing w:after="0"/>
        <w:rPr>
          <w:lang w:val="cs-CZ"/>
        </w:rPr>
      </w:pPr>
      <w:r w:rsidRPr="00EC10B7">
        <w:rPr>
          <w:b/>
          <w:bCs/>
          <w:lang w:val="cs-CZ"/>
        </w:rPr>
        <w:t>VX</w:t>
      </w:r>
      <w:r w:rsidRPr="006F1062">
        <w:rPr>
          <w:lang w:val="cs-CZ"/>
        </w:rPr>
        <w:t xml:space="preserve"> – Nervově paralytická látka s vysokou perzistencí</w:t>
      </w:r>
    </w:p>
    <w:p w14:paraId="401083F2" w14:textId="77777777" w:rsidR="006F1062" w:rsidRPr="006F1062" w:rsidRDefault="006F1062" w:rsidP="006F1062">
      <w:pPr>
        <w:spacing w:after="0"/>
        <w:rPr>
          <w:lang w:val="cs-CZ"/>
        </w:rPr>
      </w:pPr>
      <w:r w:rsidRPr="00EC10B7">
        <w:rPr>
          <w:b/>
          <w:bCs/>
          <w:lang w:val="cs-CZ"/>
        </w:rPr>
        <w:t>VR</w:t>
      </w:r>
      <w:r w:rsidRPr="006F1062">
        <w:rPr>
          <w:lang w:val="cs-CZ"/>
        </w:rPr>
        <w:t xml:space="preserve"> – Virtuální realita (Virtual Reality)</w:t>
      </w:r>
    </w:p>
    <w:p w14:paraId="3AD7AA72" w14:textId="3EE565E1" w:rsidR="003E3D65" w:rsidRPr="008F1937" w:rsidRDefault="003E3D65" w:rsidP="008F1937">
      <w:pPr>
        <w:pStyle w:val="Nadpis1"/>
      </w:pPr>
      <w:bookmarkStart w:id="1" w:name="_Toc78977735"/>
      <w:bookmarkStart w:id="2" w:name="_Toc183029518"/>
      <w:r w:rsidRPr="008F1937">
        <w:lastRenderedPageBreak/>
        <w:t>Úvod</w:t>
      </w:r>
      <w:bookmarkEnd w:id="1"/>
      <w:bookmarkEnd w:id="2"/>
    </w:p>
    <w:p w14:paraId="1D8BB858" w14:textId="5567312B" w:rsidR="0018175D" w:rsidRPr="0018175D" w:rsidRDefault="0018175D" w:rsidP="0018175D">
      <w:pPr>
        <w:rPr>
          <w:lang w:val="cs-CZ"/>
        </w:rPr>
      </w:pPr>
      <w:r w:rsidRPr="0018175D">
        <w:rPr>
          <w:lang w:val="cs-CZ"/>
        </w:rPr>
        <w:t xml:space="preserve">Bojové chemické látky (BCHL) patří mezi nejnebezpečnější součásti válečného arzenálu, které lidstvo využívalo po staletí. Od raných pokusů starověkých armád o manipulaci s toxickými látkami až po rozsáhlé použití chemických zbraní v moderních konfliktech, jako byly obě světové války. Tato problematika zůstává aktuální hrozbou pro bezpečnost na globální úrovni. </w:t>
      </w:r>
      <w:r w:rsidR="00BD6321">
        <w:rPr>
          <w:lang w:val="cs-CZ"/>
        </w:rPr>
        <w:t xml:space="preserve">Tyto </w:t>
      </w:r>
      <w:r w:rsidR="00BD6321" w:rsidRPr="0018175D">
        <w:rPr>
          <w:lang w:val="cs-CZ"/>
        </w:rPr>
        <w:t>chemické</w:t>
      </w:r>
      <w:r w:rsidRPr="0018175D">
        <w:rPr>
          <w:lang w:val="cs-CZ"/>
        </w:rPr>
        <w:t xml:space="preserve"> látky zahrnují široké spektrum toxických sloučenin, jejichž účinky na lidský organismus a životní prostředí mohou být devastující, ať už se jedná o rychlý nástup paralýzy a smrt, jako v případě nervově paralytických látek, nebo dlouhodobé zdravotní problémy vyvolané zasažením puchýřnatými látkami. Moderní BCHL mají schopnost rychlého šíření, vysokou toxicitu a trvalé účinky na ekosystémy, což z nich činí nejen efektivní, ale i vysoce nebezpečné zbraně.</w:t>
      </w:r>
    </w:p>
    <w:p w14:paraId="142BC50A" w14:textId="77777777" w:rsidR="0018175D" w:rsidRPr="0018175D" w:rsidRDefault="0018175D" w:rsidP="0018175D">
      <w:pPr>
        <w:rPr>
          <w:lang w:val="cs-CZ"/>
        </w:rPr>
      </w:pPr>
      <w:r w:rsidRPr="0018175D">
        <w:rPr>
          <w:lang w:val="cs-CZ"/>
        </w:rPr>
        <w:t>Tyto bojové látky disponují specifickými charakteristikami, které významně přispívají k jejich nebezpečnosti. Mnohé z nich se vyznačují vysokou stabilitou a odolností vůči běžným dekontaminačním postupům, čímž prodlužují dobu své účinnosti v prostředí. Jiné se naopak rychle šíří vzduchem či vodou, což zvyšuje pravděpodobnost rozsáhlé expozice. Tyto vlastnosti kladou zvýšené nároky na výzkum v oblasti ochrany a prevence na vývoj účinných, dekontaminačních metod a na strategické plánování bezpečnostních složek a zdravotnických institucí.</w:t>
      </w:r>
    </w:p>
    <w:p w14:paraId="6E32C588" w14:textId="77777777" w:rsidR="0018175D" w:rsidRPr="0018175D" w:rsidRDefault="0018175D" w:rsidP="0018175D">
      <w:pPr>
        <w:rPr>
          <w:lang w:val="cs-CZ"/>
        </w:rPr>
      </w:pPr>
      <w:r w:rsidRPr="0018175D">
        <w:rPr>
          <w:lang w:val="cs-CZ"/>
        </w:rPr>
        <w:t>Se současným vývojem technologií a nárůstem dostupnosti některých chemických látek a syntetických metod pro jejich výrobu roste i riziko neúmyslného nebo cíleného zneužití chemických zbraní. BCHL se již dávno staly nejen otázkou vojenskou, ale i civilní, kde hrozí potenciální zneužití teroristickými skupinami, čímž se bezpečnostní problematika BCHL stává součástí globálního boje proti chemickému terorismu. V reakci na tyto hrozby vznikají mezinárodní legislativní opatření, včetně Úmluvy o chemických zbraních (Chemical Weapons Convention, CWC) z roku 1993, která usiluje o eliminaci chemických zbraní z vojenského arzenálu a posílení globální bezpečnosti. Přestože tato legislativa pomáhá kontrolovat výrobu, skladování a distribuci chemických látek, zůstává důležitá otázka informovanosti veřejnosti a odborné obce o rizicích, spojených s bojovými chemickými látkami, a o možnostech ochrany před nimi.</w:t>
      </w:r>
    </w:p>
    <w:p w14:paraId="2CD0D563" w14:textId="77777777" w:rsidR="0018175D" w:rsidRPr="0018175D" w:rsidRDefault="0018175D" w:rsidP="0018175D">
      <w:pPr>
        <w:rPr>
          <w:lang w:val="cs-CZ"/>
        </w:rPr>
      </w:pPr>
      <w:r w:rsidRPr="0018175D">
        <w:rPr>
          <w:lang w:val="cs-CZ"/>
        </w:rPr>
        <w:t>Cílem této diplomové práce je vytvoření ucelené a přehledné databáze bojových chemických látek, která by sloužila jako informační nástroj pro odbornou veřejnost, bezpečnostní složky, zdravotníky i širší veřejnost. Tato databáze má za úkol shromáždit a systematicky uspořádat informace o chemických, fyzikálních a toxikologických vlastnostech jednotlivých BCHL, jejich mechanismu účinku, možnostech detekce, metodách ochrany a dekontaminace a o legislativních opatřeních, která upravují jejich použití a distribuci. Práce je navržena s ohledem na dvě hlavní části: teoretickou a praktickou.</w:t>
      </w:r>
    </w:p>
    <w:p w14:paraId="62970EDB" w14:textId="77777777" w:rsidR="0018175D" w:rsidRPr="0018175D" w:rsidRDefault="0018175D" w:rsidP="0018175D">
      <w:pPr>
        <w:rPr>
          <w:lang w:val="cs-CZ"/>
        </w:rPr>
      </w:pPr>
      <w:r w:rsidRPr="0018175D">
        <w:rPr>
          <w:lang w:val="cs-CZ"/>
        </w:rPr>
        <w:lastRenderedPageBreak/>
        <w:t>V teoretické části se zaměřuji na klasifikaci BCHL, což zahrnuje přehled hlavních typů BCHL a jejich kategorizaci na základě chemického složení, mechanismu účinku a historie použití ve vojenském kontextu. Analýza těchto faktorů napomáhá k hlubšímu pochopení jednotlivých skupin bojových látek a umožňuje lépe popsat jejich specifické vlastnosti a účinky na lidský organismus i životní prostředí. Tento systematický přehled je nezbytným předpokladem pro účinnou ochranu a prevenci a zároveň pro výzkum a vývoj nových metod dekontaminace a léčby při expozici těmto látkám.</w:t>
      </w:r>
    </w:p>
    <w:p w14:paraId="5821C3DE" w14:textId="77777777" w:rsidR="0018175D" w:rsidRPr="0018175D" w:rsidRDefault="0018175D" w:rsidP="0018175D">
      <w:pPr>
        <w:rPr>
          <w:lang w:val="cs-CZ"/>
        </w:rPr>
      </w:pPr>
      <w:r w:rsidRPr="0018175D">
        <w:rPr>
          <w:lang w:val="cs-CZ"/>
        </w:rPr>
        <w:t>Praktická část práce se zaměřuje na implementaci databáze do webového prostředí. S využitím moderních technologií bude navrženo uživatelsky přívětivé rozhraní, které umožní široké veřejnosti i odborníkům snadno a rychle přistupovat k informacím o bojových chemických látkách. Databáze bude obsahovat funkce, které umožní vyhledávání a filtrování BCHL podle různých kritérií, jako je typ látky, účinek, chemická struktura nebo legislativní status. Přístupnost a uživatelská jednoduchost jsou prioritami, které umožní efektivní vzdělávání a povědomí o rizicích spojených s bojovými chemickými látkami, což může pomoci při prevenci a ochraně veřejnosti.</w:t>
      </w:r>
    </w:p>
    <w:p w14:paraId="7EB2B898" w14:textId="12C5278B" w:rsidR="00123CAC" w:rsidRPr="00887F71" w:rsidRDefault="0018175D" w:rsidP="0018175D">
      <w:pPr>
        <w:rPr>
          <w:lang w:val="cs-CZ"/>
        </w:rPr>
      </w:pPr>
      <w:r w:rsidRPr="0018175D">
        <w:rPr>
          <w:lang w:val="cs-CZ"/>
        </w:rPr>
        <w:t xml:space="preserve">Celkovým cílem této diplomové práce je přispět k informovanosti o bojových chemických látkách, jejich vlastnostech a potenciálních rizicích, a tím posílit preventivní opatření v oblasti bezpečnosti a ochrany zdraví. Vytvořená databáze by mohla sloužit nejen jako informační zdroj, ale také jako nástroj pro vzdělávání a vědecký výzkum, který podporuje spolupráci mezi různými institucemi. Z dlouhodobého hlediska by tato databáze mohla představovat významný přínos pro obranu proti chemickým hrozbám a podporu globální snahy o kontrolu a regulaci bojových chemických látek. </w:t>
      </w:r>
    </w:p>
    <w:p w14:paraId="29608F9D" w14:textId="77777777" w:rsidR="00123CAC" w:rsidRDefault="00123CAC" w:rsidP="009E3F7F">
      <w:pPr>
        <w:pStyle w:val="Nadpis1"/>
      </w:pPr>
      <w:bookmarkStart w:id="3" w:name="_Toc78977736"/>
      <w:bookmarkStart w:id="4" w:name="_Toc183029519"/>
      <w:r>
        <w:lastRenderedPageBreak/>
        <w:t>Přehled poznatků</w:t>
      </w:r>
      <w:bookmarkEnd w:id="3"/>
      <w:bookmarkEnd w:id="4"/>
    </w:p>
    <w:p w14:paraId="3FA3BBEF" w14:textId="77777777" w:rsidR="002D26D9" w:rsidRPr="002D26D9" w:rsidRDefault="002D26D9" w:rsidP="002D26D9"/>
    <w:p w14:paraId="51EF2DBD" w14:textId="1DAC965C" w:rsidR="00D228B3" w:rsidRPr="00887F71" w:rsidRDefault="0018175D" w:rsidP="00A8455D">
      <w:pPr>
        <w:pStyle w:val="Nadpis2"/>
        <w:rPr>
          <w:lang w:val="cs-CZ"/>
        </w:rPr>
      </w:pPr>
      <w:bookmarkStart w:id="5" w:name="_Toc183029520"/>
      <w:r>
        <w:rPr>
          <w:lang w:val="cs-CZ"/>
        </w:rPr>
        <w:t>Bojové chemické látky</w:t>
      </w:r>
      <w:bookmarkEnd w:id="5"/>
    </w:p>
    <w:p w14:paraId="213A1EA3" w14:textId="78DB7011" w:rsidR="003968B3" w:rsidRDefault="00A72A99" w:rsidP="003968B3">
      <w:pPr>
        <w:pStyle w:val="Normlnweb"/>
        <w:spacing w:after="0" w:afterAutospacing="0" w:line="360" w:lineRule="auto"/>
        <w:ind w:firstLine="576"/>
        <w:jc w:val="both"/>
        <w:rPr>
          <w:rFonts w:asciiTheme="minorHAnsi" w:hAnsiTheme="minorHAnsi" w:cstheme="minorHAnsi"/>
          <w:sz w:val="22"/>
          <w:szCs w:val="22"/>
        </w:rPr>
      </w:pPr>
      <w:r w:rsidRPr="00A72A99">
        <w:rPr>
          <w:rFonts w:asciiTheme="minorHAnsi" w:hAnsiTheme="minorHAnsi" w:cstheme="minorHAnsi"/>
          <w:sz w:val="22"/>
          <w:szCs w:val="22"/>
          <w:lang w:val="cs"/>
        </w:rPr>
        <w:t>Představují specifické chemické sloučeniny a jejich směsi, které jsou navrženy pro vojenské účely a slouží k dosažení smrtících nebo vážných zranění, případně k dočasné neschopnosti osob. Mika a Patočka (2007) uvádějí, že tyto látky mohou působit na nervový systém, dýchací cesty, kůži a další orgány. Kassa (2006) doplňuje, že jejich účinky mohou být buď vratné, nebo trvalé.</w:t>
      </w:r>
      <w:r>
        <w:rPr>
          <w:rFonts w:asciiTheme="minorHAnsi" w:hAnsiTheme="minorHAnsi" w:cstheme="minorHAnsi"/>
          <w:sz w:val="22"/>
          <w:szCs w:val="22"/>
          <w:lang w:val="cs"/>
        </w:rPr>
        <w:t xml:space="preserve"> </w:t>
      </w:r>
      <w:r w:rsidR="003968B3" w:rsidRPr="003968B3">
        <w:rPr>
          <w:rFonts w:asciiTheme="minorHAnsi" w:hAnsiTheme="minorHAnsi" w:cstheme="minorHAnsi"/>
          <w:sz w:val="22"/>
          <w:szCs w:val="22"/>
        </w:rPr>
        <w:t>Tímto způsobem dochází k toxickým účinkům, které mohou zahrnovat smrt nebo vážná zranění, ale také kontaminaci životního prostředí, výzbroje a dalších materiálů, což má dlouhodobé ekologické dopady (Smith et al., 2015).</w:t>
      </w:r>
    </w:p>
    <w:p w14:paraId="29035A63" w14:textId="77777777" w:rsidR="00A72A99" w:rsidRDefault="00A72A99" w:rsidP="003968B3">
      <w:pPr>
        <w:pStyle w:val="Normlnweb"/>
        <w:spacing w:before="0" w:beforeAutospacing="0" w:after="0" w:afterAutospacing="0" w:line="360" w:lineRule="auto"/>
        <w:ind w:firstLine="708"/>
        <w:jc w:val="both"/>
        <w:rPr>
          <w:rFonts w:asciiTheme="minorHAnsi" w:hAnsiTheme="minorHAnsi" w:cstheme="minorHAnsi"/>
          <w:sz w:val="22"/>
          <w:szCs w:val="22"/>
          <w:lang w:val="cs"/>
        </w:rPr>
      </w:pPr>
      <w:r w:rsidRPr="00A72A99">
        <w:rPr>
          <w:rFonts w:asciiTheme="minorHAnsi" w:hAnsiTheme="minorHAnsi" w:cstheme="minorHAnsi"/>
          <w:sz w:val="22"/>
          <w:szCs w:val="22"/>
          <w:lang w:val="cs"/>
        </w:rPr>
        <w:t>Mezi nejznámější typy BCHL patří nervově paralytické látky, jako je sarin a VX. Brown (2018) uvádí, že tyto látky inhibují enzym acetylcholinesterázu, což vede k akumulaci acetylcholinu na synapsích, způsobuje paralýzu dýchacích svalů a následně smrt. Miller (2016) popisuje dusivé látky, jako je fosgen, které napadají dýchací cesty a způsobují plicní edém, což může vést k fatálnímu selhání dýchání. Brzybohatý a Mika (2007) upozorňují na vysokou toxicitu těchto látek, kdy smrtelné dávky pro člověka se často měří v miligramech a mohou způsobit vážné poškození i při nízkých koncentracích.</w:t>
      </w:r>
    </w:p>
    <w:p w14:paraId="7A56F94C" w14:textId="7978C3FB" w:rsidR="0018175D" w:rsidRDefault="003968B3" w:rsidP="003968B3">
      <w:pPr>
        <w:pStyle w:val="Normlnweb"/>
        <w:spacing w:before="0" w:beforeAutospacing="0" w:after="0" w:afterAutospacing="0" w:line="360" w:lineRule="auto"/>
        <w:ind w:firstLine="708"/>
        <w:jc w:val="both"/>
        <w:rPr>
          <w:rFonts w:asciiTheme="minorHAnsi" w:hAnsiTheme="minorHAnsi" w:cstheme="minorHAnsi"/>
          <w:sz w:val="22"/>
          <w:szCs w:val="22"/>
        </w:rPr>
      </w:pPr>
      <w:r w:rsidRPr="003968B3">
        <w:rPr>
          <w:rFonts w:asciiTheme="minorHAnsi" w:hAnsiTheme="minorHAnsi" w:cstheme="minorHAnsi"/>
          <w:sz w:val="22"/>
          <w:szCs w:val="22"/>
        </w:rPr>
        <w:t>Bojové chemické látky byly opakovaně zakázány mezinárodními úmluvami, včetně Úmluvy o chemických zbraních (CWC), která vstoupila v platnost v roce 1997. Organizace pro zákaz chemických zbraní (OPCW) monitoruje a likviduje zásoby chemických zbraní a podporuje implementaci úmluvy v jednotlivých státech (ECHA, 2020). Nicméně, i přes tento globální zákaz zůstává riziko zneužití těchto látek vysoké, zejména v kontextu asymetrických konfliktů a terorismu, kde mohou být využity k psychologickým účelům a k vytvoření strachu v civilních populacích (Green et al., 2019).</w:t>
      </w:r>
    </w:p>
    <w:p w14:paraId="729F54DD" w14:textId="19645BD2" w:rsidR="00642F90" w:rsidRPr="003968B3" w:rsidRDefault="00642F90" w:rsidP="003968B3">
      <w:pPr>
        <w:pStyle w:val="Normlnweb"/>
        <w:spacing w:before="0" w:beforeAutospacing="0" w:after="0" w:afterAutospacing="0" w:line="360" w:lineRule="auto"/>
        <w:ind w:firstLine="708"/>
        <w:jc w:val="both"/>
        <w:rPr>
          <w:rFonts w:asciiTheme="minorHAnsi" w:hAnsiTheme="minorHAnsi" w:cstheme="minorHAnsi"/>
          <w:sz w:val="22"/>
          <w:szCs w:val="22"/>
        </w:rPr>
      </w:pPr>
      <w:r w:rsidRPr="00642F90">
        <w:rPr>
          <w:rFonts w:asciiTheme="minorHAnsi" w:hAnsiTheme="minorHAnsi" w:cstheme="minorHAnsi"/>
          <w:sz w:val="22"/>
          <w:szCs w:val="22"/>
          <w:lang w:val="cs"/>
        </w:rPr>
        <w:t>Podle Organisation for the Prohibition of Chemical Weapons</w:t>
      </w:r>
      <w:r>
        <w:rPr>
          <w:rFonts w:asciiTheme="minorHAnsi" w:hAnsiTheme="minorHAnsi" w:cstheme="minorHAnsi"/>
          <w:sz w:val="22"/>
          <w:szCs w:val="22"/>
          <w:lang w:val="cs"/>
        </w:rPr>
        <w:t xml:space="preserve"> </w:t>
      </w:r>
      <w:r w:rsidRPr="00642F90">
        <w:rPr>
          <w:rFonts w:asciiTheme="minorHAnsi" w:hAnsiTheme="minorHAnsi" w:cstheme="minorHAnsi"/>
          <w:sz w:val="22"/>
          <w:szCs w:val="22"/>
          <w:lang w:val="cs"/>
        </w:rPr>
        <w:t xml:space="preserve"> existuje několik států, které dosud nepřistoupily k Úmluvě o chemických zbraních, což představuje výzvu pro globální bezpečnost. Mezi tyto státy patří například Severní Korea a Jižní Súdán (</w:t>
      </w:r>
      <w:r>
        <w:rPr>
          <w:rFonts w:asciiTheme="minorHAnsi" w:hAnsiTheme="minorHAnsi" w:cstheme="minorHAnsi"/>
          <w:sz w:val="22"/>
          <w:szCs w:val="22"/>
          <w:lang w:val="cs"/>
        </w:rPr>
        <w:t>OPWC</w:t>
      </w:r>
      <w:r w:rsidRPr="00642F90">
        <w:rPr>
          <w:rFonts w:asciiTheme="minorHAnsi" w:hAnsiTheme="minorHAnsi" w:cstheme="minorHAnsi"/>
          <w:sz w:val="22"/>
          <w:szCs w:val="22"/>
          <w:lang w:val="cs"/>
        </w:rPr>
        <w:t>.).</w:t>
      </w:r>
    </w:p>
    <w:p w14:paraId="61CD6F82" w14:textId="77777777" w:rsidR="00F029A4" w:rsidRDefault="00F029A4" w:rsidP="00B97B20">
      <w:pPr>
        <w:pStyle w:val="obrzky"/>
        <w:spacing w:after="0"/>
      </w:pPr>
      <w:bookmarkStart w:id="6" w:name="_Toc182989481"/>
      <w:bookmarkStart w:id="7" w:name="_Toc182992396"/>
    </w:p>
    <w:p w14:paraId="0C519BD2" w14:textId="77777777" w:rsidR="00F029A4" w:rsidRDefault="00F029A4" w:rsidP="00B97B20">
      <w:pPr>
        <w:pStyle w:val="obrzky"/>
        <w:spacing w:after="0"/>
      </w:pPr>
    </w:p>
    <w:p w14:paraId="19899DD5" w14:textId="77777777" w:rsidR="00F029A4" w:rsidRDefault="00F029A4" w:rsidP="00B97B20">
      <w:pPr>
        <w:pStyle w:val="obrzky"/>
        <w:spacing w:after="0"/>
      </w:pPr>
    </w:p>
    <w:p w14:paraId="6763F956" w14:textId="77777777" w:rsidR="00F029A4" w:rsidRDefault="00F029A4" w:rsidP="00B97B20">
      <w:pPr>
        <w:pStyle w:val="obrzky"/>
        <w:spacing w:after="0"/>
      </w:pPr>
    </w:p>
    <w:p w14:paraId="0918BDD0" w14:textId="77777777" w:rsidR="00F029A4" w:rsidRDefault="00F029A4" w:rsidP="00B97B20">
      <w:pPr>
        <w:pStyle w:val="obrzky"/>
        <w:spacing w:after="0"/>
      </w:pPr>
    </w:p>
    <w:p w14:paraId="688F1EFC" w14:textId="77777777" w:rsidR="00F029A4" w:rsidRDefault="00F029A4" w:rsidP="00B97B20">
      <w:pPr>
        <w:pStyle w:val="obrzky"/>
        <w:spacing w:after="0"/>
      </w:pPr>
    </w:p>
    <w:p w14:paraId="26664B1A" w14:textId="77777777" w:rsidR="00F029A4" w:rsidRDefault="00F029A4" w:rsidP="00B97B20">
      <w:pPr>
        <w:pStyle w:val="obrzky"/>
        <w:spacing w:after="0"/>
      </w:pPr>
    </w:p>
    <w:p w14:paraId="09D2EF40" w14:textId="77777777" w:rsidR="00F029A4" w:rsidRDefault="00F029A4" w:rsidP="00B97B20">
      <w:pPr>
        <w:pStyle w:val="obrzky"/>
        <w:spacing w:after="0"/>
      </w:pPr>
    </w:p>
    <w:p w14:paraId="2E70BBD0" w14:textId="3D5BE7A8" w:rsidR="00B97B20" w:rsidRDefault="0018175D" w:rsidP="00B97B20">
      <w:pPr>
        <w:pStyle w:val="obrzky"/>
        <w:spacing w:after="0"/>
      </w:pPr>
      <w:r w:rsidRPr="00B97B20">
        <w:t>Obrázek 1</w:t>
      </w:r>
      <w:r w:rsidR="00B97B20" w:rsidRPr="00B97B20">
        <w:t>.</w:t>
      </w:r>
      <w:bookmarkEnd w:id="6"/>
      <w:bookmarkEnd w:id="7"/>
    </w:p>
    <w:p w14:paraId="4FDC6D31" w14:textId="3BA11A0A" w:rsidR="0018175D" w:rsidRPr="00B97B20" w:rsidRDefault="0018175D" w:rsidP="00B97B20">
      <w:pPr>
        <w:spacing w:after="0"/>
        <w:ind w:firstLine="0"/>
        <w:rPr>
          <w:b/>
          <w:bCs/>
        </w:rPr>
      </w:pPr>
      <w:r w:rsidRPr="00B97B20">
        <w:rPr>
          <w:i/>
          <w:iCs/>
          <w:noProof/>
          <w:sz w:val="24"/>
        </w:rPr>
        <w:drawing>
          <wp:anchor distT="0" distB="0" distL="114300" distR="114300" simplePos="0" relativeHeight="251662336" behindDoc="0" locked="0" layoutInCell="1" allowOverlap="1" wp14:anchorId="5655D940" wp14:editId="63B4E860">
            <wp:simplePos x="0" y="0"/>
            <wp:positionH relativeFrom="margin">
              <wp:align>right</wp:align>
            </wp:positionH>
            <wp:positionV relativeFrom="paragraph">
              <wp:posOffset>383540</wp:posOffset>
            </wp:positionV>
            <wp:extent cx="5248275" cy="1882483"/>
            <wp:effectExtent l="0" t="0" r="0" b="3810"/>
            <wp:wrapThrough wrapText="bothSides">
              <wp:wrapPolygon edited="0">
                <wp:start x="0" y="0"/>
                <wp:lineTo x="0" y="21425"/>
                <wp:lineTo x="21482" y="21425"/>
                <wp:lineTo x="21482" y="0"/>
                <wp:lineTo x="0" y="0"/>
              </wp:wrapPolygon>
            </wp:wrapThrough>
            <wp:docPr id="1246772864" name="Obrázek 7"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72864" name="Obrázek 7" descr="Obsah obrázku text, snímek obrazovky, Písmo, číslo&#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18824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B20">
        <w:rPr>
          <w:i/>
          <w:iCs/>
          <w:lang w:eastAsia="en-US"/>
        </w:rPr>
        <w:t>Analýza</w:t>
      </w:r>
      <w:r w:rsidRPr="00DD7786">
        <w:rPr>
          <w:lang w:eastAsia="en-US"/>
        </w:rPr>
        <w:t xml:space="preserve"> toxických látek detekčními </w:t>
      </w:r>
      <w:r w:rsidR="001E26E9" w:rsidRPr="00DD7786">
        <w:rPr>
          <w:lang w:eastAsia="en-US"/>
        </w:rPr>
        <w:t>trubičkami</w:t>
      </w:r>
      <w:r w:rsidR="001E26E9">
        <w:t xml:space="preserve"> (</w:t>
      </w:r>
      <w:r w:rsidRPr="00DD7786">
        <w:rPr>
          <w:lang w:eastAsia="en-US"/>
        </w:rPr>
        <w:t>Pitschmann, V.</w:t>
      </w:r>
      <w:r>
        <w:t xml:space="preserve">, </w:t>
      </w:r>
      <w:r w:rsidRPr="00DD7786">
        <w:rPr>
          <w:lang w:eastAsia="en-US"/>
        </w:rPr>
        <w:t>2008)</w:t>
      </w:r>
      <w:r>
        <w:t>.</w:t>
      </w:r>
    </w:p>
    <w:p w14:paraId="10709707" w14:textId="4C7DE6AA" w:rsidR="0018175D" w:rsidRDefault="001E26E9" w:rsidP="001E26E9">
      <w:pPr>
        <w:ind w:firstLine="0"/>
        <w:rPr>
          <w:lang w:val="cs-CZ"/>
        </w:rPr>
      </w:pPr>
      <w:r w:rsidRPr="001E26E9">
        <w:rPr>
          <w:i/>
          <w:iCs/>
          <w:lang w:val="cs-CZ"/>
        </w:rPr>
        <w:t>Vysvětlivky:</w:t>
      </w:r>
      <w:r>
        <w:rPr>
          <w:lang w:val="cs-CZ"/>
        </w:rPr>
        <w:t xml:space="preserve"> BCHL – bojové chemické látky, </w:t>
      </w:r>
      <w:r w:rsidR="00B97B20">
        <w:rPr>
          <w:lang w:val="cs-CZ"/>
        </w:rPr>
        <w:t>CS – ortho</w:t>
      </w:r>
      <w:r w:rsidRPr="001E26E9">
        <w:t>-chlorbenzylidenmalonitril</w:t>
      </w:r>
      <w:r>
        <w:t xml:space="preserve">, CN – </w:t>
      </w:r>
      <w:r w:rsidRPr="001E26E9">
        <w:t>chloracetofenon</w:t>
      </w:r>
      <w:r>
        <w:t xml:space="preserve">, </w:t>
      </w:r>
      <w:r w:rsidRPr="001E26E9">
        <w:t xml:space="preserve">CG </w:t>
      </w:r>
      <w:r>
        <w:t>–</w:t>
      </w:r>
      <w:r w:rsidRPr="001E26E9">
        <w:t xml:space="preserve"> fosgen</w:t>
      </w:r>
      <w:r>
        <w:t xml:space="preserve">, LSD-25 - </w:t>
      </w:r>
      <w:r w:rsidRPr="001E26E9">
        <w:t>dietylamid kyseliny lysergové</w:t>
      </w:r>
      <w:r>
        <w:t>, BZ -</w:t>
      </w:r>
      <w:r w:rsidRPr="001E26E9">
        <w:t xml:space="preserve"> 3-quinuclidinyl benzilate</w:t>
      </w:r>
      <w:r>
        <w:t>.</w:t>
      </w:r>
    </w:p>
    <w:p w14:paraId="4165BD3B" w14:textId="7C29ACC2" w:rsidR="009F58DE" w:rsidRDefault="0018175D" w:rsidP="0018175D">
      <w:pPr>
        <w:pStyle w:val="Nadpis2"/>
        <w:rPr>
          <w:lang w:val="cs-CZ"/>
        </w:rPr>
      </w:pPr>
      <w:bookmarkStart w:id="8" w:name="_Toc183029521"/>
      <w:r>
        <w:rPr>
          <w:lang w:val="cs-CZ"/>
        </w:rPr>
        <w:t>Historie BCHL</w:t>
      </w:r>
      <w:bookmarkEnd w:id="8"/>
    </w:p>
    <w:p w14:paraId="70B5A5F1" w14:textId="77777777" w:rsidR="0018175D" w:rsidRPr="00FA4103" w:rsidRDefault="0018175D" w:rsidP="0018175D">
      <w:pPr>
        <w:spacing w:after="0"/>
        <w:ind w:firstLine="708"/>
      </w:pPr>
      <w:r w:rsidRPr="00FA4103">
        <w:t>Použití chemických látek v konfliktech a k obraně sahá až do starověku, kdy se využívaly jedy a různé toxické látky, což dokládají četné historické prameny. Základní formy válečného použití zahrnovaly zapalování hořlavých směsí a používání jedovatých dýmů či otravných šípů. Už v 6. století př. n. l. starověcí Řekové a Asyřané otrávili nepřátelské zdroje vody látkami, které způsobovaly těžké krvácení. Další příklad pochází z antického Řecka, kde v době peloponéských válek (431–404 př. n. l.) využívala spartská vojska toxické dýmy a zápalné šípy k oslabení nepřátelských sil. Kartáginský vojevůdce Hannibal proslul tím, že navrhoval vrhání košů s jedovatými hady na nepřátelská plavidla, což mělo protivníky vyděsit a zmást (Bajgar, 2020).</w:t>
      </w:r>
    </w:p>
    <w:p w14:paraId="03AC0278" w14:textId="77777777" w:rsidR="0018175D" w:rsidRPr="00FA4103" w:rsidRDefault="0018175D" w:rsidP="0018175D">
      <w:pPr>
        <w:spacing w:after="0"/>
        <w:ind w:firstLine="708"/>
      </w:pPr>
      <w:r w:rsidRPr="00FA4103">
        <w:t xml:space="preserve">Ve středověku byly jedy a různé chemické látky používány nejen ve válkách, ale i k likvidaci nepohodlných osob. Otravy byly často prováděny za pomoci extraktů z bylin, které měly schopnost vyvolávat halucinace či smrt. V roce 673 n. l. popsal Kallinikos tzv. „řecký oheň“, což byla směs obsahující ledek, síru, smolu a ropu, která nejenže hořela i na vodě, ale měla také dusivé účinky (Patočka &amp; Fusek, 2019). V roce 1422 při obléhání českého hradu Karlštejna vrhali Pražané pod vedením Zikmunda Korybutoviče na své nepřátele sudy s fekáliemi, což vedlo k šíření zápachu a možná i k intoxikacím obránců hradu (Bajgar, 1997). Příklady z 15. století </w:t>
      </w:r>
      <w:r w:rsidRPr="00FA4103">
        <w:lastRenderedPageBreak/>
        <w:t>zahrnují návrh Leonarda da Vinciho na granát s arzenikem a práškovou sírou, který měl být použit k odražení nepřátelských lodí (Kubánek, 2008).</w:t>
      </w:r>
    </w:p>
    <w:p w14:paraId="78E76911" w14:textId="77777777" w:rsidR="0018175D" w:rsidRPr="00FA4103" w:rsidRDefault="0018175D" w:rsidP="0018175D">
      <w:pPr>
        <w:spacing w:after="0"/>
        <w:ind w:firstLine="708"/>
      </w:pPr>
      <w:r w:rsidRPr="00FA4103">
        <w:t>V 17. století došlo k propojení válečnictví s vědeckými poznatky z oblasti chemie. Slavný alchymista Johann Rudolf Glauber vyvinul střelu s oddělenými komorami obsahujícími terpentýnový olej a kyselinu dusičnou, která vytvářela po explozi dráždivý dým (Pitschmann et al., 2001). V 19. století anglický admirál Dundonald navrhl použití jedovatých plynů během krymské války (1855), avšak tento návrh nebyl schválen (Bajgar, 2020). V průběhu americké občanské války byly již americké vojenské orgány otevřeny myšlence využití průmyslových chemikálií, konkrétně chloru, proti lidské síle. I když tento nápad nebyl realizován, stal se základem pro další vývoj (Patočka, 2004).</w:t>
      </w:r>
    </w:p>
    <w:p w14:paraId="60B6A936" w14:textId="77777777" w:rsidR="0018175D" w:rsidRPr="00FA4103" w:rsidRDefault="0018175D" w:rsidP="0018175D">
      <w:pPr>
        <w:spacing w:after="0"/>
        <w:ind w:firstLine="708"/>
      </w:pPr>
      <w:r w:rsidRPr="00FA4103">
        <w:t>První světová válka (1914–1918) přinesla první masové nasazení chemických zbraní na frontách. Dne 22. dubna 1915 v bitvě u Ypres německá armáda poprvé použila chlór, což vedlo k obrovským ztrátám na životech. Následně byly vyvinuty další chemické zbraně jako fosgen, difosgen a yperit, které způsobovaly vážné popáleniny, poškození plic a smrt (Kassa, 2018). Kromě chlóru byl ve stejném roce použit fosgen, jehož následky byly ještě ničivější – fosgen způsobil až 80 % obětí chemické války během této války. V roce 1917 pak Němci v oblasti Ypres nasadili novou otravnou látku yperit, která měla zpuchýřující účinky a způsobovala výrazné zdravotní komplikace (Bajgar, 2020). První světová válka tak ukázala sílu chemických zbraní, což vedlo k přijetí Ženevského protokolu v roce 1925, který zakazoval používání chemických a biologických zbraní, ale neřešil jejich výrobu a skladování (Pilař, 2002).</w:t>
      </w:r>
    </w:p>
    <w:p w14:paraId="5A865628" w14:textId="53599317" w:rsidR="0018175D" w:rsidRPr="00FA4103" w:rsidRDefault="0018175D" w:rsidP="0018175D">
      <w:pPr>
        <w:spacing w:after="0"/>
        <w:ind w:firstLine="708"/>
      </w:pPr>
      <w:r w:rsidRPr="00FA4103">
        <w:t>Po skončení první světové války zůstala chemická válka v centru pozornosti. Zkušenosti s používáním otravných látek vedly k dalšímu vývoji a hledání nových chemických bojových prostředků. Chemické laboratoře, především německý koncern I. G. Farben, pokračovaly ve výzkumu toxických látek. V roce 1936 Gerhard Schrader objevil nové organofosfátové sloučeniny, z nichž některé byly později identifikovány jako nervově paralytické látky (NPL) jako například sarin (Kučera, 2018). V průběhu 30. let začala Itálie používat chemické zbraně během svých vojenských kampaní v Habeši a Japonsko použilo tyto zbraně během války v Číně (Pitschmann, 2001).</w:t>
      </w:r>
      <w:r w:rsidR="00297C67">
        <w:t xml:space="preserve"> </w:t>
      </w:r>
      <w:r w:rsidR="00297C67" w:rsidRPr="00297C67">
        <w:t>Japonská biologická válka z let 1932–1945, včetně aktivit Jednotky 731, představuje jednu z nejtemnějších kapitol válečné historie. Spojené státy po válce výměnou za vědecké informace nevyvodily odpovědnost vůči pachatelům, což vyvolává etická dilemata spojená s tímto obdobím (Harris, 1997).</w:t>
      </w:r>
    </w:p>
    <w:p w14:paraId="6EA418B1" w14:textId="77777777" w:rsidR="0018175D" w:rsidRPr="00FA4103" w:rsidRDefault="0018175D" w:rsidP="0018175D">
      <w:pPr>
        <w:ind w:firstLine="708"/>
      </w:pPr>
      <w:r w:rsidRPr="00FA4103">
        <w:t xml:space="preserve">Přestože byly chemické zbraně během druhé světové války masivně vyráběny a skladovány, jejich použití na bojištích bylo omezené, což bylo způsobeno především obavou z odvety. Nicméně chemické látky hrály důležitou roli v koncentračních táborech, kde nacisté použili plyn </w:t>
      </w:r>
      <w:proofErr w:type="spellStart"/>
      <w:r w:rsidRPr="00FA4103">
        <w:t>Zyklon</w:t>
      </w:r>
      <w:proofErr w:type="spellEnd"/>
      <w:r w:rsidRPr="00FA4103">
        <w:t xml:space="preserve"> B k hromadnému vraždění zajatců, což představuje jeden z nejtemnějších </w:t>
      </w:r>
      <w:r w:rsidRPr="00FA4103">
        <w:lastRenderedPageBreak/>
        <w:t>příkladů válečného použití chemie (Pilař, 2002). Kromě toho druhá světová válka vedla k dalšímu výzkumu nervově paralytických látek, které byly poprvé objeveny krátce před válkou.</w:t>
      </w:r>
    </w:p>
    <w:p w14:paraId="2854282D" w14:textId="77777777" w:rsidR="0018175D" w:rsidRPr="00FA4103" w:rsidRDefault="0018175D" w:rsidP="0018175D">
      <w:pPr>
        <w:ind w:firstLine="708"/>
      </w:pPr>
      <w:r w:rsidRPr="00FA4103">
        <w:t xml:space="preserve">Po druhé světové válce byly nervově paralytické látky, jako sarin, </w:t>
      </w:r>
      <w:proofErr w:type="spellStart"/>
      <w:r w:rsidRPr="00FA4103">
        <w:t>soman</w:t>
      </w:r>
      <w:proofErr w:type="spellEnd"/>
      <w:r w:rsidRPr="00FA4103">
        <w:t xml:space="preserve"> a látka VX, rozvinuty do účinných bojových prostředků a představovaly hrozbu během celé studené války. Studená válka znamenala rozvoj tzv. binární munice, která obsahovala složky, které se smíchaly až při odpálení, což zjednodušilo přepravu a skladování těchto zbraní. Chemické zbraně byly také masivně použity v americké válce ve Vietnamu, kde byl aplikován herbicid Agent Orange, který měl dlouhodobé ekologické i zdravotní dopady (Kučera, 2018; Bajgar, 2020). Dalším příkladem byl afghánský konflikt, kde sovětské jednotky údajně použily dráždivé látky (</w:t>
      </w:r>
      <w:proofErr w:type="spellStart"/>
      <w:r w:rsidRPr="00FA4103">
        <w:t>Pitschmann</w:t>
      </w:r>
      <w:proofErr w:type="spellEnd"/>
      <w:r w:rsidRPr="00FA4103">
        <w:t>, 2001).</w:t>
      </w:r>
    </w:p>
    <w:p w14:paraId="3F961326" w14:textId="77777777" w:rsidR="0018175D" w:rsidRPr="00FA4103" w:rsidRDefault="0018175D" w:rsidP="0018175D">
      <w:pPr>
        <w:ind w:firstLine="708"/>
      </w:pPr>
      <w:r w:rsidRPr="00FA4103">
        <w:t>V roce 1993 byla uzavřena Úmluva o chemických zbraních (CWC), která zakázala výrobu, skladování a používání chemických zbraní. Úmluva také zavedla přísné kontrolní mechanismy a umožnila inspekce členských států, což představovalo zásadní krok k celosvětovému zákazu chemických zbraní (Bajgar, 2020). Nicméně, chemické zbraně zůstávají hrozbou v konfliktních oblastech i při teroristických útocích. Během občanské války v Sýrii byly opakovaně použity chemické látky proti civilnímu obyvatelstvu, což vyvolalo mezinárodní pobouření a vojenské zásahy (</w:t>
      </w:r>
      <w:proofErr w:type="spellStart"/>
      <w:r w:rsidRPr="00FA4103">
        <w:t>Pitschmann</w:t>
      </w:r>
      <w:proofErr w:type="spellEnd"/>
      <w:r w:rsidRPr="00FA4103">
        <w:t>, 2020).</w:t>
      </w:r>
    </w:p>
    <w:p w14:paraId="4976E17F" w14:textId="3D0D1CF4" w:rsidR="0018175D" w:rsidRDefault="0018175D">
      <w:pPr>
        <w:spacing w:after="160" w:line="259" w:lineRule="auto"/>
        <w:ind w:firstLine="0"/>
        <w:contextualSpacing w:val="0"/>
        <w:jc w:val="left"/>
        <w:rPr>
          <w:lang w:val="cs-CZ"/>
        </w:rPr>
      </w:pPr>
      <w:r>
        <w:rPr>
          <w:lang w:val="cs-CZ"/>
        </w:rPr>
        <w:br w:type="page"/>
      </w:r>
    </w:p>
    <w:p w14:paraId="3B1C8493" w14:textId="09E49996" w:rsidR="0018175D" w:rsidRDefault="0018175D" w:rsidP="0018175D">
      <w:pPr>
        <w:pStyle w:val="Nadpis2"/>
        <w:rPr>
          <w:lang w:val="cs-CZ"/>
        </w:rPr>
      </w:pPr>
      <w:bookmarkStart w:id="9" w:name="_Toc183029522"/>
      <w:r>
        <w:rPr>
          <w:lang w:val="cs-CZ"/>
        </w:rPr>
        <w:lastRenderedPageBreak/>
        <w:t>Chemické zbraně</w:t>
      </w:r>
      <w:bookmarkEnd w:id="9"/>
    </w:p>
    <w:p w14:paraId="13ABC892" w14:textId="62AE828D" w:rsidR="00055893" w:rsidRPr="00055893" w:rsidRDefault="00055893" w:rsidP="00055893">
      <w:pPr>
        <w:pStyle w:val="Normlnweb"/>
        <w:spacing w:before="0" w:beforeAutospacing="0" w:after="0" w:afterAutospacing="0" w:line="360" w:lineRule="auto"/>
        <w:ind w:firstLine="576"/>
        <w:jc w:val="both"/>
        <w:rPr>
          <w:rFonts w:asciiTheme="minorHAnsi" w:hAnsiTheme="minorHAnsi" w:cstheme="minorHAnsi"/>
          <w:sz w:val="22"/>
          <w:szCs w:val="22"/>
        </w:rPr>
      </w:pPr>
      <w:r w:rsidRPr="00055893">
        <w:rPr>
          <w:rFonts w:asciiTheme="minorHAnsi" w:hAnsiTheme="minorHAnsi" w:cstheme="minorHAnsi"/>
          <w:sz w:val="22"/>
          <w:szCs w:val="22"/>
        </w:rPr>
        <w:t xml:space="preserve">Chemické zbraně jsou klasifikovány jako zbraně hromadného ničení, využívající toxických vlastností chemických látek k dosažení smrtících účinků. Podle </w:t>
      </w:r>
      <w:proofErr w:type="spellStart"/>
      <w:r w:rsidRPr="00055893">
        <w:rPr>
          <w:rStyle w:val="Siln"/>
          <w:rFonts w:asciiTheme="minorHAnsi" w:hAnsiTheme="minorHAnsi" w:cstheme="minorHAnsi"/>
          <w:b w:val="0"/>
          <w:bCs w:val="0"/>
          <w:sz w:val="22"/>
          <w:szCs w:val="22"/>
        </w:rPr>
        <w:t>Pitschmanna</w:t>
      </w:r>
      <w:proofErr w:type="spellEnd"/>
      <w:r w:rsidRPr="00055893">
        <w:rPr>
          <w:rStyle w:val="Siln"/>
          <w:rFonts w:asciiTheme="minorHAnsi" w:hAnsiTheme="minorHAnsi" w:cstheme="minorHAnsi"/>
          <w:b w:val="0"/>
          <w:bCs w:val="0"/>
          <w:sz w:val="22"/>
          <w:szCs w:val="22"/>
        </w:rPr>
        <w:t xml:space="preserve"> (2008)</w:t>
      </w:r>
      <w:r w:rsidRPr="00055893">
        <w:rPr>
          <w:rFonts w:asciiTheme="minorHAnsi" w:hAnsiTheme="minorHAnsi" w:cstheme="minorHAnsi"/>
          <w:sz w:val="22"/>
          <w:szCs w:val="22"/>
        </w:rPr>
        <w:t xml:space="preserve"> tato kategorie zahrnuje různé způsoby dopravy na cíl, jako jsou houfnice, raketomety, řízené střely a letadla, která slouží k distribuci chemické munice obsahující BCHL. Chemická munice zahrnuje zařízení, jako jsou dýmovnice, chemické miny, ruční chemické granáty, dělostřelecké a raketometné náboje, hlavice raket, bezpilotní prostředky, letecké pumy, letecká kazetová zařízení, aerosolové generátory a rozstřikovací zařízení, které rozptylují chemické látky do prostředí a zasahují cíle.</w:t>
      </w:r>
    </w:p>
    <w:p w14:paraId="1411CB5B" w14:textId="4C56A4F2" w:rsidR="00055893" w:rsidRPr="00055893" w:rsidRDefault="00055893" w:rsidP="00055893">
      <w:pPr>
        <w:pStyle w:val="Normlnweb"/>
        <w:spacing w:before="0" w:beforeAutospacing="0" w:after="0" w:afterAutospacing="0" w:line="360" w:lineRule="auto"/>
        <w:ind w:firstLine="567"/>
        <w:jc w:val="both"/>
        <w:rPr>
          <w:rFonts w:asciiTheme="minorHAnsi" w:hAnsiTheme="minorHAnsi" w:cstheme="minorHAnsi"/>
          <w:sz w:val="22"/>
          <w:szCs w:val="22"/>
        </w:rPr>
      </w:pPr>
      <w:r w:rsidRPr="00055893">
        <w:rPr>
          <w:rFonts w:asciiTheme="minorHAnsi" w:hAnsiTheme="minorHAnsi" w:cstheme="minorHAnsi"/>
          <w:sz w:val="22"/>
          <w:szCs w:val="22"/>
        </w:rPr>
        <w:t>Na druhé straně,</w:t>
      </w:r>
      <w:r w:rsidRPr="00055893">
        <w:rPr>
          <w:rFonts w:asciiTheme="minorHAnsi" w:hAnsiTheme="minorHAnsi" w:cstheme="minorHAnsi"/>
          <w:b/>
          <w:bCs/>
          <w:sz w:val="22"/>
          <w:szCs w:val="22"/>
        </w:rPr>
        <w:t xml:space="preserve"> </w:t>
      </w:r>
      <w:proofErr w:type="spellStart"/>
      <w:r w:rsidRPr="00055893">
        <w:rPr>
          <w:rStyle w:val="Siln"/>
          <w:rFonts w:asciiTheme="minorHAnsi" w:hAnsiTheme="minorHAnsi" w:cstheme="minorHAnsi"/>
          <w:b w:val="0"/>
          <w:bCs w:val="0"/>
          <w:sz w:val="22"/>
          <w:szCs w:val="22"/>
        </w:rPr>
        <w:t>Kassa</w:t>
      </w:r>
      <w:proofErr w:type="spellEnd"/>
      <w:r w:rsidRPr="00055893">
        <w:rPr>
          <w:rStyle w:val="Siln"/>
          <w:rFonts w:asciiTheme="minorHAnsi" w:hAnsiTheme="minorHAnsi" w:cstheme="minorHAnsi"/>
          <w:b w:val="0"/>
          <w:bCs w:val="0"/>
          <w:sz w:val="22"/>
          <w:szCs w:val="22"/>
        </w:rPr>
        <w:t xml:space="preserve"> (2008)</w:t>
      </w:r>
      <w:r w:rsidRPr="00055893">
        <w:rPr>
          <w:rFonts w:asciiTheme="minorHAnsi" w:hAnsiTheme="minorHAnsi" w:cstheme="minorHAnsi"/>
          <w:sz w:val="22"/>
          <w:szCs w:val="22"/>
        </w:rPr>
        <w:t xml:space="preserve"> upozorňuje, že </w:t>
      </w:r>
      <w:r w:rsidR="002D26D9">
        <w:rPr>
          <w:rFonts w:asciiTheme="minorHAnsi" w:hAnsiTheme="minorHAnsi" w:cstheme="minorHAnsi"/>
          <w:sz w:val="22"/>
          <w:szCs w:val="22"/>
        </w:rPr>
        <w:t xml:space="preserve">BCHL </w:t>
      </w:r>
      <w:r w:rsidRPr="00055893">
        <w:rPr>
          <w:rFonts w:asciiTheme="minorHAnsi" w:hAnsiTheme="minorHAnsi" w:cstheme="minorHAnsi"/>
          <w:sz w:val="22"/>
          <w:szCs w:val="22"/>
        </w:rPr>
        <w:t>obsažené v této munici mohou způsobit vážná poškození nejen lidem, ale i zvířatům, rostlinám a celému životnímu prostředí. Jejich účinky mohou mít rozsáhlé a devastující dopady.</w:t>
      </w:r>
    </w:p>
    <w:p w14:paraId="5F3C76B6" w14:textId="3882FC32" w:rsidR="0018175D" w:rsidRPr="0018175D" w:rsidRDefault="0018175D" w:rsidP="00055893">
      <w:pPr>
        <w:spacing w:after="0"/>
        <w:rPr>
          <w:lang w:val="cs-CZ"/>
        </w:rPr>
      </w:pPr>
      <w:r w:rsidRPr="0018175D">
        <w:rPr>
          <w:lang w:val="cs-CZ"/>
        </w:rPr>
        <w:t>Podle Úmluvy o chemických zbraních je každá jednotlivá složka chemické zbraně považována za chemickou zbraň, bez ohledu na to, zda je sestavená, nebo skladovaná samostatně. Tato definice zahrnuje i případy, kdy jsou toxické chemické látky a jejich dodávací systémy uchovávány odděleně. Přestože tyto části samy o sobě nepředstavují plnohodnotnou zbraň, jsou podle Úmluvy obě stále klasifikovány jako chemické zbraně (OPCW, 2024).</w:t>
      </w:r>
    </w:p>
    <w:p w14:paraId="2DA30D65" w14:textId="77777777" w:rsidR="0018175D" w:rsidRPr="0018175D" w:rsidRDefault="0018175D" w:rsidP="0018175D">
      <w:pPr>
        <w:rPr>
          <w:lang w:val="cs-CZ"/>
        </w:rPr>
      </w:pPr>
      <w:r w:rsidRPr="0018175D">
        <w:rPr>
          <w:lang w:val="cs-CZ"/>
        </w:rPr>
        <w:t>Chemické látky mají schopnost rychle a agresivně působit na biologické systémy, což zahrnuje různé fyziologické účinky, jako jsou popáleniny či poškození plic. Mají vysokou účinnost při ničení živé síly nepřítele a mohou potlačit jeho vojenský i ekonomický potenciál hluboko v zázemí. Důsledky použití chemických zbraní jsou často dlouhodobé a představují morální dilema pro zasažené oblasti i jednotlivce. Mezi významné výhody chemických zbraní patří relativně nízké náklady na výrobu a snadná dostupnost surovin, což zvyšuje jejich potenciální dostupnost pro různé subjekty, což vytváří zásadní výzvu v oblasti kontroly a regulace (Fusek, J., 2004).</w:t>
      </w:r>
    </w:p>
    <w:p w14:paraId="60941034" w14:textId="096923D0" w:rsidR="0018175D" w:rsidRDefault="0018175D" w:rsidP="0018175D">
      <w:pPr>
        <w:rPr>
          <w:lang w:val="cs-CZ"/>
        </w:rPr>
      </w:pPr>
      <w:r w:rsidRPr="0018175D">
        <w:rPr>
          <w:lang w:val="cs-CZ"/>
        </w:rPr>
        <w:t xml:space="preserve">Otázka použití chemických zbraní zůstává aktuální nejen v rámci tradičních válečných scénářů, ale i v souvislosti s lokálními konflikty a terorismem. Problém chemických zbraní přetrvává z několika důvodů, včetně jejich vysokého ničivého potenciálu, snadné dostupnosti a relativně nízkých nákladů na výrobu, což představuje riziko jejich zneužití teroristickými skupinami nebo nestabilními režimy. Navzdory mezinárodním dohodám a snahám o kontrolu těchto zbraní zůstává riziko jejich nelegálního použití. Teroristické skupiny mohou chemické zbraně využívat jako nástroj k zastrašování civilní populace, k vyvolání strachu a chaosu a k dosažení strategických cílů, jako je demoralizace nepřítele či ovlivňování veřejného mínění. Proto je nezbytné nadále sledovat a řešit otázky spojené s chemickými zbraněmi, aby se </w:t>
      </w:r>
      <w:r w:rsidRPr="0018175D">
        <w:rPr>
          <w:lang w:val="cs-CZ"/>
        </w:rPr>
        <w:lastRenderedPageBreak/>
        <w:t>minimalizovaly jejich potenciálně devastující účinky a zajišťovala mezinárodní bezpečnost a stabilita (Fusek, J., 2008).</w:t>
      </w:r>
    </w:p>
    <w:p w14:paraId="218FA061" w14:textId="33B01BCC" w:rsidR="0018175D" w:rsidRDefault="0018175D" w:rsidP="0018175D">
      <w:pPr>
        <w:pStyle w:val="Nadpis2"/>
        <w:rPr>
          <w:lang w:val="cs-CZ"/>
        </w:rPr>
      </w:pPr>
      <w:bookmarkStart w:id="10" w:name="_Toc183029523"/>
      <w:r w:rsidRPr="0018175D">
        <w:rPr>
          <w:lang w:val="cs-CZ"/>
        </w:rPr>
        <w:t>Legislativní aspekty související s danou problematikou</w:t>
      </w:r>
      <w:bookmarkEnd w:id="10"/>
    </w:p>
    <w:p w14:paraId="2AAE46B5" w14:textId="45962193" w:rsidR="0018175D" w:rsidRDefault="0018175D" w:rsidP="0018175D">
      <w:pPr>
        <w:rPr>
          <w:lang w:val="cs-CZ"/>
        </w:rPr>
      </w:pPr>
      <w:r w:rsidRPr="0018175D">
        <w:rPr>
          <w:lang w:val="cs-CZ"/>
        </w:rPr>
        <w:t>Legislativní aspekty spojené s problematikou neletálních bojových chemických látek zahrnují řadu mezinárodních a národních právních předpisů.</w:t>
      </w:r>
    </w:p>
    <w:p w14:paraId="3A98D6E3" w14:textId="77777777" w:rsidR="0018175D" w:rsidRDefault="0018175D" w:rsidP="0018175D">
      <w:pPr>
        <w:rPr>
          <w:lang w:val="cs-CZ"/>
        </w:rPr>
      </w:pPr>
    </w:p>
    <w:p w14:paraId="5CB60112" w14:textId="544E1B9D" w:rsidR="0018175D" w:rsidRPr="0018175D" w:rsidRDefault="0018175D" w:rsidP="0018175D">
      <w:pPr>
        <w:pStyle w:val="Nadpis3"/>
        <w:ind w:hanging="567"/>
        <w:rPr>
          <w:lang w:val="cs-CZ"/>
        </w:rPr>
      </w:pPr>
      <w:bookmarkStart w:id="11" w:name="_Toc183029524"/>
      <w:r w:rsidRPr="0018175D">
        <w:rPr>
          <w:lang w:val="cs-CZ"/>
        </w:rPr>
        <w:t>Úmluva o zákazu vývoje, výroby, hromadění zásob a použití chemických zbraní a jejich ničení</w:t>
      </w:r>
      <w:bookmarkEnd w:id="11"/>
    </w:p>
    <w:p w14:paraId="649251F6" w14:textId="539D76AE" w:rsidR="0018175D" w:rsidRPr="0018175D" w:rsidRDefault="0018175D" w:rsidP="0018175D">
      <w:pPr>
        <w:rPr>
          <w:lang w:val="cs-CZ"/>
        </w:rPr>
      </w:pPr>
      <w:r w:rsidRPr="0018175D">
        <w:rPr>
          <w:lang w:val="cs-CZ"/>
        </w:rPr>
        <w:t>Úmluva o chemických zbraních (</w:t>
      </w:r>
      <w:proofErr w:type="spellStart"/>
      <w:r w:rsidRPr="0018175D">
        <w:rPr>
          <w:lang w:val="cs-CZ"/>
        </w:rPr>
        <w:t>Chemical</w:t>
      </w:r>
      <w:proofErr w:type="spellEnd"/>
      <w:r w:rsidRPr="0018175D">
        <w:rPr>
          <w:lang w:val="cs-CZ"/>
        </w:rPr>
        <w:t xml:space="preserve"> </w:t>
      </w:r>
      <w:proofErr w:type="spellStart"/>
      <w:r w:rsidRPr="0018175D">
        <w:rPr>
          <w:lang w:val="cs-CZ"/>
        </w:rPr>
        <w:t>Weapons</w:t>
      </w:r>
      <w:proofErr w:type="spellEnd"/>
      <w:r w:rsidRPr="0018175D">
        <w:rPr>
          <w:lang w:val="cs-CZ"/>
        </w:rPr>
        <w:t xml:space="preserve"> </w:t>
      </w:r>
      <w:proofErr w:type="spellStart"/>
      <w:r w:rsidR="001E26E9" w:rsidRPr="0018175D">
        <w:rPr>
          <w:lang w:val="cs-CZ"/>
        </w:rPr>
        <w:t>Convention</w:t>
      </w:r>
      <w:proofErr w:type="spellEnd"/>
      <w:r w:rsidR="001E26E9" w:rsidRPr="0018175D">
        <w:rPr>
          <w:lang w:val="cs-CZ"/>
        </w:rPr>
        <w:t xml:space="preserve"> – CWC</w:t>
      </w:r>
      <w:r w:rsidRPr="0018175D">
        <w:rPr>
          <w:lang w:val="cs-CZ"/>
        </w:rPr>
        <w:t>) je mezinárodní dohoda, jejímž cílem je úplná eliminace chemických zbraní, včetně jejich vývoje, výroby, skladování a použití. Dohoda byla přijata v roce 1993 a vstoupila v platnost 29. dubna 1997. Úmluva zakazuje výrobu a skladování chemických zbraní a nařizuje jejich zničení pod dohledem mezinárodních inspektorů (OPCW).</w:t>
      </w:r>
    </w:p>
    <w:p w14:paraId="7AC162E2" w14:textId="77777777" w:rsidR="00055893" w:rsidRPr="00055893" w:rsidRDefault="00055893" w:rsidP="00055893">
      <w:pPr>
        <w:rPr>
          <w:lang w:val="cs-CZ"/>
        </w:rPr>
      </w:pPr>
      <w:r w:rsidRPr="00055893">
        <w:rPr>
          <w:lang w:val="cs-CZ"/>
        </w:rPr>
        <w:t>Historie mezinárodní snahy o kontrolu chemických zbraní sahá až do období po první světové válce, kdy byly chemické zbraně systematicky použity. Podle Pilaře (2002) mezinárodní společenství po druhé světové válce usilovalo o omezení šíření těchto zbraní. Již v roce 1925 byl přijat Ženevský protokol, který zakazoval použití chemických a biologických zbraní ve válce, avšak neřešil jejich vývoj a výrobu.</w:t>
      </w:r>
    </w:p>
    <w:p w14:paraId="362B1C09" w14:textId="26EE8D68" w:rsidR="00055893" w:rsidRDefault="00055893" w:rsidP="00055893">
      <w:pPr>
        <w:rPr>
          <w:lang w:val="cs-CZ"/>
        </w:rPr>
      </w:pPr>
      <w:r w:rsidRPr="00055893">
        <w:rPr>
          <w:lang w:val="cs-CZ"/>
        </w:rPr>
        <w:t>Vondráček (2010) zdůrazňuje, že až jednání v 80. a 90. letech 20. století vedla k vytvoření Úmluvy o chemických zbraních. Tato úmluva zahrnovala komplexní opatření zaměřená na jejich úplnou eliminaci.</w:t>
      </w:r>
    </w:p>
    <w:p w14:paraId="43B2CFC4" w14:textId="01A222E5" w:rsidR="0018175D" w:rsidRPr="0018175D" w:rsidRDefault="0018175D" w:rsidP="0018175D">
      <w:pPr>
        <w:rPr>
          <w:lang w:val="cs-CZ"/>
        </w:rPr>
      </w:pPr>
      <w:r w:rsidRPr="0018175D">
        <w:rPr>
          <w:lang w:val="cs-CZ"/>
        </w:rPr>
        <w:t xml:space="preserve">Úmluva byla navržena s cílem nejen zakázat chemické zbraně, ale také podporovat mírové využívání chemie. Stanovuje mechanismy pro inspekce a monitoring, aby bylo zajištěno, že členské státy plní své závazky. Tento mezinárodní nástroj je jedním z klíčových pilířů právního rámce proti zbraním hromadného ničení a významně přispívá </w:t>
      </w:r>
      <w:r w:rsidR="001E26E9" w:rsidRPr="0018175D">
        <w:rPr>
          <w:lang w:val="cs-CZ"/>
        </w:rPr>
        <w:t>ke</w:t>
      </w:r>
      <w:r w:rsidRPr="0018175D">
        <w:rPr>
          <w:lang w:val="cs-CZ"/>
        </w:rPr>
        <w:t xml:space="preserve"> globální bezpečnosti (OPCW). Úmluva je zásadním krokem v globálních snahách o ochranu proti chemickým zbraním a zajištění mezinárodní bezpečnosti.</w:t>
      </w:r>
      <w:r>
        <w:rPr>
          <w:lang w:val="cs-CZ"/>
        </w:rPr>
        <w:t xml:space="preserve"> </w:t>
      </w:r>
      <w:r w:rsidRPr="0018175D">
        <w:rPr>
          <w:lang w:val="cs-CZ"/>
        </w:rPr>
        <w:t>Hlavní zásady Úmluvy o chemických zbraních:</w:t>
      </w:r>
    </w:p>
    <w:p w14:paraId="3DD96E97" w14:textId="1C500A93" w:rsidR="0018175D" w:rsidRPr="0018175D" w:rsidRDefault="0018175D" w:rsidP="0018175D">
      <w:pPr>
        <w:pStyle w:val="Odstavecseseznamem"/>
        <w:numPr>
          <w:ilvl w:val="0"/>
          <w:numId w:val="13"/>
        </w:numPr>
        <w:rPr>
          <w:lang w:val="cs-CZ"/>
        </w:rPr>
      </w:pPr>
      <w:r w:rsidRPr="0018175D">
        <w:rPr>
          <w:lang w:val="cs-CZ"/>
        </w:rPr>
        <w:t>Zákaz vývoje, výroby a skladování: Zakazuje členským státům vyvíjet, vyrábět nebo skladovat chemické zbraně.</w:t>
      </w:r>
    </w:p>
    <w:p w14:paraId="06B45AB9" w14:textId="77777777" w:rsidR="0018175D" w:rsidRDefault="0018175D" w:rsidP="0018175D">
      <w:pPr>
        <w:pStyle w:val="Odstavecseseznamem"/>
        <w:numPr>
          <w:ilvl w:val="0"/>
          <w:numId w:val="13"/>
        </w:numPr>
        <w:rPr>
          <w:lang w:val="cs-CZ"/>
        </w:rPr>
      </w:pPr>
      <w:r w:rsidRPr="0018175D">
        <w:rPr>
          <w:lang w:val="cs-CZ"/>
        </w:rPr>
        <w:t>Zakázané chemické látky: Identifikuje chemické látky zakázané pro vojenské účely a podléhající kontrole (Vondráček, 2010).</w:t>
      </w:r>
    </w:p>
    <w:p w14:paraId="62DD90CB" w14:textId="50090F19" w:rsidR="0018175D" w:rsidRPr="0018175D" w:rsidRDefault="0018175D" w:rsidP="0018175D">
      <w:pPr>
        <w:pStyle w:val="Odstavecseseznamem"/>
        <w:numPr>
          <w:ilvl w:val="0"/>
          <w:numId w:val="13"/>
        </w:numPr>
        <w:rPr>
          <w:lang w:val="cs-CZ"/>
        </w:rPr>
      </w:pPr>
      <w:r w:rsidRPr="0018175D">
        <w:rPr>
          <w:lang w:val="cs-CZ"/>
        </w:rPr>
        <w:lastRenderedPageBreak/>
        <w:t>Zničení zásob: Členské státy musí zničit své zásoby chemických zbraní pod mezinárodním dohledem (Pilař, 2002).</w:t>
      </w:r>
    </w:p>
    <w:p w14:paraId="690896B5" w14:textId="537095FC" w:rsidR="0018175D" w:rsidRPr="0018175D" w:rsidRDefault="0018175D" w:rsidP="0018175D">
      <w:pPr>
        <w:pStyle w:val="Odstavecseseznamem"/>
        <w:numPr>
          <w:ilvl w:val="0"/>
          <w:numId w:val="13"/>
        </w:numPr>
        <w:rPr>
          <w:lang w:val="cs-CZ"/>
        </w:rPr>
      </w:pPr>
      <w:r w:rsidRPr="0018175D">
        <w:rPr>
          <w:lang w:val="cs-CZ"/>
        </w:rPr>
        <w:t>Kontrola a inspekce: Úmluva zahrnuje pravidelné inspekce chemických zařízení k ověření dodržování předpisů (OPCW).</w:t>
      </w:r>
    </w:p>
    <w:p w14:paraId="229D58EC" w14:textId="5ADE3BA3" w:rsidR="0018175D" w:rsidRDefault="0018175D" w:rsidP="0018175D">
      <w:pPr>
        <w:pStyle w:val="Odstavecseseznamem"/>
        <w:numPr>
          <w:ilvl w:val="0"/>
          <w:numId w:val="13"/>
        </w:numPr>
        <w:rPr>
          <w:lang w:val="cs-CZ"/>
        </w:rPr>
      </w:pPr>
      <w:r w:rsidRPr="0018175D">
        <w:rPr>
          <w:lang w:val="cs-CZ"/>
        </w:rPr>
        <w:t>Podpora mírového využití chemie: Podporuje rozvoj a spolupráci mezi státy při mírovém využívání chemie (Vondráček, 2010).</w:t>
      </w:r>
    </w:p>
    <w:p w14:paraId="6779B1C7" w14:textId="0CFC05E6" w:rsidR="00297C67" w:rsidRPr="00297C67" w:rsidRDefault="00297C67" w:rsidP="00297C67">
      <w:pPr>
        <w:ind w:firstLine="0"/>
        <w:rPr>
          <w:lang w:val="cs-CZ"/>
        </w:rPr>
      </w:pPr>
      <w:r>
        <w:rPr>
          <w:lang w:val="cs-CZ"/>
        </w:rPr>
        <w:t xml:space="preserve">Dále byl vytvořen </w:t>
      </w:r>
      <w:r>
        <w:t>s</w:t>
      </w:r>
      <w:r w:rsidRPr="00297C67">
        <w:t>trategický přístup k mezinárodnímu řízení chemických látek (SAICM s cílem snížit dopady chemických látek na zdraví a životní prostředí prostřednictvím globální spolupráce mezi vládami, průmyslem a dalšími zainteresovanými stranami (SAICM, 2015). Program zdůrazňuje nutnost zavádění národních strategií, které odpovídají specifickým potřebám jednotlivých zemí (SAICM, 2015).</w:t>
      </w:r>
    </w:p>
    <w:p w14:paraId="771945D0" w14:textId="2BE359BA" w:rsidR="00D228B3" w:rsidRDefault="0018175D" w:rsidP="00531923">
      <w:pPr>
        <w:pStyle w:val="Nadpis3"/>
        <w:rPr>
          <w:lang w:val="cs-CZ"/>
        </w:rPr>
      </w:pPr>
      <w:bookmarkStart w:id="12" w:name="_Toc183029525"/>
      <w:r w:rsidRPr="0018175D">
        <w:rPr>
          <w:lang w:val="cs-CZ"/>
        </w:rPr>
        <w:t>Přehled základní legislativy České republiky</w:t>
      </w:r>
      <w:bookmarkEnd w:id="12"/>
    </w:p>
    <w:p w14:paraId="3882171C" w14:textId="77777777" w:rsidR="0018175D" w:rsidRPr="0018175D" w:rsidRDefault="0018175D" w:rsidP="0018175D">
      <w:pPr>
        <w:rPr>
          <w:lang w:val="cs-CZ"/>
        </w:rPr>
      </w:pPr>
      <w:r w:rsidRPr="0018175D">
        <w:rPr>
          <w:lang w:val="cs-CZ"/>
        </w:rPr>
        <w:t>V posledních dvaceti letech prošly právní předpisy v oblasti chemických zbraní a chemických látek řadou změn. Zpočátku bylo nezbytné začlenit ustanovení vyplývající z Úmluvy o zákazu chemických zbraní, následně bylo nutné sladit legislativu s normami Evropské unie. Kvůli rozsáhlosti těchto předpisů se kapitola soustředí jen na základní přehled a stručný popis nejdůležitějších právních norem týkajících se tohoto tématu.</w:t>
      </w:r>
    </w:p>
    <w:p w14:paraId="71BD5E9E" w14:textId="77777777" w:rsidR="0018175D" w:rsidRPr="0018175D" w:rsidRDefault="0018175D" w:rsidP="0018175D">
      <w:pPr>
        <w:rPr>
          <w:lang w:val="cs-CZ"/>
        </w:rPr>
      </w:pPr>
      <w:r w:rsidRPr="0018175D">
        <w:rPr>
          <w:lang w:val="cs-CZ"/>
        </w:rPr>
        <w:t>Zákon č. 19/1997 Sb. o některých opatřeních souvisejících se zákazem chemických zbraní (aktualizovaný zákonem č. 138/2008 Sb.) implementuje ustanovení Úmluvy o zákazu chemických zbraní do legislativy České republiky. Tento zákon zakazuje vývoj, výrobu a dovoz chemických zbraní, upravuje podmínky pro udělování licencí k nakládání s vysoce nebezpečnými látkami, řeší povinnosti spojené s nálezem chemických zbraní a vysoce nebezpečných látek, stanovuje požadavky na ohlašování a evidenci těchto látek a definuje sankce za porušení zákona (Sbírka zákonů České republiky. 1997, částka 5, s. 107-114).</w:t>
      </w:r>
    </w:p>
    <w:p w14:paraId="08E3BE40" w14:textId="77777777" w:rsidR="0018175D" w:rsidRPr="0018175D" w:rsidRDefault="0018175D" w:rsidP="0018175D">
      <w:pPr>
        <w:rPr>
          <w:lang w:val="cs-CZ"/>
        </w:rPr>
      </w:pPr>
      <w:r w:rsidRPr="0018175D">
        <w:rPr>
          <w:lang w:val="cs-CZ"/>
        </w:rPr>
        <w:t>Vyhláška č. 208/2008 Sb., která provádí zákon č. 19/1997 Sb. o opatřeních spojených se zákazem chemických zbraní, upřesňuje klasifikaci stanovených látek a podmínky pro nakládání s vysoce nebezpečnými chemikáliemi. Vyhláška stanovuje množstevní limity pro látky, na které se vztahuje povinnost ohlašování, a definuje požadavky pro evidenci těchto látek. Látky jsou rozděleny do seznamů podle stupně jejich nebezpečnosti (Sbírka zákonů České republiky. 2008, částka 65, s. 2671-2690).</w:t>
      </w:r>
    </w:p>
    <w:p w14:paraId="240651A0" w14:textId="77777777" w:rsidR="0018175D" w:rsidRPr="0018175D" w:rsidRDefault="0018175D" w:rsidP="0018175D">
      <w:pPr>
        <w:rPr>
          <w:lang w:val="cs-CZ"/>
        </w:rPr>
      </w:pPr>
      <w:r w:rsidRPr="0018175D">
        <w:rPr>
          <w:lang w:val="cs-CZ"/>
        </w:rPr>
        <w:t xml:space="preserve">Zákon č. 356/2003 Sb. o chemických látkách a chemických přípravcích (v aktualizaci zákonem č. 371/2008 Sb.) harmonizuje s právem Evropské unie a definuje povinnosti právnických osob při klasifikaci, testování nebezpečných vlastností, balení, označování a uvádění </w:t>
      </w:r>
      <w:r w:rsidRPr="0018175D">
        <w:rPr>
          <w:lang w:val="cs-CZ"/>
        </w:rPr>
        <w:lastRenderedPageBreak/>
        <w:t>chemických látek a přípravků na trh či do oběhu. Dále se zabývá pravidly pro vývoz a dovoz těchto látek, oznamovací a registrační povinností. Zákon určuje roli správních orgánů při ochraně zdraví a životního prostředí před škodlivými účinky chemikálií. Pokrývá obecná ustanovení, správnou laboratorní praxi, klasifikaci, balení, bezpečnostní listy, hodnocení rizik, uvádění nebezpečných látek na trh, národní seznam prioritních látek, výkon státní správy a příslušné sankce (Sbírka zákonů České republiky. 2003, částka 120, s. 5810-5837).</w:t>
      </w:r>
    </w:p>
    <w:p w14:paraId="21763FB1" w14:textId="77777777" w:rsidR="0018175D" w:rsidRPr="0018175D" w:rsidRDefault="0018175D" w:rsidP="0018175D">
      <w:pPr>
        <w:rPr>
          <w:lang w:val="cs-CZ"/>
        </w:rPr>
      </w:pPr>
      <w:r w:rsidRPr="0018175D">
        <w:rPr>
          <w:lang w:val="cs-CZ"/>
        </w:rPr>
        <w:t xml:space="preserve">Vyhláška č. 219/2004 Sb. o zásadách správné laboratorní praxe (aktualizovaná vyhláškou č. 279/2005 Sb.) stanovuje pravidla pro provádění </w:t>
      </w:r>
      <w:proofErr w:type="spellStart"/>
      <w:r w:rsidRPr="0018175D">
        <w:rPr>
          <w:lang w:val="cs-CZ"/>
        </w:rPr>
        <w:t>neklinických</w:t>
      </w:r>
      <w:proofErr w:type="spellEnd"/>
      <w:r w:rsidRPr="0018175D">
        <w:rPr>
          <w:lang w:val="cs-CZ"/>
        </w:rPr>
        <w:t xml:space="preserve"> studií bezpečnosti chemických látek a přípravků. V příloze specifikuje zásady správné laboratorní praxe a požadavky pro podání žádosti o udělení osvědčení, které laboratoře musí dodržovat při testování bezpečnosti chemikálií (Sbírka zákonů České republiky. 2004, částka 73, s. 3498-3500.).</w:t>
      </w:r>
    </w:p>
    <w:p w14:paraId="1F984469" w14:textId="2136BD7D" w:rsidR="00902DF6" w:rsidRDefault="0018175D" w:rsidP="001E26E9">
      <w:pPr>
        <w:rPr>
          <w:lang w:val="cs-CZ"/>
        </w:rPr>
      </w:pPr>
      <w:r w:rsidRPr="0018175D">
        <w:rPr>
          <w:lang w:val="cs-CZ"/>
        </w:rPr>
        <w:t>Vyhláška č. 389/2008 Sb., která mění vyhlášku č. 232/2004 Sb. – tato vyhláška, v souladu s právem Evropských společenství, upravuje klasifikaci, balení a označování nebezpečných chemických látek a přípravků. Stanovuje požadavky pro bezpečnostní označení obalů, včetně grafických symbolů upozorňujících na rizika chemických látek. Dále upravuje pravidla pro bezpečnost obalů, hodnotící postupy, výpočtové metody a další související předpisy (Sbírka zákonů České republiky. 2008, částka 126, s. 6117-6118).</w:t>
      </w:r>
    </w:p>
    <w:p w14:paraId="5DC217BA" w14:textId="7EC110F3" w:rsidR="0018175D" w:rsidRDefault="0018175D" w:rsidP="0018175D">
      <w:pPr>
        <w:pStyle w:val="Nadpis2"/>
      </w:pPr>
      <w:bookmarkStart w:id="13" w:name="_Toc183029526"/>
      <w:r w:rsidRPr="003C79A0">
        <w:t>Klasifikace bojových chemických látek</w:t>
      </w:r>
      <w:bookmarkEnd w:id="13"/>
    </w:p>
    <w:p w14:paraId="74FD1D23" w14:textId="5F8F5701" w:rsidR="0018175D" w:rsidRPr="00A83078" w:rsidRDefault="002D26D9" w:rsidP="0018175D">
      <w:pPr>
        <w:ind w:firstLine="708"/>
      </w:pPr>
      <w:r>
        <w:t xml:space="preserve">Tyto látky </w:t>
      </w:r>
      <w:r w:rsidR="0018175D" w:rsidRPr="00A83078">
        <w:t>jsou navrženy a používány především pro účely zneschopnění protivníka v bojových podmínkách. Dělení těchto látek lze provést podle několika kritérií, která vycházejí z jejich účinku, stability nebo rychlosti nástupu účinku na organismus. BCHL můžeme nejprve rozdělit podle jejich základního vojenského určení, přičemž se rozlišují tři hlavní kategorie:</w:t>
      </w:r>
    </w:p>
    <w:p w14:paraId="2D53B616" w14:textId="50979E78" w:rsidR="0018175D" w:rsidRPr="00A83078" w:rsidRDefault="0018175D" w:rsidP="00A72A99">
      <w:pPr>
        <w:pStyle w:val="Odstavecseseznamem"/>
        <w:numPr>
          <w:ilvl w:val="0"/>
          <w:numId w:val="14"/>
        </w:numPr>
      </w:pPr>
      <w:r w:rsidRPr="00A83078">
        <w:rPr>
          <w:b/>
        </w:rPr>
        <w:t>Smrtící látky</w:t>
      </w:r>
      <w:r w:rsidRPr="00A83078">
        <w:t xml:space="preserve"> – BCHL, které jsou v dostatečné koncentraci schopné v krátkém časovém úseku usmrtit nebo vážně poškodit zdraví exponovaných osob. Tyto látky mají často extrémně rychlý a účinný efekt, což je činí zvlášť nebezpečnými (Fusek </w:t>
      </w:r>
      <w:r w:rsidR="00A72A99">
        <w:t xml:space="preserve">a </w:t>
      </w:r>
      <w:r w:rsidRPr="00A83078">
        <w:t>Patočka, 2004).</w:t>
      </w:r>
    </w:p>
    <w:p w14:paraId="7F7D32E5" w14:textId="3CF3F744" w:rsidR="0018175D" w:rsidRPr="00A83078" w:rsidRDefault="0018175D" w:rsidP="0018175D">
      <w:pPr>
        <w:pStyle w:val="Odstavecseseznamem"/>
        <w:numPr>
          <w:ilvl w:val="0"/>
          <w:numId w:val="14"/>
        </w:numPr>
      </w:pPr>
      <w:r w:rsidRPr="00A83078">
        <w:rPr>
          <w:b/>
        </w:rPr>
        <w:t>Zneschopňující a oslabující látky</w:t>
      </w:r>
      <w:r w:rsidRPr="00A83078">
        <w:t xml:space="preserve"> – tyto látky vyvolávají dočasnou nebo trvalou ztrátu schopnosti vést bojovou činnost, čímž zamezují zasaženým osobám plnit stanovené úkoly. Jejich účinek je zpravidla dočasný, avšak dostatečně silný na to, aby znemožnil plné nasazení živé síly (</w:t>
      </w:r>
      <w:proofErr w:type="spellStart"/>
      <w:r w:rsidRPr="00A83078">
        <w:t>Kassa</w:t>
      </w:r>
      <w:proofErr w:type="spellEnd"/>
      <w:r w:rsidRPr="00A83078">
        <w:t>, 2008).</w:t>
      </w:r>
    </w:p>
    <w:p w14:paraId="2C4148F6" w14:textId="77300F08" w:rsidR="0018175D" w:rsidRPr="0018175D" w:rsidRDefault="0018175D" w:rsidP="00086E41">
      <w:pPr>
        <w:pStyle w:val="Odstavecseseznamem"/>
        <w:numPr>
          <w:ilvl w:val="0"/>
          <w:numId w:val="14"/>
        </w:numPr>
      </w:pPr>
      <w:r w:rsidRPr="00A83078">
        <w:rPr>
          <w:b/>
        </w:rPr>
        <w:t>Látky zaměřené na vegetaci</w:t>
      </w:r>
      <w:r w:rsidRPr="00A83078">
        <w:t xml:space="preserve"> – BCHL tohoto typu jsou určeny k poškození rostlin, včetně kulturních plodin, nebo k omezení růstu vegetace v dané oblasti. Používají se pro zničení úrody nebo vegetace, která by mohla poskytovat úkryt protivníkovi (Fusek </w:t>
      </w:r>
      <w:r w:rsidR="00A72A99">
        <w:t>a</w:t>
      </w:r>
      <w:r w:rsidRPr="00A83078">
        <w:t xml:space="preserve"> Patočka, 2004).</w:t>
      </w:r>
    </w:p>
    <w:p w14:paraId="2F852FC3" w14:textId="53438656" w:rsidR="00CC61AB" w:rsidRDefault="00A83078" w:rsidP="00AC6769">
      <w:pPr>
        <w:pStyle w:val="Nadpis3"/>
      </w:pPr>
      <w:bookmarkStart w:id="14" w:name="_Toc183029527"/>
      <w:r w:rsidRPr="003C79A0">
        <w:lastRenderedPageBreak/>
        <w:t>Klasifikace podle účinku na organismus</w:t>
      </w:r>
      <w:bookmarkEnd w:id="14"/>
    </w:p>
    <w:p w14:paraId="575C87E2" w14:textId="77777777" w:rsidR="00A83078" w:rsidRPr="00A83078" w:rsidRDefault="00A83078" w:rsidP="00A83078">
      <w:pPr>
        <w:ind w:firstLine="708"/>
      </w:pPr>
      <w:r w:rsidRPr="00A83078">
        <w:t>Podle toho, jakým způsobem ovlivňují živé organismy, lze BCHL rozdělit na několik základních typů:</w:t>
      </w:r>
    </w:p>
    <w:p w14:paraId="13D5BB3A" w14:textId="4B18F7D0" w:rsidR="00A83078" w:rsidRPr="00A83078" w:rsidRDefault="00A83078" w:rsidP="00A83078">
      <w:pPr>
        <w:pStyle w:val="Odstavecseseznamem"/>
        <w:numPr>
          <w:ilvl w:val="0"/>
          <w:numId w:val="15"/>
        </w:numPr>
      </w:pPr>
      <w:r w:rsidRPr="00A83078">
        <w:rPr>
          <w:b/>
        </w:rPr>
        <w:t>Nervově paralytické látky</w:t>
      </w:r>
      <w:r w:rsidRPr="00A83078">
        <w:t xml:space="preserve"> (např. sarin, VX): Tyto látky inhibují enzym </w:t>
      </w:r>
      <w:proofErr w:type="spellStart"/>
      <w:r w:rsidRPr="00A83078">
        <w:t>acetylcholinesterázu</w:t>
      </w:r>
      <w:proofErr w:type="spellEnd"/>
      <w:r w:rsidRPr="00A83078">
        <w:t xml:space="preserve">, což vede k hromadění acetylcholinu v nervových synapsích. Výsledkem jsou nekontrolované svalové kontrakce, paralýza a v případě nedostatečné léčby i smrt. Nervově paralytické látky jsou charakteristické velmi rychlým účinkem, který ztěžuje účinnou obranu nebo záchranu (Patočka </w:t>
      </w:r>
      <w:r w:rsidR="00A72A99">
        <w:t>a</w:t>
      </w:r>
      <w:r w:rsidRPr="00A83078">
        <w:t xml:space="preserve"> Fusek, 2019).</w:t>
      </w:r>
    </w:p>
    <w:p w14:paraId="097C568C" w14:textId="77777777" w:rsidR="00A83078" w:rsidRPr="00A83078" w:rsidRDefault="00A83078" w:rsidP="00A83078">
      <w:pPr>
        <w:pStyle w:val="Odstavecseseznamem"/>
        <w:numPr>
          <w:ilvl w:val="0"/>
          <w:numId w:val="17"/>
        </w:numPr>
      </w:pPr>
      <w:r w:rsidRPr="00A83078">
        <w:rPr>
          <w:b/>
        </w:rPr>
        <w:t>Zpuchýřující látky</w:t>
      </w:r>
      <w:r w:rsidRPr="00A83078">
        <w:t xml:space="preserve"> (např. yperit): Tyto látky způsobují vážná poškození kůže a sliznic, což vede k tvorbě puchýřů a tkáňové nekróze. První příznaky, jako zarudnutí a podráždění, se mohou objevit několik minut až hodin po expozici. Tyto látky mohou způsobit dlouhodobé zdravotní komplikace a vyžadují intenzivní dekontaminaci (Fusek, 2008).</w:t>
      </w:r>
    </w:p>
    <w:p w14:paraId="4C690D19" w14:textId="062C8282" w:rsidR="005F6091" w:rsidRPr="005F6091" w:rsidRDefault="005F6091" w:rsidP="00A83078">
      <w:pPr>
        <w:pStyle w:val="Odstavecseseznamem"/>
        <w:numPr>
          <w:ilvl w:val="0"/>
          <w:numId w:val="15"/>
        </w:numPr>
      </w:pPr>
      <w:r w:rsidRPr="005F6091">
        <w:rPr>
          <w:b/>
          <w:bCs/>
        </w:rPr>
        <w:t>Dusivé látky</w:t>
      </w:r>
      <w:r w:rsidRPr="005F6091">
        <w:t>, například fosgen, způsobují závažné poškození dýchacího systému, které se často projevuje plicním edémem a může vyústit ve smrtelné selhání dýchání. Mika a Patočka (2007) zdůrazňují, že mezi prvními příznaky expozice bývá intenzivní kašel a bolest v oblasti hrudníku. Plné účinky se však mohou rozvinout až několik hodin po kontaktu s látkou.</w:t>
      </w:r>
    </w:p>
    <w:p w14:paraId="5E950D6C" w14:textId="68C443C7" w:rsidR="00A83078" w:rsidRPr="00A83078" w:rsidRDefault="00A83078" w:rsidP="00A83078">
      <w:pPr>
        <w:pStyle w:val="Odstavecseseznamem"/>
        <w:numPr>
          <w:ilvl w:val="0"/>
          <w:numId w:val="15"/>
        </w:numPr>
      </w:pPr>
      <w:r w:rsidRPr="00A83078">
        <w:rPr>
          <w:b/>
        </w:rPr>
        <w:t>Všeobecně jedovaté látky</w:t>
      </w:r>
      <w:r w:rsidRPr="00A83078">
        <w:t xml:space="preserve"> (např. kyanovodík): Tyto látky narušují buněčné dýchání a energetické procesy v buňkách, což vede k rychlému kolapsu organismu. I při nízkých koncentracích mohou tyto látky způsobit rychlou ztrátu vědomí a smrt (</w:t>
      </w:r>
      <w:proofErr w:type="spellStart"/>
      <w:r w:rsidRPr="00A83078">
        <w:t>Prymula</w:t>
      </w:r>
      <w:proofErr w:type="spellEnd"/>
      <w:r w:rsidRPr="00A83078">
        <w:t xml:space="preserve"> et al., 2008).</w:t>
      </w:r>
    </w:p>
    <w:p w14:paraId="78A33115" w14:textId="3FE1988C" w:rsidR="00A83078" w:rsidRPr="00A83078" w:rsidRDefault="00A83078" w:rsidP="00A83078">
      <w:pPr>
        <w:pStyle w:val="Odstavecseseznamem"/>
        <w:numPr>
          <w:ilvl w:val="0"/>
          <w:numId w:val="15"/>
        </w:numPr>
      </w:pPr>
      <w:r w:rsidRPr="00A83078">
        <w:rPr>
          <w:b/>
        </w:rPr>
        <w:t>Dráždivé látky</w:t>
      </w:r>
      <w:r w:rsidRPr="00A83078">
        <w:t xml:space="preserve"> (např. CS látka, </w:t>
      </w:r>
      <w:proofErr w:type="spellStart"/>
      <w:r w:rsidRPr="00A83078">
        <w:t>adamsit</w:t>
      </w:r>
      <w:proofErr w:type="spellEnd"/>
      <w:r w:rsidRPr="00A83078">
        <w:t>): Dráždivé látky působí na citlivá nervová zakončení sliznic a způsobují intenzivní podráždění očí, nosu a dýchacích cest. Tyto látky jsou často používány k rychlému zneschopnění jednotlivců nebo davů, přičemž jejich účinek je obvykle dočasný, ale velmi intenzivní (</w:t>
      </w:r>
      <w:proofErr w:type="spellStart"/>
      <w:r w:rsidRPr="00A83078">
        <w:t>Kassa</w:t>
      </w:r>
      <w:proofErr w:type="spellEnd"/>
      <w:r w:rsidRPr="00A83078">
        <w:t>, 2008).</w:t>
      </w:r>
    </w:p>
    <w:p w14:paraId="1458AF46" w14:textId="3C67F409" w:rsidR="00A83078" w:rsidRDefault="00A83078" w:rsidP="00A83078">
      <w:pPr>
        <w:pStyle w:val="Nadpis3"/>
      </w:pPr>
      <w:bookmarkStart w:id="15" w:name="_Toc183029528"/>
      <w:r w:rsidRPr="00A83078">
        <w:t>Klasifikace podle stability v</w:t>
      </w:r>
      <w:r>
        <w:t> </w:t>
      </w:r>
      <w:r w:rsidRPr="00A83078">
        <w:t>terénu</w:t>
      </w:r>
      <w:bookmarkEnd w:id="15"/>
    </w:p>
    <w:p w14:paraId="22706B1D" w14:textId="77777777" w:rsidR="00A83078" w:rsidRDefault="00A83078" w:rsidP="00A83078">
      <w:r>
        <w:t>Další dělení BCHL je založeno na jejich stabilitě v polních podmínkách:</w:t>
      </w:r>
    </w:p>
    <w:p w14:paraId="4DCA0E3A" w14:textId="77777777" w:rsidR="00A83078" w:rsidRDefault="00A83078" w:rsidP="00A83078">
      <w:pPr>
        <w:pStyle w:val="Odstavecseseznamem"/>
        <w:numPr>
          <w:ilvl w:val="0"/>
          <w:numId w:val="18"/>
        </w:numPr>
      </w:pPr>
      <w:r w:rsidRPr="00A83078">
        <w:rPr>
          <w:b/>
          <w:bCs/>
        </w:rPr>
        <w:t>Stálé látky (perzistentní)</w:t>
      </w:r>
      <w:r>
        <w:t xml:space="preserve"> – Tyto látky kontaminují prostředí na delší dobu, což způsobuje dlouhodobé zamoření terénu. Mezi perzistentní látky patří například VX, jehož přítomnost v prostředí může trvat týdny až měsíce.</w:t>
      </w:r>
    </w:p>
    <w:p w14:paraId="25450836" w14:textId="5E41DCE0" w:rsidR="00A83078" w:rsidRDefault="00A83078" w:rsidP="00A83078">
      <w:pPr>
        <w:pStyle w:val="Odstavecseseznamem"/>
        <w:numPr>
          <w:ilvl w:val="0"/>
          <w:numId w:val="18"/>
        </w:numPr>
      </w:pPr>
      <w:r w:rsidRPr="00A83078">
        <w:rPr>
          <w:b/>
          <w:bCs/>
        </w:rPr>
        <w:lastRenderedPageBreak/>
        <w:t>Nestálé látky (neperzistentní)</w:t>
      </w:r>
      <w:r>
        <w:t xml:space="preserve"> – Jsou to látky, které se rychle odpařují a zůstávají v prostředí pouze krátkou dobu. Typickým příkladem je sarin, který se rychle rozptyluje a nemá dlouhodobé účinky na kontaminovaný terén (Fusek v Patočka, 2004).</w:t>
      </w:r>
    </w:p>
    <w:p w14:paraId="283FB940" w14:textId="23B299EB" w:rsidR="00A83078" w:rsidRDefault="00A83078" w:rsidP="00A83078">
      <w:pPr>
        <w:pStyle w:val="Nadpis3"/>
      </w:pPr>
      <w:bookmarkStart w:id="16" w:name="_Toc183029529"/>
      <w:r w:rsidRPr="00A83078">
        <w:t>Klasifikace podle rychlosti nástupu účinku</w:t>
      </w:r>
      <w:bookmarkEnd w:id="16"/>
    </w:p>
    <w:p w14:paraId="5C10315F" w14:textId="77777777" w:rsidR="00A83078" w:rsidRDefault="00A83078" w:rsidP="00A83078">
      <w:r>
        <w:t>Podle rychlosti, s jakou látky působí po expozici, se BCHL dělí na:</w:t>
      </w:r>
    </w:p>
    <w:p w14:paraId="7442E24D" w14:textId="5BCF8659" w:rsidR="00A83078" w:rsidRDefault="00A83078" w:rsidP="00A83078">
      <w:pPr>
        <w:pStyle w:val="Odstavecseseznamem"/>
        <w:numPr>
          <w:ilvl w:val="0"/>
          <w:numId w:val="19"/>
        </w:numPr>
      </w:pPr>
      <w:r w:rsidRPr="00A83078">
        <w:rPr>
          <w:b/>
          <w:bCs/>
        </w:rPr>
        <w:t>Látky s okamžitým účinkem</w:t>
      </w:r>
      <w:r>
        <w:t xml:space="preserve"> – </w:t>
      </w:r>
      <w:r w:rsidR="005F6091">
        <w:t xml:space="preserve">Tyto </w:t>
      </w:r>
      <w:r w:rsidR="005F6091" w:rsidRPr="005F6091">
        <w:t>chemické látky jsou známé svou schopností působit velmi rychle, obvykle v řádu několika sekund až minut, což výrazně snižuje možnosti okamžitého zásahu a účinné léčby. Mika a Patočka (2007) zmiňují, že jedním z příkladů takové látky je sarin, který může po kontaktu téměř okamžitě vyvolat symptomy otravy.</w:t>
      </w:r>
    </w:p>
    <w:p w14:paraId="445270A8" w14:textId="01F093FB" w:rsidR="005F6091" w:rsidRDefault="00A83078" w:rsidP="00FD0930">
      <w:pPr>
        <w:pStyle w:val="Odstavecseseznamem"/>
        <w:numPr>
          <w:ilvl w:val="0"/>
          <w:numId w:val="0"/>
        </w:numPr>
        <w:ind w:left="1287"/>
      </w:pPr>
      <w:r w:rsidRPr="005F6091">
        <w:rPr>
          <w:b/>
          <w:bCs/>
        </w:rPr>
        <w:t xml:space="preserve">Látky se zpožděným </w:t>
      </w:r>
      <w:r w:rsidR="005F6091" w:rsidRPr="005F6091">
        <w:rPr>
          <w:b/>
          <w:bCs/>
        </w:rPr>
        <w:t>účinkem</w:t>
      </w:r>
      <w:r w:rsidR="005F6091">
        <w:t xml:space="preserve"> – Některé</w:t>
      </w:r>
      <w:r w:rsidR="005F6091" w:rsidRPr="005F6091">
        <w:t xml:space="preserve"> chemické látky vykazují účinky až s určitým časovým odstupem, který se může pohybovat v rozmezí desítek minut až hodin. Fusek a Patočka (2004, s. 28) uvádějí jako příklad yperit, jehož toxické účinky se projevují až po určité době od expozice.</w:t>
      </w:r>
    </w:p>
    <w:p w14:paraId="191D40CE" w14:textId="04CC28FE" w:rsidR="00A83078" w:rsidRDefault="00A83078" w:rsidP="00A83078">
      <w:pPr>
        <w:pStyle w:val="Nadpis3"/>
      </w:pPr>
      <w:bookmarkStart w:id="17" w:name="_Toc183029530"/>
      <w:r w:rsidRPr="00A83078">
        <w:t>Interakce s organismem a faktory ovlivňující toxicitu</w:t>
      </w:r>
      <w:bookmarkEnd w:id="17"/>
    </w:p>
    <w:p w14:paraId="7B7CBD59" w14:textId="69857C10" w:rsidR="005F6091" w:rsidRPr="005F6091" w:rsidRDefault="005F6091" w:rsidP="005F6091">
      <w:pPr>
        <w:pStyle w:val="Normlnweb"/>
        <w:spacing w:before="0" w:beforeAutospacing="0" w:after="0" w:afterAutospacing="0" w:line="360" w:lineRule="auto"/>
        <w:ind w:firstLine="708"/>
        <w:jc w:val="both"/>
        <w:rPr>
          <w:rFonts w:asciiTheme="minorHAnsi" w:hAnsiTheme="minorHAnsi" w:cstheme="minorHAnsi"/>
          <w:sz w:val="22"/>
          <w:szCs w:val="22"/>
        </w:rPr>
      </w:pPr>
      <w:r w:rsidRPr="005F6091">
        <w:rPr>
          <w:rFonts w:asciiTheme="minorHAnsi" w:hAnsiTheme="minorHAnsi" w:cstheme="minorHAnsi"/>
          <w:sz w:val="22"/>
          <w:szCs w:val="22"/>
        </w:rPr>
        <w:t xml:space="preserve">Účinky bojových chemických látek (BCHL) na lidský organismus závisí na různých faktorech, včetně jejich fyzikálních a chemických vlastností. Podle </w:t>
      </w:r>
      <w:r w:rsidRPr="005F6091">
        <w:rPr>
          <w:rStyle w:val="Siln"/>
          <w:rFonts w:asciiTheme="minorHAnsi" w:hAnsiTheme="minorHAnsi" w:cstheme="minorHAnsi"/>
          <w:b w:val="0"/>
          <w:bCs w:val="0"/>
          <w:sz w:val="22"/>
          <w:szCs w:val="22"/>
        </w:rPr>
        <w:t>Fuska a Patočky (2004)</w:t>
      </w:r>
      <w:r w:rsidRPr="005F6091">
        <w:rPr>
          <w:rFonts w:asciiTheme="minorHAnsi" w:hAnsiTheme="minorHAnsi" w:cstheme="minorHAnsi"/>
          <w:sz w:val="22"/>
          <w:szCs w:val="22"/>
        </w:rPr>
        <w:t xml:space="preserve"> hrají klíčovou roli parametry jako těkavost, rozpustnost ve vodě a lipidech, stabilita a molekulová hmotnost. Tyto vlastnosti určují rychlost pronikání látky do organismu a její zaměření na specifické orgány. Také rychlost distribuce látky, schopnost prostupovat buněčnými membránami a mechanismus vylučování ovlivňují intenzitu i trvání toxického účinku.</w:t>
      </w:r>
    </w:p>
    <w:p w14:paraId="7B790048" w14:textId="7160B3CE" w:rsidR="005F6091" w:rsidRPr="005F6091" w:rsidRDefault="005F6091" w:rsidP="005F6091">
      <w:pPr>
        <w:pStyle w:val="Normlnweb"/>
        <w:spacing w:before="0" w:beforeAutospacing="0" w:after="0" w:afterAutospacing="0" w:line="360" w:lineRule="auto"/>
        <w:ind w:firstLine="708"/>
        <w:jc w:val="both"/>
        <w:rPr>
          <w:rFonts w:asciiTheme="minorHAnsi" w:hAnsiTheme="minorHAnsi" w:cstheme="minorHAnsi"/>
          <w:sz w:val="22"/>
          <w:szCs w:val="22"/>
        </w:rPr>
      </w:pPr>
      <w:r w:rsidRPr="005F6091">
        <w:rPr>
          <w:rFonts w:asciiTheme="minorHAnsi" w:hAnsiTheme="minorHAnsi" w:cstheme="minorHAnsi"/>
          <w:sz w:val="22"/>
          <w:szCs w:val="22"/>
        </w:rPr>
        <w:t>Způsoby, jakými se BCHL mohou dostat do těla, zahrnují inhalaci, vstřebávání přes kůži, požití kontaminované potravy nebo vody, a dokonce i přímé pronikání do krevního oběhu</w:t>
      </w:r>
      <w:r w:rsidRPr="005F6091">
        <w:rPr>
          <w:rFonts w:asciiTheme="minorHAnsi" w:hAnsiTheme="minorHAnsi" w:cstheme="minorHAnsi"/>
          <w:b/>
          <w:bCs/>
          <w:sz w:val="22"/>
          <w:szCs w:val="22"/>
        </w:rPr>
        <w:t xml:space="preserve">. </w:t>
      </w:r>
      <w:r w:rsidRPr="005F6091">
        <w:rPr>
          <w:rStyle w:val="Siln"/>
          <w:rFonts w:asciiTheme="minorHAnsi" w:hAnsiTheme="minorHAnsi" w:cstheme="minorHAnsi"/>
          <w:b w:val="0"/>
          <w:bCs w:val="0"/>
          <w:sz w:val="22"/>
          <w:szCs w:val="22"/>
        </w:rPr>
        <w:t>Fusek a Patočka (2004)</w:t>
      </w:r>
      <w:r w:rsidRPr="005F6091">
        <w:rPr>
          <w:rFonts w:asciiTheme="minorHAnsi" w:hAnsiTheme="minorHAnsi" w:cstheme="minorHAnsi"/>
          <w:sz w:val="22"/>
          <w:szCs w:val="22"/>
        </w:rPr>
        <w:t xml:space="preserve"> poukazují na to, že každý z těchto mechanismů expozice výrazně ovlivňuje charakter otravy a její toxické dopady, což má důležitý význam pro ochranu a dekontaminaci.</w:t>
      </w:r>
    </w:p>
    <w:p w14:paraId="6C0CBB38" w14:textId="77777777" w:rsidR="005F6091" w:rsidRPr="005F6091" w:rsidRDefault="005F6091" w:rsidP="005F6091">
      <w:pPr>
        <w:pStyle w:val="Normlnweb"/>
        <w:spacing w:before="0" w:beforeAutospacing="0" w:after="0" w:afterAutospacing="0" w:line="360" w:lineRule="auto"/>
        <w:ind w:firstLine="708"/>
        <w:jc w:val="both"/>
        <w:rPr>
          <w:rFonts w:asciiTheme="minorHAnsi" w:hAnsiTheme="minorHAnsi" w:cstheme="minorHAnsi"/>
          <w:sz w:val="22"/>
          <w:szCs w:val="22"/>
        </w:rPr>
      </w:pPr>
      <w:r w:rsidRPr="005F6091">
        <w:rPr>
          <w:rFonts w:asciiTheme="minorHAnsi" w:hAnsiTheme="minorHAnsi" w:cstheme="minorHAnsi"/>
          <w:sz w:val="22"/>
          <w:szCs w:val="22"/>
        </w:rPr>
        <w:t>Celkově je možné BCHL klasifikovat podle rychlosti nástupu účinku, stability a způsobu působení. Takové rozdělení je zásadní nejen pro pochopení jejich nebezpečí, ale i pro rozvoj obranných mechanismů, ochranných opatření a příslušných legislativních rámců na ochranu obyvatelstva a přírody.</w:t>
      </w:r>
    </w:p>
    <w:p w14:paraId="2D6DAF3E" w14:textId="77777777" w:rsidR="005F6091" w:rsidRPr="005F6091" w:rsidRDefault="005F6091" w:rsidP="005F6091"/>
    <w:p w14:paraId="667D606B" w14:textId="2EE3B837" w:rsidR="00A83078" w:rsidRDefault="00A83078" w:rsidP="00A83078">
      <w:pPr>
        <w:pStyle w:val="Nadpis3"/>
      </w:pPr>
      <w:bookmarkStart w:id="18" w:name="_Toc183029531"/>
      <w:r w:rsidRPr="00A83078">
        <w:lastRenderedPageBreak/>
        <w:t>Smrtící BCHL</w:t>
      </w:r>
      <w:bookmarkEnd w:id="18"/>
    </w:p>
    <w:p w14:paraId="46C42C6C" w14:textId="35C39509" w:rsidR="00A83078" w:rsidRDefault="00A83078" w:rsidP="00A83078">
      <w:r w:rsidRPr="00A83078">
        <w:t>Smrtící BCHL představují jedny z nejnebezpečnějších zbraní, které byly v historii válečných konfliktů použity. Jejich primárním cílem je rychlé a účinné zneškodnění nebo zabití nepřátelských sil při minimálním množství látky, což se v minulosti ukázalo jako devastující. Tyto látky se vyznačují vysokou toxicitou, která zajišťuje, že i malá dávka může způsobit smrt nebo trvalé poškození zdraví. Díky svým smrtícím účinkům jsou tyto látky předmětem zájmu mezinárodních bezpečnostních organizací a jejich použití je striktně regulováno, nebo dokonce zakázáno Úmluvou o chemických zbraních (Bajgar, 2020).</w:t>
      </w:r>
    </w:p>
    <w:p w14:paraId="74C26D87" w14:textId="583AA0B0" w:rsidR="00A83078" w:rsidRDefault="00A83078" w:rsidP="00A83078">
      <w:pPr>
        <w:pStyle w:val="Nadpis3"/>
      </w:pPr>
      <w:bookmarkStart w:id="19" w:name="_Toc183029532"/>
      <w:r w:rsidRPr="00A83078">
        <w:t>Historie a vývoj smrtících BCHL</w:t>
      </w:r>
      <w:bookmarkEnd w:id="19"/>
    </w:p>
    <w:p w14:paraId="5B72EEE9" w14:textId="1372C892" w:rsidR="005F6091" w:rsidRDefault="005F6091" w:rsidP="00A83078">
      <w:r w:rsidRPr="005F6091">
        <w:t xml:space="preserve">Bojové chemické látky začaly být využívány během první světové války, kdy německá armáda v roce 1915 při bitvě u </w:t>
      </w:r>
      <w:proofErr w:type="spellStart"/>
      <w:r w:rsidRPr="005F6091">
        <w:t>Ypres</w:t>
      </w:r>
      <w:proofErr w:type="spellEnd"/>
      <w:r w:rsidRPr="005F6091">
        <w:t xml:space="preserve"> nasadila chlór jako první chemickou zbraň. Matoušek a Linhart (2005) upozorňují, že tento útok způsobil masivní ztráty na životech a stal se základem pro další vývoj nebezpečných látek, jako byly fosgen, difosgen a yperit. Tyto látky měly devastující účinky, zahrnující poškození plicní tkáně, závažné kožní popáleniny a často vedly k úmrtím nebo vážným zraněním. Úspěch těchto látek podnítil intenzivní výzkum chemických zbraní, který pokračoval i v meziválečném období.</w:t>
      </w:r>
    </w:p>
    <w:p w14:paraId="38B1BCD8" w14:textId="73C158A7" w:rsidR="00A83078" w:rsidRDefault="00A83078" w:rsidP="00A83078">
      <w:r>
        <w:t xml:space="preserve">Druhá světová válka pak přinesla další inovace v oblasti smrtících BCHL. I když nebyly ve válce nasazeny v takovém rozsahu jako během první světové války, došlo k vývoji nervově paralytických látek, jako je sarin, </w:t>
      </w:r>
      <w:proofErr w:type="spellStart"/>
      <w:r>
        <w:t>soman</w:t>
      </w:r>
      <w:proofErr w:type="spellEnd"/>
      <w:r>
        <w:t xml:space="preserve"> a tabun. Tyto látky vyvinuté německými chemiky, se zaměřily na narušení nervového systému obětí a zanechaly devastující následky. Během studené války pak pokračoval vývoj vysoce toxických nervově paralytických látek, zejména látky VX, která je známá svou extrémní toxicitou a schopností pronikat kůží (Kučera, 2018).</w:t>
      </w:r>
    </w:p>
    <w:p w14:paraId="7CD1ADF0" w14:textId="0DA868F0" w:rsidR="00A83078" w:rsidRDefault="00A83078" w:rsidP="00A83078">
      <w:pPr>
        <w:pStyle w:val="Nadpis3"/>
      </w:pPr>
      <w:bookmarkStart w:id="20" w:name="_Toc183029533"/>
      <w:r w:rsidRPr="00A83078">
        <w:t>Typologie smrtících BCHL</w:t>
      </w:r>
      <w:bookmarkEnd w:id="20"/>
    </w:p>
    <w:p w14:paraId="178CC8C1" w14:textId="77777777" w:rsidR="00A83078" w:rsidRDefault="00A83078" w:rsidP="00A83078">
      <w:r>
        <w:t>Smrtící BCHL lze rozdělit do několika kategorií podle jejich chemického složení, mechanismu působení a toxikologických vlastností:</w:t>
      </w:r>
    </w:p>
    <w:p w14:paraId="0EFE6437" w14:textId="74BACCD5" w:rsidR="00A83078" w:rsidRDefault="00A83078" w:rsidP="00A83078">
      <w:pPr>
        <w:pStyle w:val="Odstavecseseznamem"/>
        <w:numPr>
          <w:ilvl w:val="0"/>
          <w:numId w:val="20"/>
        </w:numPr>
      </w:pPr>
      <w:r w:rsidRPr="00A83078">
        <w:rPr>
          <w:b/>
          <w:bCs/>
        </w:rPr>
        <w:t>Nervově paralytické látky:</w:t>
      </w:r>
      <w:r>
        <w:t xml:space="preserve"> Mezi nejznámější patří sarin, </w:t>
      </w:r>
      <w:proofErr w:type="spellStart"/>
      <w:r>
        <w:t>soman</w:t>
      </w:r>
      <w:proofErr w:type="spellEnd"/>
      <w:r>
        <w:t xml:space="preserve">, tabun a VX. Tyto látky fungují jako inhibitory enzymu </w:t>
      </w:r>
      <w:proofErr w:type="spellStart"/>
      <w:r>
        <w:t>acetylcholinesterázy</w:t>
      </w:r>
      <w:proofErr w:type="spellEnd"/>
      <w:r>
        <w:t xml:space="preserve">, což způsobuje nadbytek acetylcholinu v nervových synapsích. Tento nadbytek vede k nekontrolovanému přenosu nervových impulsů, což způsobuje křeče, respirační selhání a v konečném důsledku smrt. Nervové látky působí velmi </w:t>
      </w:r>
      <w:r w:rsidR="001E26E9">
        <w:t>rychle,</w:t>
      </w:r>
      <w:r>
        <w:t xml:space="preserve"> a i malé dávky mohou být smrtelné (Bajgar, 1997).</w:t>
      </w:r>
    </w:p>
    <w:p w14:paraId="50574C20" w14:textId="77777777" w:rsidR="00A83078" w:rsidRDefault="00A83078" w:rsidP="00A83078">
      <w:pPr>
        <w:pStyle w:val="Odstavecseseznamem"/>
        <w:numPr>
          <w:ilvl w:val="0"/>
          <w:numId w:val="20"/>
        </w:numPr>
      </w:pPr>
      <w:r w:rsidRPr="00A83078">
        <w:rPr>
          <w:b/>
          <w:bCs/>
        </w:rPr>
        <w:lastRenderedPageBreak/>
        <w:t>Zpuchýřující látky (</w:t>
      </w:r>
      <w:proofErr w:type="spellStart"/>
      <w:r w:rsidRPr="00A83078">
        <w:rPr>
          <w:b/>
          <w:bCs/>
        </w:rPr>
        <w:t>vesikanty</w:t>
      </w:r>
      <w:proofErr w:type="spellEnd"/>
      <w:r w:rsidRPr="00A83078">
        <w:rPr>
          <w:b/>
          <w:bCs/>
        </w:rPr>
        <w:t>):</w:t>
      </w:r>
      <w:r>
        <w:t xml:space="preserve"> Yperit (hořčičný plyn) a lewisit jsou látky, které způsobují těžké poškození kůže, očí a dýchacích cest. Tyto látky po kontaktu s pokožkou nebo při vdechnutí vyvolávají puchýře a popáleniny, které mohou vést k dlouhodobému poškození. Působení těchto látek je relativně pomalé, příznaky se mohou projevit až po několika hodinách po expozici (Pilař, 2002).</w:t>
      </w:r>
    </w:p>
    <w:p w14:paraId="40103FAB" w14:textId="77777777" w:rsidR="00A83078" w:rsidRDefault="00A83078" w:rsidP="00A83078">
      <w:pPr>
        <w:pStyle w:val="Odstavecseseznamem"/>
        <w:numPr>
          <w:ilvl w:val="0"/>
          <w:numId w:val="20"/>
        </w:numPr>
      </w:pPr>
      <w:r w:rsidRPr="00A83078">
        <w:rPr>
          <w:b/>
          <w:bCs/>
        </w:rPr>
        <w:t>Dusivé látky:</w:t>
      </w:r>
      <w:r>
        <w:t xml:space="preserve"> Fosgen a chlorpikrin patří mezi látky, které primárně napadají dýchací systém. Po vdechnutí těchto plynů dochází k těžkému poškození plicní tkáně a následnému edému plic, což může způsobit udušení. Fosgen má zpožděný účinek, a proto se příznaky otravy mohou projevit až několik hodin po expozici, což může komplikovat diagnostiku a léčbu (</w:t>
      </w:r>
      <w:proofErr w:type="spellStart"/>
      <w:r>
        <w:t>Kassa</w:t>
      </w:r>
      <w:proofErr w:type="spellEnd"/>
      <w:r>
        <w:t>, 2018).</w:t>
      </w:r>
    </w:p>
    <w:p w14:paraId="35DA0C14" w14:textId="1513C1FC" w:rsidR="005F6091" w:rsidRPr="005F6091" w:rsidRDefault="00A83078" w:rsidP="005F6091">
      <w:pPr>
        <w:pStyle w:val="Odstavecseseznamem"/>
        <w:numPr>
          <w:ilvl w:val="0"/>
          <w:numId w:val="20"/>
        </w:numPr>
        <w:spacing w:after="0"/>
        <w:rPr>
          <w:lang w:val="cs-CZ"/>
        </w:rPr>
      </w:pPr>
      <w:r w:rsidRPr="00A83078">
        <w:rPr>
          <w:b/>
          <w:bCs/>
        </w:rPr>
        <w:t>Látky způsobující systémovou otravu:</w:t>
      </w:r>
      <w:r>
        <w:t xml:space="preserve"> </w:t>
      </w:r>
      <w:r w:rsidR="005F6091" w:rsidRPr="005F6091">
        <w:rPr>
          <w:lang w:val="cs-CZ"/>
        </w:rPr>
        <w:t>Látky způsobující systémovou otravu, jako je kyanovodík a kyanidy, narušují proces buněčného dýchání tím, že inhibují funkci cytochrom c oxidázy v mitochondriích. Patočka a Fusek (2019) upozorňují, že tento mechanismus vede k akutnímu nedostatku kyslíku v tkáních, což může mít za následek smrt. Tyto látky představují mimořádné riziko zejména v uzavřených prostorách, kde se rychle koncentrují na letální úroveň.</w:t>
      </w:r>
    </w:p>
    <w:p w14:paraId="1DCBED74" w14:textId="488A508D" w:rsidR="00A83078" w:rsidRDefault="00A83078" w:rsidP="00A83078">
      <w:pPr>
        <w:pStyle w:val="Nadpis3"/>
      </w:pPr>
      <w:bookmarkStart w:id="21" w:name="_Toc183029534"/>
      <w:r w:rsidRPr="00A83078">
        <w:t>Mechanismus účinku smrtících BCHL</w:t>
      </w:r>
      <w:bookmarkEnd w:id="21"/>
    </w:p>
    <w:p w14:paraId="6B58C197" w14:textId="3B89D28D" w:rsidR="005F6091" w:rsidRPr="005F6091" w:rsidRDefault="005F6091" w:rsidP="00955514">
      <w:pPr>
        <w:pStyle w:val="Normlnweb"/>
        <w:spacing w:before="0" w:beforeAutospacing="0" w:after="0" w:afterAutospacing="0" w:line="360" w:lineRule="auto"/>
        <w:ind w:firstLine="567"/>
        <w:jc w:val="both"/>
        <w:rPr>
          <w:rFonts w:asciiTheme="minorHAnsi" w:hAnsiTheme="minorHAnsi" w:cstheme="minorHAnsi"/>
          <w:sz w:val="22"/>
          <w:szCs w:val="22"/>
        </w:rPr>
      </w:pPr>
      <w:r w:rsidRPr="005F6091">
        <w:rPr>
          <w:rFonts w:asciiTheme="minorHAnsi" w:hAnsiTheme="minorHAnsi" w:cstheme="minorHAnsi"/>
          <w:sz w:val="22"/>
          <w:szCs w:val="22"/>
        </w:rPr>
        <w:t xml:space="preserve">Mechanismus působení smrtících bojových chemických látek (BCHL) spočívá v narušení klíčových biologických procesů v lidském těle. </w:t>
      </w:r>
      <w:r w:rsidRPr="005F6091">
        <w:rPr>
          <w:rStyle w:val="Siln"/>
          <w:rFonts w:asciiTheme="minorHAnsi" w:hAnsiTheme="minorHAnsi" w:cstheme="minorHAnsi"/>
          <w:b w:val="0"/>
          <w:bCs w:val="0"/>
          <w:sz w:val="22"/>
          <w:szCs w:val="22"/>
        </w:rPr>
        <w:t>Bajgar (2020)</w:t>
      </w:r>
      <w:r w:rsidRPr="005F6091">
        <w:rPr>
          <w:rFonts w:asciiTheme="minorHAnsi" w:hAnsiTheme="minorHAnsi" w:cstheme="minorHAnsi"/>
          <w:sz w:val="22"/>
          <w:szCs w:val="22"/>
        </w:rPr>
        <w:t xml:space="preserve"> vysvětluje, že nervově paralytické látky, jako je sarin, inhibují enzym </w:t>
      </w:r>
      <w:proofErr w:type="spellStart"/>
      <w:r w:rsidRPr="005F6091">
        <w:rPr>
          <w:rFonts w:asciiTheme="minorHAnsi" w:hAnsiTheme="minorHAnsi" w:cstheme="minorHAnsi"/>
          <w:sz w:val="22"/>
          <w:szCs w:val="22"/>
        </w:rPr>
        <w:t>acetylcholinesterázu</w:t>
      </w:r>
      <w:proofErr w:type="spellEnd"/>
      <w:r w:rsidRPr="005F6091">
        <w:rPr>
          <w:rFonts w:asciiTheme="minorHAnsi" w:hAnsiTheme="minorHAnsi" w:cstheme="minorHAnsi"/>
          <w:sz w:val="22"/>
          <w:szCs w:val="22"/>
        </w:rPr>
        <w:t xml:space="preserve">, což vede k hromadění acetylcholinu na synapsích, způsobuje svalové křeče, paralýzu a v konečném důsledku zástavu dýchání. Na druhé straně, </w:t>
      </w:r>
      <w:r w:rsidRPr="005F6091">
        <w:rPr>
          <w:rFonts w:asciiTheme="minorHAnsi" w:hAnsiTheme="minorHAnsi" w:cstheme="minorHAnsi"/>
          <w:b/>
          <w:bCs/>
          <w:sz w:val="22"/>
          <w:szCs w:val="22"/>
        </w:rPr>
        <w:t xml:space="preserve">podle </w:t>
      </w:r>
      <w:r w:rsidRPr="005F6091">
        <w:rPr>
          <w:rStyle w:val="Siln"/>
          <w:rFonts w:asciiTheme="minorHAnsi" w:hAnsiTheme="minorHAnsi" w:cstheme="minorHAnsi"/>
          <w:b w:val="0"/>
          <w:bCs w:val="0"/>
          <w:sz w:val="22"/>
          <w:szCs w:val="22"/>
        </w:rPr>
        <w:t>Matouška a Linharta (2005)</w:t>
      </w:r>
      <w:r w:rsidRPr="005F6091">
        <w:rPr>
          <w:rFonts w:asciiTheme="minorHAnsi" w:hAnsiTheme="minorHAnsi" w:cstheme="minorHAnsi"/>
          <w:b/>
          <w:bCs/>
          <w:sz w:val="22"/>
          <w:szCs w:val="22"/>
        </w:rPr>
        <w:t>,</w:t>
      </w:r>
      <w:r w:rsidRPr="005F6091">
        <w:rPr>
          <w:rFonts w:asciiTheme="minorHAnsi" w:hAnsiTheme="minorHAnsi" w:cstheme="minorHAnsi"/>
          <w:sz w:val="22"/>
          <w:szCs w:val="22"/>
        </w:rPr>
        <w:t xml:space="preserve"> dusivé látky, například fosgen, působí destruktivně na plicní tkáň, což vyvolává edém a může vést k udušení.</w:t>
      </w:r>
    </w:p>
    <w:p w14:paraId="44CAC58B" w14:textId="21EBAEE1" w:rsidR="00A83078" w:rsidRDefault="00A83078" w:rsidP="00A83078">
      <w:r>
        <w:t xml:space="preserve">Porozumění těmto mechanismům je klíčové pro vývoj účinných protilátek a léčebných postupů. Pro neutralizaci účinků nervových látek se například používá atropin, který blokuje působení acetylcholinu na nervové receptory, a </w:t>
      </w:r>
      <w:proofErr w:type="spellStart"/>
      <w:r>
        <w:t>pralidoxim</w:t>
      </w:r>
      <w:proofErr w:type="spellEnd"/>
      <w:r>
        <w:t xml:space="preserve">, který obnovuje funkci enzymu </w:t>
      </w:r>
      <w:proofErr w:type="spellStart"/>
      <w:r>
        <w:t>acetylcholinesterázy</w:t>
      </w:r>
      <w:proofErr w:type="spellEnd"/>
      <w:r>
        <w:t xml:space="preserve"> (Kučera, 2018).</w:t>
      </w:r>
    </w:p>
    <w:p w14:paraId="6705875E" w14:textId="74CC00F8" w:rsidR="00A83078" w:rsidRDefault="00A83078" w:rsidP="00A83078">
      <w:pPr>
        <w:pStyle w:val="Nadpis3"/>
      </w:pPr>
      <w:bookmarkStart w:id="22" w:name="_Toc183029535"/>
      <w:r w:rsidRPr="00A83078">
        <w:t>Ochrana a dekontaminace</w:t>
      </w:r>
      <w:bookmarkEnd w:id="22"/>
    </w:p>
    <w:p w14:paraId="59042C83" w14:textId="0197163C" w:rsidR="00A83078" w:rsidRDefault="00A83078" w:rsidP="00A83078">
      <w:pPr>
        <w:pStyle w:val="Nadpis2"/>
      </w:pPr>
      <w:bookmarkStart w:id="23" w:name="_Toc183029536"/>
      <w:r w:rsidRPr="00A83078">
        <w:t>Zneschopňující a oslabující BCHL</w:t>
      </w:r>
      <w:bookmarkEnd w:id="23"/>
    </w:p>
    <w:p w14:paraId="648205D0" w14:textId="3645C88A" w:rsidR="005F6091" w:rsidRPr="005F6091" w:rsidRDefault="005F6091" w:rsidP="005F6091">
      <w:pPr>
        <w:spacing w:after="0"/>
        <w:ind w:firstLine="576"/>
      </w:pPr>
      <w:r w:rsidRPr="005F6091">
        <w:t xml:space="preserve">Ochrana před smrtícími BCHL zahrnuje kombinaci preventivních opatření a efektivní reakce na expozici. </w:t>
      </w:r>
      <w:r w:rsidRPr="008107E7">
        <w:t>Bajgar (1997)</w:t>
      </w:r>
      <w:r w:rsidRPr="005F6091">
        <w:t xml:space="preserve"> zdůrazňuje význam používání ochranných masek, speciálních </w:t>
      </w:r>
      <w:r w:rsidRPr="005F6091">
        <w:lastRenderedPageBreak/>
        <w:t xml:space="preserve">ochranných obleků a provádění dekontaminace, která zahrnuje odstranění kontaminovaného oděvu a očištění pokožky pomocí vody a mýdla nebo dekontaminačních roztoků, jako je chloramin. </w:t>
      </w:r>
      <w:proofErr w:type="spellStart"/>
      <w:r w:rsidRPr="005F6091">
        <w:t>Kassa</w:t>
      </w:r>
      <w:proofErr w:type="spellEnd"/>
      <w:r w:rsidRPr="005F6091">
        <w:t xml:space="preserve"> (2018) doplňuje, že při expozici nervově paralytickým látkám mohou specifická </w:t>
      </w:r>
      <w:proofErr w:type="spellStart"/>
      <w:r w:rsidRPr="005F6091">
        <w:t>antidota</w:t>
      </w:r>
      <w:proofErr w:type="spellEnd"/>
      <w:r w:rsidRPr="005F6091">
        <w:t xml:space="preserve">, například atropin a </w:t>
      </w:r>
      <w:proofErr w:type="spellStart"/>
      <w:r w:rsidRPr="005F6091">
        <w:t>pralidoxim</w:t>
      </w:r>
      <w:proofErr w:type="spellEnd"/>
      <w:r w:rsidRPr="005F6091">
        <w:t>, významně snížit jejich toxické účinky. Rychlá reakce, jako je nasazení ochranné masky a opuštění kontaminované oblasti, je klíčová pro minimalizaci rizika.</w:t>
      </w:r>
    </w:p>
    <w:p w14:paraId="277BDBFB" w14:textId="6FB89399" w:rsidR="00951485" w:rsidRDefault="00951485" w:rsidP="00951485">
      <w:pPr>
        <w:pStyle w:val="Nadpis3"/>
      </w:pPr>
      <w:bookmarkStart w:id="24" w:name="_Toc183029537"/>
      <w:r w:rsidRPr="00951485">
        <w:t>Typy a vlastnosti zneschopňujících a oslabujících látek</w:t>
      </w:r>
      <w:bookmarkEnd w:id="24"/>
    </w:p>
    <w:p w14:paraId="48F699BD" w14:textId="77777777" w:rsidR="00951485" w:rsidRDefault="00951485" w:rsidP="00951485">
      <w:r>
        <w:t xml:space="preserve">Psychotropní látky, látky způsobující fyzickou neschopnost, </w:t>
      </w:r>
      <w:proofErr w:type="spellStart"/>
      <w:r>
        <w:t>lakrimátory</w:t>
      </w:r>
      <w:proofErr w:type="spellEnd"/>
      <w:r>
        <w:t xml:space="preserve"> a sternity patří mezi oslabující chemické látky s různými mechanismy účinku. Psychotropní látky ovlivňují psychiku zasaženého jedince, způsobují dezorientaci, halucinace a celkový psychický neklid. Příkladem je látka BZ (</w:t>
      </w:r>
      <w:proofErr w:type="gramStart"/>
      <w:r>
        <w:t>3-quinuclidinyl</w:t>
      </w:r>
      <w:proofErr w:type="gramEnd"/>
      <w:r>
        <w:t xml:space="preserve"> </w:t>
      </w:r>
      <w:proofErr w:type="spellStart"/>
      <w:r>
        <w:t>benzilate</w:t>
      </w:r>
      <w:proofErr w:type="spellEnd"/>
      <w:r>
        <w:t>), která vyvolává akutní delirium, úzkostné stavy a narušuje vnímání času a prostoru, čímž dočasně zcela zneschopňuje postiženého jedince (Bajgar, 2020).</w:t>
      </w:r>
    </w:p>
    <w:p w14:paraId="0D144BC2" w14:textId="6635C758" w:rsidR="008107E7" w:rsidRPr="008107E7" w:rsidRDefault="008107E7" w:rsidP="008107E7">
      <w:pPr>
        <w:rPr>
          <w:lang w:val="cs-CZ"/>
        </w:rPr>
      </w:pPr>
      <w:r w:rsidRPr="008107E7">
        <w:t>Chemické látky, které vedou k fyzickému oslabení, mohou způsobovat různé tělesné obtíže, jako jsou</w:t>
      </w:r>
      <w:r w:rsidRPr="008107E7">
        <w:rPr>
          <w:lang w:val="cs-CZ"/>
        </w:rPr>
        <w:t xml:space="preserve">výrazná nevolnost, bolesti nebo zvracení. </w:t>
      </w:r>
      <w:proofErr w:type="spellStart"/>
      <w:r w:rsidRPr="008107E7">
        <w:rPr>
          <w:lang w:val="cs-CZ"/>
        </w:rPr>
        <w:t>Kassa</w:t>
      </w:r>
      <w:proofErr w:type="spellEnd"/>
      <w:r w:rsidRPr="008107E7">
        <w:rPr>
          <w:lang w:val="cs-CZ"/>
        </w:rPr>
        <w:t xml:space="preserve"> (2018) uvádí, že </w:t>
      </w:r>
      <w:proofErr w:type="spellStart"/>
      <w:r w:rsidRPr="008107E7">
        <w:rPr>
          <w:lang w:val="cs-CZ"/>
        </w:rPr>
        <w:t>adamsit</w:t>
      </w:r>
      <w:proofErr w:type="spellEnd"/>
      <w:r w:rsidRPr="008107E7">
        <w:rPr>
          <w:lang w:val="cs-CZ"/>
        </w:rPr>
        <w:t xml:space="preserve"> (DM), dráždivý plyn, po vdechnutí vyvolává pálení v krku a na sliznicích, doprovázené intenzivním kašlem a nevolností, což znemožňuje postiženým pokračovat ve fyzické činnosti.</w:t>
      </w:r>
    </w:p>
    <w:p w14:paraId="5EAB150F" w14:textId="77777777" w:rsidR="008107E7" w:rsidRPr="008107E7" w:rsidRDefault="008107E7" w:rsidP="008107E7">
      <w:pPr>
        <w:rPr>
          <w:lang w:val="cs-CZ"/>
        </w:rPr>
      </w:pPr>
      <w:r w:rsidRPr="008107E7">
        <w:rPr>
          <w:lang w:val="cs-CZ"/>
        </w:rPr>
        <w:t xml:space="preserve">Slzotvorné látky, známé jako </w:t>
      </w:r>
      <w:proofErr w:type="spellStart"/>
      <w:r w:rsidRPr="008107E7">
        <w:rPr>
          <w:lang w:val="cs-CZ"/>
        </w:rPr>
        <w:t>lakrimátory</w:t>
      </w:r>
      <w:proofErr w:type="spellEnd"/>
      <w:r w:rsidRPr="008107E7">
        <w:rPr>
          <w:lang w:val="cs-CZ"/>
        </w:rPr>
        <w:t>, se často používají nejen ve vojenských operacích, ale i při zásazích bezpečnostních složek při nepokojích. Patočka a Fusek (2019) zdůrazňují, že látky jako CS (</w:t>
      </w:r>
      <w:proofErr w:type="spellStart"/>
      <w:r w:rsidRPr="008107E7">
        <w:rPr>
          <w:lang w:val="cs-CZ"/>
        </w:rPr>
        <w:t>ortho-chlorbenzylidenmalonitril</w:t>
      </w:r>
      <w:proofErr w:type="spellEnd"/>
      <w:r w:rsidRPr="008107E7">
        <w:rPr>
          <w:lang w:val="cs-CZ"/>
        </w:rPr>
        <w:t>) a CN (</w:t>
      </w:r>
      <w:proofErr w:type="spellStart"/>
      <w:r w:rsidRPr="008107E7">
        <w:rPr>
          <w:lang w:val="cs-CZ"/>
        </w:rPr>
        <w:t>chloracetofenon</w:t>
      </w:r>
      <w:proofErr w:type="spellEnd"/>
      <w:r w:rsidRPr="008107E7">
        <w:rPr>
          <w:lang w:val="cs-CZ"/>
        </w:rPr>
        <w:t>) způsobují intenzivní podráždění očí, slzení, kašel a kýchání, čímž dočasně eliminují schopnost odporu u zasažených osob.</w:t>
      </w:r>
    </w:p>
    <w:p w14:paraId="74EF9F50" w14:textId="531FE6EB" w:rsidR="00951485" w:rsidRPr="00951485" w:rsidRDefault="00951485" w:rsidP="00951485">
      <w:r>
        <w:t xml:space="preserve">Sternity dráždí horní cesty dýchací a způsobují kašel, křeče a pocit dušení. Tyto látky jsou nasazovány k oslabení nepřítele a zabránění jeho pohybu v zasažené oblasti. Příkladem je </w:t>
      </w:r>
      <w:proofErr w:type="spellStart"/>
      <w:r>
        <w:t>adamsit</w:t>
      </w:r>
      <w:proofErr w:type="spellEnd"/>
      <w:r>
        <w:t xml:space="preserve"> (DM), který vyvolává extrémní pálení v krku, podráždění očí, nosu a úst a silné kašlání (</w:t>
      </w:r>
      <w:proofErr w:type="spellStart"/>
      <w:r>
        <w:t>Pitschmann</w:t>
      </w:r>
      <w:proofErr w:type="spellEnd"/>
      <w:r>
        <w:t>, 2020).</w:t>
      </w:r>
    </w:p>
    <w:p w14:paraId="4CFF496A" w14:textId="040CBE98" w:rsidR="00951485" w:rsidRDefault="00951485" w:rsidP="00951485">
      <w:pPr>
        <w:pStyle w:val="Nadpis3"/>
      </w:pPr>
      <w:bookmarkStart w:id="25" w:name="_Toc183029538"/>
      <w:r w:rsidRPr="00951485">
        <w:t>Historie a vývoj zneschopňujících a oslabujících BCHL</w:t>
      </w:r>
      <w:bookmarkEnd w:id="25"/>
    </w:p>
    <w:p w14:paraId="127109B8" w14:textId="5066B749" w:rsidR="00951485" w:rsidRDefault="00951485" w:rsidP="00951485">
      <w:r w:rsidRPr="00951485">
        <w:t>Zneschopňující a oslabující BCHL prošly významným vývojem od svého prvního použití v první světové válce, kdy byly nasazovány dráždivé látky, jako je chlorpikrin, až po studenou válku, kdy se testovaly psychoaktivní látky, například BZ (</w:t>
      </w:r>
      <w:proofErr w:type="gramStart"/>
      <w:r w:rsidRPr="00951485">
        <w:t>3-quinuclidinyl</w:t>
      </w:r>
      <w:proofErr w:type="gramEnd"/>
      <w:r w:rsidRPr="00951485">
        <w:t>-benzilát), způsobující halucinace a dezorientaci (</w:t>
      </w:r>
      <w:proofErr w:type="spellStart"/>
      <w:r w:rsidRPr="00951485">
        <w:t>Pitschmann</w:t>
      </w:r>
      <w:proofErr w:type="spellEnd"/>
      <w:r w:rsidRPr="00951485">
        <w:t xml:space="preserve">, 2001). Tyto látky byly vyvíjeny zejména jako nástroje k dočasné paralýze nebo oslabení protivníka, aniž by přímo vedly k úmrtí. V současnosti se </w:t>
      </w:r>
      <w:r w:rsidRPr="00951485">
        <w:lastRenderedPageBreak/>
        <w:t>zneschopňující látky, například slzné plyny CS a CN, využívají především při kontrole davu, přičemž jejich použití upravuje Úmluva o chemických zbraních z roku 1993 (Halámek &amp; Kobliha, 2002). Vývoj se zaměřuje na minimalizaci zdravotních následků a přesnější účinky těchto látek, i když jejich použití nadále vyvolává etické otázky spojené s možnými dlouhodobými dopady na zdraví (</w:t>
      </w:r>
      <w:proofErr w:type="spellStart"/>
      <w:r w:rsidRPr="00951485">
        <w:t>Pitschmann</w:t>
      </w:r>
      <w:proofErr w:type="spellEnd"/>
      <w:r w:rsidRPr="00951485">
        <w:t>, 2008).</w:t>
      </w:r>
    </w:p>
    <w:p w14:paraId="7AE8BBAB" w14:textId="0604232B" w:rsidR="00951485" w:rsidRDefault="00951485" w:rsidP="00951485">
      <w:pPr>
        <w:pStyle w:val="Nadpis3"/>
      </w:pPr>
      <w:bookmarkStart w:id="26" w:name="_Toc183029539"/>
      <w:r w:rsidRPr="00951485">
        <w:t>Mechanismy účinku</w:t>
      </w:r>
      <w:bookmarkEnd w:id="26"/>
    </w:p>
    <w:p w14:paraId="756039EA" w14:textId="0CD9A337" w:rsidR="008107E7" w:rsidRPr="008107E7" w:rsidRDefault="008107E7" w:rsidP="008107E7">
      <w:r w:rsidRPr="008107E7">
        <w:t xml:space="preserve">Zneschopňující BCHL ovlivňují lidský organismus buď prostřednictvím centrální nervové soustavy, což je typické pro psychotropní látky, nebo přímým podrážděním sliznic dýchacího a trávicího traktu, což je běžné u sternitů a </w:t>
      </w:r>
      <w:proofErr w:type="spellStart"/>
      <w:r w:rsidRPr="008107E7">
        <w:t>lakrimátorů</w:t>
      </w:r>
      <w:proofErr w:type="spellEnd"/>
      <w:r w:rsidRPr="008107E7">
        <w:t>. Patočka a Fusek (2019) uvádějí, že psychotropní látky, jako je BZ, působí blokací acetylcholinových receptorů, což vyvolává stavy zmatení, halucinace a další psychické poruchy. Slzotvorné látky, například CS a CN, způsobují okamžité podráždění očí a dýchacích cest, čímž rychle vyřazují zasažené osoby z činnosti.</w:t>
      </w:r>
    </w:p>
    <w:p w14:paraId="433B576F" w14:textId="6EF78A90" w:rsidR="00951485" w:rsidRDefault="00951485" w:rsidP="00951485">
      <w:pPr>
        <w:pStyle w:val="Nadpis3"/>
      </w:pPr>
      <w:bookmarkStart w:id="27" w:name="_Toc183029540"/>
      <w:r w:rsidRPr="00951485">
        <w:t>Bezpečnostní opatření a dekontaminace</w:t>
      </w:r>
      <w:bookmarkEnd w:id="27"/>
    </w:p>
    <w:p w14:paraId="2386077C" w14:textId="7139073B" w:rsidR="00CC61AB" w:rsidRPr="00951485" w:rsidRDefault="00951485" w:rsidP="00951485">
      <w:r>
        <w:t>Protože se zneschopňující BCHL nepoužívají primárně jako smrtící prostředky, je obvykle možné příznaky zasažení zmírnit rychlým odstraněním postiženého jedince z kontaminované oblasti a jeho dekontaminací. Typická první pomoc zahrnuje výplach očí, sliznic a pokožky čistou vodou nebo mírným roztokem sody. V závažnějších případech je možné nasadit léky, které zmírní dráždivé a bolestivé účinky (Kučera, 2018).</w:t>
      </w:r>
    </w:p>
    <w:p w14:paraId="2DF2E68E" w14:textId="35528E1D" w:rsidR="00D51BCC" w:rsidRDefault="00951485" w:rsidP="00951485">
      <w:pPr>
        <w:pStyle w:val="Nadpis2"/>
        <w:rPr>
          <w:lang w:val="cs-CZ"/>
        </w:rPr>
      </w:pPr>
      <w:bookmarkStart w:id="28" w:name="_Toc183029541"/>
      <w:r w:rsidRPr="00951485">
        <w:rPr>
          <w:lang w:val="cs-CZ"/>
        </w:rPr>
        <w:t>BCHL určené k zasažení rostlinstva</w:t>
      </w:r>
      <w:bookmarkEnd w:id="28"/>
      <w:r w:rsidRPr="00951485">
        <w:rPr>
          <w:lang w:val="cs-CZ"/>
        </w:rPr>
        <w:t xml:space="preserve"> </w:t>
      </w:r>
    </w:p>
    <w:p w14:paraId="778BF575" w14:textId="77777777" w:rsidR="00951485" w:rsidRPr="00951485" w:rsidRDefault="00951485" w:rsidP="00951485">
      <w:pPr>
        <w:ind w:firstLine="708"/>
        <w:rPr>
          <w:rFonts w:cstheme="minorHAnsi"/>
        </w:rPr>
      </w:pPr>
      <w:r w:rsidRPr="00951485">
        <w:rPr>
          <w:rFonts w:cstheme="minorHAnsi"/>
        </w:rPr>
        <w:t>BCHL zaměřené na rostlinstvo lze rozdělit podle jejich chemického složení a způsobu účinku:</w:t>
      </w:r>
    </w:p>
    <w:p w14:paraId="4F546F8E" w14:textId="77777777" w:rsidR="00951485" w:rsidRPr="00951485" w:rsidRDefault="00951485" w:rsidP="00951485">
      <w:pPr>
        <w:rPr>
          <w:rFonts w:cstheme="minorHAnsi"/>
        </w:rPr>
      </w:pPr>
      <w:proofErr w:type="spellStart"/>
      <w:r w:rsidRPr="00951485">
        <w:rPr>
          <w:rFonts w:cstheme="minorHAnsi"/>
          <w:b/>
        </w:rPr>
        <w:t>Fenoxykyselinové</w:t>
      </w:r>
      <w:proofErr w:type="spellEnd"/>
      <w:r w:rsidRPr="00951485">
        <w:rPr>
          <w:rFonts w:cstheme="minorHAnsi"/>
          <w:b/>
        </w:rPr>
        <w:t xml:space="preserve"> herbicidy:</w:t>
      </w:r>
      <w:r w:rsidRPr="00951485">
        <w:rPr>
          <w:rFonts w:cstheme="minorHAnsi"/>
        </w:rPr>
        <w:t xml:space="preserve"> jako jsou 2,4-D a 2,4,5-T, byly široce studovány pro jejich účinky na růst rostlin. Podle </w:t>
      </w:r>
      <w:proofErr w:type="spellStart"/>
      <w:r w:rsidRPr="00951485">
        <w:rPr>
          <w:rFonts w:cstheme="minorHAnsi"/>
        </w:rPr>
        <w:t>Pitschmanna</w:t>
      </w:r>
      <w:proofErr w:type="spellEnd"/>
      <w:r w:rsidRPr="00951485">
        <w:rPr>
          <w:rFonts w:cstheme="minorHAnsi"/>
        </w:rPr>
        <w:t xml:space="preserve"> (2008) fungují jako syntetické auxiny, které vedou k nekontrolovanému růstu rostlin a následně k jejich odumírání.</w:t>
      </w:r>
    </w:p>
    <w:p w14:paraId="754883B5" w14:textId="33DF4BCC" w:rsidR="00951485" w:rsidRPr="00951485" w:rsidRDefault="00951485" w:rsidP="00951485">
      <w:pPr>
        <w:rPr>
          <w:rFonts w:cstheme="minorHAnsi"/>
        </w:rPr>
      </w:pPr>
      <w:r w:rsidRPr="00951485">
        <w:rPr>
          <w:rFonts w:cstheme="minorHAnsi"/>
          <w:b/>
        </w:rPr>
        <w:t>Dioxiny:</w:t>
      </w:r>
      <w:r w:rsidRPr="00951485">
        <w:rPr>
          <w:rFonts w:cstheme="minorHAnsi"/>
        </w:rPr>
        <w:t xml:space="preserve"> </w:t>
      </w:r>
      <w:r w:rsidR="008107E7" w:rsidRPr="008107E7">
        <w:rPr>
          <w:rFonts w:cstheme="minorHAnsi"/>
        </w:rPr>
        <w:t xml:space="preserve">Dioxiny, například TCDD, jsou vysoce toxické látky, které představují závažné riziko pro zdraví. Jak uvádí Bajgar (1997) a Patočka a Fusek (2019), tyto sloučeniny vznikají jako vedlejší produkty při výrobě </w:t>
      </w:r>
      <w:proofErr w:type="spellStart"/>
      <w:r w:rsidR="008107E7" w:rsidRPr="008107E7">
        <w:rPr>
          <w:rFonts w:cstheme="minorHAnsi"/>
        </w:rPr>
        <w:t>fenoxykyselinových</w:t>
      </w:r>
      <w:proofErr w:type="spellEnd"/>
      <w:r w:rsidR="008107E7" w:rsidRPr="008107E7">
        <w:rPr>
          <w:rFonts w:cstheme="minorHAnsi"/>
        </w:rPr>
        <w:t xml:space="preserve"> herbicidů, což zvyšuje jejich nebezpečnost zejména v kontextu jejich použití a kontaminace životního prostředí.</w:t>
      </w:r>
    </w:p>
    <w:p w14:paraId="79F1B0E2" w14:textId="77777777" w:rsidR="00951485" w:rsidRPr="00951485" w:rsidRDefault="00951485" w:rsidP="00951485">
      <w:pPr>
        <w:rPr>
          <w:rFonts w:cstheme="minorHAnsi"/>
        </w:rPr>
      </w:pPr>
      <w:r w:rsidRPr="00951485">
        <w:rPr>
          <w:rFonts w:cstheme="minorHAnsi"/>
          <w:b/>
        </w:rPr>
        <w:t>Arzenové herbicidy:</w:t>
      </w:r>
      <w:r w:rsidRPr="00951485">
        <w:rPr>
          <w:rFonts w:cstheme="minorHAnsi"/>
        </w:rPr>
        <w:t xml:space="preserve"> tyto látky na bázi arzenu jsou účinné, avšak problematické z hlediska dlouhodobé kontaminace půdy a vody. </w:t>
      </w:r>
      <w:proofErr w:type="spellStart"/>
      <w:r w:rsidRPr="00951485">
        <w:rPr>
          <w:rFonts w:cstheme="minorHAnsi"/>
        </w:rPr>
        <w:t>Kassa</w:t>
      </w:r>
      <w:proofErr w:type="spellEnd"/>
      <w:r w:rsidRPr="00951485">
        <w:rPr>
          <w:rFonts w:cstheme="minorHAnsi"/>
        </w:rPr>
        <w:t xml:space="preserve"> (2018) zdůrazňuje, že jejich toxicita zasahuje jak rostliny, tak další složky ekosystému.</w:t>
      </w:r>
    </w:p>
    <w:p w14:paraId="6E3952E8" w14:textId="576E4712" w:rsidR="00951485" w:rsidRPr="00951485" w:rsidRDefault="00951485" w:rsidP="00951485">
      <w:pPr>
        <w:rPr>
          <w:rFonts w:cstheme="minorHAnsi"/>
        </w:rPr>
      </w:pPr>
      <w:r w:rsidRPr="00951485">
        <w:rPr>
          <w:rFonts w:cstheme="minorHAnsi"/>
          <w:b/>
        </w:rPr>
        <w:lastRenderedPageBreak/>
        <w:t>Defolianty a desikanty:</w:t>
      </w:r>
      <w:r w:rsidRPr="00951485">
        <w:rPr>
          <w:rFonts w:cstheme="minorHAnsi"/>
        </w:rPr>
        <w:t xml:space="preserve"> jako je </w:t>
      </w:r>
      <w:proofErr w:type="spellStart"/>
      <w:r w:rsidRPr="00951485">
        <w:rPr>
          <w:rFonts w:cstheme="minorHAnsi"/>
        </w:rPr>
        <w:t>paraquat</w:t>
      </w:r>
      <w:proofErr w:type="spellEnd"/>
      <w:r w:rsidRPr="00951485">
        <w:rPr>
          <w:rFonts w:cstheme="minorHAnsi"/>
        </w:rPr>
        <w:t>, působí cíleným narušením fotosyntézy, což vede k rychlé destrukci listové hmoty rostlin. Tyto látky byly využívány například ve válečných konfliktech, jak uvádí Pilař (2002).</w:t>
      </w:r>
    </w:p>
    <w:p w14:paraId="282E899D" w14:textId="04A27EFD" w:rsidR="00951485" w:rsidRPr="003C79A0" w:rsidRDefault="00951485" w:rsidP="00951485">
      <w:pPr>
        <w:pStyle w:val="Nadpis3"/>
      </w:pPr>
      <w:bookmarkStart w:id="29" w:name="_Toc182946181"/>
      <w:bookmarkStart w:id="30" w:name="_Toc183029542"/>
      <w:r w:rsidRPr="003C79A0">
        <w:t>Mechanismus účinku na rostlinstvo</w:t>
      </w:r>
      <w:bookmarkEnd w:id="29"/>
      <w:bookmarkEnd w:id="30"/>
    </w:p>
    <w:p w14:paraId="1C622547" w14:textId="77777777" w:rsidR="00951485" w:rsidRPr="00951485" w:rsidRDefault="00951485" w:rsidP="00951485">
      <w:pPr>
        <w:ind w:firstLine="708"/>
        <w:rPr>
          <w:rFonts w:cstheme="minorHAnsi"/>
        </w:rPr>
      </w:pPr>
      <w:r w:rsidRPr="00951485">
        <w:rPr>
          <w:rFonts w:cstheme="minorHAnsi"/>
        </w:rPr>
        <w:t xml:space="preserve">Většina chemických látek určených k zasažení vegetace působí přímo na rostlinný hormonální systém. Herbicidy napodobují přirozené růstové hormony rostlin, jako je auxin, a vedou k jejich nekontrolovanému růstu nebo k přímému poškození růstových buněk. To způsobuje deformace, vadnutí, a nakonec smrt rostliny. Defolianty, jako je Agent Orange, mají spíše </w:t>
      </w:r>
      <w:proofErr w:type="spellStart"/>
      <w:r w:rsidRPr="00951485">
        <w:rPr>
          <w:rFonts w:cstheme="minorHAnsi"/>
        </w:rPr>
        <w:t>desikantní</w:t>
      </w:r>
      <w:proofErr w:type="spellEnd"/>
      <w:r w:rsidRPr="00951485">
        <w:rPr>
          <w:rFonts w:cstheme="minorHAnsi"/>
        </w:rPr>
        <w:t xml:space="preserve"> účinek, při kterém rostliny vysychají a jsou neschopné přežít (Bajgar, 2020).</w:t>
      </w:r>
    </w:p>
    <w:p w14:paraId="7C3CD514" w14:textId="7976A393" w:rsidR="00951485" w:rsidRPr="003C79A0" w:rsidRDefault="00951485" w:rsidP="00951485">
      <w:pPr>
        <w:pStyle w:val="Nadpis3"/>
      </w:pPr>
      <w:bookmarkStart w:id="31" w:name="_Toc182946182"/>
      <w:bookmarkStart w:id="32" w:name="_Toc183029543"/>
      <w:r w:rsidRPr="003C79A0">
        <w:t>Dopady na životní prostředí a lidské zdraví</w:t>
      </w:r>
      <w:bookmarkEnd w:id="31"/>
      <w:bookmarkEnd w:id="32"/>
    </w:p>
    <w:p w14:paraId="44C75AA0" w14:textId="3CA9635E" w:rsidR="00951485" w:rsidRPr="00951485" w:rsidRDefault="00951485" w:rsidP="00951485">
      <w:pPr>
        <w:rPr>
          <w:rFonts w:cstheme="minorHAnsi"/>
        </w:rPr>
      </w:pPr>
      <w:r w:rsidRPr="00951485">
        <w:rPr>
          <w:rFonts w:cstheme="minorHAnsi"/>
        </w:rPr>
        <w:t>Použití BCHL na vegetaci může mít závažné ekologické a zdravotní následky. Herbicidy mohou zůstat v půdě a vodě po dlouhou dobu a kontaminovat oblasti, kde byly použity, což představuje riziko pro zvířata i lidské obyvatelstvo. V případě Agent Orange byly zasažené oblasti ve Vietnamu kontaminovány dioxiny, což vedlo k dlouhodobým zdravotním problémům místních obyvatel, včetně zvýšeného výskytu rakoviny, vrozených vad a jiných závažných nemocí (Pilař, 2002).</w:t>
      </w:r>
    </w:p>
    <w:p w14:paraId="40AE7F7E" w14:textId="19A9AA61" w:rsidR="00951485" w:rsidRPr="00951485" w:rsidRDefault="00951485" w:rsidP="00951485">
      <w:pPr>
        <w:pStyle w:val="Nadpis2"/>
        <w:rPr>
          <w:rFonts w:cstheme="minorHAnsi"/>
          <w:sz w:val="24"/>
          <w:szCs w:val="24"/>
        </w:rPr>
      </w:pPr>
      <w:bookmarkStart w:id="33" w:name="_Toc182946183"/>
      <w:r w:rsidRPr="003C79A0">
        <w:t xml:space="preserve"> </w:t>
      </w:r>
      <w:bookmarkStart w:id="34" w:name="_Toc183029544"/>
      <w:r w:rsidRPr="003C79A0">
        <w:t>Klasifikace podle účinku na organismus</w:t>
      </w:r>
      <w:bookmarkEnd w:id="33"/>
      <w:bookmarkEnd w:id="34"/>
    </w:p>
    <w:p w14:paraId="015DD806" w14:textId="77777777" w:rsidR="00951485" w:rsidRPr="00951485" w:rsidRDefault="00951485" w:rsidP="00951485">
      <w:pPr>
        <w:rPr>
          <w:rFonts w:cstheme="minorHAnsi"/>
        </w:rPr>
      </w:pPr>
      <w:r w:rsidRPr="003C79A0">
        <w:rPr>
          <w:rFonts w:cstheme="minorHAnsi"/>
          <w:sz w:val="24"/>
          <w:szCs w:val="24"/>
        </w:rPr>
        <w:tab/>
      </w:r>
      <w:r w:rsidRPr="00951485">
        <w:rPr>
          <w:rFonts w:cstheme="minorHAnsi"/>
        </w:rPr>
        <w:t>V dalších kapitolách budou detailně rozděleny BCHL podle účinku s detailním popisem.</w:t>
      </w:r>
    </w:p>
    <w:p w14:paraId="08350A17" w14:textId="2B26B048" w:rsidR="00951485" w:rsidRPr="00951485" w:rsidRDefault="00951485" w:rsidP="00951485">
      <w:pPr>
        <w:pStyle w:val="Nadpis3"/>
        <w:rPr>
          <w:sz w:val="22"/>
          <w:szCs w:val="22"/>
        </w:rPr>
      </w:pPr>
      <w:bookmarkStart w:id="35" w:name="_Toc182946184"/>
      <w:r w:rsidRPr="00951485">
        <w:rPr>
          <w:sz w:val="22"/>
          <w:szCs w:val="22"/>
        </w:rPr>
        <w:t xml:space="preserve"> </w:t>
      </w:r>
      <w:bookmarkStart w:id="36" w:name="_Toc183029545"/>
      <w:r w:rsidRPr="00951485">
        <w:rPr>
          <w:sz w:val="22"/>
          <w:szCs w:val="22"/>
        </w:rPr>
        <w:t>Nervově paralytické látky</w:t>
      </w:r>
      <w:bookmarkEnd w:id="35"/>
      <w:bookmarkEnd w:id="36"/>
    </w:p>
    <w:p w14:paraId="638C1503" w14:textId="74F16E7A" w:rsidR="008107E7" w:rsidRDefault="008107E7" w:rsidP="00951485">
      <w:pPr>
        <w:ind w:firstLine="708"/>
        <w:rPr>
          <w:rFonts w:cstheme="minorHAnsi"/>
        </w:rPr>
      </w:pPr>
      <w:r w:rsidRPr="008107E7">
        <w:rPr>
          <w:rFonts w:cstheme="minorHAnsi"/>
        </w:rPr>
        <w:t>Nervově paralytické látky (NPL) jsou považovány za jedny z nejtoxičtějších chemických sloučenin využívaných ve vojenských operacích. Jak uvádějí Bajgar (2008) a Mika a Patočka</w:t>
      </w:r>
      <w:r w:rsidRPr="008107E7">
        <w:rPr>
          <w:rFonts w:cstheme="minorHAnsi"/>
          <w:b/>
          <w:bCs/>
        </w:rPr>
        <w:t xml:space="preserve"> </w:t>
      </w:r>
      <w:r w:rsidRPr="008107E7">
        <w:rPr>
          <w:rFonts w:cstheme="minorHAnsi"/>
        </w:rPr>
        <w:t xml:space="preserve">(2007), tyto látky lze rozdělit do dvou hlavních skupin: G látky, mezi které patří tabun (GA), sarin (GB), </w:t>
      </w:r>
      <w:proofErr w:type="spellStart"/>
      <w:r w:rsidRPr="008107E7">
        <w:rPr>
          <w:rFonts w:cstheme="minorHAnsi"/>
        </w:rPr>
        <w:t>soman</w:t>
      </w:r>
      <w:proofErr w:type="spellEnd"/>
      <w:r w:rsidRPr="008107E7">
        <w:rPr>
          <w:rFonts w:cstheme="minorHAnsi"/>
        </w:rPr>
        <w:t xml:space="preserve"> (GD) a </w:t>
      </w:r>
      <w:proofErr w:type="spellStart"/>
      <w:r w:rsidRPr="008107E7">
        <w:rPr>
          <w:rFonts w:cstheme="minorHAnsi"/>
        </w:rPr>
        <w:t>cyklosin</w:t>
      </w:r>
      <w:proofErr w:type="spellEnd"/>
      <w:r w:rsidRPr="008107E7">
        <w:rPr>
          <w:rFonts w:cstheme="minorHAnsi"/>
        </w:rPr>
        <w:t xml:space="preserve"> (GF), a V látky, zahrnující například VX nebo R-33. Každá z těchto skupin se liší těkavostí a dalšími fyzikálně-chemickými vlastnostmi, které zásadně ovlivňují jejich schopnost šířit se v prostředí.</w:t>
      </w:r>
    </w:p>
    <w:p w14:paraId="6CFCB99D" w14:textId="77777777" w:rsidR="00567883" w:rsidRDefault="00567883" w:rsidP="00567883">
      <w:pPr>
        <w:ind w:firstLine="0"/>
        <w:rPr>
          <w:rFonts w:cstheme="minorHAnsi"/>
        </w:rPr>
      </w:pPr>
    </w:p>
    <w:p w14:paraId="17176B97" w14:textId="562BE4FE" w:rsidR="00951485" w:rsidRDefault="00951485" w:rsidP="00567883">
      <w:pPr>
        <w:ind w:firstLine="0"/>
        <w:rPr>
          <w:rFonts w:cstheme="minorHAnsi"/>
          <w:b/>
          <w:bCs/>
        </w:rPr>
      </w:pPr>
      <w:r w:rsidRPr="00951485">
        <w:rPr>
          <w:rFonts w:cstheme="minorHAnsi"/>
          <w:b/>
          <w:bCs/>
        </w:rPr>
        <w:t>Fyzikálně-chemické vlastnosti</w:t>
      </w:r>
    </w:p>
    <w:p w14:paraId="5777D49D" w14:textId="74F5B181" w:rsidR="008107E7" w:rsidRPr="008107E7" w:rsidRDefault="008107E7" w:rsidP="00951485">
      <w:pPr>
        <w:rPr>
          <w:rFonts w:cstheme="minorHAnsi"/>
        </w:rPr>
      </w:pPr>
      <w:r w:rsidRPr="008107E7">
        <w:rPr>
          <w:rFonts w:cstheme="minorHAnsi"/>
        </w:rPr>
        <w:t xml:space="preserve">Nervově paralytické látky (NPL), patřící do skupiny organických fosforových sloučenin, mohou pronikat do těla různými cestami, například inhalací, absorpcí kůží nebo požitím. Fusek </w:t>
      </w:r>
      <w:r w:rsidRPr="008107E7">
        <w:rPr>
          <w:rFonts w:cstheme="minorHAnsi"/>
        </w:rPr>
        <w:lastRenderedPageBreak/>
        <w:t>a Patočka et al. (2004) upozorňují, že tyto látky způsobují rychlé a závažné otravy, čímž představují vážné zdravotní riziko. Podobné sloučeniny se využívají i v průmyslu, například jako insekticidy, což může vést k neúmyslné expozici a intoxikaci u civilní populace.</w:t>
      </w:r>
    </w:p>
    <w:p w14:paraId="788746BC" w14:textId="5A471F30" w:rsidR="00951485" w:rsidRDefault="00951485" w:rsidP="00951485">
      <w:pPr>
        <w:ind w:firstLine="708"/>
        <w:rPr>
          <w:rFonts w:cstheme="minorHAnsi"/>
        </w:rPr>
      </w:pPr>
      <w:r w:rsidRPr="00951485">
        <w:rPr>
          <w:rFonts w:cstheme="minorHAnsi"/>
        </w:rPr>
        <w:t>Nervově paralytické látky mají rozmanité fyzikálně-chemické vlastnosti, které jsou klíčové pro jejich toxicitu a chování v prostředí.</w:t>
      </w:r>
    </w:p>
    <w:p w14:paraId="74107E94" w14:textId="77777777" w:rsidR="00B97B20" w:rsidRDefault="00B97B20" w:rsidP="00067C46">
      <w:pPr>
        <w:ind w:firstLine="0"/>
        <w:rPr>
          <w:rFonts w:cstheme="minorHAnsi"/>
          <w:b/>
          <w:bCs/>
        </w:rPr>
      </w:pPr>
    </w:p>
    <w:p w14:paraId="0AC8359D" w14:textId="4DF8DDF8" w:rsidR="00B97B20" w:rsidRDefault="00B97B20" w:rsidP="00B97B20">
      <w:pPr>
        <w:pStyle w:val="obrzky"/>
        <w:spacing w:after="0"/>
      </w:pPr>
      <w:bookmarkStart w:id="37" w:name="_Toc182989482"/>
      <w:bookmarkStart w:id="38" w:name="_Toc182992397"/>
      <w:r w:rsidRPr="00B97B20">
        <w:t xml:space="preserve">Obrázek </w:t>
      </w:r>
      <w:r>
        <w:t>2</w:t>
      </w:r>
      <w:r w:rsidRPr="00B97B20">
        <w:t>.</w:t>
      </w:r>
      <w:bookmarkEnd w:id="37"/>
      <w:bookmarkEnd w:id="38"/>
    </w:p>
    <w:p w14:paraId="4238A7DC" w14:textId="2AEFEE7A" w:rsidR="00067C46" w:rsidRPr="00067C46" w:rsidRDefault="00B97B20" w:rsidP="00B97B20">
      <w:pPr>
        <w:spacing w:after="0"/>
        <w:ind w:firstLine="0"/>
        <w:rPr>
          <w:rFonts w:cstheme="minorHAnsi"/>
          <w:b/>
          <w:bCs/>
        </w:rPr>
      </w:pPr>
      <w:r w:rsidRPr="00DD7786">
        <w:rPr>
          <w:rFonts w:cstheme="minorHAnsi"/>
          <w:i/>
          <w:iCs/>
        </w:rPr>
        <w:t>Vybrané fyzikálně-chemické vlastnosti některých NPL (</w:t>
      </w:r>
      <w:proofErr w:type="spellStart"/>
      <w:r w:rsidRPr="00DD7786">
        <w:rPr>
          <w:rFonts w:cstheme="minorHAnsi"/>
          <w:i/>
          <w:iCs/>
        </w:rPr>
        <w:t>Ramesh</w:t>
      </w:r>
      <w:proofErr w:type="spellEnd"/>
      <w:r w:rsidRPr="00DD7786">
        <w:rPr>
          <w:rFonts w:cstheme="minorHAnsi"/>
          <w:i/>
          <w:iCs/>
        </w:rPr>
        <w:t xml:space="preserve"> C. </w:t>
      </w:r>
      <w:proofErr w:type="spellStart"/>
      <w:r w:rsidRPr="00DD7786">
        <w:rPr>
          <w:rFonts w:cstheme="minorHAnsi"/>
          <w:i/>
          <w:iCs/>
        </w:rPr>
        <w:t>Gupta</w:t>
      </w:r>
      <w:proofErr w:type="spellEnd"/>
      <w:r>
        <w:rPr>
          <w:rFonts w:cstheme="minorHAnsi"/>
          <w:i/>
          <w:iCs/>
        </w:rPr>
        <w:t xml:space="preserve"> 2015).</w:t>
      </w:r>
    </w:p>
    <w:p w14:paraId="78B1940D" w14:textId="77777777" w:rsidR="00951485" w:rsidRDefault="00951485" w:rsidP="00951485">
      <w:pPr>
        <w:ind w:firstLine="708"/>
        <w:jc w:val="center"/>
        <w:rPr>
          <w:rFonts w:cstheme="minorHAnsi"/>
          <w:sz w:val="24"/>
          <w:szCs w:val="24"/>
        </w:rPr>
      </w:pPr>
      <w:r>
        <w:rPr>
          <w:rFonts w:cstheme="minorHAnsi"/>
          <w:noProof/>
          <w:sz w:val="24"/>
          <w:szCs w:val="24"/>
        </w:rPr>
        <w:drawing>
          <wp:inline distT="0" distB="0" distL="0" distR="0" wp14:anchorId="28D0EA81" wp14:editId="1A36D27A">
            <wp:extent cx="5029200" cy="4546902"/>
            <wp:effectExtent l="0" t="0" r="0" b="6350"/>
            <wp:docPr id="1219969662" name="Obrázek 8"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69662" name="Obrázek 8" descr="Obsah obrázku text, snímek obrazovky, číslo, Písmo&#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2987" cy="4550326"/>
                    </a:xfrm>
                    <a:prstGeom prst="rect">
                      <a:avLst/>
                    </a:prstGeom>
                    <a:noFill/>
                    <a:ln>
                      <a:noFill/>
                    </a:ln>
                  </pic:spPr>
                </pic:pic>
              </a:graphicData>
            </a:graphic>
          </wp:inline>
        </w:drawing>
      </w:r>
    </w:p>
    <w:p w14:paraId="4F89BD5E" w14:textId="0B9A3D02" w:rsidR="00951485" w:rsidRPr="00DD7786" w:rsidRDefault="00951485" w:rsidP="00951485">
      <w:pPr>
        <w:ind w:firstLine="708"/>
        <w:jc w:val="center"/>
        <w:rPr>
          <w:rFonts w:cstheme="minorHAnsi"/>
          <w:i/>
          <w:iCs/>
        </w:rPr>
      </w:pPr>
      <w:proofErr w:type="spellStart"/>
      <w:r w:rsidRPr="00DD7786">
        <w:rPr>
          <w:rFonts w:cstheme="minorHAnsi"/>
          <w:i/>
          <w:iCs/>
        </w:rPr>
        <w:t>Ramesh</w:t>
      </w:r>
      <w:proofErr w:type="spellEnd"/>
      <w:r w:rsidRPr="00DD7786">
        <w:rPr>
          <w:rFonts w:cstheme="minorHAnsi"/>
          <w:i/>
          <w:iCs/>
        </w:rPr>
        <w:t xml:space="preserve"> C. </w:t>
      </w:r>
      <w:proofErr w:type="spellStart"/>
      <w:r w:rsidRPr="00DD7786">
        <w:rPr>
          <w:rFonts w:cstheme="minorHAnsi"/>
          <w:i/>
          <w:iCs/>
        </w:rPr>
        <w:t>Gupta</w:t>
      </w:r>
      <w:proofErr w:type="spellEnd"/>
      <w:r>
        <w:rPr>
          <w:rFonts w:cstheme="minorHAnsi"/>
          <w:i/>
          <w:iCs/>
        </w:rPr>
        <w:t xml:space="preserve"> 2015</w:t>
      </w:r>
      <w:r w:rsidRPr="00DD7786">
        <w:rPr>
          <w:rFonts w:cstheme="minorHAnsi"/>
          <w:i/>
          <w:iCs/>
        </w:rPr>
        <w:t xml:space="preserve">: Handbook </w:t>
      </w:r>
      <w:proofErr w:type="spellStart"/>
      <w:r w:rsidRPr="00DD7786">
        <w:rPr>
          <w:rFonts w:cstheme="minorHAnsi"/>
          <w:i/>
          <w:iCs/>
        </w:rPr>
        <w:t>of</w:t>
      </w:r>
      <w:proofErr w:type="spellEnd"/>
      <w:r w:rsidRPr="00DD7786">
        <w:rPr>
          <w:rFonts w:cstheme="minorHAnsi"/>
          <w:i/>
          <w:iCs/>
        </w:rPr>
        <w:t xml:space="preserve"> </w:t>
      </w:r>
      <w:proofErr w:type="spellStart"/>
      <w:r w:rsidRPr="00DD7786">
        <w:rPr>
          <w:rFonts w:cstheme="minorHAnsi"/>
          <w:i/>
          <w:iCs/>
        </w:rPr>
        <w:t>Toxicology</w:t>
      </w:r>
      <w:proofErr w:type="spellEnd"/>
      <w:r w:rsidRPr="00DD7786">
        <w:rPr>
          <w:rFonts w:cstheme="minorHAnsi"/>
          <w:i/>
          <w:iCs/>
        </w:rPr>
        <w:t xml:space="preserve"> </w:t>
      </w:r>
      <w:proofErr w:type="spellStart"/>
      <w:r w:rsidRPr="00DD7786">
        <w:rPr>
          <w:rFonts w:cstheme="minorHAnsi"/>
          <w:i/>
          <w:iCs/>
        </w:rPr>
        <w:t>of</w:t>
      </w:r>
      <w:proofErr w:type="spellEnd"/>
      <w:r w:rsidRPr="00DD7786">
        <w:rPr>
          <w:rFonts w:cstheme="minorHAnsi"/>
          <w:i/>
          <w:iCs/>
        </w:rPr>
        <w:t xml:space="preserve"> </w:t>
      </w:r>
      <w:proofErr w:type="spellStart"/>
      <w:r w:rsidRPr="00DD7786">
        <w:rPr>
          <w:rFonts w:cstheme="minorHAnsi"/>
          <w:i/>
          <w:iCs/>
        </w:rPr>
        <w:t>Chemical</w:t>
      </w:r>
      <w:proofErr w:type="spellEnd"/>
      <w:r w:rsidRPr="00DD7786">
        <w:rPr>
          <w:rFonts w:cstheme="minorHAnsi"/>
          <w:i/>
          <w:iCs/>
        </w:rPr>
        <w:t xml:space="preserve"> </w:t>
      </w:r>
      <w:proofErr w:type="spellStart"/>
      <w:r w:rsidRPr="00DD7786">
        <w:rPr>
          <w:rFonts w:cstheme="minorHAnsi"/>
          <w:i/>
          <w:iCs/>
        </w:rPr>
        <w:t>Warfare</w:t>
      </w:r>
      <w:proofErr w:type="spellEnd"/>
      <w:r w:rsidRPr="00DD7786">
        <w:rPr>
          <w:rFonts w:cstheme="minorHAnsi"/>
          <w:i/>
          <w:iCs/>
        </w:rPr>
        <w:t xml:space="preserve"> </w:t>
      </w:r>
      <w:proofErr w:type="spellStart"/>
      <w:r w:rsidR="001E26E9" w:rsidRPr="00DD7786">
        <w:rPr>
          <w:rFonts w:cstheme="minorHAnsi"/>
          <w:i/>
          <w:iCs/>
        </w:rPr>
        <w:t>Agents</w:t>
      </w:r>
      <w:proofErr w:type="spellEnd"/>
      <w:r w:rsidR="001E26E9">
        <w:rPr>
          <w:rFonts w:cstheme="minorHAnsi"/>
          <w:i/>
          <w:iCs/>
        </w:rPr>
        <w:t>)</w:t>
      </w:r>
    </w:p>
    <w:p w14:paraId="7232A8B8" w14:textId="77777777" w:rsidR="00951485" w:rsidRPr="003C79A0" w:rsidRDefault="00951485" w:rsidP="00951485">
      <w:pPr>
        <w:ind w:firstLine="708"/>
        <w:rPr>
          <w:rFonts w:cstheme="minorHAnsi"/>
          <w:sz w:val="24"/>
          <w:szCs w:val="24"/>
        </w:rPr>
      </w:pPr>
    </w:p>
    <w:p w14:paraId="1C7F986D" w14:textId="77777777" w:rsidR="00951485" w:rsidRPr="00951485" w:rsidRDefault="00951485" w:rsidP="00FA4103">
      <w:pPr>
        <w:ind w:firstLine="0"/>
        <w:rPr>
          <w:rFonts w:cstheme="minorHAnsi"/>
          <w:b/>
          <w:bCs/>
        </w:rPr>
      </w:pPr>
      <w:r w:rsidRPr="00951485">
        <w:rPr>
          <w:rFonts w:cstheme="minorHAnsi"/>
          <w:b/>
          <w:bCs/>
        </w:rPr>
        <w:t>Mechanismus účinku na organismus</w:t>
      </w:r>
    </w:p>
    <w:p w14:paraId="32DF722E" w14:textId="66B2D214" w:rsidR="00FA4103" w:rsidRDefault="009E5F9F" w:rsidP="00B97B20">
      <w:pPr>
        <w:ind w:firstLine="708"/>
        <w:rPr>
          <w:rFonts w:cstheme="minorHAnsi"/>
        </w:rPr>
      </w:pPr>
      <w:r w:rsidRPr="009E5F9F">
        <w:rPr>
          <w:rFonts w:cstheme="minorHAnsi"/>
        </w:rPr>
        <w:t xml:space="preserve">Nervově paralytické látky (NPL) působí svou schopností inhibovat enzym </w:t>
      </w:r>
      <w:proofErr w:type="spellStart"/>
      <w:r w:rsidRPr="009E5F9F">
        <w:rPr>
          <w:rFonts w:cstheme="minorHAnsi"/>
        </w:rPr>
        <w:t>acetylcholinesterázu</w:t>
      </w:r>
      <w:proofErr w:type="spellEnd"/>
      <w:r w:rsidRPr="009E5F9F">
        <w:rPr>
          <w:rFonts w:cstheme="minorHAnsi"/>
        </w:rPr>
        <w:t xml:space="preserve">, čímž narušují normální přenos nervových impulsů. Bajgar a Patočka et al. (2008) vysvětlují, že tato inhibice způsobuje hromadění acetylcholinu, což vede k nadměrné stimulaci </w:t>
      </w:r>
      <w:proofErr w:type="spellStart"/>
      <w:r w:rsidRPr="009E5F9F">
        <w:rPr>
          <w:rFonts w:cstheme="minorHAnsi"/>
        </w:rPr>
        <w:t>cholinergních</w:t>
      </w:r>
      <w:proofErr w:type="spellEnd"/>
      <w:r w:rsidRPr="009E5F9F">
        <w:rPr>
          <w:rFonts w:cstheme="minorHAnsi"/>
        </w:rPr>
        <w:t xml:space="preserve"> receptorů. Výsledkem je široká škála příznaků, včetně zvýšené sekrece tělesných tekutin, respiračního selhání a kardiovaskulárních obtíží.</w:t>
      </w:r>
    </w:p>
    <w:p w14:paraId="5696A69B" w14:textId="77777777" w:rsidR="00955514" w:rsidRPr="00951485" w:rsidRDefault="00955514" w:rsidP="00B97B20">
      <w:pPr>
        <w:ind w:firstLine="708"/>
        <w:rPr>
          <w:rFonts w:cstheme="minorHAnsi"/>
        </w:rPr>
      </w:pPr>
    </w:p>
    <w:p w14:paraId="41D0AB1F" w14:textId="77777777" w:rsidR="00951485" w:rsidRPr="00951485" w:rsidRDefault="00951485" w:rsidP="00FA4103">
      <w:pPr>
        <w:ind w:firstLine="0"/>
        <w:rPr>
          <w:rFonts w:cstheme="minorHAnsi"/>
          <w:b/>
          <w:bCs/>
        </w:rPr>
      </w:pPr>
      <w:r w:rsidRPr="00951485">
        <w:rPr>
          <w:rFonts w:cstheme="minorHAnsi"/>
          <w:b/>
          <w:bCs/>
        </w:rPr>
        <w:t>Toxicita</w:t>
      </w:r>
    </w:p>
    <w:p w14:paraId="54D1E9C4" w14:textId="7F7D06EE" w:rsidR="00FA4103" w:rsidRDefault="009E5F9F" w:rsidP="00951485">
      <w:pPr>
        <w:ind w:firstLine="708"/>
        <w:rPr>
          <w:rFonts w:cstheme="minorHAnsi"/>
        </w:rPr>
      </w:pPr>
      <w:r w:rsidRPr="009E5F9F">
        <w:rPr>
          <w:rFonts w:cstheme="minorHAnsi"/>
        </w:rPr>
        <w:t>Toxicita NPL je mimořádná i při nízkých dávkách. Jak uvádějí Bajgar v Patočka et al. (2008), rozdílné hodnoty LCt50 a LD50 mezi G a V látkami ukazují jejich variabilní schopnost způsobovat smrt. Tabulkové hodnoty pro inhalaci i dermální expozici podtrhují vysoké riziko intoxikace.</w:t>
      </w:r>
    </w:p>
    <w:p w14:paraId="60E51E82" w14:textId="77777777" w:rsidR="00955514" w:rsidRPr="00951485" w:rsidRDefault="00955514" w:rsidP="00951485">
      <w:pPr>
        <w:ind w:firstLine="708"/>
        <w:rPr>
          <w:rFonts w:cstheme="minorHAnsi"/>
        </w:rPr>
      </w:pPr>
    </w:p>
    <w:p w14:paraId="5B664594" w14:textId="77777777" w:rsidR="00951485" w:rsidRPr="00951485" w:rsidRDefault="00951485" w:rsidP="00FA4103">
      <w:pPr>
        <w:ind w:firstLine="0"/>
        <w:rPr>
          <w:rFonts w:cstheme="minorHAnsi"/>
          <w:b/>
          <w:bCs/>
        </w:rPr>
      </w:pPr>
      <w:r w:rsidRPr="00951485">
        <w:rPr>
          <w:rFonts w:cstheme="minorHAnsi"/>
          <w:b/>
          <w:bCs/>
        </w:rPr>
        <w:t>Příznaky intoxikace</w:t>
      </w:r>
    </w:p>
    <w:p w14:paraId="77EAFD4C" w14:textId="16BFF885" w:rsidR="00FA4103" w:rsidRDefault="009E5F9F" w:rsidP="00951485">
      <w:pPr>
        <w:ind w:firstLine="708"/>
        <w:rPr>
          <w:rFonts w:cstheme="minorHAnsi"/>
        </w:rPr>
      </w:pPr>
      <w:r w:rsidRPr="009E5F9F">
        <w:rPr>
          <w:rFonts w:cstheme="minorHAnsi"/>
        </w:rPr>
        <w:t xml:space="preserve">Akutní otrava těmito látkami, známá jako </w:t>
      </w:r>
      <w:proofErr w:type="spellStart"/>
      <w:r w:rsidRPr="009E5F9F">
        <w:rPr>
          <w:rFonts w:cstheme="minorHAnsi"/>
        </w:rPr>
        <w:t>cholinergní</w:t>
      </w:r>
      <w:proofErr w:type="spellEnd"/>
      <w:r w:rsidRPr="009E5F9F">
        <w:rPr>
          <w:rFonts w:cstheme="minorHAnsi"/>
        </w:rPr>
        <w:t xml:space="preserve"> krize, vyvolává muskarinové, nikotinové a centrální příznaky. Bajgar </w:t>
      </w:r>
      <w:r>
        <w:rPr>
          <w:rFonts w:cstheme="minorHAnsi"/>
        </w:rPr>
        <w:t>a</w:t>
      </w:r>
      <w:r w:rsidRPr="009E5F9F">
        <w:rPr>
          <w:rFonts w:cstheme="minorHAnsi"/>
        </w:rPr>
        <w:t xml:space="preserve"> Fusek et al. (2008) popisují například zúžení zornic, svalové křeče a neurologické projevy, jako jsou závratě, bolest hlavy a ztráta vědomí.</w:t>
      </w:r>
    </w:p>
    <w:p w14:paraId="645C1476" w14:textId="77777777" w:rsidR="00955514" w:rsidRPr="00951485" w:rsidRDefault="00955514" w:rsidP="00951485">
      <w:pPr>
        <w:ind w:firstLine="708"/>
        <w:rPr>
          <w:rFonts w:cstheme="minorHAnsi"/>
        </w:rPr>
      </w:pPr>
    </w:p>
    <w:p w14:paraId="0B9BBBDE" w14:textId="28A7270A" w:rsidR="00951485" w:rsidRDefault="00951485" w:rsidP="00FA4103">
      <w:pPr>
        <w:ind w:firstLine="0"/>
        <w:rPr>
          <w:rFonts w:cstheme="minorHAnsi"/>
          <w:b/>
          <w:bCs/>
        </w:rPr>
      </w:pPr>
      <w:r w:rsidRPr="00951485">
        <w:rPr>
          <w:rFonts w:cstheme="minorHAnsi"/>
          <w:b/>
          <w:bCs/>
        </w:rPr>
        <w:t>Léčba a ochrana</w:t>
      </w:r>
    </w:p>
    <w:p w14:paraId="5ACA1085" w14:textId="7B00F71D" w:rsidR="009E5F9F" w:rsidRPr="009E5F9F" w:rsidRDefault="009E5F9F" w:rsidP="00FA4103">
      <w:pPr>
        <w:ind w:firstLine="0"/>
        <w:rPr>
          <w:rFonts w:cstheme="minorHAnsi"/>
        </w:rPr>
      </w:pPr>
      <w:r>
        <w:rPr>
          <w:rFonts w:cstheme="minorHAnsi"/>
          <w:b/>
          <w:bCs/>
        </w:rPr>
        <w:tab/>
      </w:r>
      <w:r w:rsidRPr="009E5F9F">
        <w:rPr>
          <w:rFonts w:cstheme="minorHAnsi"/>
        </w:rPr>
        <w:t xml:space="preserve">Rychlé přerušení expozice a nasazení specifických </w:t>
      </w:r>
      <w:proofErr w:type="spellStart"/>
      <w:r w:rsidRPr="009E5F9F">
        <w:rPr>
          <w:rFonts w:cstheme="minorHAnsi"/>
        </w:rPr>
        <w:t>antidot</w:t>
      </w:r>
      <w:proofErr w:type="spellEnd"/>
      <w:r w:rsidRPr="009E5F9F">
        <w:rPr>
          <w:rFonts w:cstheme="minorHAnsi"/>
        </w:rPr>
        <w:t xml:space="preserve"> jsou klíčovými kroky léčby. Bajgar v Patočka et al. (2008) uvádějí, že atropin a reaktivátory </w:t>
      </w:r>
      <w:proofErr w:type="spellStart"/>
      <w:r w:rsidRPr="009E5F9F">
        <w:rPr>
          <w:rFonts w:cstheme="minorHAnsi"/>
        </w:rPr>
        <w:t>cholinesteráz</w:t>
      </w:r>
      <w:proofErr w:type="spellEnd"/>
      <w:r w:rsidRPr="009E5F9F">
        <w:rPr>
          <w:rFonts w:cstheme="minorHAnsi"/>
        </w:rPr>
        <w:t xml:space="preserve">, jako je </w:t>
      </w:r>
      <w:proofErr w:type="spellStart"/>
      <w:r w:rsidRPr="009E5F9F">
        <w:rPr>
          <w:rFonts w:cstheme="minorHAnsi"/>
        </w:rPr>
        <w:t>methoxim</w:t>
      </w:r>
      <w:proofErr w:type="spellEnd"/>
      <w:r w:rsidRPr="009E5F9F">
        <w:rPr>
          <w:rFonts w:cstheme="minorHAnsi"/>
        </w:rPr>
        <w:t xml:space="preserve">, patří k základním lékům, zatímco diazepam je využíván k tlumení křečí. Prevence intoxikace zahrnuje použití ochranných prostředků a farmakologickou profylaxi, například pomocí </w:t>
      </w:r>
      <w:proofErr w:type="spellStart"/>
      <w:r w:rsidRPr="009E5F9F">
        <w:rPr>
          <w:rFonts w:cstheme="minorHAnsi"/>
        </w:rPr>
        <w:t>PANPALu</w:t>
      </w:r>
      <w:proofErr w:type="spellEnd"/>
      <w:r w:rsidRPr="009E5F9F">
        <w:rPr>
          <w:rFonts w:cstheme="minorHAnsi"/>
        </w:rPr>
        <w:t xml:space="preserve">, který obsahuje </w:t>
      </w:r>
      <w:proofErr w:type="spellStart"/>
      <w:r w:rsidRPr="009E5F9F">
        <w:rPr>
          <w:rFonts w:cstheme="minorHAnsi"/>
        </w:rPr>
        <w:t>pyridostigmin</w:t>
      </w:r>
      <w:proofErr w:type="spellEnd"/>
      <w:r w:rsidRPr="009E5F9F">
        <w:rPr>
          <w:rFonts w:cstheme="minorHAnsi"/>
        </w:rPr>
        <w:t xml:space="preserve"> a další látky. </w:t>
      </w:r>
    </w:p>
    <w:p w14:paraId="0B5992F4" w14:textId="7F7C50E0" w:rsidR="00951485" w:rsidRPr="00951485" w:rsidRDefault="00951485" w:rsidP="00951485">
      <w:pPr>
        <w:pStyle w:val="Nadpis3"/>
        <w:rPr>
          <w:sz w:val="22"/>
          <w:szCs w:val="22"/>
        </w:rPr>
      </w:pPr>
      <w:bookmarkStart w:id="39" w:name="_Toc182946185"/>
      <w:bookmarkStart w:id="40" w:name="_Toc183029546"/>
      <w:r w:rsidRPr="00951485">
        <w:rPr>
          <w:sz w:val="22"/>
          <w:szCs w:val="22"/>
        </w:rPr>
        <w:t>Zpuchýřující látky</w:t>
      </w:r>
      <w:bookmarkEnd w:id="39"/>
      <w:bookmarkEnd w:id="40"/>
    </w:p>
    <w:p w14:paraId="289EA156" w14:textId="6E27A21F" w:rsidR="009E5F9F" w:rsidRPr="009E5F9F" w:rsidRDefault="009E5F9F" w:rsidP="009E5F9F">
      <w:pPr>
        <w:rPr>
          <w:rFonts w:cstheme="minorHAnsi"/>
          <w:sz w:val="24"/>
          <w:szCs w:val="24"/>
        </w:rPr>
      </w:pPr>
      <w:r w:rsidRPr="009E5F9F">
        <w:rPr>
          <w:rFonts w:cstheme="minorHAnsi"/>
          <w:sz w:val="24"/>
          <w:szCs w:val="24"/>
        </w:rPr>
        <w:t xml:space="preserve">Zpuchýřující látky, například yperit, lewisit nebo </w:t>
      </w:r>
      <w:proofErr w:type="spellStart"/>
      <w:r w:rsidRPr="009E5F9F">
        <w:rPr>
          <w:rFonts w:cstheme="minorHAnsi"/>
          <w:sz w:val="24"/>
          <w:szCs w:val="24"/>
        </w:rPr>
        <w:t>fosgenoxim</w:t>
      </w:r>
      <w:proofErr w:type="spellEnd"/>
      <w:r w:rsidRPr="009E5F9F">
        <w:rPr>
          <w:rFonts w:cstheme="minorHAnsi"/>
          <w:sz w:val="24"/>
          <w:szCs w:val="24"/>
        </w:rPr>
        <w:t xml:space="preserve">, způsobují závažná poškození tkání, která se špatně hojí. </w:t>
      </w:r>
      <w:proofErr w:type="spellStart"/>
      <w:r w:rsidRPr="009E5F9F">
        <w:rPr>
          <w:rFonts w:cstheme="minorHAnsi"/>
          <w:sz w:val="24"/>
          <w:szCs w:val="24"/>
        </w:rPr>
        <w:t>Kassa</w:t>
      </w:r>
      <w:proofErr w:type="spellEnd"/>
      <w:r w:rsidRPr="009E5F9F">
        <w:rPr>
          <w:rFonts w:cstheme="minorHAnsi"/>
          <w:sz w:val="24"/>
          <w:szCs w:val="24"/>
        </w:rPr>
        <w:t xml:space="preserve"> </w:t>
      </w:r>
      <w:r>
        <w:rPr>
          <w:rFonts w:cstheme="minorHAnsi"/>
          <w:sz w:val="24"/>
          <w:szCs w:val="24"/>
        </w:rPr>
        <w:t>a</w:t>
      </w:r>
      <w:r w:rsidRPr="009E5F9F">
        <w:rPr>
          <w:rFonts w:cstheme="minorHAnsi"/>
          <w:sz w:val="24"/>
          <w:szCs w:val="24"/>
        </w:rPr>
        <w:t xml:space="preserve"> Fusek et al. (2004) uvádějí, že poškození bývá doprovázeno zánětlivě nekrotickými procesy, které mohou vést k dlouhodobému zneschopnění. Klinické příznaky zahrnují tvorbu puchýřů, zarudnutí a otoky v místě expozice.</w:t>
      </w:r>
    </w:p>
    <w:p w14:paraId="09B61DF8" w14:textId="77777777" w:rsidR="00FA4103" w:rsidRDefault="00FA4103" w:rsidP="009E5F9F">
      <w:pPr>
        <w:spacing w:after="160" w:line="259" w:lineRule="auto"/>
        <w:ind w:left="708" w:firstLine="0"/>
        <w:contextualSpacing w:val="0"/>
        <w:jc w:val="left"/>
        <w:rPr>
          <w:rFonts w:cstheme="minorHAnsi"/>
          <w:sz w:val="24"/>
          <w:szCs w:val="24"/>
        </w:rPr>
      </w:pPr>
      <w:r>
        <w:rPr>
          <w:rFonts w:cstheme="minorHAnsi"/>
          <w:sz w:val="24"/>
          <w:szCs w:val="24"/>
        </w:rPr>
        <w:br w:type="page"/>
      </w:r>
    </w:p>
    <w:p w14:paraId="42EAB50E" w14:textId="3F85C3D2" w:rsidR="00951485" w:rsidRPr="00FA4103" w:rsidRDefault="00951485" w:rsidP="00FA4103">
      <w:pPr>
        <w:ind w:firstLine="0"/>
        <w:rPr>
          <w:rFonts w:cstheme="minorHAnsi"/>
          <w:sz w:val="24"/>
          <w:szCs w:val="24"/>
        </w:rPr>
      </w:pPr>
      <w:r w:rsidRPr="00053201">
        <w:rPr>
          <w:rFonts w:cstheme="minorHAnsi"/>
          <w:b/>
          <w:bCs/>
          <w:sz w:val="24"/>
          <w:szCs w:val="24"/>
        </w:rPr>
        <w:lastRenderedPageBreak/>
        <w:t>Fyzikálně-chemické vlastnosti</w:t>
      </w:r>
    </w:p>
    <w:p w14:paraId="058CCF59" w14:textId="711D452C" w:rsidR="00B97B20" w:rsidRPr="00FA4103" w:rsidRDefault="009E5F9F" w:rsidP="00FA4103">
      <w:pPr>
        <w:ind w:firstLine="708"/>
        <w:rPr>
          <w:rFonts w:cstheme="minorHAnsi"/>
          <w:sz w:val="24"/>
          <w:szCs w:val="24"/>
        </w:rPr>
      </w:pPr>
      <w:r w:rsidRPr="009E5F9F">
        <w:rPr>
          <w:rFonts w:cstheme="minorHAnsi"/>
          <w:sz w:val="24"/>
          <w:szCs w:val="24"/>
        </w:rPr>
        <w:t>Zpuchýřující látky jsou známé svou rozpustností, která je nízká ve vodě, ale vysoká v organických rozpouštědlech. Tyto látky se vyznačují také typickým zápachem – například yperit má vůni podobnou křenu nebo spálené gumě, zatímco lewisit připomíná pelargonie (</w:t>
      </w:r>
      <w:proofErr w:type="spellStart"/>
      <w:r w:rsidRPr="009E5F9F">
        <w:rPr>
          <w:rFonts w:cstheme="minorHAnsi"/>
          <w:sz w:val="24"/>
          <w:szCs w:val="24"/>
        </w:rPr>
        <w:t>Kassa</w:t>
      </w:r>
      <w:proofErr w:type="spellEnd"/>
      <w:r w:rsidRPr="009E5F9F">
        <w:rPr>
          <w:rFonts w:cstheme="minorHAnsi"/>
          <w:sz w:val="24"/>
          <w:szCs w:val="24"/>
        </w:rPr>
        <w:t xml:space="preserve"> a Fusek et al., 2004</w:t>
      </w:r>
      <w:r>
        <w:rPr>
          <w:rFonts w:cstheme="minorHAnsi"/>
          <w:sz w:val="24"/>
          <w:szCs w:val="24"/>
        </w:rPr>
        <w:t>).</w:t>
      </w:r>
      <w:r w:rsidR="00951485" w:rsidRPr="003C79A0">
        <w:rPr>
          <w:rFonts w:cstheme="minorHAnsi"/>
          <w:sz w:val="24"/>
          <w:szCs w:val="24"/>
        </w:rPr>
        <w:t xml:space="preserve"> </w:t>
      </w:r>
    </w:p>
    <w:p w14:paraId="3576B8E1" w14:textId="3D62FCCA" w:rsidR="00B97B20" w:rsidRDefault="00B97B20" w:rsidP="00B97B20">
      <w:pPr>
        <w:pStyle w:val="obrzky"/>
        <w:spacing w:after="0"/>
      </w:pPr>
      <w:bookmarkStart w:id="41" w:name="_Toc182989483"/>
      <w:bookmarkStart w:id="42" w:name="_Toc182992398"/>
      <w:r w:rsidRPr="00B97B20">
        <w:t>Obrázek</w:t>
      </w:r>
      <w:r>
        <w:t xml:space="preserve"> 3.</w:t>
      </w:r>
      <w:bookmarkEnd w:id="41"/>
      <w:bookmarkEnd w:id="42"/>
    </w:p>
    <w:p w14:paraId="32040942" w14:textId="0C9103F2" w:rsidR="00951485" w:rsidRPr="00A03C11" w:rsidRDefault="00951485" w:rsidP="00B97B20">
      <w:pPr>
        <w:spacing w:after="0"/>
        <w:ind w:firstLine="0"/>
        <w:rPr>
          <w:rFonts w:cstheme="minorHAnsi"/>
          <w:i/>
          <w:iCs/>
        </w:rPr>
      </w:pPr>
      <w:r w:rsidRPr="00A03C11">
        <w:rPr>
          <w:rFonts w:cstheme="minorHAnsi"/>
          <w:i/>
          <w:iCs/>
        </w:rPr>
        <w:t>Vybrané fyzikálně-chemické vlastnosti některých zpuchýřujících látek (</w:t>
      </w:r>
      <w:proofErr w:type="spellStart"/>
      <w:r w:rsidRPr="00A03C11">
        <w:rPr>
          <w:rFonts w:cstheme="minorHAnsi"/>
          <w:i/>
          <w:iCs/>
        </w:rPr>
        <w:t>Gupta</w:t>
      </w:r>
      <w:proofErr w:type="spellEnd"/>
      <w:r w:rsidRPr="00A03C11">
        <w:rPr>
          <w:rFonts w:cstheme="minorHAnsi"/>
          <w:i/>
          <w:iCs/>
        </w:rPr>
        <w:t xml:space="preserve">, </w:t>
      </w:r>
      <w:proofErr w:type="spellStart"/>
      <w:r w:rsidRPr="00A03C11">
        <w:rPr>
          <w:rFonts w:cstheme="minorHAnsi"/>
          <w:i/>
          <w:iCs/>
        </w:rPr>
        <w:t>Ramesh</w:t>
      </w:r>
      <w:proofErr w:type="spellEnd"/>
      <w:r w:rsidRPr="00A03C11">
        <w:rPr>
          <w:rFonts w:cstheme="minorHAnsi"/>
          <w:i/>
          <w:iCs/>
        </w:rPr>
        <w:t xml:space="preserve"> C. Handbook </w:t>
      </w:r>
      <w:proofErr w:type="spellStart"/>
      <w:r w:rsidRPr="00A03C11">
        <w:rPr>
          <w:rFonts w:cstheme="minorHAnsi"/>
          <w:i/>
          <w:iCs/>
        </w:rPr>
        <w:t>of</w:t>
      </w:r>
      <w:proofErr w:type="spellEnd"/>
      <w:r w:rsidRPr="00A03C11">
        <w:rPr>
          <w:rFonts w:cstheme="minorHAnsi"/>
          <w:i/>
          <w:iCs/>
        </w:rPr>
        <w:t xml:space="preserve"> </w:t>
      </w:r>
      <w:proofErr w:type="spellStart"/>
      <w:r w:rsidRPr="00A03C11">
        <w:rPr>
          <w:rFonts w:cstheme="minorHAnsi"/>
          <w:i/>
          <w:iCs/>
        </w:rPr>
        <w:t>Toxicology</w:t>
      </w:r>
      <w:proofErr w:type="spellEnd"/>
      <w:r w:rsidRPr="00A03C11">
        <w:rPr>
          <w:rFonts w:cstheme="minorHAnsi"/>
          <w:i/>
          <w:iCs/>
        </w:rPr>
        <w:t xml:space="preserve"> </w:t>
      </w:r>
      <w:proofErr w:type="spellStart"/>
      <w:r w:rsidRPr="00A03C11">
        <w:rPr>
          <w:rFonts w:cstheme="minorHAnsi"/>
          <w:i/>
          <w:iCs/>
        </w:rPr>
        <w:t>of</w:t>
      </w:r>
      <w:proofErr w:type="spellEnd"/>
      <w:r w:rsidRPr="00A03C11">
        <w:rPr>
          <w:rFonts w:cstheme="minorHAnsi"/>
          <w:i/>
          <w:iCs/>
        </w:rPr>
        <w:t xml:space="preserve"> </w:t>
      </w:r>
      <w:proofErr w:type="spellStart"/>
      <w:r w:rsidRPr="00A03C11">
        <w:rPr>
          <w:rFonts w:cstheme="minorHAnsi"/>
          <w:i/>
          <w:iCs/>
        </w:rPr>
        <w:t>Chemical</w:t>
      </w:r>
      <w:proofErr w:type="spellEnd"/>
      <w:r w:rsidRPr="00A03C11">
        <w:rPr>
          <w:rFonts w:cstheme="minorHAnsi"/>
          <w:i/>
          <w:iCs/>
        </w:rPr>
        <w:t xml:space="preserve"> </w:t>
      </w:r>
      <w:proofErr w:type="spellStart"/>
      <w:r w:rsidRPr="00A03C11">
        <w:rPr>
          <w:rFonts w:cstheme="minorHAnsi"/>
          <w:i/>
          <w:iCs/>
        </w:rPr>
        <w:t>Warfare</w:t>
      </w:r>
      <w:proofErr w:type="spellEnd"/>
      <w:r w:rsidRPr="00A03C11">
        <w:rPr>
          <w:rFonts w:cstheme="minorHAnsi"/>
          <w:i/>
          <w:iCs/>
        </w:rPr>
        <w:t xml:space="preserve"> </w:t>
      </w:r>
      <w:proofErr w:type="spellStart"/>
      <w:r w:rsidRPr="00A03C11">
        <w:rPr>
          <w:rFonts w:cstheme="minorHAnsi"/>
          <w:i/>
          <w:iCs/>
        </w:rPr>
        <w:t>Agents</w:t>
      </w:r>
      <w:proofErr w:type="spellEnd"/>
      <w:r w:rsidRPr="00A03C11">
        <w:rPr>
          <w:rFonts w:cstheme="minorHAnsi"/>
          <w:i/>
          <w:iCs/>
        </w:rPr>
        <w:t>. 2. vydání)</w:t>
      </w:r>
    </w:p>
    <w:p w14:paraId="6B7A8421" w14:textId="77777777" w:rsidR="00567883" w:rsidRDefault="00B97B20" w:rsidP="00567883">
      <w:pPr>
        <w:ind w:firstLine="0"/>
        <w:rPr>
          <w:rFonts w:cstheme="minorHAnsi"/>
          <w:b/>
          <w:bCs/>
        </w:rPr>
      </w:pPr>
      <w:r w:rsidRPr="00951485">
        <w:rPr>
          <w:rFonts w:cstheme="minorHAnsi"/>
          <w:noProof/>
        </w:rPr>
        <w:drawing>
          <wp:anchor distT="0" distB="0" distL="114300" distR="114300" simplePos="0" relativeHeight="251664384" behindDoc="1" locked="0" layoutInCell="1" allowOverlap="1" wp14:anchorId="185FBEA1" wp14:editId="0C440DCE">
            <wp:simplePos x="0" y="0"/>
            <wp:positionH relativeFrom="margin">
              <wp:align>right</wp:align>
            </wp:positionH>
            <wp:positionV relativeFrom="paragraph">
              <wp:posOffset>64135</wp:posOffset>
            </wp:positionV>
            <wp:extent cx="5753100" cy="4972050"/>
            <wp:effectExtent l="0" t="0" r="0" b="0"/>
            <wp:wrapSquare wrapText="bothSides"/>
            <wp:docPr id="1356636169" name="Obrázek 9"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36169" name="Obrázek 9" descr="Obsah obrázku text, snímek obrazovky, číslo, Písmo&#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972050"/>
                    </a:xfrm>
                    <a:prstGeom prst="rect">
                      <a:avLst/>
                    </a:prstGeom>
                    <a:noFill/>
                    <a:ln>
                      <a:noFill/>
                    </a:ln>
                  </pic:spPr>
                </pic:pic>
              </a:graphicData>
            </a:graphic>
          </wp:anchor>
        </w:drawing>
      </w:r>
    </w:p>
    <w:p w14:paraId="5FE3F7E0" w14:textId="681E3F97" w:rsidR="00951485" w:rsidRPr="00951485" w:rsidRDefault="00951485" w:rsidP="00567883">
      <w:pPr>
        <w:ind w:firstLine="0"/>
        <w:rPr>
          <w:rFonts w:cstheme="minorHAnsi"/>
          <w:b/>
          <w:bCs/>
        </w:rPr>
      </w:pPr>
      <w:r w:rsidRPr="00951485">
        <w:rPr>
          <w:rFonts w:cstheme="minorHAnsi"/>
          <w:b/>
          <w:bCs/>
        </w:rPr>
        <w:t>Mechanismus účinku na organismus</w:t>
      </w:r>
    </w:p>
    <w:p w14:paraId="499ACFA9" w14:textId="75D82071" w:rsidR="00FA4103" w:rsidRPr="00951485" w:rsidRDefault="009E5F9F" w:rsidP="00FA4103">
      <w:pPr>
        <w:ind w:firstLine="708"/>
        <w:rPr>
          <w:rFonts w:cstheme="minorHAnsi"/>
        </w:rPr>
      </w:pPr>
      <w:r w:rsidRPr="009E5F9F">
        <w:rPr>
          <w:rFonts w:cstheme="minorHAnsi"/>
        </w:rPr>
        <w:t xml:space="preserve">Zpuchýřující látky působí na buněčné nukleoproteiny, zejména DNA, čímž narušují základní procesy v buňkách. </w:t>
      </w:r>
      <w:proofErr w:type="spellStart"/>
      <w:r w:rsidRPr="009E5F9F">
        <w:rPr>
          <w:rFonts w:cstheme="minorHAnsi"/>
        </w:rPr>
        <w:t>Kassa</w:t>
      </w:r>
      <w:proofErr w:type="spellEnd"/>
      <w:r w:rsidRPr="009E5F9F">
        <w:rPr>
          <w:rFonts w:cstheme="minorHAnsi"/>
        </w:rPr>
        <w:t xml:space="preserve"> </w:t>
      </w:r>
      <w:r>
        <w:rPr>
          <w:rFonts w:cstheme="minorHAnsi"/>
        </w:rPr>
        <w:t>a</w:t>
      </w:r>
      <w:r w:rsidRPr="009E5F9F">
        <w:rPr>
          <w:rFonts w:cstheme="minorHAnsi"/>
        </w:rPr>
        <w:t xml:space="preserve"> Fusek et al. (2004) uvádějí, že díky alkylačnímu působení dochází k poškození nebo degradaci DNA, což omezuje syntézu bílkovin a oslabuje imunitní </w:t>
      </w:r>
      <w:r w:rsidRPr="009E5F9F">
        <w:rPr>
          <w:rFonts w:cstheme="minorHAnsi"/>
        </w:rPr>
        <w:lastRenderedPageBreak/>
        <w:t>odpověď organismu. Tento mechanismus může vést k narušení metabolismu a vzniku autoimunitních reakcí, kdy tělo začne vytvářet protilátky proti vlastním proteinům.</w:t>
      </w:r>
    </w:p>
    <w:p w14:paraId="40B5ABEF" w14:textId="77777777" w:rsidR="00951485" w:rsidRDefault="00951485" w:rsidP="00FA4103">
      <w:pPr>
        <w:ind w:firstLine="0"/>
        <w:rPr>
          <w:rFonts w:cstheme="minorHAnsi"/>
          <w:b/>
          <w:bCs/>
        </w:rPr>
      </w:pPr>
      <w:r w:rsidRPr="00951485">
        <w:rPr>
          <w:rFonts w:cstheme="minorHAnsi"/>
          <w:b/>
          <w:bCs/>
        </w:rPr>
        <w:t>Toxicita</w:t>
      </w:r>
    </w:p>
    <w:p w14:paraId="0B829C9A" w14:textId="71A38558" w:rsidR="009E5F9F" w:rsidRPr="009E5F9F" w:rsidRDefault="009E5F9F" w:rsidP="00FA4103">
      <w:pPr>
        <w:ind w:firstLine="0"/>
        <w:rPr>
          <w:rFonts w:cstheme="minorHAnsi"/>
        </w:rPr>
      </w:pPr>
      <w:r>
        <w:rPr>
          <w:rFonts w:cstheme="minorHAnsi"/>
          <w:b/>
          <w:bCs/>
        </w:rPr>
        <w:tab/>
      </w:r>
      <w:r w:rsidRPr="009E5F9F">
        <w:rPr>
          <w:rFonts w:cstheme="minorHAnsi"/>
        </w:rPr>
        <w:t xml:space="preserve">Ačkoliv zpuchýřující látky nedosahují toxicity nervově paralytických látek, stále představují značné riziko. </w:t>
      </w:r>
      <w:proofErr w:type="spellStart"/>
      <w:r w:rsidRPr="009E5F9F">
        <w:rPr>
          <w:rFonts w:cstheme="minorHAnsi"/>
        </w:rPr>
        <w:t>Kassa</w:t>
      </w:r>
      <w:proofErr w:type="spellEnd"/>
      <w:r w:rsidRPr="009E5F9F">
        <w:rPr>
          <w:rFonts w:cstheme="minorHAnsi"/>
        </w:rPr>
        <w:t xml:space="preserve"> </w:t>
      </w:r>
      <w:r>
        <w:rPr>
          <w:rFonts w:cstheme="minorHAnsi"/>
        </w:rPr>
        <w:t>a</w:t>
      </w:r>
      <w:r w:rsidRPr="009E5F9F">
        <w:rPr>
          <w:rFonts w:cstheme="minorHAnsi"/>
        </w:rPr>
        <w:t xml:space="preserve"> Patočka et al. (2004) upozorňují, že při bojových koncentracích mohou tyto látky způsobit vážná poškození zdraví, která vyžadují dlouhodobou léčbu, a v některých případech mohou být i smrtelná.</w:t>
      </w:r>
    </w:p>
    <w:p w14:paraId="7F22488D" w14:textId="18A29557" w:rsidR="00B97B20" w:rsidRDefault="00B97B20" w:rsidP="00B97B20">
      <w:pPr>
        <w:pStyle w:val="obrzky"/>
        <w:spacing w:after="0"/>
      </w:pPr>
      <w:bookmarkStart w:id="43" w:name="_Toc182989484"/>
      <w:bookmarkStart w:id="44" w:name="_Toc182992399"/>
      <w:r w:rsidRPr="00B97B20">
        <w:t>Obrázek</w:t>
      </w:r>
      <w:r>
        <w:t xml:space="preserve"> 4.</w:t>
      </w:r>
      <w:bookmarkEnd w:id="43"/>
      <w:bookmarkEnd w:id="44"/>
    </w:p>
    <w:p w14:paraId="43F40BE8" w14:textId="77777777" w:rsidR="00B97B20" w:rsidRPr="009F02C6" w:rsidRDefault="00B97B20" w:rsidP="00B97B20">
      <w:pPr>
        <w:spacing w:after="0" w:line="259" w:lineRule="auto"/>
        <w:ind w:firstLine="0"/>
        <w:jc w:val="left"/>
        <w:rPr>
          <w:rFonts w:cstheme="minorHAnsi"/>
          <w:i/>
          <w:iCs/>
        </w:rPr>
      </w:pPr>
      <w:r w:rsidRPr="009F02C6">
        <w:rPr>
          <w:rFonts w:cstheme="minorHAnsi"/>
          <w:i/>
          <w:iCs/>
        </w:rPr>
        <w:t>Toxicita vybraných zpuchýřujících látek (</w:t>
      </w:r>
      <w:proofErr w:type="spellStart"/>
      <w:r w:rsidRPr="009F02C6">
        <w:rPr>
          <w:rFonts w:cstheme="minorHAnsi"/>
          <w:i/>
          <w:iCs/>
        </w:rPr>
        <w:t>Pitschmann</w:t>
      </w:r>
      <w:proofErr w:type="spellEnd"/>
      <w:r w:rsidRPr="009F02C6">
        <w:rPr>
          <w:rFonts w:cstheme="minorHAnsi"/>
          <w:i/>
          <w:iCs/>
        </w:rPr>
        <w:t>, V.: Analýza toxických látek detekčními trubičkami, s. 24-26.)</w:t>
      </w:r>
    </w:p>
    <w:p w14:paraId="461C3A44" w14:textId="07733656" w:rsidR="00B97B20" w:rsidRDefault="00B97B20" w:rsidP="00B97B20">
      <w:pPr>
        <w:ind w:firstLine="0"/>
        <w:rPr>
          <w:rFonts w:cstheme="minorHAnsi"/>
          <w:b/>
          <w:bCs/>
        </w:rPr>
      </w:pPr>
      <w:r>
        <w:rPr>
          <w:rFonts w:cstheme="minorHAnsi"/>
          <w:noProof/>
          <w:sz w:val="24"/>
          <w:szCs w:val="24"/>
        </w:rPr>
        <w:drawing>
          <wp:anchor distT="0" distB="0" distL="114300" distR="114300" simplePos="0" relativeHeight="251667456" behindDoc="0" locked="0" layoutInCell="1" allowOverlap="1" wp14:anchorId="0664873B" wp14:editId="167601A7">
            <wp:simplePos x="0" y="0"/>
            <wp:positionH relativeFrom="column">
              <wp:posOffset>318770</wp:posOffset>
            </wp:positionH>
            <wp:positionV relativeFrom="paragraph">
              <wp:posOffset>252730</wp:posOffset>
            </wp:positionV>
            <wp:extent cx="5267325" cy="1462405"/>
            <wp:effectExtent l="0" t="0" r="9525" b="4445"/>
            <wp:wrapSquare wrapText="bothSides"/>
            <wp:docPr id="1098585890" name="Obrázek 10" descr="Obsah obrázku text, snímek obrazovky, Písmo, čí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85890" name="Obrázek 10" descr="Obsah obrázku text, snímek obrazovky, Písmo, čísl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D3A63" w14:textId="56F53981" w:rsidR="00B97B20" w:rsidRDefault="00B97B20" w:rsidP="00B97B20">
      <w:pPr>
        <w:ind w:firstLine="0"/>
        <w:rPr>
          <w:rFonts w:cstheme="minorHAnsi"/>
        </w:rPr>
      </w:pPr>
    </w:p>
    <w:p w14:paraId="1C20881C" w14:textId="77777777" w:rsidR="00951485" w:rsidRPr="00951485" w:rsidRDefault="00951485" w:rsidP="00951485">
      <w:pPr>
        <w:ind w:firstLine="0"/>
        <w:rPr>
          <w:rFonts w:cstheme="minorHAnsi"/>
          <w:b/>
          <w:bCs/>
        </w:rPr>
      </w:pPr>
      <w:r w:rsidRPr="00951485">
        <w:rPr>
          <w:rFonts w:cstheme="minorHAnsi"/>
          <w:b/>
          <w:bCs/>
        </w:rPr>
        <w:t>Příznaky intoxikace</w:t>
      </w:r>
    </w:p>
    <w:p w14:paraId="271248C7" w14:textId="399ABADE" w:rsidR="00951485" w:rsidRDefault="009E5F9F" w:rsidP="00951485">
      <w:pPr>
        <w:ind w:firstLine="708"/>
        <w:rPr>
          <w:rFonts w:cstheme="minorHAnsi"/>
        </w:rPr>
      </w:pPr>
      <w:r w:rsidRPr="009E5F9F">
        <w:rPr>
          <w:rFonts w:cstheme="minorHAnsi"/>
        </w:rPr>
        <w:t>Po delší prodlevě se u zasažených zpuchýřujícími látkami začínají objevovat příznaky na pokožce, jako je zarudnutí, otoky, a následná tvorba puchýřů a vředů. Poškození sliznic je často doprovázeno pocitem pálení a intenzivním slzením, zatímco inhalace těchto látek může způsobit závažné záněty v dýchacích cestách, včetně plicních abscesů. Při perorální expozici dochází k nevolnosti, zvracení a krvácivým průjmům, což může výrazně narušit rovnováhu vnitřního prostředí organismu (</w:t>
      </w:r>
      <w:proofErr w:type="spellStart"/>
      <w:r w:rsidRPr="009E5F9F">
        <w:rPr>
          <w:rFonts w:cstheme="minorHAnsi"/>
        </w:rPr>
        <w:t>Kassa</w:t>
      </w:r>
      <w:proofErr w:type="spellEnd"/>
      <w:r w:rsidRPr="009E5F9F">
        <w:rPr>
          <w:rFonts w:cstheme="minorHAnsi"/>
        </w:rPr>
        <w:t xml:space="preserve"> </w:t>
      </w:r>
      <w:r w:rsidRPr="009E5F9F">
        <w:rPr>
          <w:rFonts w:cstheme="minorHAnsi"/>
        </w:rPr>
        <w:t>a</w:t>
      </w:r>
      <w:r w:rsidRPr="009E5F9F">
        <w:rPr>
          <w:rFonts w:cstheme="minorHAnsi"/>
        </w:rPr>
        <w:t xml:space="preserve"> Fusek et al., 2004).</w:t>
      </w:r>
    </w:p>
    <w:p w14:paraId="0D1D145D" w14:textId="77777777" w:rsidR="009E5F9F" w:rsidRPr="00951485" w:rsidRDefault="009E5F9F" w:rsidP="00951485">
      <w:pPr>
        <w:ind w:firstLine="708"/>
        <w:rPr>
          <w:rFonts w:cstheme="minorHAnsi"/>
        </w:rPr>
      </w:pPr>
    </w:p>
    <w:p w14:paraId="037ED363" w14:textId="77777777" w:rsidR="00951485" w:rsidRDefault="00951485" w:rsidP="00FA4103">
      <w:pPr>
        <w:ind w:firstLine="0"/>
        <w:rPr>
          <w:rFonts w:cstheme="minorHAnsi"/>
          <w:b/>
          <w:bCs/>
        </w:rPr>
      </w:pPr>
      <w:r w:rsidRPr="00951485">
        <w:rPr>
          <w:rFonts w:cstheme="minorHAnsi"/>
          <w:b/>
          <w:bCs/>
        </w:rPr>
        <w:t>Léčba a ochrana</w:t>
      </w:r>
    </w:p>
    <w:p w14:paraId="0EC5ED22" w14:textId="77777777" w:rsidR="009E5F9F" w:rsidRPr="009E5F9F" w:rsidRDefault="009E5F9F" w:rsidP="009E5F9F">
      <w:pPr>
        <w:rPr>
          <w:rFonts w:cstheme="minorHAnsi"/>
          <w:lang w:val="cs-CZ"/>
        </w:rPr>
      </w:pPr>
      <w:r w:rsidRPr="009E5F9F">
        <w:rPr>
          <w:rFonts w:cstheme="minorHAnsi"/>
        </w:rPr>
        <w:tab/>
      </w:r>
      <w:r w:rsidRPr="009E5F9F">
        <w:rPr>
          <w:rFonts w:cstheme="minorHAnsi"/>
          <w:lang w:val="cs-CZ"/>
        </w:rPr>
        <w:t>Prevence je zajištěna především použitím ochranných prostředků, jako jsou masky a speciální oděvy. V případě expozice je nutné provést okamžitou dekontaminaci pomocí univerzálního dekontaminačního prostředku nebo jiných roztoků. Zasažené oči je třeba důkladně vypláchnout vodou. Při požití toxické látky se doporučuje co nejrychleji vyvolat zvracení, avšak pouze do jedné hodiny od expozice (</w:t>
      </w:r>
      <w:proofErr w:type="spellStart"/>
      <w:r w:rsidRPr="009E5F9F">
        <w:rPr>
          <w:rFonts w:cstheme="minorHAnsi"/>
          <w:lang w:val="cs-CZ"/>
        </w:rPr>
        <w:t>Kassa</w:t>
      </w:r>
      <w:proofErr w:type="spellEnd"/>
      <w:r w:rsidRPr="009E5F9F">
        <w:rPr>
          <w:rFonts w:cstheme="minorHAnsi"/>
          <w:lang w:val="cs-CZ"/>
        </w:rPr>
        <w:t xml:space="preserve"> v Fusek et al., 2004, s. 42).</w:t>
      </w:r>
    </w:p>
    <w:p w14:paraId="39AB151D" w14:textId="7B9E9BB8" w:rsidR="009E5F9F" w:rsidRPr="009E5F9F" w:rsidRDefault="009E5F9F" w:rsidP="00FA4103">
      <w:pPr>
        <w:ind w:firstLine="0"/>
        <w:rPr>
          <w:rFonts w:cstheme="minorHAnsi"/>
          <w:lang w:val="cs-CZ"/>
        </w:rPr>
      </w:pPr>
      <w:r w:rsidRPr="009E5F9F">
        <w:rPr>
          <w:rFonts w:cstheme="minorHAnsi"/>
          <w:lang w:val="cs-CZ"/>
        </w:rPr>
        <w:t xml:space="preserve">Pokud je intoxikace způsobena lewisitem, specifickým </w:t>
      </w:r>
      <w:proofErr w:type="spellStart"/>
      <w:r w:rsidRPr="009E5F9F">
        <w:rPr>
          <w:rFonts w:cstheme="minorHAnsi"/>
          <w:lang w:val="cs-CZ"/>
        </w:rPr>
        <w:t>antidotem</w:t>
      </w:r>
      <w:proofErr w:type="spellEnd"/>
      <w:r w:rsidRPr="009E5F9F">
        <w:rPr>
          <w:rFonts w:cstheme="minorHAnsi"/>
          <w:lang w:val="cs-CZ"/>
        </w:rPr>
        <w:t xml:space="preserve"> je </w:t>
      </w:r>
      <w:proofErr w:type="spellStart"/>
      <w:r w:rsidRPr="009E5F9F">
        <w:rPr>
          <w:rFonts w:cstheme="minorHAnsi"/>
          <w:lang w:val="cs-CZ"/>
        </w:rPr>
        <w:t>dimerkaptopropanol</w:t>
      </w:r>
      <w:proofErr w:type="spellEnd"/>
      <w:r w:rsidRPr="009E5F9F">
        <w:rPr>
          <w:rFonts w:cstheme="minorHAnsi"/>
          <w:lang w:val="cs-CZ"/>
        </w:rPr>
        <w:t xml:space="preserve">, který neutralizuje arsenovou složku molekuly. Toto </w:t>
      </w:r>
      <w:proofErr w:type="spellStart"/>
      <w:r w:rsidRPr="009E5F9F">
        <w:rPr>
          <w:rFonts w:cstheme="minorHAnsi"/>
          <w:lang w:val="cs-CZ"/>
        </w:rPr>
        <w:t>antidotum</w:t>
      </w:r>
      <w:proofErr w:type="spellEnd"/>
      <w:r w:rsidRPr="009E5F9F">
        <w:rPr>
          <w:rFonts w:cstheme="minorHAnsi"/>
          <w:lang w:val="cs-CZ"/>
        </w:rPr>
        <w:t xml:space="preserve"> je účinné, pokud je podáno do 24 hodin </w:t>
      </w:r>
      <w:r w:rsidRPr="009E5F9F">
        <w:rPr>
          <w:rFonts w:cstheme="minorHAnsi"/>
          <w:lang w:val="cs-CZ"/>
        </w:rPr>
        <w:lastRenderedPageBreak/>
        <w:t>od expozice, a obvykle se aplikuje v několika dávkách k minimalizaci toxických účinků (</w:t>
      </w:r>
      <w:proofErr w:type="spellStart"/>
      <w:r w:rsidRPr="009E5F9F">
        <w:rPr>
          <w:rFonts w:cstheme="minorHAnsi"/>
          <w:lang w:val="cs-CZ"/>
        </w:rPr>
        <w:t>Kassa</w:t>
      </w:r>
      <w:proofErr w:type="spellEnd"/>
      <w:r w:rsidRPr="009E5F9F">
        <w:rPr>
          <w:rFonts w:cstheme="minorHAnsi"/>
          <w:lang w:val="cs-CZ"/>
        </w:rPr>
        <w:t xml:space="preserve"> </w:t>
      </w:r>
      <w:r>
        <w:rPr>
          <w:rFonts w:cstheme="minorHAnsi"/>
          <w:lang w:val="cs-CZ"/>
        </w:rPr>
        <w:t>a</w:t>
      </w:r>
      <w:r w:rsidRPr="009E5F9F">
        <w:rPr>
          <w:rFonts w:cstheme="minorHAnsi"/>
          <w:lang w:val="cs-CZ"/>
        </w:rPr>
        <w:t xml:space="preserve"> Fusek et al., 2004).</w:t>
      </w:r>
    </w:p>
    <w:p w14:paraId="4C6CCE3C" w14:textId="2FA2F3DA" w:rsidR="00951485" w:rsidRPr="00951485" w:rsidRDefault="00951485" w:rsidP="00951485">
      <w:pPr>
        <w:pStyle w:val="Nadpis3"/>
        <w:rPr>
          <w:sz w:val="22"/>
          <w:szCs w:val="22"/>
        </w:rPr>
      </w:pPr>
      <w:bookmarkStart w:id="45" w:name="_Toc182946186"/>
      <w:bookmarkStart w:id="46" w:name="_Toc183029547"/>
      <w:r w:rsidRPr="00951485">
        <w:rPr>
          <w:sz w:val="22"/>
          <w:szCs w:val="22"/>
        </w:rPr>
        <w:t>Všeobecně jedovaté látky</w:t>
      </w:r>
      <w:bookmarkEnd w:id="45"/>
      <w:bookmarkEnd w:id="46"/>
      <w:r w:rsidRPr="00951485">
        <w:rPr>
          <w:sz w:val="22"/>
          <w:szCs w:val="22"/>
        </w:rPr>
        <w:t xml:space="preserve"> </w:t>
      </w:r>
    </w:p>
    <w:p w14:paraId="7319AE74" w14:textId="336B4279" w:rsidR="00FA4103" w:rsidRDefault="009E5F9F" w:rsidP="00FA4103">
      <w:pPr>
        <w:ind w:firstLine="708"/>
        <w:rPr>
          <w:rFonts w:cstheme="minorHAnsi"/>
        </w:rPr>
      </w:pPr>
      <w:r w:rsidRPr="009E5F9F">
        <w:rPr>
          <w:rFonts w:cstheme="minorHAnsi"/>
        </w:rPr>
        <w:t xml:space="preserve">Mezi silně toxické látky s rychlým účinkem patří kyanovodík (AC) a jeho deriváty, jako je </w:t>
      </w:r>
      <w:proofErr w:type="spellStart"/>
      <w:r w:rsidRPr="009E5F9F">
        <w:rPr>
          <w:rFonts w:cstheme="minorHAnsi"/>
        </w:rPr>
        <w:t>chlorkyan</w:t>
      </w:r>
      <w:proofErr w:type="spellEnd"/>
      <w:r w:rsidRPr="009E5F9F">
        <w:rPr>
          <w:rFonts w:cstheme="minorHAnsi"/>
        </w:rPr>
        <w:t xml:space="preserve"> (CK). </w:t>
      </w:r>
      <w:proofErr w:type="spellStart"/>
      <w:r w:rsidRPr="009E5F9F">
        <w:rPr>
          <w:rFonts w:cstheme="minorHAnsi"/>
        </w:rPr>
        <w:t>Kassa</w:t>
      </w:r>
      <w:proofErr w:type="spellEnd"/>
      <w:r w:rsidRPr="009E5F9F">
        <w:rPr>
          <w:rFonts w:cstheme="minorHAnsi"/>
        </w:rPr>
        <w:t xml:space="preserve"> (2006) uvádí, že tyto látky způsobují akutní nedostatek kyslíku v tkáních narušením transportu kyslíku krví nebo blokádou oxidačně-redukčních procesů v buňkách, což vede k zástavě dýchání a oběhu. Kyanovodík byl v minulosti využíván i vojensky, avšak pro jeho vysokou těkavost a omezené použití zůstává méně vhodnou zbraní. Jeho neblahou roli potvrzuje i využití v koncentračních táborech během druhé světové války (</w:t>
      </w:r>
      <w:proofErr w:type="spellStart"/>
      <w:r w:rsidRPr="009E5F9F">
        <w:rPr>
          <w:rFonts w:cstheme="minorHAnsi"/>
        </w:rPr>
        <w:t>Pitschmann</w:t>
      </w:r>
      <w:proofErr w:type="spellEnd"/>
      <w:r w:rsidRPr="009E5F9F">
        <w:rPr>
          <w:rFonts w:cstheme="minorHAnsi"/>
        </w:rPr>
        <w:t>, 2008).</w:t>
      </w:r>
    </w:p>
    <w:p w14:paraId="17D85B1D" w14:textId="77777777" w:rsidR="009E5F9F" w:rsidRPr="00951485" w:rsidRDefault="009E5F9F" w:rsidP="00FA4103">
      <w:pPr>
        <w:ind w:firstLine="708"/>
        <w:rPr>
          <w:rFonts w:cstheme="minorHAnsi"/>
        </w:rPr>
      </w:pPr>
    </w:p>
    <w:p w14:paraId="3AACB36B" w14:textId="77777777" w:rsidR="00951485" w:rsidRPr="00951485" w:rsidRDefault="00951485" w:rsidP="00FA4103">
      <w:pPr>
        <w:ind w:firstLine="0"/>
        <w:rPr>
          <w:rFonts w:cstheme="minorHAnsi"/>
          <w:b/>
          <w:bCs/>
        </w:rPr>
      </w:pPr>
      <w:r w:rsidRPr="00951485">
        <w:rPr>
          <w:rFonts w:cstheme="minorHAnsi"/>
          <w:b/>
          <w:bCs/>
        </w:rPr>
        <w:t>Fyzikálně-chemické vlastnosti</w:t>
      </w:r>
    </w:p>
    <w:p w14:paraId="0E6BDE06" w14:textId="454A24E9" w:rsidR="00951485" w:rsidRPr="00951485" w:rsidRDefault="00951485" w:rsidP="00B97B20">
      <w:pPr>
        <w:rPr>
          <w:rFonts w:cstheme="minorHAnsi"/>
        </w:rPr>
      </w:pPr>
      <w:r w:rsidRPr="00951485">
        <w:rPr>
          <w:rFonts w:cstheme="minorHAnsi"/>
        </w:rPr>
        <w:tab/>
      </w:r>
      <w:r w:rsidR="009E5F9F" w:rsidRPr="009E5F9F">
        <w:rPr>
          <w:rFonts w:cstheme="minorHAnsi"/>
        </w:rPr>
        <w:t xml:space="preserve">Kyanovodík a </w:t>
      </w:r>
      <w:proofErr w:type="spellStart"/>
      <w:r w:rsidR="009E5F9F" w:rsidRPr="009E5F9F">
        <w:rPr>
          <w:rFonts w:cstheme="minorHAnsi"/>
        </w:rPr>
        <w:t>chlorkyan</w:t>
      </w:r>
      <w:proofErr w:type="spellEnd"/>
      <w:r w:rsidR="009E5F9F" w:rsidRPr="009E5F9F">
        <w:rPr>
          <w:rFonts w:cstheme="minorHAnsi"/>
        </w:rPr>
        <w:t xml:space="preserve"> se vyznačují vysokou těkavostí, což znamená, že hlavní cestou intoxikace je inhalace. Přesto existuje riziko perkutánní expozice, pokud dojde ke kontaktu s kapalnou látkou. Rychlost nástupu otravy je natolik vysoká, že v mnoha případech není možné poskytnout první pomoc. Nejčastějším prvním příznakem je náhlá ztráta vědomí, která může vést k úmrtí během několika minut (</w:t>
      </w:r>
      <w:proofErr w:type="spellStart"/>
      <w:r w:rsidR="009E5F9F" w:rsidRPr="009E5F9F">
        <w:rPr>
          <w:rFonts w:cstheme="minorHAnsi"/>
        </w:rPr>
        <w:t>Kassa</w:t>
      </w:r>
      <w:proofErr w:type="spellEnd"/>
      <w:r w:rsidR="009E5F9F" w:rsidRPr="009E5F9F">
        <w:rPr>
          <w:rFonts w:cstheme="minorHAnsi"/>
        </w:rPr>
        <w:t>, 2006).</w:t>
      </w:r>
    </w:p>
    <w:p w14:paraId="2F109DA0" w14:textId="72B85E3E" w:rsidR="00B97B20" w:rsidRDefault="00B97B20" w:rsidP="00B97B20">
      <w:pPr>
        <w:pStyle w:val="obrzky"/>
        <w:spacing w:after="0"/>
      </w:pPr>
      <w:bookmarkStart w:id="47" w:name="_Toc182989485"/>
      <w:bookmarkStart w:id="48" w:name="_Toc182992400"/>
      <w:r w:rsidRPr="00B97B20">
        <w:t>Obrázek</w:t>
      </w:r>
      <w:r>
        <w:t xml:space="preserve"> 5.</w:t>
      </w:r>
      <w:bookmarkEnd w:id="47"/>
      <w:bookmarkEnd w:id="48"/>
    </w:p>
    <w:p w14:paraId="0DFBE3D5" w14:textId="2B5A4356" w:rsidR="00951485" w:rsidRPr="00FA4103" w:rsidRDefault="00B97B20" w:rsidP="00FA4103">
      <w:pPr>
        <w:spacing w:after="0"/>
        <w:ind w:firstLine="0"/>
        <w:rPr>
          <w:rFonts w:cstheme="minorHAnsi"/>
          <w:i/>
          <w:iCs/>
        </w:rPr>
      </w:pPr>
      <w:r w:rsidRPr="00B97B20">
        <w:rPr>
          <w:rFonts w:cstheme="minorHAnsi"/>
          <w:i/>
          <w:iCs/>
        </w:rPr>
        <w:t xml:space="preserve">Vybrané fyzikálně-chemické vlastnosti kyanovodíku a </w:t>
      </w:r>
      <w:proofErr w:type="spellStart"/>
      <w:r w:rsidRPr="00B97B20">
        <w:rPr>
          <w:rFonts w:cstheme="minorHAnsi"/>
          <w:i/>
          <w:iCs/>
        </w:rPr>
        <w:t>chlorkyanu</w:t>
      </w:r>
      <w:proofErr w:type="spellEnd"/>
      <w:r w:rsidRPr="00B97B20">
        <w:rPr>
          <w:rFonts w:cstheme="minorHAnsi"/>
          <w:i/>
          <w:iCs/>
        </w:rPr>
        <w:t xml:space="preserve"> (</w:t>
      </w:r>
      <w:proofErr w:type="spellStart"/>
      <w:r w:rsidRPr="00B97B20">
        <w:rPr>
          <w:rFonts w:cstheme="minorHAnsi"/>
          <w:i/>
          <w:iCs/>
        </w:rPr>
        <w:t>Pitschmann</w:t>
      </w:r>
      <w:proofErr w:type="spellEnd"/>
      <w:r w:rsidRPr="00B97B20">
        <w:rPr>
          <w:rFonts w:cstheme="minorHAnsi"/>
          <w:i/>
          <w:iCs/>
        </w:rPr>
        <w:t xml:space="preserve">, 2008; </w:t>
      </w:r>
      <w:proofErr w:type="spellStart"/>
      <w:r w:rsidRPr="00B97B20">
        <w:rPr>
          <w:rFonts w:cstheme="minorHAnsi"/>
          <w:i/>
          <w:iCs/>
        </w:rPr>
        <w:t>Pitschmann</w:t>
      </w:r>
      <w:proofErr w:type="spellEnd"/>
      <w:r w:rsidRPr="00B97B20">
        <w:rPr>
          <w:rFonts w:cstheme="minorHAnsi"/>
          <w:i/>
          <w:iCs/>
        </w:rPr>
        <w:t>, 2010)</w:t>
      </w:r>
      <w:r w:rsidR="00FA4103">
        <w:rPr>
          <w:rFonts w:cstheme="minorHAnsi"/>
          <w:i/>
          <w:iCs/>
        </w:rPr>
        <w:t>.</w:t>
      </w:r>
    </w:p>
    <w:p w14:paraId="13601C87" w14:textId="40D60373" w:rsidR="00951485" w:rsidRPr="003C79A0" w:rsidRDefault="00FA4103" w:rsidP="00FA4103">
      <w:pPr>
        <w:jc w:val="center"/>
        <w:rPr>
          <w:rFonts w:cstheme="minorHAnsi"/>
          <w:sz w:val="24"/>
          <w:szCs w:val="24"/>
        </w:rPr>
      </w:pPr>
      <w:r>
        <w:rPr>
          <w:rFonts w:cstheme="minorHAnsi"/>
          <w:noProof/>
          <w:sz w:val="24"/>
          <w:szCs w:val="24"/>
        </w:rPr>
        <w:drawing>
          <wp:anchor distT="0" distB="0" distL="114300" distR="114300" simplePos="0" relativeHeight="251665408" behindDoc="0" locked="0" layoutInCell="1" allowOverlap="1" wp14:anchorId="18C4AC94" wp14:editId="269DBF7D">
            <wp:simplePos x="0" y="0"/>
            <wp:positionH relativeFrom="page">
              <wp:posOffset>1359535</wp:posOffset>
            </wp:positionH>
            <wp:positionV relativeFrom="paragraph">
              <wp:posOffset>218440</wp:posOffset>
            </wp:positionV>
            <wp:extent cx="4582795" cy="2329180"/>
            <wp:effectExtent l="0" t="0" r="8255" b="0"/>
            <wp:wrapTopAndBottom/>
            <wp:docPr id="1163899685" name="Obrázek 11" descr="Obsah obrázku text, snímek obrazovky, číslo, Pí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99685" name="Obrázek 11" descr="Obsah obrázku text, snímek obrazovky, číslo, Písm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2795"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83517" w14:textId="435C6093" w:rsidR="00951485" w:rsidRPr="00951485" w:rsidRDefault="00951485" w:rsidP="00FA4103">
      <w:pPr>
        <w:ind w:firstLine="0"/>
        <w:rPr>
          <w:rFonts w:cstheme="minorHAnsi"/>
          <w:b/>
          <w:bCs/>
        </w:rPr>
      </w:pPr>
      <w:r w:rsidRPr="00951485">
        <w:rPr>
          <w:rFonts w:cstheme="minorHAnsi"/>
          <w:b/>
          <w:bCs/>
        </w:rPr>
        <w:t>Mechanismus účinku na organismus</w:t>
      </w:r>
    </w:p>
    <w:p w14:paraId="587CD481" w14:textId="1B6183B5" w:rsidR="00B97B20" w:rsidRDefault="00951485" w:rsidP="00011ED9">
      <w:pPr>
        <w:rPr>
          <w:rFonts w:cstheme="minorHAnsi"/>
        </w:rPr>
      </w:pPr>
      <w:r w:rsidRPr="00951485">
        <w:rPr>
          <w:rFonts w:cstheme="minorHAnsi"/>
        </w:rPr>
        <w:tab/>
      </w:r>
      <w:r w:rsidR="00011ED9" w:rsidRPr="00011ED9">
        <w:rPr>
          <w:rFonts w:cstheme="minorHAnsi"/>
        </w:rPr>
        <w:t xml:space="preserve">V toxikologii označuje termín "všeobecně jedovaté látky" chemické sloučeniny, které ovlivňují fungování dýchacího řetězce. Herink (2007) vysvětluje, že tyto látky mohou zasahovat </w:t>
      </w:r>
      <w:r w:rsidR="00011ED9" w:rsidRPr="00011ED9">
        <w:rPr>
          <w:rFonts w:cstheme="minorHAnsi"/>
        </w:rPr>
        <w:lastRenderedPageBreak/>
        <w:t>do mitochondriálních procesů spojených s dýchacím řetězcem nebo vést k tvorbě nefunkčního hemoglobinu, což narušuje schopnost buněk provádět normální metabolismus kyslíku.</w:t>
      </w:r>
    </w:p>
    <w:p w14:paraId="195C2356" w14:textId="64CAF098" w:rsidR="00951485" w:rsidRPr="00B97B20" w:rsidRDefault="00951485" w:rsidP="00B97B20">
      <w:pPr>
        <w:ind w:firstLine="0"/>
        <w:rPr>
          <w:rFonts w:cstheme="minorHAnsi"/>
        </w:rPr>
      </w:pPr>
      <w:r w:rsidRPr="00951485">
        <w:rPr>
          <w:rFonts w:cstheme="minorHAnsi"/>
          <w:b/>
          <w:bCs/>
        </w:rPr>
        <w:t>Toxicita</w:t>
      </w:r>
    </w:p>
    <w:p w14:paraId="0946A844" w14:textId="021D560B" w:rsidR="00B97B20" w:rsidRPr="00B97B20" w:rsidRDefault="00B97B20" w:rsidP="00B97B20">
      <w:pPr>
        <w:pStyle w:val="obrzky"/>
        <w:spacing w:after="0"/>
      </w:pPr>
      <w:bookmarkStart w:id="49" w:name="_Toc182989486"/>
      <w:bookmarkStart w:id="50" w:name="_Toc182992401"/>
      <w:r w:rsidRPr="00B97B20">
        <w:t xml:space="preserve">Obrázek </w:t>
      </w:r>
      <w:r>
        <w:t>6</w:t>
      </w:r>
      <w:r w:rsidRPr="00B97B20">
        <w:t>.</w:t>
      </w:r>
      <w:bookmarkEnd w:id="49"/>
      <w:bookmarkEnd w:id="50"/>
    </w:p>
    <w:p w14:paraId="411091B9" w14:textId="2F155C49" w:rsidR="00B97B20" w:rsidRPr="00B97B20" w:rsidRDefault="00B97B20" w:rsidP="00B97B20">
      <w:pPr>
        <w:spacing w:after="0"/>
        <w:ind w:firstLine="0"/>
        <w:rPr>
          <w:rFonts w:cstheme="minorHAnsi"/>
          <w:i/>
          <w:iCs/>
        </w:rPr>
      </w:pPr>
      <w:r w:rsidRPr="00B97B20">
        <w:rPr>
          <w:rFonts w:cstheme="minorHAnsi"/>
          <w:i/>
          <w:iCs/>
        </w:rPr>
        <w:t xml:space="preserve">V tabulce níže jsou uvedeny vybrané toxické vlastnosti kyanovodíku a </w:t>
      </w:r>
      <w:proofErr w:type="spellStart"/>
      <w:r w:rsidRPr="00B97B20">
        <w:rPr>
          <w:rFonts w:cstheme="minorHAnsi"/>
          <w:i/>
          <w:iCs/>
        </w:rPr>
        <w:t>chlorkyanu</w:t>
      </w:r>
      <w:proofErr w:type="spellEnd"/>
      <w:r w:rsidRPr="00B97B20">
        <w:rPr>
          <w:rFonts w:cstheme="minorHAnsi"/>
          <w:i/>
          <w:iCs/>
        </w:rPr>
        <w:t xml:space="preserve"> (</w:t>
      </w:r>
      <w:proofErr w:type="spellStart"/>
      <w:r w:rsidRPr="00B97B20">
        <w:rPr>
          <w:rFonts w:cstheme="minorHAnsi"/>
          <w:i/>
          <w:iCs/>
        </w:rPr>
        <w:t>Pitschmann</w:t>
      </w:r>
      <w:proofErr w:type="spellEnd"/>
      <w:r w:rsidRPr="00B97B20">
        <w:rPr>
          <w:rFonts w:cstheme="minorHAnsi"/>
          <w:i/>
          <w:iCs/>
        </w:rPr>
        <w:t xml:space="preserve">, 2008; </w:t>
      </w:r>
      <w:proofErr w:type="spellStart"/>
      <w:r w:rsidRPr="00B97B20">
        <w:rPr>
          <w:rFonts w:cstheme="minorHAnsi"/>
          <w:i/>
          <w:iCs/>
        </w:rPr>
        <w:t>Pitschmann</w:t>
      </w:r>
      <w:proofErr w:type="spellEnd"/>
      <w:r w:rsidRPr="00B97B20">
        <w:rPr>
          <w:rFonts w:cstheme="minorHAnsi"/>
          <w:i/>
          <w:iCs/>
        </w:rPr>
        <w:t>, 2010).</w:t>
      </w:r>
    </w:p>
    <w:p w14:paraId="5FE72202" w14:textId="7A6CD939" w:rsidR="00B97B20" w:rsidRPr="00951485" w:rsidRDefault="00B97B20" w:rsidP="00B97B20">
      <w:pPr>
        <w:rPr>
          <w:rFonts w:cstheme="minorHAnsi"/>
        </w:rPr>
      </w:pPr>
      <w:r>
        <w:rPr>
          <w:rFonts w:cstheme="minorHAnsi"/>
          <w:noProof/>
          <w:sz w:val="24"/>
          <w:szCs w:val="24"/>
        </w:rPr>
        <w:drawing>
          <wp:anchor distT="0" distB="0" distL="114300" distR="114300" simplePos="0" relativeHeight="251668480" behindDoc="0" locked="0" layoutInCell="1" allowOverlap="1" wp14:anchorId="2160393A" wp14:editId="1BBB7F67">
            <wp:simplePos x="0" y="0"/>
            <wp:positionH relativeFrom="column">
              <wp:posOffset>156845</wp:posOffset>
            </wp:positionH>
            <wp:positionV relativeFrom="paragraph">
              <wp:posOffset>242570</wp:posOffset>
            </wp:positionV>
            <wp:extent cx="5753100" cy="971550"/>
            <wp:effectExtent l="0" t="0" r="0" b="0"/>
            <wp:wrapSquare wrapText="bothSides"/>
            <wp:docPr id="1070490325" name="Obrázek 13" descr="Obsah obrázku text, Písmo, řada/pruh,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90325" name="Obrázek 13" descr="Obsah obrázku text, Písmo, řada/pruh, snímek obrazovky&#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971550"/>
                    </a:xfrm>
                    <a:prstGeom prst="rect">
                      <a:avLst/>
                    </a:prstGeom>
                    <a:noFill/>
                    <a:ln>
                      <a:noFill/>
                    </a:ln>
                  </pic:spPr>
                </pic:pic>
              </a:graphicData>
            </a:graphic>
          </wp:anchor>
        </w:drawing>
      </w:r>
    </w:p>
    <w:p w14:paraId="0F4FD854" w14:textId="77777777" w:rsidR="00FA4103" w:rsidRDefault="00FA4103" w:rsidP="00FA4103">
      <w:pPr>
        <w:ind w:firstLine="0"/>
        <w:rPr>
          <w:rFonts w:cstheme="minorHAnsi"/>
          <w:sz w:val="24"/>
          <w:szCs w:val="24"/>
        </w:rPr>
      </w:pPr>
    </w:p>
    <w:p w14:paraId="465DEEE7" w14:textId="6AB07A47" w:rsidR="00951485" w:rsidRPr="00086E41" w:rsidRDefault="001E26E9" w:rsidP="00FA4103">
      <w:pPr>
        <w:ind w:firstLine="0"/>
        <w:rPr>
          <w:rFonts w:cstheme="minorHAnsi"/>
          <w:b/>
          <w:bCs/>
        </w:rPr>
      </w:pPr>
      <w:r w:rsidRPr="00086E41">
        <w:rPr>
          <w:rFonts w:cstheme="minorHAnsi"/>
          <w:b/>
          <w:bCs/>
        </w:rPr>
        <w:t>Příznaky intoxikace</w:t>
      </w:r>
    </w:p>
    <w:p w14:paraId="1CA2F2B4" w14:textId="62C1EABF" w:rsidR="00951485" w:rsidRDefault="00951485" w:rsidP="00951485">
      <w:pPr>
        <w:rPr>
          <w:rFonts w:cstheme="minorHAnsi"/>
        </w:rPr>
      </w:pPr>
      <w:r w:rsidRPr="00086E41">
        <w:rPr>
          <w:rFonts w:cstheme="minorHAnsi"/>
        </w:rPr>
        <w:tab/>
      </w:r>
      <w:r w:rsidR="00011ED9">
        <w:rPr>
          <w:rFonts w:cstheme="minorHAnsi"/>
        </w:rPr>
        <w:t>K</w:t>
      </w:r>
      <w:r w:rsidR="00011ED9" w:rsidRPr="00011ED9">
        <w:rPr>
          <w:rFonts w:cstheme="minorHAnsi"/>
        </w:rPr>
        <w:t xml:space="preserve">yanovodík, kyanidy a další látky, které se v těle mohou přeměnit na kyanidy, jako je </w:t>
      </w:r>
      <w:proofErr w:type="spellStart"/>
      <w:r w:rsidR="00011ED9" w:rsidRPr="00011ED9">
        <w:rPr>
          <w:rFonts w:cstheme="minorHAnsi"/>
        </w:rPr>
        <w:t>nitroprussid</w:t>
      </w:r>
      <w:proofErr w:type="spellEnd"/>
      <w:r w:rsidR="00011ED9" w:rsidRPr="00011ED9">
        <w:rPr>
          <w:rFonts w:cstheme="minorHAnsi"/>
        </w:rPr>
        <w:t xml:space="preserve"> sodný (používaný jako antihypertenzivum), ovlivňují funkci enzymu </w:t>
      </w:r>
      <w:proofErr w:type="spellStart"/>
      <w:r w:rsidR="00011ED9" w:rsidRPr="00011ED9">
        <w:rPr>
          <w:rFonts w:cstheme="minorHAnsi"/>
        </w:rPr>
        <w:t>cytochromoxidázy</w:t>
      </w:r>
      <w:proofErr w:type="spellEnd"/>
      <w:r w:rsidR="00011ED9" w:rsidRPr="00011ED9">
        <w:rPr>
          <w:rFonts w:cstheme="minorHAnsi"/>
        </w:rPr>
        <w:t xml:space="preserve">, čímž narušují dýchací řetězec v mitochondriích. Herink (2007) uvádí, že klinické projevy zahrnují zvýšenou dechovou frekvenci, rozšířené zornice, pocity úzkosti a paradoxní růžové zabarvení kůže, které postupně přecházejí k dýchacím obtížím. Vysoké dávky mohou vést k rychlé intoxikaci charakterizované náhlou ztrátou vědomí, zástavou dýchání a úmrtím během několika minut. Při nižších dávkách dochází k příznakům, jako jsou bolesti hlavy, závratě, pískání v uších a zrakové poruchy, které se obvykle samy upraví (Patočka, 2007). Mika a Patočka (2007) upozorňují, že </w:t>
      </w:r>
      <w:proofErr w:type="spellStart"/>
      <w:r w:rsidR="00011ED9" w:rsidRPr="00011ED9">
        <w:rPr>
          <w:rFonts w:cstheme="minorHAnsi"/>
        </w:rPr>
        <w:t>chlorkyan</w:t>
      </w:r>
      <w:proofErr w:type="spellEnd"/>
      <w:r w:rsidR="00011ED9" w:rsidRPr="00011ED9">
        <w:rPr>
          <w:rFonts w:cstheme="minorHAnsi"/>
        </w:rPr>
        <w:t xml:space="preserve"> navíc způsobuje intenzivní podráždění sliznic a dýchacích cest.</w:t>
      </w:r>
    </w:p>
    <w:p w14:paraId="332896C3" w14:textId="77777777" w:rsidR="00FA4103" w:rsidRDefault="00FA4103" w:rsidP="00FA4103">
      <w:pPr>
        <w:ind w:firstLine="0"/>
        <w:rPr>
          <w:rFonts w:cstheme="minorHAnsi"/>
        </w:rPr>
      </w:pPr>
    </w:p>
    <w:p w14:paraId="3245B49D" w14:textId="360D3149" w:rsidR="00951485" w:rsidRPr="00086E41" w:rsidRDefault="00951485" w:rsidP="00FA4103">
      <w:pPr>
        <w:ind w:firstLine="0"/>
        <w:rPr>
          <w:rFonts w:cstheme="minorHAnsi"/>
          <w:b/>
          <w:bCs/>
        </w:rPr>
      </w:pPr>
      <w:r w:rsidRPr="00086E41">
        <w:rPr>
          <w:rFonts w:cstheme="minorHAnsi"/>
          <w:b/>
          <w:bCs/>
        </w:rPr>
        <w:t>Léčba a ochrana</w:t>
      </w:r>
    </w:p>
    <w:p w14:paraId="17AE1DC6" w14:textId="49D124F3" w:rsidR="00951485" w:rsidRPr="003C79A0" w:rsidRDefault="00951485" w:rsidP="00086E41">
      <w:pPr>
        <w:rPr>
          <w:rFonts w:cstheme="minorHAnsi"/>
          <w:sz w:val="24"/>
          <w:szCs w:val="24"/>
        </w:rPr>
      </w:pPr>
      <w:r w:rsidRPr="00086E41">
        <w:rPr>
          <w:rFonts w:cstheme="minorHAnsi"/>
        </w:rPr>
        <w:tab/>
      </w:r>
      <w:r w:rsidR="00AE6CC6" w:rsidRPr="00AE6CC6">
        <w:rPr>
          <w:rFonts w:cstheme="minorHAnsi"/>
        </w:rPr>
        <w:t xml:space="preserve">Při akutní intoxikaci kyanidy je nezbytné co nejrychleji zajistit dostatečnou saturaci krve kyslíkem. Podle </w:t>
      </w:r>
      <w:proofErr w:type="spellStart"/>
      <w:r w:rsidR="00AE6CC6" w:rsidRPr="00AE6CC6">
        <w:rPr>
          <w:rFonts w:cstheme="minorHAnsi"/>
        </w:rPr>
        <w:t>Prymuly</w:t>
      </w:r>
      <w:proofErr w:type="spellEnd"/>
      <w:r w:rsidR="00AE6CC6" w:rsidRPr="00AE6CC6">
        <w:rPr>
          <w:rFonts w:cstheme="minorHAnsi"/>
        </w:rPr>
        <w:t xml:space="preserve"> (2007) by měl postižený okamžitě použít ochrannou masku a opustit zamořený prostor. Pokud dojde k zástavě dechu, je nutné ihned zahájit umělé dýchání. Mezi specifické léčebné postupy patří aplikace amylnitritu, který pomáhá </w:t>
      </w:r>
      <w:proofErr w:type="spellStart"/>
      <w:r w:rsidR="00AE6CC6" w:rsidRPr="00AE6CC6">
        <w:rPr>
          <w:rFonts w:cstheme="minorHAnsi"/>
        </w:rPr>
        <w:t>deblokovat</w:t>
      </w:r>
      <w:proofErr w:type="spellEnd"/>
      <w:r w:rsidR="00AE6CC6" w:rsidRPr="00AE6CC6">
        <w:rPr>
          <w:rFonts w:cstheme="minorHAnsi"/>
        </w:rPr>
        <w:t xml:space="preserve"> </w:t>
      </w:r>
      <w:proofErr w:type="spellStart"/>
      <w:r w:rsidR="00AE6CC6" w:rsidRPr="00AE6CC6">
        <w:rPr>
          <w:rFonts w:cstheme="minorHAnsi"/>
        </w:rPr>
        <w:t>cytochromoxidázu</w:t>
      </w:r>
      <w:proofErr w:type="spellEnd"/>
      <w:r w:rsidR="00AE6CC6" w:rsidRPr="00AE6CC6">
        <w:rPr>
          <w:rFonts w:cstheme="minorHAnsi"/>
        </w:rPr>
        <w:t xml:space="preserve">, a thiosíranu sodného, jenž podporuje přeměnu </w:t>
      </w:r>
      <w:proofErr w:type="spellStart"/>
      <w:r w:rsidR="00AE6CC6" w:rsidRPr="00AE6CC6">
        <w:rPr>
          <w:rFonts w:cstheme="minorHAnsi"/>
        </w:rPr>
        <w:t>kyanhemoglobinu</w:t>
      </w:r>
      <w:proofErr w:type="spellEnd"/>
      <w:r w:rsidR="00AE6CC6" w:rsidRPr="00AE6CC6">
        <w:rPr>
          <w:rFonts w:cstheme="minorHAnsi"/>
        </w:rPr>
        <w:t xml:space="preserve"> na méně toxické </w:t>
      </w:r>
      <w:proofErr w:type="spellStart"/>
      <w:r w:rsidR="00AE6CC6" w:rsidRPr="00AE6CC6">
        <w:rPr>
          <w:rFonts w:cstheme="minorHAnsi"/>
        </w:rPr>
        <w:t>thiokyanáty</w:t>
      </w:r>
      <w:proofErr w:type="spellEnd"/>
      <w:r w:rsidRPr="003C79A0">
        <w:rPr>
          <w:rFonts w:cstheme="minorHAnsi"/>
          <w:sz w:val="24"/>
          <w:szCs w:val="24"/>
        </w:rPr>
        <w:t>.</w:t>
      </w:r>
    </w:p>
    <w:p w14:paraId="0DB8FE70" w14:textId="6AB44FBD" w:rsidR="00951485" w:rsidRPr="003C79A0" w:rsidRDefault="00951485" w:rsidP="00951485">
      <w:pPr>
        <w:pStyle w:val="Nadpis3"/>
      </w:pPr>
      <w:bookmarkStart w:id="51" w:name="_Toc182946187"/>
      <w:r w:rsidRPr="003C79A0">
        <w:lastRenderedPageBreak/>
        <w:t xml:space="preserve"> </w:t>
      </w:r>
      <w:bookmarkStart w:id="52" w:name="_Toc183029548"/>
      <w:r w:rsidRPr="003C79A0">
        <w:t>Dusivé látky</w:t>
      </w:r>
      <w:bookmarkEnd w:id="51"/>
      <w:bookmarkEnd w:id="52"/>
    </w:p>
    <w:p w14:paraId="0D05C96F" w14:textId="77777777" w:rsidR="00951485" w:rsidRDefault="00951485" w:rsidP="00951485">
      <w:pPr>
        <w:rPr>
          <w:rFonts w:cstheme="minorHAnsi"/>
        </w:rPr>
      </w:pPr>
      <w:r w:rsidRPr="003C79A0">
        <w:rPr>
          <w:rFonts w:cstheme="minorHAnsi"/>
          <w:sz w:val="24"/>
          <w:szCs w:val="24"/>
        </w:rPr>
        <w:tab/>
      </w:r>
      <w:r w:rsidRPr="00086E41">
        <w:rPr>
          <w:rFonts w:cstheme="minorHAnsi"/>
        </w:rPr>
        <w:t>Hlavními zástupci dusivých látek jsou fosgen (CG), difosgen (DP) a chlorpikrin (PS). Tyto látky jsou známy svou schopností vyvolat závažné poškození dýchacích orgánů, zejména ve formě toxického edému plic, což je považováno za nejzávažnější projev jejich toxicity (Bajgar, 2007). Dusivé látky vstupují do organismu především dýchacími cestami, buď ve formě plynu nebo aerosolu (</w:t>
      </w:r>
      <w:proofErr w:type="spellStart"/>
      <w:r w:rsidRPr="00086E41">
        <w:rPr>
          <w:rFonts w:cstheme="minorHAnsi"/>
        </w:rPr>
        <w:t>Pitschmann</w:t>
      </w:r>
      <w:proofErr w:type="spellEnd"/>
      <w:r w:rsidRPr="00086E41">
        <w:rPr>
          <w:rFonts w:cstheme="minorHAnsi"/>
        </w:rPr>
        <w:t>, 2008). K dalším látkám s podobným účinkem patří například plynný chlor, který odstartoval moderní éru chemické války během první světové války, kdy dusivé látky způsobily velké ztráty na bojištích (</w:t>
      </w:r>
      <w:proofErr w:type="spellStart"/>
      <w:r w:rsidRPr="00086E41">
        <w:rPr>
          <w:rFonts w:cstheme="minorHAnsi"/>
        </w:rPr>
        <w:t>Pitschmann</w:t>
      </w:r>
      <w:proofErr w:type="spellEnd"/>
      <w:r w:rsidRPr="00086E41">
        <w:rPr>
          <w:rFonts w:cstheme="minorHAnsi"/>
        </w:rPr>
        <w:t>, 2008).</w:t>
      </w:r>
    </w:p>
    <w:p w14:paraId="3FE300FC" w14:textId="77777777" w:rsidR="00FA4103" w:rsidRPr="00086E41" w:rsidRDefault="00FA4103" w:rsidP="00951485">
      <w:pPr>
        <w:rPr>
          <w:rFonts w:cstheme="minorHAnsi"/>
        </w:rPr>
      </w:pPr>
    </w:p>
    <w:p w14:paraId="320D6A63" w14:textId="77777777" w:rsidR="00951485" w:rsidRPr="00086E41" w:rsidRDefault="00951485" w:rsidP="00FA4103">
      <w:pPr>
        <w:ind w:firstLine="0"/>
        <w:rPr>
          <w:rFonts w:cstheme="minorHAnsi"/>
          <w:b/>
          <w:bCs/>
        </w:rPr>
      </w:pPr>
      <w:r w:rsidRPr="00086E41">
        <w:rPr>
          <w:rFonts w:cstheme="minorHAnsi"/>
          <w:b/>
          <w:bCs/>
        </w:rPr>
        <w:t>Fyzikálně-chemické vlastnosti</w:t>
      </w:r>
    </w:p>
    <w:p w14:paraId="0A1225A8" w14:textId="02A98EC7" w:rsidR="00B97B20" w:rsidRDefault="00951485" w:rsidP="00FA4103">
      <w:pPr>
        <w:rPr>
          <w:rFonts w:cstheme="minorHAnsi"/>
        </w:rPr>
      </w:pPr>
      <w:r w:rsidRPr="00086E41">
        <w:rPr>
          <w:rFonts w:cstheme="minorHAnsi"/>
        </w:rPr>
        <w:tab/>
        <w:t>Dusivé látky jsou bezbarvé plyny nebo kapaliny s charakteristickým zápachem, což může zahrnovat vůni čerstvě pokoseného sena u fosgenu nebo ovocný zápach u difosgenu (Bajgar, 2007). Chlorpikrin má navíc výrazně dráždivý účinek na oči a dýchací cesty. Vybrané vlastnosti jsou uvedeny v tabulce níže:</w:t>
      </w:r>
    </w:p>
    <w:p w14:paraId="7E066D2A" w14:textId="4CF7A894" w:rsidR="00B97B20" w:rsidRDefault="00B97B20" w:rsidP="00482950">
      <w:pPr>
        <w:pStyle w:val="obrzky"/>
        <w:spacing w:after="0"/>
      </w:pPr>
      <w:bookmarkStart w:id="53" w:name="_Toc182989487"/>
      <w:bookmarkStart w:id="54" w:name="_Toc182992402"/>
      <w:r>
        <w:t>Obrázek 7.</w:t>
      </w:r>
      <w:bookmarkEnd w:id="53"/>
      <w:bookmarkEnd w:id="54"/>
    </w:p>
    <w:p w14:paraId="4519C647" w14:textId="77777777" w:rsidR="00482950" w:rsidRPr="00482950" w:rsidRDefault="00B97B20" w:rsidP="00482950">
      <w:pPr>
        <w:spacing w:after="0"/>
        <w:ind w:firstLine="0"/>
        <w:rPr>
          <w:rFonts w:cstheme="minorHAnsi"/>
          <w:i/>
          <w:iCs/>
        </w:rPr>
      </w:pPr>
      <w:r w:rsidRPr="00482950">
        <w:rPr>
          <w:i/>
          <w:iCs/>
        </w:rPr>
        <w:t xml:space="preserve">Vybrané </w:t>
      </w:r>
      <w:proofErr w:type="gramStart"/>
      <w:r w:rsidRPr="00482950">
        <w:rPr>
          <w:i/>
          <w:iCs/>
        </w:rPr>
        <w:t>vlastnosti  chlorpikrinu</w:t>
      </w:r>
      <w:proofErr w:type="gramEnd"/>
      <w:r w:rsidR="00482950" w:rsidRPr="00482950">
        <w:rPr>
          <w:i/>
          <w:iCs/>
        </w:rPr>
        <w:t xml:space="preserve"> </w:t>
      </w:r>
      <w:r w:rsidR="00482950" w:rsidRPr="00482950">
        <w:rPr>
          <w:rFonts w:cstheme="minorHAnsi"/>
          <w:i/>
          <w:iCs/>
        </w:rPr>
        <w:t>(</w:t>
      </w:r>
      <w:proofErr w:type="spellStart"/>
      <w:r w:rsidR="00482950" w:rsidRPr="00482950">
        <w:rPr>
          <w:rFonts w:cstheme="minorHAnsi"/>
          <w:i/>
          <w:iCs/>
        </w:rPr>
        <w:t>Pitschmann</w:t>
      </w:r>
      <w:proofErr w:type="spellEnd"/>
      <w:r w:rsidR="00482950" w:rsidRPr="00482950">
        <w:rPr>
          <w:rFonts w:cstheme="minorHAnsi"/>
          <w:i/>
          <w:iCs/>
        </w:rPr>
        <w:t>, 2008; Bajgar, 2007)</w:t>
      </w:r>
    </w:p>
    <w:p w14:paraId="5D7A72B2" w14:textId="08D86D36" w:rsidR="00B97B20" w:rsidRDefault="00B97B20" w:rsidP="00B97B20">
      <w:pPr>
        <w:pStyle w:val="obrzky"/>
      </w:pPr>
    </w:p>
    <w:p w14:paraId="605853C7" w14:textId="6AFC5684" w:rsidR="00951485" w:rsidRPr="00482950" w:rsidRDefault="00482950" w:rsidP="0072398C">
      <w:bookmarkStart w:id="55" w:name="_Toc182989488"/>
      <w:r w:rsidRPr="0072398C">
        <w:rPr>
          <w:noProof/>
        </w:rPr>
        <w:drawing>
          <wp:inline distT="0" distB="0" distL="0" distR="0" wp14:anchorId="7D662ABF" wp14:editId="2A22E4B5">
            <wp:extent cx="5017612" cy="3971925"/>
            <wp:effectExtent l="0" t="0" r="0" b="0"/>
            <wp:docPr id="1831580949" name="Obrázek 3"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80949" name="Obrázek 3" descr="Obsah obrázku text, snímek obrazovky, číslo, Písmo&#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1643" cy="3975116"/>
                    </a:xfrm>
                    <a:prstGeom prst="rect">
                      <a:avLst/>
                    </a:prstGeom>
                    <a:noFill/>
                    <a:ln>
                      <a:noFill/>
                    </a:ln>
                  </pic:spPr>
                </pic:pic>
              </a:graphicData>
            </a:graphic>
          </wp:inline>
        </w:drawing>
      </w:r>
      <w:bookmarkEnd w:id="55"/>
    </w:p>
    <w:p w14:paraId="3792E7D0" w14:textId="77777777" w:rsidR="00951485" w:rsidRPr="00086E41" w:rsidRDefault="00951485" w:rsidP="00FA4103">
      <w:pPr>
        <w:ind w:firstLine="0"/>
        <w:rPr>
          <w:rFonts w:cstheme="minorHAnsi"/>
          <w:b/>
          <w:bCs/>
        </w:rPr>
      </w:pPr>
      <w:r w:rsidRPr="00086E41">
        <w:rPr>
          <w:rFonts w:cstheme="minorHAnsi"/>
          <w:b/>
          <w:bCs/>
        </w:rPr>
        <w:lastRenderedPageBreak/>
        <w:t>Mechanismus účinku na organismus</w:t>
      </w:r>
    </w:p>
    <w:p w14:paraId="5CCD8D4C" w14:textId="5DD80410" w:rsidR="00951485" w:rsidRDefault="00951485" w:rsidP="00086E41">
      <w:pPr>
        <w:rPr>
          <w:rFonts w:cstheme="minorHAnsi"/>
        </w:rPr>
      </w:pPr>
      <w:r w:rsidRPr="00086E41">
        <w:rPr>
          <w:rFonts w:cstheme="minorHAnsi"/>
        </w:rPr>
        <w:tab/>
        <w:t xml:space="preserve">Dusivé látky mají silné lipofilní vlastnosti, které jim umožňují snadno proniknout buněčnými membránami. V plicních sklípcích a kapilárách způsobují toxický edém plic, což vede ke zhoršení výměny krevních plynů (Bajgar, 2007). Dochází k hromadění tekutiny v alveolech, zvýšení parciálního </w:t>
      </w:r>
      <w:r w:rsidR="001E26E9" w:rsidRPr="00086E41">
        <w:rPr>
          <w:rFonts w:cstheme="minorHAnsi"/>
        </w:rPr>
        <w:t>tlaku,</w:t>
      </w:r>
      <w:r w:rsidRPr="00086E41">
        <w:rPr>
          <w:rFonts w:cstheme="minorHAnsi"/>
        </w:rPr>
        <w:t xml:space="preserve"> CO₂ a snížení parciálního tlaku O₂, což vede k rozvoji acidózy organismu a kardiovaskulárnímu selhání (Bajgar, 2007).</w:t>
      </w:r>
    </w:p>
    <w:p w14:paraId="7A4E2E3C" w14:textId="77777777" w:rsidR="00FA4103" w:rsidRDefault="00FA4103" w:rsidP="00FA4103">
      <w:pPr>
        <w:ind w:firstLine="0"/>
        <w:rPr>
          <w:rFonts w:cstheme="minorHAnsi"/>
        </w:rPr>
      </w:pPr>
    </w:p>
    <w:p w14:paraId="54B285A8" w14:textId="1DDB1F58" w:rsidR="00951485" w:rsidRPr="00086E41" w:rsidRDefault="00951485" w:rsidP="00FA4103">
      <w:pPr>
        <w:ind w:firstLine="0"/>
        <w:rPr>
          <w:rFonts w:cstheme="minorHAnsi"/>
          <w:b/>
          <w:bCs/>
        </w:rPr>
      </w:pPr>
      <w:r w:rsidRPr="00086E41">
        <w:rPr>
          <w:rFonts w:cstheme="minorHAnsi"/>
          <w:b/>
          <w:bCs/>
        </w:rPr>
        <w:t>Toxicita</w:t>
      </w:r>
    </w:p>
    <w:p w14:paraId="49BED8E7" w14:textId="77777777" w:rsidR="00482950" w:rsidRDefault="00951485" w:rsidP="00951485">
      <w:pPr>
        <w:rPr>
          <w:rFonts w:cstheme="minorHAnsi"/>
        </w:rPr>
      </w:pPr>
      <w:r w:rsidRPr="00086E41">
        <w:rPr>
          <w:rFonts w:cstheme="minorHAnsi"/>
        </w:rPr>
        <w:tab/>
        <w:t>Fosgen a difosgen mají specifický přírodní zápach, který může zmást postiženého, protože nejsou dráždivé, na rozdíl od chlorpikrinu, jehož dráždivé účinky jsou okamžitě rozpoznatelné (</w:t>
      </w:r>
      <w:proofErr w:type="spellStart"/>
      <w:r w:rsidRPr="00086E41">
        <w:rPr>
          <w:rFonts w:cstheme="minorHAnsi"/>
        </w:rPr>
        <w:t>Pitschmann</w:t>
      </w:r>
      <w:proofErr w:type="spellEnd"/>
      <w:r w:rsidRPr="00086E41">
        <w:rPr>
          <w:rFonts w:cstheme="minorHAnsi"/>
        </w:rPr>
        <w:t>, 2008).</w:t>
      </w:r>
    </w:p>
    <w:p w14:paraId="03140F7B" w14:textId="5DDBFE18" w:rsidR="00482950" w:rsidRDefault="00482950" w:rsidP="00482950">
      <w:pPr>
        <w:pStyle w:val="obrzky"/>
        <w:spacing w:after="0"/>
      </w:pPr>
      <w:bookmarkStart w:id="56" w:name="_Toc182989489"/>
      <w:bookmarkStart w:id="57" w:name="_Toc182992403"/>
      <w:proofErr w:type="spellStart"/>
      <w:r>
        <w:t>Obrzázek</w:t>
      </w:r>
      <w:proofErr w:type="spellEnd"/>
      <w:r>
        <w:t xml:space="preserve"> 8.</w:t>
      </w:r>
      <w:bookmarkEnd w:id="56"/>
      <w:bookmarkEnd w:id="57"/>
    </w:p>
    <w:p w14:paraId="4412AD63" w14:textId="77777777" w:rsidR="00482950" w:rsidRPr="00A63E0C" w:rsidRDefault="00951485" w:rsidP="00482950">
      <w:pPr>
        <w:ind w:firstLine="0"/>
        <w:rPr>
          <w:rFonts w:cstheme="minorHAnsi"/>
          <w:i/>
          <w:iCs/>
        </w:rPr>
      </w:pPr>
      <w:r w:rsidRPr="00482950">
        <w:rPr>
          <w:rFonts w:cstheme="minorHAnsi"/>
          <w:i/>
          <w:iCs/>
        </w:rPr>
        <w:t xml:space="preserve">Klíčové parametry toxicity </w:t>
      </w:r>
      <w:r w:rsidR="00482950">
        <w:rPr>
          <w:rFonts w:cstheme="minorHAnsi"/>
          <w:i/>
          <w:iCs/>
        </w:rPr>
        <w:t xml:space="preserve">látek </w:t>
      </w:r>
      <w:proofErr w:type="gramStart"/>
      <w:r w:rsidR="00482950">
        <w:rPr>
          <w:rFonts w:cstheme="minorHAnsi"/>
          <w:i/>
          <w:iCs/>
        </w:rPr>
        <w:t>CG,DP</w:t>
      </w:r>
      <w:proofErr w:type="gramEnd"/>
      <w:r w:rsidR="00482950">
        <w:rPr>
          <w:rFonts w:cstheme="minorHAnsi"/>
          <w:i/>
          <w:iCs/>
        </w:rPr>
        <w:t xml:space="preserve">, PS. </w:t>
      </w:r>
      <w:r w:rsidR="00482950" w:rsidRPr="00A63E0C">
        <w:rPr>
          <w:rFonts w:cstheme="minorHAnsi"/>
          <w:i/>
          <w:iCs/>
        </w:rPr>
        <w:t>(</w:t>
      </w:r>
      <w:proofErr w:type="spellStart"/>
      <w:r w:rsidR="00482950" w:rsidRPr="00A63E0C">
        <w:rPr>
          <w:rFonts w:cstheme="minorHAnsi"/>
          <w:i/>
          <w:iCs/>
        </w:rPr>
        <w:t>Pitschmann</w:t>
      </w:r>
      <w:proofErr w:type="spellEnd"/>
      <w:r w:rsidR="00482950" w:rsidRPr="00A63E0C">
        <w:rPr>
          <w:rFonts w:cstheme="minorHAnsi"/>
          <w:i/>
          <w:iCs/>
        </w:rPr>
        <w:t>, 2008; Bajgar, 2007)</w:t>
      </w:r>
    </w:p>
    <w:p w14:paraId="5FBE7132" w14:textId="1B92923F" w:rsidR="00951485" w:rsidRPr="00482950" w:rsidRDefault="00951485" w:rsidP="00482950">
      <w:pPr>
        <w:spacing w:after="0"/>
        <w:ind w:firstLine="0"/>
        <w:rPr>
          <w:rFonts w:cstheme="minorHAnsi"/>
          <w:i/>
          <w:iCs/>
        </w:rPr>
      </w:pPr>
    </w:p>
    <w:p w14:paraId="28096BF9" w14:textId="77777777" w:rsidR="00951485" w:rsidRPr="003C79A0" w:rsidRDefault="00951485" w:rsidP="00951485">
      <w:pPr>
        <w:rPr>
          <w:rFonts w:cstheme="minorHAnsi"/>
          <w:sz w:val="24"/>
          <w:szCs w:val="24"/>
        </w:rPr>
      </w:pPr>
      <w:r>
        <w:rPr>
          <w:rFonts w:cstheme="minorHAnsi"/>
          <w:noProof/>
          <w:sz w:val="24"/>
          <w:szCs w:val="24"/>
        </w:rPr>
        <w:drawing>
          <wp:inline distT="0" distB="0" distL="0" distR="0" wp14:anchorId="2AF9AB98" wp14:editId="2BEAE15F">
            <wp:extent cx="5219700" cy="1047750"/>
            <wp:effectExtent l="0" t="0" r="0" b="0"/>
            <wp:docPr id="1799585269" name="Obrázek 4" descr="Obsah obrázku text, snímek obrazovky, řada/p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85269" name="Obrázek 4" descr="Obsah obrázku text, snímek obrazovky, řada/pruh, Písmo&#10;&#10;Popis byl vytvořen automaticky"/>
                    <pic:cNvPicPr>
                      <a:picLocks noChangeAspect="1" noChangeArrowheads="1"/>
                    </pic:cNvPicPr>
                  </pic:nvPicPr>
                  <pic:blipFill rotWithShape="1">
                    <a:blip r:embed="rId17">
                      <a:extLst>
                        <a:ext uri="{28A0092B-C50C-407E-A947-70E740481C1C}">
                          <a14:useLocalDpi xmlns:a14="http://schemas.microsoft.com/office/drawing/2010/main" val="0"/>
                        </a:ext>
                      </a:extLst>
                    </a:blip>
                    <a:srcRect r="9271"/>
                    <a:stretch/>
                  </pic:blipFill>
                  <pic:spPr bwMode="auto">
                    <a:xfrm>
                      <a:off x="0" y="0"/>
                      <a:ext cx="5219700" cy="1047750"/>
                    </a:xfrm>
                    <a:prstGeom prst="rect">
                      <a:avLst/>
                    </a:prstGeom>
                    <a:noFill/>
                    <a:ln>
                      <a:noFill/>
                    </a:ln>
                    <a:extLst>
                      <a:ext uri="{53640926-AAD7-44D8-BBD7-CCE9431645EC}">
                        <a14:shadowObscured xmlns:a14="http://schemas.microsoft.com/office/drawing/2010/main"/>
                      </a:ext>
                    </a:extLst>
                  </pic:spPr>
                </pic:pic>
              </a:graphicData>
            </a:graphic>
          </wp:inline>
        </w:drawing>
      </w:r>
    </w:p>
    <w:p w14:paraId="453BEB29" w14:textId="77777777" w:rsidR="00FA4103" w:rsidRDefault="00FA4103" w:rsidP="00FA4103">
      <w:pPr>
        <w:ind w:firstLine="0"/>
        <w:rPr>
          <w:rFonts w:cstheme="minorHAnsi"/>
          <w:i/>
          <w:iCs/>
        </w:rPr>
      </w:pPr>
    </w:p>
    <w:p w14:paraId="251A0F7E" w14:textId="2450A7A3" w:rsidR="00951485" w:rsidRPr="00086E41" w:rsidRDefault="00951485" w:rsidP="00FA4103">
      <w:pPr>
        <w:ind w:firstLine="0"/>
        <w:rPr>
          <w:rFonts w:cstheme="minorHAnsi"/>
          <w:b/>
          <w:bCs/>
        </w:rPr>
      </w:pPr>
      <w:r w:rsidRPr="00086E41">
        <w:rPr>
          <w:rFonts w:cstheme="minorHAnsi"/>
          <w:b/>
          <w:bCs/>
        </w:rPr>
        <w:t>Příznaky intoxikace</w:t>
      </w:r>
    </w:p>
    <w:p w14:paraId="73D11F79" w14:textId="77777777" w:rsidR="00951485" w:rsidRPr="00086E41" w:rsidRDefault="00951485" w:rsidP="00951485">
      <w:pPr>
        <w:rPr>
          <w:rFonts w:cstheme="minorHAnsi"/>
        </w:rPr>
      </w:pPr>
      <w:r w:rsidRPr="00086E41">
        <w:rPr>
          <w:rFonts w:cstheme="minorHAnsi"/>
        </w:rPr>
        <w:tab/>
        <w:t>Intoxikace dusivými látkami probíhá v několika stádiích. V počáteční fázi se objevují mírné symptomy jako škrábání v krku, pálení v nosohltanu, pocit tísně na hrudi, bolest hlavy a slabost. Tyto příznaky mohou odeznít a následně nastává latentní fáze trvající 3-6 hodin, během níž postižený nemá výrazné symptomy (Bajgar, 2007). Poté se příznaky opět zhoršují a dochází k rozvoji toxického edému plic, projevujícího se těžkou dušností, kašlem a cyanózou (modrým zabarvením kůže). V extrémních případech může intoxikace vyústit ve smrt během 24-48 hodin, zejména pokud se objeví tzv. šedý typ hypoxie, kdy pacient umírá na selhání plic a oběhu (Bajgar, 2007).</w:t>
      </w:r>
    </w:p>
    <w:p w14:paraId="30BDE1ED" w14:textId="77777777" w:rsidR="00FA4103" w:rsidRDefault="00FA4103" w:rsidP="00FA4103">
      <w:pPr>
        <w:ind w:firstLine="0"/>
        <w:rPr>
          <w:rFonts w:cstheme="minorHAnsi"/>
          <w:b/>
          <w:bCs/>
        </w:rPr>
      </w:pPr>
    </w:p>
    <w:p w14:paraId="38B168D5" w14:textId="26B960A8" w:rsidR="00951485" w:rsidRPr="00086E41" w:rsidRDefault="00951485" w:rsidP="00FA4103">
      <w:pPr>
        <w:ind w:firstLine="0"/>
        <w:rPr>
          <w:rFonts w:cstheme="minorHAnsi"/>
          <w:b/>
          <w:bCs/>
        </w:rPr>
      </w:pPr>
      <w:r w:rsidRPr="00086E41">
        <w:rPr>
          <w:rFonts w:cstheme="minorHAnsi"/>
          <w:b/>
          <w:bCs/>
        </w:rPr>
        <w:t>Léčba a ochrana</w:t>
      </w:r>
    </w:p>
    <w:p w14:paraId="32DD83B5" w14:textId="3D36F6B2" w:rsidR="00951485" w:rsidRPr="00086E41" w:rsidRDefault="00951485" w:rsidP="00086E41">
      <w:pPr>
        <w:rPr>
          <w:rFonts w:cstheme="minorHAnsi"/>
        </w:rPr>
      </w:pPr>
      <w:r w:rsidRPr="00086E41">
        <w:rPr>
          <w:rFonts w:cstheme="minorHAnsi"/>
        </w:rPr>
        <w:tab/>
        <w:t>Ochrana před dusivými látkami zahrnuje ochranné masky s účinnými filtry a prostředky na ochranu kůže. V případě expozice je důležité postiženého vyvést ze zamořeného prostředí, zajistit mu klid a teplo. Umělé dýchání je poskytováno pouze při zástavě dechu (</w:t>
      </w:r>
      <w:proofErr w:type="spellStart"/>
      <w:r w:rsidRPr="00086E41">
        <w:rPr>
          <w:rFonts w:cstheme="minorHAnsi"/>
        </w:rPr>
        <w:t>Prymula</w:t>
      </w:r>
      <w:proofErr w:type="spellEnd"/>
      <w:r w:rsidRPr="00086E41">
        <w:rPr>
          <w:rFonts w:cstheme="minorHAnsi"/>
        </w:rPr>
        <w:t xml:space="preserve">, 2007). Specifická </w:t>
      </w:r>
      <w:proofErr w:type="spellStart"/>
      <w:r w:rsidRPr="00086E41">
        <w:rPr>
          <w:rFonts w:cstheme="minorHAnsi"/>
        </w:rPr>
        <w:t>antidota</w:t>
      </w:r>
      <w:proofErr w:type="spellEnd"/>
      <w:r w:rsidRPr="00086E41">
        <w:rPr>
          <w:rFonts w:cstheme="minorHAnsi"/>
        </w:rPr>
        <w:t xml:space="preserve"> pro dusivé látky nejsou známa, a proto je léčba zaměřena na </w:t>
      </w:r>
      <w:r w:rsidRPr="00086E41">
        <w:rPr>
          <w:rFonts w:cstheme="minorHAnsi"/>
        </w:rPr>
        <w:lastRenderedPageBreak/>
        <w:t>symptomatickou pomoc, včetně podávání kyslíku, farmakologické podpory dýchání, infuzní terapie a resuscitace v případě selhání životních funkcí (</w:t>
      </w:r>
      <w:proofErr w:type="spellStart"/>
      <w:r w:rsidRPr="00086E41">
        <w:rPr>
          <w:rFonts w:cstheme="minorHAnsi"/>
        </w:rPr>
        <w:t>Kassa</w:t>
      </w:r>
      <w:proofErr w:type="spellEnd"/>
      <w:r w:rsidRPr="00086E41">
        <w:rPr>
          <w:rFonts w:cstheme="minorHAnsi"/>
        </w:rPr>
        <w:t>, 2006).</w:t>
      </w:r>
    </w:p>
    <w:p w14:paraId="77129755" w14:textId="12D51BC6" w:rsidR="00951485" w:rsidRPr="003C79A0" w:rsidRDefault="00951485" w:rsidP="00951485">
      <w:pPr>
        <w:pStyle w:val="Nadpis3"/>
      </w:pPr>
      <w:bookmarkStart w:id="58" w:name="_Toc182946188"/>
      <w:r w:rsidRPr="003C79A0">
        <w:t xml:space="preserve"> </w:t>
      </w:r>
      <w:bookmarkStart w:id="59" w:name="_Toc183029549"/>
      <w:r w:rsidRPr="003C79A0">
        <w:t>Dráždivé látky</w:t>
      </w:r>
      <w:bookmarkEnd w:id="58"/>
      <w:bookmarkEnd w:id="59"/>
      <w:r w:rsidRPr="003C79A0">
        <w:t xml:space="preserve"> </w:t>
      </w:r>
    </w:p>
    <w:p w14:paraId="202F0433" w14:textId="77777777" w:rsidR="00AE6CC6" w:rsidRPr="00AE6CC6" w:rsidRDefault="00951485" w:rsidP="00AE6CC6">
      <w:pPr>
        <w:spacing w:after="0"/>
        <w:rPr>
          <w:rFonts w:cstheme="minorHAnsi"/>
          <w:lang w:val="cs-CZ"/>
        </w:rPr>
      </w:pPr>
      <w:r w:rsidRPr="00AE6CC6">
        <w:rPr>
          <w:rFonts w:cstheme="minorHAnsi"/>
        </w:rPr>
        <w:tab/>
      </w:r>
      <w:r w:rsidR="00AE6CC6" w:rsidRPr="00AE6CC6">
        <w:rPr>
          <w:rFonts w:cstheme="minorHAnsi"/>
          <w:lang w:val="cs-CZ"/>
        </w:rPr>
        <w:t xml:space="preserve">Dráždivé látky, často označované jako </w:t>
      </w:r>
      <w:proofErr w:type="spellStart"/>
      <w:r w:rsidR="00AE6CC6" w:rsidRPr="00AE6CC6">
        <w:rPr>
          <w:rFonts w:cstheme="minorHAnsi"/>
          <w:lang w:val="cs-CZ"/>
        </w:rPr>
        <w:t>lakrimátory</w:t>
      </w:r>
      <w:proofErr w:type="spellEnd"/>
      <w:r w:rsidR="00AE6CC6" w:rsidRPr="00AE6CC6">
        <w:rPr>
          <w:rFonts w:cstheme="minorHAnsi"/>
          <w:lang w:val="cs-CZ"/>
        </w:rPr>
        <w:t xml:space="preserve"> nebo slzotvorné chemikálie, zahrnují sloučeniny jako </w:t>
      </w:r>
      <w:proofErr w:type="spellStart"/>
      <w:r w:rsidR="00AE6CC6" w:rsidRPr="00AE6CC6">
        <w:rPr>
          <w:rFonts w:cstheme="minorHAnsi"/>
          <w:lang w:val="cs-CZ"/>
        </w:rPr>
        <w:t>chloracetofenon</w:t>
      </w:r>
      <w:proofErr w:type="spellEnd"/>
      <w:r w:rsidR="00AE6CC6" w:rsidRPr="00AE6CC6">
        <w:rPr>
          <w:rFonts w:cstheme="minorHAnsi"/>
          <w:lang w:val="cs-CZ"/>
        </w:rPr>
        <w:t xml:space="preserve"> (CN), CS, CR, brombenzylkyanid (CA, dříve známý jako BBC) a kapsaicin (OC). </w:t>
      </w:r>
      <w:proofErr w:type="spellStart"/>
      <w:r w:rsidR="00AE6CC6" w:rsidRPr="00AE6CC6">
        <w:rPr>
          <w:rFonts w:cstheme="minorHAnsi"/>
          <w:lang w:val="cs-CZ"/>
        </w:rPr>
        <w:t>Kassa</w:t>
      </w:r>
      <w:proofErr w:type="spellEnd"/>
      <w:r w:rsidR="00AE6CC6" w:rsidRPr="00AE6CC6">
        <w:rPr>
          <w:rFonts w:cstheme="minorHAnsi"/>
          <w:lang w:val="cs-CZ"/>
        </w:rPr>
        <w:t xml:space="preserve"> (2007) také uvádí sternity, které ovlivňují především horní cesty dýchací, například </w:t>
      </w:r>
      <w:proofErr w:type="spellStart"/>
      <w:r w:rsidR="00AE6CC6" w:rsidRPr="00AE6CC6">
        <w:rPr>
          <w:rFonts w:cstheme="minorHAnsi"/>
          <w:lang w:val="cs-CZ"/>
        </w:rPr>
        <w:t>difenylchlorarsan</w:t>
      </w:r>
      <w:proofErr w:type="spellEnd"/>
      <w:r w:rsidR="00AE6CC6" w:rsidRPr="00AE6CC6">
        <w:rPr>
          <w:rFonts w:cstheme="minorHAnsi"/>
          <w:lang w:val="cs-CZ"/>
        </w:rPr>
        <w:t xml:space="preserve"> (DA, známý jako Clark I), </w:t>
      </w:r>
      <w:proofErr w:type="spellStart"/>
      <w:r w:rsidR="00AE6CC6" w:rsidRPr="00AE6CC6">
        <w:rPr>
          <w:rFonts w:cstheme="minorHAnsi"/>
          <w:lang w:val="cs-CZ"/>
        </w:rPr>
        <w:t>difenylkyanarsan</w:t>
      </w:r>
      <w:proofErr w:type="spellEnd"/>
      <w:r w:rsidR="00AE6CC6" w:rsidRPr="00AE6CC6">
        <w:rPr>
          <w:rFonts w:cstheme="minorHAnsi"/>
          <w:lang w:val="cs-CZ"/>
        </w:rPr>
        <w:t xml:space="preserve"> (DC, Clark II) a </w:t>
      </w:r>
      <w:proofErr w:type="spellStart"/>
      <w:r w:rsidR="00AE6CC6" w:rsidRPr="00AE6CC6">
        <w:rPr>
          <w:rFonts w:cstheme="minorHAnsi"/>
          <w:lang w:val="cs-CZ"/>
        </w:rPr>
        <w:t>adamsit</w:t>
      </w:r>
      <w:proofErr w:type="spellEnd"/>
      <w:r w:rsidR="00AE6CC6" w:rsidRPr="00AE6CC6">
        <w:rPr>
          <w:rFonts w:cstheme="minorHAnsi"/>
          <w:lang w:val="cs-CZ"/>
        </w:rPr>
        <w:t xml:space="preserve"> (DM).</w:t>
      </w:r>
    </w:p>
    <w:p w14:paraId="46C0D42C" w14:textId="77777777" w:rsidR="00AE6CC6" w:rsidRPr="00AE6CC6" w:rsidRDefault="00AE6CC6" w:rsidP="00AE6CC6">
      <w:pPr>
        <w:spacing w:after="0"/>
        <w:rPr>
          <w:rFonts w:cstheme="minorHAnsi"/>
          <w:lang w:val="cs-CZ"/>
        </w:rPr>
      </w:pPr>
      <w:r w:rsidRPr="00AE6CC6">
        <w:rPr>
          <w:rFonts w:cstheme="minorHAnsi"/>
          <w:lang w:val="cs-CZ"/>
        </w:rPr>
        <w:t xml:space="preserve">První použití těchto látek bylo zaznamenáno během počátku první světové války. Kvůli jejich nižší toxicitě a snadnému nasazení ochranných opatření však nesplnily očekávání, což vedlo k preferenci toxičtějších sloučenin, například zpuchýřujících nebo dusivých látek. </w:t>
      </w:r>
      <w:proofErr w:type="spellStart"/>
      <w:r w:rsidRPr="00AE6CC6">
        <w:rPr>
          <w:rFonts w:cstheme="minorHAnsi"/>
          <w:lang w:val="cs-CZ"/>
        </w:rPr>
        <w:t>Pitschmann</w:t>
      </w:r>
      <w:proofErr w:type="spellEnd"/>
      <w:r w:rsidRPr="00AE6CC6">
        <w:rPr>
          <w:rFonts w:cstheme="minorHAnsi"/>
          <w:lang w:val="cs-CZ"/>
        </w:rPr>
        <w:t xml:space="preserve"> (2008) poznamenává, že v současné době se dráždivé látky využívají především při policejních zásazích nebo výcviku, jelikož působí rychle a jejich efekty jsou dočasné a obecně neohrožují zdraví. Přesto však některé organizace prosazují jejich zákaz kvůli potenciálním rizikům spojeným s jejich používáním.</w:t>
      </w:r>
    </w:p>
    <w:p w14:paraId="7DC75C15" w14:textId="77777777" w:rsidR="00567883" w:rsidRDefault="00567883" w:rsidP="00567883">
      <w:pPr>
        <w:ind w:firstLine="0"/>
        <w:rPr>
          <w:rFonts w:cstheme="minorHAnsi"/>
          <w:sz w:val="24"/>
          <w:szCs w:val="24"/>
          <w:lang w:val="cs-CZ"/>
        </w:rPr>
      </w:pPr>
    </w:p>
    <w:p w14:paraId="0EFEF74E" w14:textId="6DCD7326" w:rsidR="00951485" w:rsidRPr="00086E41" w:rsidRDefault="00951485" w:rsidP="00567883">
      <w:pPr>
        <w:ind w:firstLine="0"/>
        <w:rPr>
          <w:rFonts w:cstheme="minorHAnsi"/>
          <w:b/>
          <w:bCs/>
        </w:rPr>
      </w:pPr>
      <w:r w:rsidRPr="00086E41">
        <w:rPr>
          <w:rFonts w:cstheme="minorHAnsi"/>
          <w:b/>
          <w:bCs/>
        </w:rPr>
        <w:t>Fyzikálně-chemické vlastnosti</w:t>
      </w:r>
    </w:p>
    <w:p w14:paraId="666234FD" w14:textId="14C13579" w:rsidR="00951485" w:rsidRDefault="00951485" w:rsidP="00951485">
      <w:pPr>
        <w:rPr>
          <w:rFonts w:cstheme="minorHAnsi"/>
        </w:rPr>
      </w:pPr>
      <w:r w:rsidRPr="00086E41">
        <w:rPr>
          <w:rFonts w:cstheme="minorHAnsi"/>
        </w:rPr>
        <w:tab/>
      </w:r>
      <w:r w:rsidR="00AE6CC6" w:rsidRPr="00AE6CC6">
        <w:rPr>
          <w:rFonts w:cstheme="minorHAnsi"/>
        </w:rPr>
        <w:t xml:space="preserve">Dráždivé látky mají rozmanitou chemickou strukturu a jsou účinné již při velmi nízkých koncentracích. </w:t>
      </w:r>
      <w:proofErr w:type="spellStart"/>
      <w:r w:rsidR="00AE6CC6" w:rsidRPr="00AE6CC6">
        <w:rPr>
          <w:rFonts w:cstheme="minorHAnsi"/>
        </w:rPr>
        <w:t>Kassa</w:t>
      </w:r>
      <w:proofErr w:type="spellEnd"/>
      <w:r w:rsidR="00AE6CC6" w:rsidRPr="00AE6CC6">
        <w:rPr>
          <w:rFonts w:cstheme="minorHAnsi"/>
        </w:rPr>
        <w:t xml:space="preserve"> (2007) uvádí, že většina těchto látek je v krystalické formě, bílé až nažloutlé barvy, a některé z nich, jako </w:t>
      </w:r>
      <w:proofErr w:type="spellStart"/>
      <w:r w:rsidR="00AE6CC6" w:rsidRPr="00AE6CC6">
        <w:rPr>
          <w:rFonts w:cstheme="minorHAnsi"/>
        </w:rPr>
        <w:t>adamsit</w:t>
      </w:r>
      <w:proofErr w:type="spellEnd"/>
      <w:r w:rsidR="00AE6CC6" w:rsidRPr="00AE6CC6">
        <w:rPr>
          <w:rFonts w:cstheme="minorHAnsi"/>
        </w:rPr>
        <w:t xml:space="preserve">, jsou bez zápachu. Oproti tomu </w:t>
      </w:r>
      <w:proofErr w:type="spellStart"/>
      <w:r w:rsidR="00AE6CC6" w:rsidRPr="00AE6CC6">
        <w:rPr>
          <w:rFonts w:cstheme="minorHAnsi"/>
        </w:rPr>
        <w:t>Pitschmann</w:t>
      </w:r>
      <w:proofErr w:type="spellEnd"/>
      <w:r w:rsidR="00AE6CC6" w:rsidRPr="00AE6CC6">
        <w:rPr>
          <w:rFonts w:cstheme="minorHAnsi"/>
        </w:rPr>
        <w:t xml:space="preserve"> (2008) poukazuje na charakteristické vůně některých dalších látek, například CS a CR, které voní po pepři, nebo </w:t>
      </w:r>
      <w:proofErr w:type="spellStart"/>
      <w:r w:rsidR="00AE6CC6" w:rsidRPr="00AE6CC6">
        <w:rPr>
          <w:rFonts w:cstheme="minorHAnsi"/>
        </w:rPr>
        <w:t>chloracetofenon</w:t>
      </w:r>
      <w:proofErr w:type="spellEnd"/>
      <w:r w:rsidR="00AE6CC6" w:rsidRPr="00AE6CC6">
        <w:rPr>
          <w:rFonts w:cstheme="minorHAnsi"/>
        </w:rPr>
        <w:t xml:space="preserve">, který má vůni připomínající fialky či jabloňové květy. Co se týče rozpustnosti, </w:t>
      </w:r>
      <w:proofErr w:type="spellStart"/>
      <w:r w:rsidR="00AE6CC6" w:rsidRPr="00AE6CC6">
        <w:rPr>
          <w:rFonts w:cstheme="minorHAnsi"/>
        </w:rPr>
        <w:t>Kassa</w:t>
      </w:r>
      <w:proofErr w:type="spellEnd"/>
      <w:r w:rsidR="00AE6CC6" w:rsidRPr="00AE6CC6">
        <w:rPr>
          <w:rFonts w:cstheme="minorHAnsi"/>
        </w:rPr>
        <w:t xml:space="preserve"> (2007) poznamenává, že tyto látky jsou obvykle špatně rozpustné ve vodě, ale dobře se rozpouštějí v organických rozpouštědlech, s výjimkou </w:t>
      </w:r>
      <w:proofErr w:type="spellStart"/>
      <w:r w:rsidR="00AE6CC6" w:rsidRPr="00AE6CC6">
        <w:rPr>
          <w:rFonts w:cstheme="minorHAnsi"/>
        </w:rPr>
        <w:t>adamsitu</w:t>
      </w:r>
      <w:proofErr w:type="spellEnd"/>
      <w:r w:rsidR="00AE6CC6" w:rsidRPr="00AE6CC6">
        <w:rPr>
          <w:rFonts w:cstheme="minorHAnsi"/>
        </w:rPr>
        <w:t>, který má odlišné vlastnosti.</w:t>
      </w:r>
      <w:r w:rsidRPr="00086E41">
        <w:rPr>
          <w:rFonts w:cstheme="minorHAnsi"/>
        </w:rPr>
        <w:t xml:space="preserve"> </w:t>
      </w:r>
    </w:p>
    <w:p w14:paraId="794625A9" w14:textId="77777777" w:rsidR="00DF7A90" w:rsidRDefault="00DF7A90" w:rsidP="00482950">
      <w:pPr>
        <w:pStyle w:val="obrzky"/>
        <w:spacing w:after="0"/>
        <w:rPr>
          <w:i/>
          <w:iCs/>
        </w:rPr>
      </w:pPr>
    </w:p>
    <w:p w14:paraId="452D6EAC" w14:textId="77777777" w:rsidR="00DF7A90" w:rsidRDefault="00DF7A90" w:rsidP="00482950">
      <w:pPr>
        <w:pStyle w:val="obrzky"/>
        <w:spacing w:after="0"/>
        <w:rPr>
          <w:i/>
          <w:iCs/>
        </w:rPr>
      </w:pPr>
    </w:p>
    <w:p w14:paraId="22804BC8" w14:textId="77777777" w:rsidR="00DF7A90" w:rsidRDefault="00DF7A90" w:rsidP="00482950">
      <w:pPr>
        <w:pStyle w:val="obrzky"/>
        <w:spacing w:after="0"/>
        <w:rPr>
          <w:i/>
          <w:iCs/>
        </w:rPr>
      </w:pPr>
    </w:p>
    <w:p w14:paraId="14287286" w14:textId="77777777" w:rsidR="00DF7A90" w:rsidRDefault="00DF7A90" w:rsidP="00482950">
      <w:pPr>
        <w:pStyle w:val="obrzky"/>
        <w:spacing w:after="0"/>
        <w:rPr>
          <w:i/>
          <w:iCs/>
        </w:rPr>
      </w:pPr>
    </w:p>
    <w:p w14:paraId="134BE68C" w14:textId="77777777" w:rsidR="00DF7A90" w:rsidRDefault="00DF7A90" w:rsidP="00482950">
      <w:pPr>
        <w:pStyle w:val="obrzky"/>
        <w:spacing w:after="0"/>
        <w:rPr>
          <w:i/>
          <w:iCs/>
        </w:rPr>
      </w:pPr>
    </w:p>
    <w:p w14:paraId="4360D4F1" w14:textId="77777777" w:rsidR="00DF7A90" w:rsidRDefault="00DF7A90" w:rsidP="00482950">
      <w:pPr>
        <w:pStyle w:val="obrzky"/>
        <w:spacing w:after="0"/>
        <w:rPr>
          <w:i/>
          <w:iCs/>
        </w:rPr>
      </w:pPr>
    </w:p>
    <w:p w14:paraId="52C61E38" w14:textId="77777777" w:rsidR="00DF7A90" w:rsidRDefault="00DF7A90" w:rsidP="00482950">
      <w:pPr>
        <w:pStyle w:val="obrzky"/>
        <w:spacing w:after="0"/>
        <w:rPr>
          <w:i/>
          <w:iCs/>
        </w:rPr>
      </w:pPr>
    </w:p>
    <w:p w14:paraId="799AB37D" w14:textId="77777777" w:rsidR="00DF7A90" w:rsidRDefault="00DF7A90" w:rsidP="00482950">
      <w:pPr>
        <w:pStyle w:val="obrzky"/>
        <w:spacing w:after="0"/>
        <w:rPr>
          <w:i/>
          <w:iCs/>
        </w:rPr>
      </w:pPr>
    </w:p>
    <w:p w14:paraId="41DAB728" w14:textId="7865EF4F" w:rsidR="00482950" w:rsidRPr="00482950" w:rsidRDefault="00482950" w:rsidP="00482950">
      <w:pPr>
        <w:pStyle w:val="obrzky"/>
        <w:spacing w:after="0"/>
        <w:rPr>
          <w:i/>
          <w:iCs/>
        </w:rPr>
      </w:pPr>
      <w:bookmarkStart w:id="60" w:name="_Toc182989490"/>
      <w:bookmarkStart w:id="61" w:name="_Toc182992404"/>
      <w:r w:rsidRPr="00482950">
        <w:rPr>
          <w:i/>
          <w:iCs/>
        </w:rPr>
        <w:lastRenderedPageBreak/>
        <w:t>Obrázek 9.</w:t>
      </w:r>
      <w:bookmarkEnd w:id="60"/>
      <w:bookmarkEnd w:id="61"/>
    </w:p>
    <w:p w14:paraId="06147141" w14:textId="4326A2A6" w:rsidR="00482950" w:rsidRDefault="00482950" w:rsidP="00482950">
      <w:pPr>
        <w:spacing w:after="0"/>
        <w:ind w:firstLine="0"/>
        <w:rPr>
          <w:rFonts w:cstheme="minorHAnsi"/>
          <w:i/>
          <w:iCs/>
        </w:rPr>
      </w:pPr>
      <w:r w:rsidRPr="00482950">
        <w:rPr>
          <w:rFonts w:cstheme="minorHAnsi"/>
          <w:i/>
          <w:iCs/>
        </w:rPr>
        <w:t>Některé důležité fyzikálně-chemické vlastnosti těchto látek jsou uvedeny v následující tabulce (</w:t>
      </w:r>
      <w:proofErr w:type="spellStart"/>
      <w:r w:rsidRPr="00482950">
        <w:rPr>
          <w:rFonts w:cstheme="minorHAnsi"/>
          <w:i/>
          <w:iCs/>
        </w:rPr>
        <w:t>Pitschmann</w:t>
      </w:r>
      <w:proofErr w:type="spellEnd"/>
      <w:r w:rsidRPr="00482950">
        <w:rPr>
          <w:rFonts w:cstheme="minorHAnsi"/>
          <w:i/>
          <w:iCs/>
        </w:rPr>
        <w:t xml:space="preserve">, 2008; </w:t>
      </w:r>
      <w:proofErr w:type="spellStart"/>
      <w:r w:rsidRPr="00482950">
        <w:rPr>
          <w:rFonts w:cstheme="minorHAnsi"/>
          <w:i/>
          <w:iCs/>
        </w:rPr>
        <w:t>Gupta</w:t>
      </w:r>
      <w:proofErr w:type="spellEnd"/>
      <w:r w:rsidRPr="00482950">
        <w:rPr>
          <w:rFonts w:cstheme="minorHAnsi"/>
          <w:i/>
          <w:iCs/>
        </w:rPr>
        <w:t xml:space="preserve">, 2012; </w:t>
      </w:r>
      <w:proofErr w:type="spellStart"/>
      <w:r w:rsidRPr="00482950">
        <w:rPr>
          <w:rFonts w:cstheme="minorHAnsi"/>
          <w:i/>
          <w:iCs/>
        </w:rPr>
        <w:t>Kassa</w:t>
      </w:r>
      <w:proofErr w:type="spellEnd"/>
      <w:r w:rsidRPr="00482950">
        <w:rPr>
          <w:rFonts w:cstheme="minorHAnsi"/>
          <w:i/>
          <w:iCs/>
        </w:rPr>
        <w:t>, 2007).</w:t>
      </w:r>
    </w:p>
    <w:p w14:paraId="1E2E403C" w14:textId="43D0374D" w:rsidR="00482950" w:rsidRPr="00482950" w:rsidRDefault="0072398C" w:rsidP="00482950">
      <w:pPr>
        <w:spacing w:after="0"/>
        <w:ind w:firstLine="0"/>
        <w:rPr>
          <w:rFonts w:cstheme="minorHAnsi"/>
          <w:i/>
          <w:iCs/>
        </w:rPr>
      </w:pPr>
      <w:r>
        <w:rPr>
          <w:rFonts w:cstheme="minorHAnsi"/>
          <w:noProof/>
          <w:sz w:val="24"/>
          <w:szCs w:val="24"/>
        </w:rPr>
        <w:drawing>
          <wp:anchor distT="0" distB="0" distL="114300" distR="114300" simplePos="0" relativeHeight="251669504" behindDoc="1" locked="0" layoutInCell="1" allowOverlap="1" wp14:anchorId="65F65F16" wp14:editId="6A52541B">
            <wp:simplePos x="0" y="0"/>
            <wp:positionH relativeFrom="column">
              <wp:posOffset>-165100</wp:posOffset>
            </wp:positionH>
            <wp:positionV relativeFrom="paragraph">
              <wp:posOffset>247015</wp:posOffset>
            </wp:positionV>
            <wp:extent cx="5760720" cy="3627755"/>
            <wp:effectExtent l="0" t="0" r="0" b="0"/>
            <wp:wrapTight wrapText="bothSides">
              <wp:wrapPolygon edited="0">
                <wp:start x="0" y="0"/>
                <wp:lineTo x="0" y="21437"/>
                <wp:lineTo x="21500" y="21437"/>
                <wp:lineTo x="21500" y="0"/>
                <wp:lineTo x="0" y="0"/>
              </wp:wrapPolygon>
            </wp:wrapTight>
            <wp:docPr id="1610629418" name="Obrázek 5"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29418" name="Obrázek 5" descr="Obsah obrázku text, snímek obrazovky, číslo, Písmo&#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627755"/>
                    </a:xfrm>
                    <a:prstGeom prst="rect">
                      <a:avLst/>
                    </a:prstGeom>
                    <a:noFill/>
                    <a:ln>
                      <a:noFill/>
                    </a:ln>
                  </pic:spPr>
                </pic:pic>
              </a:graphicData>
            </a:graphic>
          </wp:anchor>
        </w:drawing>
      </w:r>
    </w:p>
    <w:p w14:paraId="69445031" w14:textId="77777777" w:rsidR="00DF7A90" w:rsidRDefault="00DF7A90" w:rsidP="00DF7A90">
      <w:pPr>
        <w:ind w:firstLine="0"/>
        <w:rPr>
          <w:rFonts w:cstheme="minorHAnsi"/>
          <w:b/>
          <w:bCs/>
        </w:rPr>
      </w:pPr>
    </w:p>
    <w:p w14:paraId="1CCE2BBC" w14:textId="3EE4C41D" w:rsidR="00951485" w:rsidRPr="00086E41" w:rsidRDefault="00951485" w:rsidP="00DF7A90">
      <w:pPr>
        <w:ind w:firstLine="0"/>
        <w:rPr>
          <w:rFonts w:cstheme="minorHAnsi"/>
          <w:b/>
          <w:bCs/>
        </w:rPr>
      </w:pPr>
      <w:r w:rsidRPr="00086E41">
        <w:rPr>
          <w:rFonts w:cstheme="minorHAnsi"/>
          <w:b/>
          <w:bCs/>
        </w:rPr>
        <w:t>Mechanismus účinku na organismus</w:t>
      </w:r>
    </w:p>
    <w:p w14:paraId="2C7097F3" w14:textId="77777777" w:rsidR="00951485" w:rsidRDefault="00951485" w:rsidP="00951485">
      <w:pPr>
        <w:rPr>
          <w:rFonts w:cstheme="minorHAnsi"/>
        </w:rPr>
      </w:pPr>
      <w:r w:rsidRPr="00086E41">
        <w:rPr>
          <w:rFonts w:cstheme="minorHAnsi"/>
        </w:rPr>
        <w:tab/>
        <w:t xml:space="preserve">Účinek dráždivých látek spočívá v podráždění receptorů senzorických a senzitivních nervů v rohovce, spojivkách, sliznici dýchacích cest, trávicího traktu a kůže. </w:t>
      </w:r>
      <w:proofErr w:type="spellStart"/>
      <w:r w:rsidRPr="00086E41">
        <w:rPr>
          <w:rFonts w:cstheme="minorHAnsi"/>
        </w:rPr>
        <w:t>Lakrimátory</w:t>
      </w:r>
      <w:proofErr w:type="spellEnd"/>
      <w:r w:rsidRPr="00086E41">
        <w:rPr>
          <w:rFonts w:cstheme="minorHAnsi"/>
        </w:rPr>
        <w:t xml:space="preserve"> působí především na nervové receptory rohovky a spojivek, zatímco sternity dráždí především sliznice horních cest dýchacích (</w:t>
      </w:r>
      <w:proofErr w:type="spellStart"/>
      <w:r w:rsidRPr="00086E41">
        <w:rPr>
          <w:rFonts w:cstheme="minorHAnsi"/>
        </w:rPr>
        <w:t>Kassa</w:t>
      </w:r>
      <w:proofErr w:type="spellEnd"/>
      <w:r w:rsidRPr="00086E41">
        <w:rPr>
          <w:rFonts w:cstheme="minorHAnsi"/>
        </w:rPr>
        <w:t>, 2007).</w:t>
      </w:r>
    </w:p>
    <w:p w14:paraId="3C535E9D" w14:textId="77777777" w:rsidR="00DF7A90" w:rsidRDefault="00DF7A90" w:rsidP="00DF7A90">
      <w:pPr>
        <w:ind w:firstLine="0"/>
        <w:rPr>
          <w:rFonts w:cstheme="minorHAnsi"/>
        </w:rPr>
      </w:pPr>
    </w:p>
    <w:p w14:paraId="76821825" w14:textId="7CC568D3" w:rsidR="00951485" w:rsidRPr="00086E41" w:rsidRDefault="00951485" w:rsidP="00DF7A90">
      <w:pPr>
        <w:ind w:firstLine="0"/>
        <w:rPr>
          <w:rFonts w:cstheme="minorHAnsi"/>
          <w:b/>
          <w:bCs/>
        </w:rPr>
      </w:pPr>
      <w:r w:rsidRPr="00086E41">
        <w:rPr>
          <w:rFonts w:cstheme="minorHAnsi"/>
          <w:b/>
          <w:bCs/>
        </w:rPr>
        <w:t>Toxicita</w:t>
      </w:r>
    </w:p>
    <w:p w14:paraId="77E53F98" w14:textId="77777777" w:rsidR="00951485" w:rsidRPr="00086E41" w:rsidRDefault="00951485" w:rsidP="00951485">
      <w:pPr>
        <w:rPr>
          <w:rFonts w:cstheme="minorHAnsi"/>
        </w:rPr>
      </w:pPr>
      <w:r w:rsidRPr="00086E41">
        <w:rPr>
          <w:rFonts w:cstheme="minorHAnsi"/>
        </w:rPr>
        <w:tab/>
        <w:t xml:space="preserve">Dráždivé látky vykazují účinnost již při velmi nízkých koncentracích, přičemž </w:t>
      </w:r>
      <w:proofErr w:type="spellStart"/>
      <w:r w:rsidRPr="00086E41">
        <w:rPr>
          <w:rFonts w:cstheme="minorHAnsi"/>
        </w:rPr>
        <w:t>lakrimátory</w:t>
      </w:r>
      <w:proofErr w:type="spellEnd"/>
      <w:r w:rsidRPr="00086E41">
        <w:rPr>
          <w:rFonts w:cstheme="minorHAnsi"/>
        </w:rPr>
        <w:t xml:space="preserve"> mají vyšší dráždivý účinek než sternity. Toxicita těchto látek je minimální – k dosažení letálního účinku by bylo třeba koncentrace asi 100 000krát vyšší než ta, která způsobuje dráždivé účinky (</w:t>
      </w:r>
      <w:proofErr w:type="spellStart"/>
      <w:r w:rsidRPr="00086E41">
        <w:rPr>
          <w:rFonts w:cstheme="minorHAnsi"/>
        </w:rPr>
        <w:t>Kassa</w:t>
      </w:r>
      <w:proofErr w:type="spellEnd"/>
      <w:r w:rsidRPr="00086E41">
        <w:rPr>
          <w:rFonts w:cstheme="minorHAnsi"/>
        </w:rPr>
        <w:t>, 2007).</w:t>
      </w:r>
    </w:p>
    <w:p w14:paraId="50AB2763" w14:textId="77777777" w:rsidR="00482950" w:rsidRDefault="00482950" w:rsidP="00951485">
      <w:pPr>
        <w:rPr>
          <w:rFonts w:cstheme="minorHAnsi"/>
          <w:sz w:val="24"/>
          <w:szCs w:val="24"/>
        </w:rPr>
      </w:pPr>
    </w:p>
    <w:p w14:paraId="250601CF" w14:textId="77777777" w:rsidR="00482950" w:rsidRDefault="00482950" w:rsidP="00951485">
      <w:pPr>
        <w:rPr>
          <w:rFonts w:cstheme="minorHAnsi"/>
          <w:sz w:val="24"/>
          <w:szCs w:val="24"/>
        </w:rPr>
      </w:pPr>
    </w:p>
    <w:p w14:paraId="3B5B6B04" w14:textId="77777777" w:rsidR="00482950" w:rsidRDefault="00482950" w:rsidP="00951485">
      <w:pPr>
        <w:rPr>
          <w:rFonts w:cstheme="minorHAnsi"/>
          <w:sz w:val="24"/>
          <w:szCs w:val="24"/>
        </w:rPr>
      </w:pPr>
    </w:p>
    <w:p w14:paraId="583B024D" w14:textId="77777777" w:rsidR="00482950" w:rsidRDefault="00482950" w:rsidP="00951485">
      <w:pPr>
        <w:rPr>
          <w:rFonts w:cstheme="minorHAnsi"/>
          <w:sz w:val="24"/>
          <w:szCs w:val="24"/>
        </w:rPr>
      </w:pPr>
    </w:p>
    <w:p w14:paraId="5A80AC98" w14:textId="0B3B44CF" w:rsidR="00482950" w:rsidRDefault="00482950" w:rsidP="00DF7A90">
      <w:pPr>
        <w:pStyle w:val="obrzky"/>
        <w:spacing w:after="0"/>
      </w:pPr>
      <w:bookmarkStart w:id="62" w:name="_Toc182989491"/>
      <w:bookmarkStart w:id="63" w:name="_Toc182992405"/>
      <w:r>
        <w:lastRenderedPageBreak/>
        <w:t>Obrázek 10.</w:t>
      </w:r>
      <w:bookmarkEnd w:id="62"/>
      <w:bookmarkEnd w:id="63"/>
    </w:p>
    <w:p w14:paraId="460C5AE8" w14:textId="6B8DEB6C" w:rsidR="00482950" w:rsidRPr="00482950" w:rsidRDefault="00482950" w:rsidP="00DF7A90">
      <w:pPr>
        <w:spacing w:after="0"/>
        <w:ind w:firstLine="0"/>
        <w:rPr>
          <w:rFonts w:cstheme="minorHAnsi"/>
          <w:i/>
          <w:iCs/>
        </w:rPr>
      </w:pPr>
      <w:r>
        <w:rPr>
          <w:rFonts w:cstheme="minorHAnsi"/>
          <w:i/>
          <w:iCs/>
        </w:rPr>
        <w:t xml:space="preserve">Toxicita </w:t>
      </w:r>
      <w:proofErr w:type="spellStart"/>
      <w:r>
        <w:rPr>
          <w:rFonts w:cstheme="minorHAnsi"/>
          <w:i/>
          <w:iCs/>
        </w:rPr>
        <w:t>lakrimátorů</w:t>
      </w:r>
      <w:proofErr w:type="spellEnd"/>
      <w:r>
        <w:rPr>
          <w:rFonts w:cstheme="minorHAnsi"/>
          <w:i/>
          <w:iCs/>
        </w:rPr>
        <w:t xml:space="preserve"> </w:t>
      </w:r>
      <w:r w:rsidRPr="00F07827">
        <w:rPr>
          <w:rFonts w:cstheme="minorHAnsi"/>
          <w:i/>
          <w:iCs/>
        </w:rPr>
        <w:t>(</w:t>
      </w:r>
      <w:proofErr w:type="spellStart"/>
      <w:r w:rsidRPr="00F07827">
        <w:rPr>
          <w:rFonts w:cstheme="minorHAnsi"/>
          <w:i/>
          <w:iCs/>
        </w:rPr>
        <w:t>Pitschmann</w:t>
      </w:r>
      <w:proofErr w:type="spellEnd"/>
      <w:r w:rsidRPr="00F07827">
        <w:rPr>
          <w:rFonts w:cstheme="minorHAnsi"/>
          <w:i/>
          <w:iCs/>
        </w:rPr>
        <w:t xml:space="preserve">, 2008; </w:t>
      </w:r>
      <w:proofErr w:type="spellStart"/>
      <w:r w:rsidRPr="00F07827">
        <w:rPr>
          <w:rFonts w:cstheme="minorHAnsi"/>
          <w:i/>
          <w:iCs/>
        </w:rPr>
        <w:t>Kassa</w:t>
      </w:r>
      <w:proofErr w:type="spellEnd"/>
      <w:r w:rsidRPr="00F07827">
        <w:rPr>
          <w:rFonts w:cstheme="minorHAnsi"/>
          <w:i/>
          <w:iCs/>
        </w:rPr>
        <w:t>, 2007)</w:t>
      </w:r>
    </w:p>
    <w:p w14:paraId="30C5A9AC" w14:textId="4C36E2D8" w:rsidR="00951485" w:rsidRPr="003C79A0" w:rsidRDefault="00951485" w:rsidP="00951485">
      <w:pPr>
        <w:rPr>
          <w:rFonts w:cstheme="minorHAnsi"/>
          <w:sz w:val="24"/>
          <w:szCs w:val="24"/>
        </w:rPr>
      </w:pPr>
    </w:p>
    <w:p w14:paraId="6C42C35A" w14:textId="70A952D5" w:rsidR="00482950" w:rsidRDefault="0072398C" w:rsidP="00951485">
      <w:pPr>
        <w:rPr>
          <w:rFonts w:cstheme="minorHAnsi"/>
          <w:i/>
          <w:iCs/>
        </w:rPr>
      </w:pPr>
      <w:r>
        <w:rPr>
          <w:rFonts w:cstheme="minorHAnsi"/>
          <w:noProof/>
          <w:sz w:val="24"/>
          <w:szCs w:val="24"/>
        </w:rPr>
        <w:drawing>
          <wp:inline distT="0" distB="0" distL="0" distR="0" wp14:anchorId="2C7FDDFF" wp14:editId="6D96B2FE">
            <wp:extent cx="5753100" cy="1485900"/>
            <wp:effectExtent l="0" t="0" r="0" b="0"/>
            <wp:docPr id="2113089947" name="Obrázek 6"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89947" name="Obrázek 6" descr="Obsah obrázku text, snímek obrazovky, Písmo, číslo&#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1485900"/>
                    </a:xfrm>
                    <a:prstGeom prst="rect">
                      <a:avLst/>
                    </a:prstGeom>
                    <a:noFill/>
                    <a:ln>
                      <a:noFill/>
                    </a:ln>
                  </pic:spPr>
                </pic:pic>
              </a:graphicData>
            </a:graphic>
          </wp:inline>
        </w:drawing>
      </w:r>
    </w:p>
    <w:p w14:paraId="199B16FC" w14:textId="77777777" w:rsidR="00567883" w:rsidRDefault="00567883" w:rsidP="00DF7A90">
      <w:pPr>
        <w:ind w:firstLine="0"/>
        <w:rPr>
          <w:rFonts w:cstheme="minorHAnsi"/>
          <w:b/>
          <w:bCs/>
        </w:rPr>
      </w:pPr>
    </w:p>
    <w:p w14:paraId="03AFD4A4" w14:textId="5B4FA5DE" w:rsidR="00951485" w:rsidRPr="00086E41" w:rsidRDefault="00951485" w:rsidP="00DF7A90">
      <w:pPr>
        <w:ind w:firstLine="0"/>
        <w:rPr>
          <w:rFonts w:cstheme="minorHAnsi"/>
          <w:b/>
          <w:bCs/>
        </w:rPr>
      </w:pPr>
      <w:r w:rsidRPr="00086E41">
        <w:rPr>
          <w:rFonts w:cstheme="minorHAnsi"/>
          <w:b/>
          <w:bCs/>
        </w:rPr>
        <w:t>Příznaky akutní intoxikace</w:t>
      </w:r>
    </w:p>
    <w:p w14:paraId="0B7D3793" w14:textId="77777777" w:rsidR="00951485" w:rsidRDefault="00951485" w:rsidP="00951485">
      <w:pPr>
        <w:rPr>
          <w:rFonts w:cstheme="minorHAnsi"/>
        </w:rPr>
      </w:pPr>
      <w:r w:rsidRPr="00086E41">
        <w:rPr>
          <w:rFonts w:cstheme="minorHAnsi"/>
        </w:rPr>
        <w:tab/>
        <w:t xml:space="preserve">Přestože </w:t>
      </w:r>
      <w:proofErr w:type="spellStart"/>
      <w:r w:rsidRPr="00086E41">
        <w:rPr>
          <w:rFonts w:cstheme="minorHAnsi"/>
        </w:rPr>
        <w:t>lakrimátory</w:t>
      </w:r>
      <w:proofErr w:type="spellEnd"/>
      <w:r w:rsidRPr="00086E41">
        <w:rPr>
          <w:rFonts w:cstheme="minorHAnsi"/>
        </w:rPr>
        <w:t xml:space="preserve"> a sternity vykazují různé cílové oblasti účinku, základní příznaky akutní otravy jsou podobné. </w:t>
      </w:r>
      <w:proofErr w:type="spellStart"/>
      <w:r w:rsidRPr="00086E41">
        <w:rPr>
          <w:rFonts w:cstheme="minorHAnsi"/>
        </w:rPr>
        <w:t>Lakrimátory</w:t>
      </w:r>
      <w:proofErr w:type="spellEnd"/>
      <w:r w:rsidRPr="00086E41">
        <w:rPr>
          <w:rFonts w:cstheme="minorHAnsi"/>
        </w:rPr>
        <w:t xml:space="preserve"> vyvolávají příznaky okamžitě po kontaktu a odeznívají rychle po ukončení expozice, zatímco účinky sternitů nastupují s určitou prodlevou a trvají déle (</w:t>
      </w:r>
      <w:proofErr w:type="spellStart"/>
      <w:r w:rsidRPr="00086E41">
        <w:rPr>
          <w:rFonts w:cstheme="minorHAnsi"/>
        </w:rPr>
        <w:t>Kassa</w:t>
      </w:r>
      <w:proofErr w:type="spellEnd"/>
      <w:r w:rsidRPr="00086E41">
        <w:rPr>
          <w:rFonts w:cstheme="minorHAnsi"/>
        </w:rPr>
        <w:t>, 2007). Při kontaktu s očima způsobují tyto látky silné pálení, pocit cizího tělesa, nadměrné slzení, zarudnutí a otok víček, což může vést až k fotofobii a křečovitému sevření víček. Inhalace dráždivých látek způsobuje pálení v oblasti hrudníku, kašel, kýchání a podráždění dýchacích cest. Při kontaktu s kůží dochází k pálení, svědění a zarudnutí. Celkové příznaky intoxikace, zvláště při vyšších koncentracích, zahrnují bolesti hlavy, nevolnost, zvracení, tachykardii a zvýšený krevní tlak (</w:t>
      </w:r>
      <w:proofErr w:type="spellStart"/>
      <w:r w:rsidRPr="00086E41">
        <w:rPr>
          <w:rFonts w:cstheme="minorHAnsi"/>
        </w:rPr>
        <w:t>Kassa</w:t>
      </w:r>
      <w:proofErr w:type="spellEnd"/>
      <w:r w:rsidRPr="00086E41">
        <w:rPr>
          <w:rFonts w:cstheme="minorHAnsi"/>
        </w:rPr>
        <w:t>, 2007).</w:t>
      </w:r>
    </w:p>
    <w:p w14:paraId="6C936209" w14:textId="77777777" w:rsidR="00DF7A90" w:rsidRPr="00086E41" w:rsidRDefault="00DF7A90" w:rsidP="00951485">
      <w:pPr>
        <w:rPr>
          <w:rFonts w:cstheme="minorHAnsi"/>
        </w:rPr>
      </w:pPr>
    </w:p>
    <w:p w14:paraId="5DC9CB62" w14:textId="70157818" w:rsidR="00951485" w:rsidRPr="00DF7A90" w:rsidRDefault="00BC04E7" w:rsidP="00DF7A90">
      <w:pPr>
        <w:ind w:firstLine="0"/>
        <w:rPr>
          <w:rFonts w:cstheme="minorHAnsi"/>
          <w:b/>
          <w:bCs/>
        </w:rPr>
      </w:pPr>
      <w:r>
        <w:rPr>
          <w:rFonts w:cstheme="minorHAnsi"/>
          <w:b/>
          <w:bCs/>
        </w:rPr>
        <w:t>L</w:t>
      </w:r>
      <w:r w:rsidR="00951485" w:rsidRPr="00DF7A90">
        <w:rPr>
          <w:rFonts w:cstheme="minorHAnsi"/>
          <w:b/>
          <w:bCs/>
        </w:rPr>
        <w:t>éčb</w:t>
      </w:r>
      <w:r>
        <w:rPr>
          <w:rFonts w:cstheme="minorHAnsi"/>
          <w:b/>
          <w:bCs/>
        </w:rPr>
        <w:t>a</w:t>
      </w:r>
      <w:r w:rsidR="00951485" w:rsidRPr="00DF7A90">
        <w:rPr>
          <w:rFonts w:cstheme="minorHAnsi"/>
          <w:b/>
          <w:bCs/>
        </w:rPr>
        <w:t xml:space="preserve"> a ochran</w:t>
      </w:r>
      <w:r>
        <w:rPr>
          <w:rFonts w:cstheme="minorHAnsi"/>
          <w:b/>
          <w:bCs/>
        </w:rPr>
        <w:t>a</w:t>
      </w:r>
    </w:p>
    <w:p w14:paraId="1D4B2E28" w14:textId="0CB90C30" w:rsidR="00951485" w:rsidRPr="003C79A0" w:rsidRDefault="00951485" w:rsidP="00086E41">
      <w:pPr>
        <w:rPr>
          <w:rFonts w:cstheme="minorHAnsi"/>
          <w:sz w:val="24"/>
          <w:szCs w:val="24"/>
        </w:rPr>
      </w:pPr>
      <w:r w:rsidRPr="00086E41">
        <w:rPr>
          <w:rFonts w:cstheme="minorHAnsi"/>
        </w:rPr>
        <w:tab/>
        <w:t xml:space="preserve">Specifická profylaxe a </w:t>
      </w:r>
      <w:proofErr w:type="spellStart"/>
      <w:r w:rsidRPr="00086E41">
        <w:rPr>
          <w:rFonts w:cstheme="minorHAnsi"/>
        </w:rPr>
        <w:t>antidota</w:t>
      </w:r>
      <w:proofErr w:type="spellEnd"/>
      <w:r w:rsidRPr="00086E41">
        <w:rPr>
          <w:rFonts w:cstheme="minorHAnsi"/>
        </w:rPr>
        <w:t xml:space="preserve"> pro dráždivé látky neexistují. První pomoc zahrnuje nasazení ochranné masky, opuštění kontaminované oblasti a dekontaminaci postižených oblastí. Oči, nos a ústa je vhodné vyplachovat 1–2% roztokem bikarbonátu </w:t>
      </w:r>
      <w:r w:rsidRPr="003C79A0">
        <w:rPr>
          <w:rFonts w:cstheme="minorHAnsi"/>
          <w:sz w:val="24"/>
          <w:szCs w:val="24"/>
        </w:rPr>
        <w:t>sodného, borovou vodou, fyziologickým roztokem nebo čistou vodou. Zasaženou kůži lze očistit</w:t>
      </w:r>
      <w:r w:rsidR="00086E41">
        <w:rPr>
          <w:rFonts w:cstheme="minorHAnsi"/>
          <w:sz w:val="24"/>
          <w:szCs w:val="24"/>
        </w:rPr>
        <w:t>.</w:t>
      </w:r>
    </w:p>
    <w:p w14:paraId="68367B30" w14:textId="65F3E66E" w:rsidR="00951485" w:rsidRPr="003C79A0" w:rsidRDefault="00951485" w:rsidP="00951485">
      <w:pPr>
        <w:pStyle w:val="Nadpis3"/>
      </w:pPr>
      <w:bookmarkStart w:id="64" w:name="_Toc182946189"/>
      <w:bookmarkStart w:id="65" w:name="_Toc183029550"/>
      <w:r w:rsidRPr="003C79A0">
        <w:t>Psychicky a fyzicky zneschopňující látky</w:t>
      </w:r>
      <w:bookmarkEnd w:id="64"/>
      <w:bookmarkEnd w:id="65"/>
      <w:r w:rsidRPr="003C79A0">
        <w:t xml:space="preserve"> </w:t>
      </w:r>
    </w:p>
    <w:p w14:paraId="0D20C54B" w14:textId="77777777" w:rsidR="00951485" w:rsidRPr="00086E41" w:rsidRDefault="00951485" w:rsidP="00951485">
      <w:pPr>
        <w:rPr>
          <w:rFonts w:cstheme="minorHAnsi"/>
        </w:rPr>
      </w:pPr>
      <w:r w:rsidRPr="00086E41">
        <w:rPr>
          <w:rFonts w:cstheme="minorHAnsi"/>
        </w:rPr>
        <w:tab/>
        <w:t>Mezi hlavní zástupce psychicky a fyzicky zneschopňujících látek patří anticholinergní halucinogeny jako látka BZ, CNS stimulancia odvozená od kyseliny d-</w:t>
      </w:r>
      <w:proofErr w:type="spellStart"/>
      <w:r w:rsidRPr="00086E41">
        <w:rPr>
          <w:rFonts w:cstheme="minorHAnsi"/>
        </w:rPr>
        <w:t>lysergové</w:t>
      </w:r>
      <w:proofErr w:type="spellEnd"/>
      <w:r w:rsidRPr="00086E41">
        <w:rPr>
          <w:rFonts w:cstheme="minorHAnsi"/>
        </w:rPr>
        <w:t xml:space="preserve">, například LSD-25, a </w:t>
      </w:r>
      <w:proofErr w:type="spellStart"/>
      <w:r w:rsidRPr="00086E41">
        <w:rPr>
          <w:rFonts w:cstheme="minorHAnsi"/>
        </w:rPr>
        <w:t>fenylethylaminy</w:t>
      </w:r>
      <w:proofErr w:type="spellEnd"/>
      <w:r w:rsidRPr="00086E41">
        <w:rPr>
          <w:rFonts w:cstheme="minorHAnsi"/>
        </w:rPr>
        <w:t xml:space="preserve">, jako jsou meskalin, amfetamin a efedrin. Fyzicky zneschopňující látky, také nazývané </w:t>
      </w:r>
      <w:proofErr w:type="spellStart"/>
      <w:r w:rsidRPr="00086E41">
        <w:rPr>
          <w:rFonts w:cstheme="minorHAnsi"/>
        </w:rPr>
        <w:t>dysregulátory</w:t>
      </w:r>
      <w:proofErr w:type="spellEnd"/>
      <w:r w:rsidRPr="00086E41">
        <w:rPr>
          <w:rFonts w:cstheme="minorHAnsi"/>
        </w:rPr>
        <w:t xml:space="preserve">, zahrnují </w:t>
      </w:r>
      <w:proofErr w:type="spellStart"/>
      <w:r w:rsidRPr="00086E41">
        <w:rPr>
          <w:rFonts w:cstheme="minorHAnsi"/>
        </w:rPr>
        <w:t>aziridiny</w:t>
      </w:r>
      <w:proofErr w:type="spellEnd"/>
      <w:r w:rsidRPr="00086E41">
        <w:rPr>
          <w:rFonts w:cstheme="minorHAnsi"/>
        </w:rPr>
        <w:t xml:space="preserve">, </w:t>
      </w:r>
      <w:proofErr w:type="spellStart"/>
      <w:r w:rsidRPr="00086E41">
        <w:rPr>
          <w:rFonts w:cstheme="minorHAnsi"/>
        </w:rPr>
        <w:t>tremorogeny</w:t>
      </w:r>
      <w:proofErr w:type="spellEnd"/>
      <w:r w:rsidRPr="00086E41">
        <w:rPr>
          <w:rFonts w:cstheme="minorHAnsi"/>
        </w:rPr>
        <w:t xml:space="preserve"> a </w:t>
      </w:r>
      <w:proofErr w:type="spellStart"/>
      <w:r w:rsidRPr="00086E41">
        <w:rPr>
          <w:rFonts w:cstheme="minorHAnsi"/>
        </w:rPr>
        <w:t>lathyrogenní</w:t>
      </w:r>
      <w:proofErr w:type="spellEnd"/>
      <w:r w:rsidRPr="00086E41">
        <w:rPr>
          <w:rFonts w:cstheme="minorHAnsi"/>
        </w:rPr>
        <w:t xml:space="preserve"> látky (Fusek, 2007).</w:t>
      </w:r>
    </w:p>
    <w:p w14:paraId="7E75078B" w14:textId="77777777" w:rsidR="00951485" w:rsidRPr="00086E41" w:rsidRDefault="00951485" w:rsidP="00DF7A90">
      <w:pPr>
        <w:ind w:firstLine="0"/>
        <w:rPr>
          <w:rFonts w:cstheme="minorHAnsi"/>
        </w:rPr>
      </w:pPr>
      <w:r w:rsidRPr="00086E41">
        <w:rPr>
          <w:rFonts w:cstheme="minorHAnsi"/>
        </w:rPr>
        <w:tab/>
        <w:t xml:space="preserve">Psychicky a fyzicky zneschopňující látky jsou schopné vyvolat účinek již při nízkých koncentracích. Jsou potenciálně použitelné ve vojenských operacích, což potvrzují i dokumenty </w:t>
      </w:r>
      <w:r w:rsidRPr="00086E41">
        <w:rPr>
          <w:rFonts w:cstheme="minorHAnsi"/>
        </w:rPr>
        <w:lastRenderedPageBreak/>
        <w:t xml:space="preserve">NATO, jako STANAG 2463, které počítají s reálným použitím alespoň jedné z těchto látek (BZ) v bojových podmínkách. Zároveň je kladen důraz na nutnost vybavení vojenských jednotek účinnými </w:t>
      </w:r>
      <w:proofErr w:type="spellStart"/>
      <w:r w:rsidRPr="00086E41">
        <w:rPr>
          <w:rFonts w:cstheme="minorHAnsi"/>
        </w:rPr>
        <w:t>antidoty</w:t>
      </w:r>
      <w:proofErr w:type="spellEnd"/>
      <w:r w:rsidRPr="00086E41">
        <w:rPr>
          <w:rFonts w:cstheme="minorHAnsi"/>
        </w:rPr>
        <w:t xml:space="preserve"> pro případ expozice těmito látkami (Fusek, 2007).</w:t>
      </w:r>
    </w:p>
    <w:p w14:paraId="6AAF64CB" w14:textId="77777777" w:rsidR="00951485" w:rsidRDefault="00951485" w:rsidP="00951485">
      <w:pPr>
        <w:rPr>
          <w:rFonts w:cstheme="minorHAnsi"/>
        </w:rPr>
      </w:pPr>
      <w:r w:rsidRPr="00086E41">
        <w:rPr>
          <w:rFonts w:cstheme="minorHAnsi"/>
        </w:rPr>
        <w:t xml:space="preserve">Psychicky zneschopňující látky, označované také jako </w:t>
      </w:r>
      <w:proofErr w:type="spellStart"/>
      <w:r w:rsidRPr="00086E41">
        <w:rPr>
          <w:rFonts w:cstheme="minorHAnsi"/>
        </w:rPr>
        <w:t>psychomimetika</w:t>
      </w:r>
      <w:proofErr w:type="spellEnd"/>
      <w:r w:rsidRPr="00086E41">
        <w:rPr>
          <w:rFonts w:cstheme="minorHAnsi"/>
        </w:rPr>
        <w:t xml:space="preserve"> či halucinogeny, vyvolávají u psychicky zdravých osob změny v oblasti emocí, vnímání a mohou způsobit poruchy myšlení. Tyto látky mají nízkou toxicitu, přičemž mezi dávkami vyvolávajícími imobilizaci a dávkami poškozujícími zdraví nebo vedoucími k smrti existuje značné rozpětí. Účinek těchto látek přetrvává několik hodin až několik dní. Některé z těchto látek jsou zároveň zneužívány jako drogy (Fusek, 2007; </w:t>
      </w:r>
      <w:proofErr w:type="spellStart"/>
      <w:r w:rsidRPr="00086E41">
        <w:rPr>
          <w:rFonts w:cstheme="minorHAnsi"/>
        </w:rPr>
        <w:t>Pitschmann</w:t>
      </w:r>
      <w:proofErr w:type="spellEnd"/>
      <w:r w:rsidRPr="00086E41">
        <w:rPr>
          <w:rFonts w:cstheme="minorHAnsi"/>
        </w:rPr>
        <w:t>, 2008).</w:t>
      </w:r>
    </w:p>
    <w:p w14:paraId="2AA9E4F7" w14:textId="77777777" w:rsidR="00DF7A90" w:rsidRDefault="00DF7A90" w:rsidP="00DF7A90">
      <w:pPr>
        <w:ind w:firstLine="0"/>
        <w:rPr>
          <w:rFonts w:cstheme="minorHAnsi"/>
        </w:rPr>
      </w:pPr>
    </w:p>
    <w:p w14:paraId="65BA9EFA" w14:textId="56C6FB77" w:rsidR="00951485" w:rsidRPr="00086E41" w:rsidRDefault="00951485" w:rsidP="00DF7A90">
      <w:pPr>
        <w:ind w:firstLine="0"/>
        <w:rPr>
          <w:rFonts w:cstheme="minorHAnsi"/>
          <w:b/>
          <w:bCs/>
        </w:rPr>
      </w:pPr>
      <w:r w:rsidRPr="00086E41">
        <w:rPr>
          <w:rFonts w:cstheme="minorHAnsi"/>
          <w:b/>
          <w:bCs/>
        </w:rPr>
        <w:t>Fyzikálně-chemické vlastnosti</w:t>
      </w:r>
    </w:p>
    <w:p w14:paraId="4371D7DA" w14:textId="77777777" w:rsidR="00951485" w:rsidRDefault="00951485" w:rsidP="00951485">
      <w:pPr>
        <w:rPr>
          <w:szCs w:val="20"/>
        </w:rPr>
      </w:pPr>
      <w:r w:rsidRPr="00086E41">
        <w:rPr>
          <w:rFonts w:cstheme="minorHAnsi"/>
        </w:rPr>
        <w:tab/>
      </w:r>
      <w:r w:rsidRPr="00086E41">
        <w:rPr>
          <w:szCs w:val="20"/>
        </w:rPr>
        <w:t>Psychicky a fyzicky zneschopňující látky mají různé fyzikálně-chemické vlastnosti, které určují jejich účinnost, způsob aplikace a bezpečnost použití. Například těkavost látek ovlivňuje rychlost přechodu do plynného stavu, což je zásadní pro rychlý nástup účinku. Rozpustnost ve vodě a tucích hraje klíčovou roli při průchodu biologickými membránami, přičemž látky rozpustné v tucích mají vyšší schopnost pronikat buněčnými strukturami. Dráždivost a toxicita jsou rovněž důležité, zejména u látek jako slzné plyny (CS a CN), které vyvolávají dočasné podráždění sliznic a smyslových orgánů (Novotný, 2020).</w:t>
      </w:r>
    </w:p>
    <w:p w14:paraId="754752D5" w14:textId="77777777" w:rsidR="00567883" w:rsidRDefault="00567883" w:rsidP="00951485">
      <w:pPr>
        <w:rPr>
          <w:szCs w:val="20"/>
        </w:rPr>
      </w:pPr>
    </w:p>
    <w:p w14:paraId="0172A9C7" w14:textId="77777777" w:rsidR="00951485" w:rsidRPr="00086E41" w:rsidRDefault="00951485" w:rsidP="00567883">
      <w:pPr>
        <w:ind w:firstLine="0"/>
        <w:rPr>
          <w:rFonts w:cstheme="minorHAnsi"/>
          <w:b/>
          <w:bCs/>
        </w:rPr>
      </w:pPr>
      <w:r w:rsidRPr="00086E41">
        <w:rPr>
          <w:rFonts w:cstheme="minorHAnsi"/>
          <w:b/>
          <w:bCs/>
        </w:rPr>
        <w:t>Mechanismus účinku na organismus</w:t>
      </w:r>
    </w:p>
    <w:p w14:paraId="26E7FA22" w14:textId="3F5DC8C0" w:rsidR="00951485" w:rsidRDefault="00951485" w:rsidP="00AE6CC6">
      <w:pPr>
        <w:spacing w:after="0"/>
        <w:rPr>
          <w:rFonts w:cstheme="minorHAnsi"/>
        </w:rPr>
      </w:pPr>
      <w:r w:rsidRPr="00086E41">
        <w:rPr>
          <w:rFonts w:cstheme="minorHAnsi"/>
        </w:rPr>
        <w:tab/>
      </w:r>
      <w:r w:rsidR="00AE6CC6" w:rsidRPr="00AE6CC6">
        <w:rPr>
          <w:rFonts w:cstheme="minorHAnsi"/>
        </w:rPr>
        <w:t xml:space="preserve">Intoxikace těmito látkami může nastat různými způsoby, včetně inhalace aerosolů, konzumace kontaminované vody nebo potravy, a také absorpcí přes pokožku. Bajgar (2007) vysvětluje, že mechanismus účinku LSD-25 spočívá v narušení rovnováhy neurohormonálních mechanismů v centrálním nervovém systému, což vyvolává halucinace. Látka BZ, známá také jako </w:t>
      </w:r>
      <w:proofErr w:type="gramStart"/>
      <w:r w:rsidR="00AE6CC6" w:rsidRPr="00AE6CC6">
        <w:rPr>
          <w:rFonts w:cstheme="minorHAnsi"/>
        </w:rPr>
        <w:t>3-chinuklidinylbenzilát</w:t>
      </w:r>
      <w:proofErr w:type="gramEnd"/>
      <w:r w:rsidR="00AE6CC6" w:rsidRPr="00AE6CC6">
        <w:rPr>
          <w:rFonts w:cstheme="minorHAnsi"/>
        </w:rPr>
        <w:t xml:space="preserve">, působí vazbou na lipidové složky </w:t>
      </w:r>
      <w:proofErr w:type="spellStart"/>
      <w:r w:rsidR="00AE6CC6" w:rsidRPr="00AE6CC6">
        <w:rPr>
          <w:rFonts w:cstheme="minorHAnsi"/>
        </w:rPr>
        <w:t>cholinergních</w:t>
      </w:r>
      <w:proofErr w:type="spellEnd"/>
      <w:r w:rsidR="00AE6CC6" w:rsidRPr="00AE6CC6">
        <w:rPr>
          <w:rFonts w:cstheme="minorHAnsi"/>
        </w:rPr>
        <w:t xml:space="preserve"> receptorů v synapsích, což ji činí antagonistou acetylcholinu. </w:t>
      </w:r>
      <w:proofErr w:type="spellStart"/>
      <w:r w:rsidR="00AE6CC6" w:rsidRPr="00AE6CC6">
        <w:rPr>
          <w:rFonts w:cstheme="minorHAnsi"/>
        </w:rPr>
        <w:t>Pitschmann</w:t>
      </w:r>
      <w:proofErr w:type="spellEnd"/>
      <w:r w:rsidR="00AE6CC6" w:rsidRPr="00AE6CC6">
        <w:rPr>
          <w:rFonts w:cstheme="minorHAnsi"/>
        </w:rPr>
        <w:t xml:space="preserve"> (2008) dodává, že </w:t>
      </w:r>
      <w:proofErr w:type="spellStart"/>
      <w:r w:rsidR="00AE6CC6" w:rsidRPr="00AE6CC6">
        <w:rPr>
          <w:rFonts w:cstheme="minorHAnsi"/>
        </w:rPr>
        <w:t>psychomimetický</w:t>
      </w:r>
      <w:proofErr w:type="spellEnd"/>
      <w:r w:rsidR="00AE6CC6" w:rsidRPr="00AE6CC6">
        <w:rPr>
          <w:rFonts w:cstheme="minorHAnsi"/>
        </w:rPr>
        <w:t xml:space="preserve"> účinek BZ je mnohem silnější než účinky atropinu.</w:t>
      </w:r>
    </w:p>
    <w:p w14:paraId="2A693F58" w14:textId="77777777" w:rsidR="00DF7A90" w:rsidRDefault="00DF7A90" w:rsidP="00DF7A90">
      <w:pPr>
        <w:ind w:firstLine="0"/>
        <w:rPr>
          <w:rFonts w:cstheme="minorHAnsi"/>
        </w:rPr>
      </w:pPr>
    </w:p>
    <w:p w14:paraId="2C739EBB" w14:textId="713F749B" w:rsidR="00951485" w:rsidRPr="00086E41" w:rsidRDefault="00951485" w:rsidP="00DF7A90">
      <w:pPr>
        <w:ind w:firstLine="0"/>
        <w:rPr>
          <w:rFonts w:cstheme="minorHAnsi"/>
          <w:b/>
          <w:bCs/>
        </w:rPr>
      </w:pPr>
      <w:r w:rsidRPr="00086E41">
        <w:rPr>
          <w:rFonts w:cstheme="minorHAnsi"/>
          <w:b/>
          <w:bCs/>
        </w:rPr>
        <w:t>Příznaky intoxikace</w:t>
      </w:r>
    </w:p>
    <w:p w14:paraId="6A9D29A3" w14:textId="77777777" w:rsidR="00951485" w:rsidRPr="00086E41" w:rsidRDefault="00951485" w:rsidP="00951485">
      <w:pPr>
        <w:rPr>
          <w:rFonts w:cstheme="minorHAnsi"/>
        </w:rPr>
      </w:pPr>
      <w:r w:rsidRPr="00086E41">
        <w:rPr>
          <w:rFonts w:cstheme="minorHAnsi"/>
        </w:rPr>
        <w:tab/>
        <w:t>LSD-25 vyvolává akutní poruchy myšlení, které se mohou projevit zrychlením myšlenek, poruchami řeči, smíchem a kaleidoskopickými vizuálními halucinacemi. Intoxikovaní často prožívají změny ve vnímání prostoru a času, které jsou doprovázeny euforií nebo depresí. Motorické poruchy zahrnují nekoordinované pohyby a svalové záškuby. Vegetativní příznaky zahrnují tachykardii, zvýšený krevní tlak a zvýšené slinění (Fusek, 2007).</w:t>
      </w:r>
    </w:p>
    <w:p w14:paraId="2A532F2A" w14:textId="77777777" w:rsidR="00951485" w:rsidRPr="00086E41" w:rsidRDefault="00951485" w:rsidP="00951485">
      <w:pPr>
        <w:rPr>
          <w:rFonts w:cstheme="minorHAnsi"/>
        </w:rPr>
      </w:pPr>
      <w:r w:rsidRPr="00086E41">
        <w:rPr>
          <w:rFonts w:cstheme="minorHAnsi"/>
        </w:rPr>
        <w:lastRenderedPageBreak/>
        <w:t>Příznaky intoxikace látkou BZ zahrnují poruchy autonomních, motorických a neurologických funkcí. První symptomy nastupují přibližně za 30 minut po expozici a vrcholu dosahují za 4–8 hodin. Typické jsou tachykardie, zarudnutí kůže, snížené slinění, rozšíření zornic a pocity sucha v ústech. Po 1–2 hodinách se objevují halucinace, časová a místní dezorientace, psychomotorický neklid a poruchy řeči. Po odeznění těchto příznaků nastupuje fáze letargie, která přetrvává až 24 hodin po expozici (Fusek, 2007).</w:t>
      </w:r>
    </w:p>
    <w:p w14:paraId="4DAA4615" w14:textId="77777777" w:rsidR="00DF7A90" w:rsidRDefault="00DF7A90" w:rsidP="00DF7A90">
      <w:pPr>
        <w:ind w:firstLine="0"/>
        <w:rPr>
          <w:rFonts w:cstheme="minorHAnsi"/>
          <w:b/>
          <w:bCs/>
        </w:rPr>
      </w:pPr>
    </w:p>
    <w:p w14:paraId="5445316D" w14:textId="22AFCF23" w:rsidR="00951485" w:rsidRPr="00086E41" w:rsidRDefault="00951485" w:rsidP="00DF7A90">
      <w:pPr>
        <w:ind w:firstLine="0"/>
        <w:rPr>
          <w:rFonts w:cstheme="minorHAnsi"/>
          <w:b/>
          <w:bCs/>
        </w:rPr>
      </w:pPr>
      <w:r w:rsidRPr="00086E41">
        <w:rPr>
          <w:rFonts w:cstheme="minorHAnsi"/>
          <w:b/>
          <w:bCs/>
        </w:rPr>
        <w:t>Léčba a ochrana</w:t>
      </w:r>
    </w:p>
    <w:p w14:paraId="7D861443" w14:textId="77777777" w:rsidR="00951485" w:rsidRDefault="00951485" w:rsidP="00AE6CC6">
      <w:pPr>
        <w:spacing w:after="0"/>
        <w:rPr>
          <w:rFonts w:cstheme="minorHAnsi"/>
        </w:rPr>
      </w:pPr>
      <w:r w:rsidRPr="00086E41">
        <w:rPr>
          <w:rFonts w:cstheme="minorHAnsi"/>
        </w:rPr>
        <w:tab/>
        <w:t>V případě akutní intoxikace LSD-25 je nutné zasaženého nepřetržitě sledovat. Chlorpromazin patří mezi nejúčinnější antagonisty jak psychických, tak vegetativních příznaků (Fusek, 2007).</w:t>
      </w:r>
    </w:p>
    <w:p w14:paraId="529ECA08" w14:textId="20F84158" w:rsidR="00AE6CC6" w:rsidRPr="00AE6CC6" w:rsidRDefault="00AE6CC6" w:rsidP="00AE6CC6">
      <w:pPr>
        <w:spacing w:after="0"/>
        <w:rPr>
          <w:rFonts w:cstheme="minorHAnsi"/>
        </w:rPr>
      </w:pPr>
      <w:r>
        <w:rPr>
          <w:rFonts w:cstheme="minorHAnsi"/>
        </w:rPr>
        <w:t>P</w:t>
      </w:r>
      <w:r w:rsidRPr="00AE6CC6">
        <w:rPr>
          <w:rFonts w:cstheme="minorHAnsi"/>
        </w:rPr>
        <w:t>ři intoxikaci látkou BZ je první pomoc zaměřena na rychlé nasazení ochranné masky, opuštění kontaminované oblasti a transport postiženého do zdravotnického zařízení</w:t>
      </w:r>
      <w:r w:rsidRPr="00AE6CC6">
        <w:rPr>
          <w:rFonts w:cstheme="minorHAnsi"/>
          <w:b/>
          <w:bCs/>
        </w:rPr>
        <w:t xml:space="preserve">. Fusek </w:t>
      </w:r>
      <w:r w:rsidRPr="00AE6CC6">
        <w:rPr>
          <w:rFonts w:cstheme="minorHAnsi"/>
        </w:rPr>
        <w:t xml:space="preserve">(2007) doporučuje podání reverzibilních inhibitorů </w:t>
      </w:r>
      <w:proofErr w:type="spellStart"/>
      <w:r w:rsidRPr="00AE6CC6">
        <w:rPr>
          <w:rFonts w:cstheme="minorHAnsi"/>
        </w:rPr>
        <w:t>acetylcholinesterázy</w:t>
      </w:r>
      <w:proofErr w:type="spellEnd"/>
      <w:r w:rsidRPr="00AE6CC6">
        <w:rPr>
          <w:rFonts w:cstheme="minorHAnsi"/>
        </w:rPr>
        <w:t xml:space="preserve">, jako je fyzostigmin nebo </w:t>
      </w:r>
      <w:proofErr w:type="spellStart"/>
      <w:r w:rsidRPr="00AE6CC6">
        <w:rPr>
          <w:rFonts w:cstheme="minorHAnsi"/>
        </w:rPr>
        <w:t>tacrin</w:t>
      </w:r>
      <w:proofErr w:type="spellEnd"/>
      <w:r w:rsidRPr="00AE6CC6">
        <w:rPr>
          <w:rFonts w:cstheme="minorHAnsi"/>
        </w:rPr>
        <w:t xml:space="preserve">, které zvyšují koncentraci acetylcholinu a pomáhají vytěsnit BZ z </w:t>
      </w:r>
      <w:proofErr w:type="spellStart"/>
      <w:r w:rsidRPr="00AE6CC6">
        <w:rPr>
          <w:rFonts w:cstheme="minorHAnsi"/>
        </w:rPr>
        <w:t>cholinergních</w:t>
      </w:r>
      <w:proofErr w:type="spellEnd"/>
      <w:r w:rsidRPr="00AE6CC6">
        <w:rPr>
          <w:rFonts w:cstheme="minorHAnsi"/>
        </w:rPr>
        <w:t xml:space="preserve"> receptorů. K dosažení útlumu lze aplikovat diazepam. Pokud se pacient nezotaví do čtyř dnů, </w:t>
      </w:r>
      <w:proofErr w:type="spellStart"/>
      <w:r w:rsidRPr="00AE6CC6">
        <w:rPr>
          <w:rFonts w:cstheme="minorHAnsi"/>
        </w:rPr>
        <w:t>Kassa</w:t>
      </w:r>
      <w:proofErr w:type="spellEnd"/>
      <w:r w:rsidRPr="00AE6CC6">
        <w:rPr>
          <w:rFonts w:cstheme="minorHAnsi"/>
        </w:rPr>
        <w:t xml:space="preserve"> (2006) upozorňuje na nutnost odborné psychiatrické péče.</w:t>
      </w:r>
    </w:p>
    <w:p w14:paraId="601E4A44" w14:textId="438CE905" w:rsidR="00951485" w:rsidRPr="00086E41" w:rsidRDefault="00951485" w:rsidP="00951485">
      <w:pPr>
        <w:pStyle w:val="Nadpis3"/>
        <w:rPr>
          <w:sz w:val="22"/>
          <w:szCs w:val="22"/>
        </w:rPr>
      </w:pPr>
      <w:bookmarkStart w:id="66" w:name="_Toc182946190"/>
      <w:bookmarkStart w:id="67" w:name="_Toc183029551"/>
      <w:r w:rsidRPr="00086E41">
        <w:rPr>
          <w:sz w:val="22"/>
          <w:szCs w:val="22"/>
        </w:rPr>
        <w:t>Toxiny</w:t>
      </w:r>
      <w:bookmarkEnd w:id="66"/>
      <w:bookmarkEnd w:id="67"/>
    </w:p>
    <w:p w14:paraId="0513FD7B" w14:textId="77777777" w:rsidR="00951485" w:rsidRDefault="00951485" w:rsidP="00951485">
      <w:pPr>
        <w:rPr>
          <w:rFonts w:cstheme="minorHAnsi"/>
        </w:rPr>
      </w:pPr>
      <w:r w:rsidRPr="00086E41">
        <w:rPr>
          <w:rFonts w:cstheme="minorHAnsi"/>
        </w:rPr>
        <w:tab/>
        <w:t xml:space="preserve">Mezi významné zástupce toxinů patří rostlinné toxiny, jako jsou ricin, </w:t>
      </w:r>
      <w:proofErr w:type="spellStart"/>
      <w:r w:rsidRPr="00086E41">
        <w:rPr>
          <w:rFonts w:cstheme="minorHAnsi"/>
        </w:rPr>
        <w:t>abrin</w:t>
      </w:r>
      <w:proofErr w:type="spellEnd"/>
      <w:r w:rsidRPr="00086E41">
        <w:rPr>
          <w:rFonts w:cstheme="minorHAnsi"/>
        </w:rPr>
        <w:t xml:space="preserve">, </w:t>
      </w:r>
      <w:proofErr w:type="spellStart"/>
      <w:r w:rsidRPr="00086E41">
        <w:rPr>
          <w:rFonts w:cstheme="minorHAnsi"/>
        </w:rPr>
        <w:t>modeccin</w:t>
      </w:r>
      <w:proofErr w:type="spellEnd"/>
      <w:r w:rsidRPr="00086E41">
        <w:rPr>
          <w:rFonts w:cstheme="minorHAnsi"/>
        </w:rPr>
        <w:t xml:space="preserve">, </w:t>
      </w:r>
      <w:proofErr w:type="spellStart"/>
      <w:r w:rsidRPr="00086E41">
        <w:rPr>
          <w:rFonts w:cstheme="minorHAnsi"/>
        </w:rPr>
        <w:t>viscumim</w:t>
      </w:r>
      <w:proofErr w:type="spellEnd"/>
      <w:r w:rsidRPr="00086E41">
        <w:rPr>
          <w:rFonts w:cstheme="minorHAnsi"/>
        </w:rPr>
        <w:t xml:space="preserve"> a </w:t>
      </w:r>
      <w:proofErr w:type="spellStart"/>
      <w:r w:rsidRPr="00086E41">
        <w:rPr>
          <w:rFonts w:cstheme="minorHAnsi"/>
        </w:rPr>
        <w:t>volkensin</w:t>
      </w:r>
      <w:proofErr w:type="spellEnd"/>
      <w:r w:rsidRPr="00086E41">
        <w:rPr>
          <w:rFonts w:cstheme="minorHAnsi"/>
        </w:rPr>
        <w:t xml:space="preserve">; živočišné toxiny zahrnující </w:t>
      </w:r>
      <w:proofErr w:type="spellStart"/>
      <w:r w:rsidRPr="00086E41">
        <w:rPr>
          <w:rFonts w:cstheme="minorHAnsi"/>
        </w:rPr>
        <w:t>bungarotoxin</w:t>
      </w:r>
      <w:proofErr w:type="spellEnd"/>
      <w:r w:rsidRPr="00086E41">
        <w:rPr>
          <w:rFonts w:cstheme="minorHAnsi"/>
        </w:rPr>
        <w:t xml:space="preserve">, </w:t>
      </w:r>
      <w:proofErr w:type="spellStart"/>
      <w:r w:rsidRPr="00086E41">
        <w:rPr>
          <w:rFonts w:cstheme="minorHAnsi"/>
        </w:rPr>
        <w:t>ciguatoxin</w:t>
      </w:r>
      <w:proofErr w:type="spellEnd"/>
      <w:r w:rsidRPr="00086E41">
        <w:rPr>
          <w:rFonts w:cstheme="minorHAnsi"/>
        </w:rPr>
        <w:t xml:space="preserve">, </w:t>
      </w:r>
      <w:proofErr w:type="spellStart"/>
      <w:r w:rsidRPr="00086E41">
        <w:rPr>
          <w:rFonts w:cstheme="minorHAnsi"/>
        </w:rPr>
        <w:t>conotoxin</w:t>
      </w:r>
      <w:proofErr w:type="spellEnd"/>
      <w:r w:rsidRPr="00086E41">
        <w:rPr>
          <w:rFonts w:cstheme="minorHAnsi"/>
        </w:rPr>
        <w:t xml:space="preserve">, </w:t>
      </w:r>
      <w:proofErr w:type="spellStart"/>
      <w:r w:rsidRPr="00086E41">
        <w:rPr>
          <w:rFonts w:cstheme="minorHAnsi"/>
        </w:rPr>
        <w:t>saxitoxin</w:t>
      </w:r>
      <w:proofErr w:type="spellEnd"/>
      <w:r w:rsidRPr="00086E41">
        <w:rPr>
          <w:rFonts w:cstheme="minorHAnsi"/>
        </w:rPr>
        <w:t xml:space="preserve"> a </w:t>
      </w:r>
      <w:proofErr w:type="spellStart"/>
      <w:r w:rsidRPr="00086E41">
        <w:rPr>
          <w:rFonts w:cstheme="minorHAnsi"/>
        </w:rPr>
        <w:t>tetrodotoxin</w:t>
      </w:r>
      <w:proofErr w:type="spellEnd"/>
      <w:r w:rsidRPr="00086E41">
        <w:rPr>
          <w:rFonts w:cstheme="minorHAnsi"/>
        </w:rPr>
        <w:t xml:space="preserve">; bakteriální toxiny, mezi něž patří botulotoxin, </w:t>
      </w:r>
      <w:proofErr w:type="spellStart"/>
      <w:r w:rsidRPr="00086E41">
        <w:rPr>
          <w:rFonts w:cstheme="minorHAnsi"/>
        </w:rPr>
        <w:t>choleratoxin</w:t>
      </w:r>
      <w:proofErr w:type="spellEnd"/>
      <w:r w:rsidRPr="00086E41">
        <w:rPr>
          <w:rFonts w:cstheme="minorHAnsi"/>
        </w:rPr>
        <w:t xml:space="preserve">, </w:t>
      </w:r>
      <w:proofErr w:type="spellStart"/>
      <w:r w:rsidRPr="00086E41">
        <w:rPr>
          <w:rFonts w:cstheme="minorHAnsi"/>
        </w:rPr>
        <w:t>shigatoxin</w:t>
      </w:r>
      <w:proofErr w:type="spellEnd"/>
      <w:r w:rsidRPr="00086E41">
        <w:rPr>
          <w:rFonts w:cstheme="minorHAnsi"/>
        </w:rPr>
        <w:t xml:space="preserve"> a toxiny Clostridium </w:t>
      </w:r>
      <w:proofErr w:type="spellStart"/>
      <w:r w:rsidRPr="00086E41">
        <w:rPr>
          <w:rFonts w:cstheme="minorHAnsi"/>
        </w:rPr>
        <w:t>perfringens</w:t>
      </w:r>
      <w:proofErr w:type="spellEnd"/>
      <w:r w:rsidRPr="00086E41">
        <w:rPr>
          <w:rFonts w:cstheme="minorHAnsi"/>
        </w:rPr>
        <w:t xml:space="preserve"> a Staphylococcus aureus; toxiny sinic jako anatoxin a </w:t>
      </w:r>
      <w:proofErr w:type="spellStart"/>
      <w:r w:rsidRPr="00086E41">
        <w:rPr>
          <w:rFonts w:cstheme="minorHAnsi"/>
        </w:rPr>
        <w:t>microcystin</w:t>
      </w:r>
      <w:proofErr w:type="spellEnd"/>
      <w:r w:rsidRPr="00086E41">
        <w:rPr>
          <w:rFonts w:cstheme="minorHAnsi"/>
        </w:rPr>
        <w:t xml:space="preserve">; a toxiny hub, například aflatoxiny a </w:t>
      </w:r>
      <w:proofErr w:type="spellStart"/>
      <w:r w:rsidRPr="00086E41">
        <w:rPr>
          <w:rFonts w:cstheme="minorHAnsi"/>
        </w:rPr>
        <w:t>trichotheceny</w:t>
      </w:r>
      <w:proofErr w:type="spellEnd"/>
      <w:r w:rsidRPr="00086E41">
        <w:rPr>
          <w:rFonts w:cstheme="minorHAnsi"/>
        </w:rPr>
        <w:t xml:space="preserve"> (Patočka, 2007).</w:t>
      </w:r>
    </w:p>
    <w:p w14:paraId="31A4B5B1" w14:textId="77777777" w:rsidR="00DF7A90" w:rsidRDefault="00DF7A90" w:rsidP="00DF7A90">
      <w:pPr>
        <w:ind w:firstLine="0"/>
        <w:rPr>
          <w:rFonts w:cstheme="minorHAnsi"/>
        </w:rPr>
      </w:pPr>
    </w:p>
    <w:p w14:paraId="6AF004F0" w14:textId="62CEC692" w:rsidR="00951485" w:rsidRPr="00086E41" w:rsidRDefault="00951485" w:rsidP="00DF7A90">
      <w:pPr>
        <w:ind w:firstLine="0"/>
        <w:rPr>
          <w:rFonts w:cstheme="minorHAnsi"/>
          <w:b/>
          <w:bCs/>
        </w:rPr>
      </w:pPr>
      <w:r w:rsidRPr="00086E41">
        <w:rPr>
          <w:rFonts w:cstheme="minorHAnsi"/>
          <w:b/>
          <w:bCs/>
        </w:rPr>
        <w:t>Charakteristika</w:t>
      </w:r>
    </w:p>
    <w:p w14:paraId="14FA604E" w14:textId="362C5920" w:rsidR="00951485" w:rsidRDefault="00951485" w:rsidP="00951485">
      <w:pPr>
        <w:rPr>
          <w:rFonts w:cstheme="minorHAnsi"/>
        </w:rPr>
      </w:pPr>
      <w:r w:rsidRPr="00086E41">
        <w:rPr>
          <w:rFonts w:cstheme="minorHAnsi"/>
        </w:rPr>
        <w:tab/>
      </w:r>
      <w:r w:rsidR="00AE6CC6" w:rsidRPr="00AE6CC6">
        <w:rPr>
          <w:rFonts w:cstheme="minorHAnsi"/>
        </w:rPr>
        <w:t>Toxiny jsou biologické látky přirozeného původu, které mají schopnost negativně ovlivnit jiný organismus, a to až do té míry, že mohou způsobit jeho poškození nebo smrt. Patočka (2007) vysvětluje, že toxiny mohou narušovat biochemické funkce živých organismů a jsou produkovány mnoha druhy živých organismů. V průběhu historie byly tyto látky zneužívány k travičství i v rámci válečných konfliktů. Fusek (2007) upozorňuje, že s postupujícím rozvojem vědy a s jednodušší výrobou toxinů vzrůstá i riziko jejich zneužití.</w:t>
      </w:r>
    </w:p>
    <w:p w14:paraId="6EB2FDD6" w14:textId="77777777" w:rsidR="00DF7A90" w:rsidRDefault="00DF7A90" w:rsidP="00951485">
      <w:pPr>
        <w:rPr>
          <w:rFonts w:cstheme="minorHAnsi"/>
        </w:rPr>
      </w:pPr>
    </w:p>
    <w:p w14:paraId="44F1C559" w14:textId="77777777" w:rsidR="0076490B" w:rsidRDefault="0076490B" w:rsidP="00951485">
      <w:pPr>
        <w:rPr>
          <w:rFonts w:cstheme="minorHAnsi"/>
        </w:rPr>
      </w:pPr>
    </w:p>
    <w:p w14:paraId="7431CD2D" w14:textId="77777777" w:rsidR="0076490B" w:rsidRPr="00086E41" w:rsidRDefault="0076490B" w:rsidP="00951485">
      <w:pPr>
        <w:rPr>
          <w:rFonts w:cstheme="minorHAnsi"/>
        </w:rPr>
      </w:pPr>
    </w:p>
    <w:p w14:paraId="644D4037" w14:textId="77777777" w:rsidR="00951485" w:rsidRPr="00086E41" w:rsidRDefault="00951485" w:rsidP="00DF7A90">
      <w:pPr>
        <w:ind w:firstLine="0"/>
        <w:rPr>
          <w:rFonts w:cstheme="minorHAnsi"/>
          <w:b/>
          <w:bCs/>
        </w:rPr>
      </w:pPr>
      <w:r w:rsidRPr="00086E41">
        <w:rPr>
          <w:rFonts w:cstheme="minorHAnsi"/>
          <w:b/>
          <w:bCs/>
        </w:rPr>
        <w:lastRenderedPageBreak/>
        <w:t>Fyzikálně-chemické vlastnosti</w:t>
      </w:r>
    </w:p>
    <w:p w14:paraId="02A55A72" w14:textId="77777777" w:rsidR="00951485" w:rsidRDefault="00951485" w:rsidP="00951485">
      <w:pPr>
        <w:rPr>
          <w:rFonts w:cstheme="minorHAnsi"/>
        </w:rPr>
      </w:pPr>
      <w:r w:rsidRPr="00086E41">
        <w:rPr>
          <w:rFonts w:cstheme="minorHAnsi"/>
        </w:rPr>
        <w:tab/>
        <w:t xml:space="preserve">Vzhledem k rozmanitosti toxinů je jejich fyzikálně-chemické vlastnosti obtížné obecně popsat. Jedná se o pevné látky s rozdílnou rozpustností – některé jsou dobře rozpustné ve vodě, jiné pouze v organických rozpouštědlech. Důležitým kritériem pro klasifikaci toxinů je jejich chemické složení a biologický původ. Lze je rovněž členit podle mechanismu účinku, jako jsou inhibitory enzymů nebo blokátory iontových kanálů, či podle jejich specifického účinku na jednotlivé orgány, například </w:t>
      </w:r>
      <w:proofErr w:type="spellStart"/>
      <w:r w:rsidRPr="00086E41">
        <w:rPr>
          <w:rFonts w:cstheme="minorHAnsi"/>
        </w:rPr>
        <w:t>hepatotoxické</w:t>
      </w:r>
      <w:proofErr w:type="spellEnd"/>
      <w:r w:rsidRPr="00086E41">
        <w:rPr>
          <w:rFonts w:cstheme="minorHAnsi"/>
        </w:rPr>
        <w:t xml:space="preserve">, neurotoxické nebo </w:t>
      </w:r>
      <w:proofErr w:type="spellStart"/>
      <w:r w:rsidRPr="00086E41">
        <w:rPr>
          <w:rFonts w:cstheme="minorHAnsi"/>
        </w:rPr>
        <w:t>kardiotoxické</w:t>
      </w:r>
      <w:proofErr w:type="spellEnd"/>
      <w:r w:rsidRPr="00086E41">
        <w:rPr>
          <w:rFonts w:cstheme="minorHAnsi"/>
        </w:rPr>
        <w:t xml:space="preserve"> (Patočka, 2007).</w:t>
      </w:r>
    </w:p>
    <w:p w14:paraId="79C4918F" w14:textId="77777777" w:rsidR="00DF7A90" w:rsidRPr="00086E41" w:rsidRDefault="00DF7A90" w:rsidP="00951485">
      <w:pPr>
        <w:rPr>
          <w:rFonts w:cstheme="minorHAnsi"/>
        </w:rPr>
      </w:pPr>
    </w:p>
    <w:p w14:paraId="1C8B8070" w14:textId="77777777" w:rsidR="00951485" w:rsidRPr="00086E41" w:rsidRDefault="00951485" w:rsidP="00DF7A90">
      <w:pPr>
        <w:ind w:firstLine="0"/>
        <w:rPr>
          <w:rFonts w:cstheme="minorHAnsi"/>
          <w:b/>
          <w:bCs/>
        </w:rPr>
      </w:pPr>
      <w:r w:rsidRPr="00086E41">
        <w:rPr>
          <w:rFonts w:cstheme="minorHAnsi"/>
          <w:b/>
          <w:bCs/>
        </w:rPr>
        <w:t>Mechanismus účinku na organismus</w:t>
      </w:r>
    </w:p>
    <w:p w14:paraId="2ECB04EF" w14:textId="77777777" w:rsidR="00951485" w:rsidRPr="00086E41" w:rsidRDefault="00951485" w:rsidP="00951485">
      <w:pPr>
        <w:rPr>
          <w:rFonts w:cstheme="minorHAnsi"/>
        </w:rPr>
      </w:pPr>
      <w:r w:rsidRPr="00086E41">
        <w:rPr>
          <w:rFonts w:cstheme="minorHAnsi"/>
        </w:rPr>
        <w:tab/>
        <w:t xml:space="preserve">Mechanismy toxického účinku toxinů jsou velmi různorodé a zahrnují komplexní interakce s </w:t>
      </w:r>
      <w:proofErr w:type="spellStart"/>
      <w:r w:rsidRPr="00086E41">
        <w:rPr>
          <w:rFonts w:cstheme="minorHAnsi"/>
        </w:rPr>
        <w:t>biomakromolekulami</w:t>
      </w:r>
      <w:proofErr w:type="spellEnd"/>
      <w:r w:rsidRPr="00086E41">
        <w:rPr>
          <w:rFonts w:cstheme="minorHAnsi"/>
        </w:rPr>
        <w:t xml:space="preserve"> a buněčnými strukturami. U některých toxinů není mechanismus účinku dosud plně objasněn (Patočka, 2007).</w:t>
      </w:r>
    </w:p>
    <w:p w14:paraId="3D8910CD" w14:textId="77777777" w:rsidR="00951485" w:rsidRDefault="00951485" w:rsidP="00951485">
      <w:pPr>
        <w:rPr>
          <w:rFonts w:cstheme="minorHAnsi"/>
        </w:rPr>
      </w:pPr>
      <w:r w:rsidRPr="00086E41">
        <w:rPr>
          <w:rFonts w:cstheme="minorHAnsi"/>
        </w:rPr>
        <w:tab/>
        <w:t xml:space="preserve">Rostlinné toxiny jako ricin, </w:t>
      </w:r>
      <w:proofErr w:type="spellStart"/>
      <w:r w:rsidRPr="00086E41">
        <w:rPr>
          <w:rFonts w:cstheme="minorHAnsi"/>
        </w:rPr>
        <w:t>abrin</w:t>
      </w:r>
      <w:proofErr w:type="spellEnd"/>
      <w:r w:rsidRPr="00086E41">
        <w:rPr>
          <w:rFonts w:cstheme="minorHAnsi"/>
        </w:rPr>
        <w:t xml:space="preserve">, </w:t>
      </w:r>
      <w:proofErr w:type="spellStart"/>
      <w:r w:rsidRPr="00086E41">
        <w:rPr>
          <w:rFonts w:cstheme="minorHAnsi"/>
        </w:rPr>
        <w:t>modeccin</w:t>
      </w:r>
      <w:proofErr w:type="spellEnd"/>
      <w:r w:rsidRPr="00086E41">
        <w:rPr>
          <w:rFonts w:cstheme="minorHAnsi"/>
        </w:rPr>
        <w:t xml:space="preserve">, </w:t>
      </w:r>
      <w:proofErr w:type="spellStart"/>
      <w:r w:rsidRPr="00086E41">
        <w:rPr>
          <w:rFonts w:cstheme="minorHAnsi"/>
        </w:rPr>
        <w:t>volkensin</w:t>
      </w:r>
      <w:proofErr w:type="spellEnd"/>
      <w:r w:rsidRPr="00086E41">
        <w:rPr>
          <w:rFonts w:cstheme="minorHAnsi"/>
        </w:rPr>
        <w:t xml:space="preserve"> a </w:t>
      </w:r>
      <w:proofErr w:type="spellStart"/>
      <w:r w:rsidRPr="00086E41">
        <w:rPr>
          <w:rFonts w:cstheme="minorHAnsi"/>
        </w:rPr>
        <w:t>viscumim</w:t>
      </w:r>
      <w:proofErr w:type="spellEnd"/>
      <w:r w:rsidRPr="00086E41">
        <w:rPr>
          <w:rFonts w:cstheme="minorHAnsi"/>
        </w:rPr>
        <w:t>, mají podobnou chemickou strukturu a shodný mechanismus účinku. Tyto toxiny blokují syntézu proteinů v buňkách, což vede k těžké gastroenteritidě, krvácení a celkovému rozvratu organismu (Patočka, 2007).</w:t>
      </w:r>
    </w:p>
    <w:p w14:paraId="767400CD" w14:textId="77777777" w:rsidR="00567883" w:rsidRDefault="00567883" w:rsidP="00951485">
      <w:pPr>
        <w:rPr>
          <w:rFonts w:cstheme="minorHAnsi"/>
        </w:rPr>
      </w:pPr>
    </w:p>
    <w:p w14:paraId="4E56695B" w14:textId="77777777" w:rsidR="00951485" w:rsidRPr="00086E41" w:rsidRDefault="00951485" w:rsidP="00567883">
      <w:pPr>
        <w:ind w:firstLine="0"/>
        <w:rPr>
          <w:rFonts w:cstheme="minorHAnsi"/>
          <w:b/>
          <w:bCs/>
        </w:rPr>
      </w:pPr>
      <w:r w:rsidRPr="00086E41">
        <w:rPr>
          <w:rFonts w:cstheme="minorHAnsi"/>
          <w:b/>
          <w:bCs/>
        </w:rPr>
        <w:t>Léčba a ochrana</w:t>
      </w:r>
    </w:p>
    <w:p w14:paraId="64149C93" w14:textId="77777777" w:rsidR="00951485" w:rsidRPr="00787DD0" w:rsidRDefault="00951485" w:rsidP="00DF7A90">
      <w:pPr>
        <w:spacing w:after="160"/>
        <w:ind w:firstLine="708"/>
        <w:rPr>
          <w:rFonts w:cstheme="minorHAnsi"/>
        </w:rPr>
      </w:pPr>
      <w:r w:rsidRPr="00787DD0">
        <w:rPr>
          <w:rFonts w:cstheme="minorHAnsi"/>
        </w:rPr>
        <w:t>Toxiny jsou jedovaté látky produkované mikroorganismy, rostlinami nebo živočichy, které mohou při kontaktu nebo požití způsobit vážné poškození organismu. Ochrana před intoxikací a její léčba závisí na typu toxinu, mechanismu jeho účinku a rozsahu poškození organismu (Kohout, 2018).</w:t>
      </w:r>
    </w:p>
    <w:p w14:paraId="30229183" w14:textId="77777777" w:rsidR="00DF7A90" w:rsidRDefault="00951485" w:rsidP="00DF7A90">
      <w:pPr>
        <w:spacing w:after="160"/>
        <w:ind w:firstLine="708"/>
        <w:rPr>
          <w:rFonts w:cstheme="minorHAnsi"/>
        </w:rPr>
      </w:pPr>
      <w:r w:rsidRPr="00787DD0">
        <w:rPr>
          <w:rFonts w:cstheme="minorHAnsi"/>
        </w:rPr>
        <w:t xml:space="preserve">Prvním krokem při léčbě intoxikace je odstranění zdroje toxinu, například vyčištění rány nebo odstranění kontaminované potraviny. Dále může být nezbytné podání </w:t>
      </w:r>
      <w:proofErr w:type="spellStart"/>
      <w:r w:rsidRPr="00787DD0">
        <w:rPr>
          <w:rFonts w:cstheme="minorHAnsi"/>
        </w:rPr>
        <w:t>antidota</w:t>
      </w:r>
      <w:proofErr w:type="spellEnd"/>
      <w:r w:rsidRPr="00787DD0">
        <w:rPr>
          <w:rFonts w:cstheme="minorHAnsi"/>
        </w:rPr>
        <w:t xml:space="preserve">, pokud je dostupné. Například při otravě botulotoxinem se podává </w:t>
      </w:r>
      <w:proofErr w:type="spellStart"/>
      <w:r w:rsidRPr="00787DD0">
        <w:rPr>
          <w:rFonts w:cstheme="minorHAnsi"/>
        </w:rPr>
        <w:t>antibotulinové</w:t>
      </w:r>
      <w:proofErr w:type="spellEnd"/>
      <w:r w:rsidRPr="00787DD0">
        <w:rPr>
          <w:rFonts w:cstheme="minorHAnsi"/>
        </w:rPr>
        <w:t xml:space="preserve"> sérum, které neutralizuje účinky toxinu (Červenková a kolektiv, 2017). V dalších případech se přistupuje k symptomatické léčbě, která zahrnuje podporu základních životních funkcí, jako je dýchání a oběh, a léčbu příznaků, například podáním léků proti zvracení či průjmu. K eliminaci toxinu z těla se využívají techniky, jako je výplach žaludku, podání aktivního uhlí nebo hemodialýza (</w:t>
      </w:r>
      <w:proofErr w:type="spellStart"/>
      <w:r w:rsidRPr="00787DD0">
        <w:rPr>
          <w:rFonts w:cstheme="minorHAnsi"/>
        </w:rPr>
        <w:t>Bratová</w:t>
      </w:r>
      <w:proofErr w:type="spellEnd"/>
      <w:r w:rsidRPr="00787DD0">
        <w:rPr>
          <w:rFonts w:cstheme="minorHAnsi"/>
        </w:rPr>
        <w:t>, 2015).</w:t>
      </w:r>
    </w:p>
    <w:p w14:paraId="58A11A39" w14:textId="07A716CE" w:rsidR="00951485" w:rsidRDefault="00951485" w:rsidP="00DF7A90">
      <w:pPr>
        <w:spacing w:after="160"/>
        <w:ind w:firstLine="708"/>
        <w:rPr>
          <w:rFonts w:cstheme="minorHAnsi"/>
        </w:rPr>
      </w:pPr>
      <w:r w:rsidRPr="00787DD0">
        <w:rPr>
          <w:rFonts w:cstheme="minorHAnsi"/>
        </w:rPr>
        <w:t xml:space="preserve">Ochrana před toxiny spočívá především v prevenci. Důležité je dodržování hygienických standardů, zejména při manipulaci s potravinami, jejich skladování a přípravě, aby se zabránilo kontaminaci toxiny, jako jsou mykotoxiny produkované plísněmi (Novotná et al., 2019). Vzdělávání a informovanost veřejnosti hrají klíčovou roli v prevenci intoxikací, například </w:t>
      </w:r>
      <w:r w:rsidRPr="00787DD0">
        <w:rPr>
          <w:rFonts w:cstheme="minorHAnsi"/>
        </w:rPr>
        <w:lastRenderedPageBreak/>
        <w:t>povědomí o riziku botulismu při konzumaci nesprávně konzervovaných potravin (Červenková a kolektiv, 2017)</w:t>
      </w:r>
    </w:p>
    <w:p w14:paraId="5F5022AD" w14:textId="77777777" w:rsidR="00DF7A90" w:rsidRDefault="00DF7A90" w:rsidP="00DF7A90">
      <w:pPr>
        <w:ind w:firstLine="0"/>
        <w:rPr>
          <w:rFonts w:cstheme="minorHAnsi"/>
        </w:rPr>
      </w:pPr>
    </w:p>
    <w:p w14:paraId="3777D6B2" w14:textId="3C1A7D92" w:rsidR="00951485" w:rsidRPr="00086E41" w:rsidRDefault="00951485" w:rsidP="00DF7A90">
      <w:pPr>
        <w:ind w:firstLine="0"/>
        <w:rPr>
          <w:rFonts w:cstheme="minorHAnsi"/>
          <w:b/>
          <w:bCs/>
        </w:rPr>
      </w:pPr>
      <w:r w:rsidRPr="00086E41">
        <w:rPr>
          <w:rFonts w:cstheme="minorHAnsi"/>
          <w:b/>
          <w:bCs/>
        </w:rPr>
        <w:t>Živočišné toxiny</w:t>
      </w:r>
    </w:p>
    <w:p w14:paraId="0B744A47" w14:textId="77777777" w:rsidR="00951485" w:rsidRPr="00086E41" w:rsidRDefault="00951485" w:rsidP="00951485">
      <w:pPr>
        <w:rPr>
          <w:rFonts w:cstheme="minorHAnsi"/>
        </w:rPr>
      </w:pPr>
      <w:r w:rsidRPr="00086E41">
        <w:rPr>
          <w:rFonts w:cstheme="minorHAnsi"/>
        </w:rPr>
        <w:tab/>
        <w:t xml:space="preserve">Živočišné toxiny, jako </w:t>
      </w:r>
      <w:proofErr w:type="spellStart"/>
      <w:r w:rsidRPr="00086E41">
        <w:rPr>
          <w:rFonts w:cstheme="minorHAnsi"/>
        </w:rPr>
        <w:t>bungarotoxin</w:t>
      </w:r>
      <w:proofErr w:type="spellEnd"/>
      <w:r w:rsidRPr="00086E41">
        <w:rPr>
          <w:rFonts w:cstheme="minorHAnsi"/>
        </w:rPr>
        <w:t xml:space="preserve">, </w:t>
      </w:r>
      <w:proofErr w:type="spellStart"/>
      <w:r w:rsidRPr="00086E41">
        <w:rPr>
          <w:rFonts w:cstheme="minorHAnsi"/>
        </w:rPr>
        <w:t>ciguatoxin</w:t>
      </w:r>
      <w:proofErr w:type="spellEnd"/>
      <w:r w:rsidRPr="00086E41">
        <w:rPr>
          <w:rFonts w:cstheme="minorHAnsi"/>
        </w:rPr>
        <w:t xml:space="preserve">, </w:t>
      </w:r>
      <w:proofErr w:type="spellStart"/>
      <w:r w:rsidRPr="00086E41">
        <w:rPr>
          <w:rFonts w:cstheme="minorHAnsi"/>
        </w:rPr>
        <w:t>conotoxin</w:t>
      </w:r>
      <w:proofErr w:type="spellEnd"/>
      <w:r w:rsidRPr="00086E41">
        <w:rPr>
          <w:rFonts w:cstheme="minorHAnsi"/>
        </w:rPr>
        <w:t xml:space="preserve">, </w:t>
      </w:r>
      <w:proofErr w:type="spellStart"/>
      <w:r w:rsidRPr="00086E41">
        <w:rPr>
          <w:rFonts w:cstheme="minorHAnsi"/>
        </w:rPr>
        <w:t>saxitoxin</w:t>
      </w:r>
      <w:proofErr w:type="spellEnd"/>
      <w:r w:rsidRPr="00086E41">
        <w:rPr>
          <w:rFonts w:cstheme="minorHAnsi"/>
        </w:rPr>
        <w:t xml:space="preserve"> a </w:t>
      </w:r>
      <w:proofErr w:type="spellStart"/>
      <w:r w:rsidRPr="00086E41">
        <w:rPr>
          <w:rFonts w:cstheme="minorHAnsi"/>
        </w:rPr>
        <w:t>tetrodotoxin</w:t>
      </w:r>
      <w:proofErr w:type="spellEnd"/>
      <w:r w:rsidRPr="00086E41">
        <w:rPr>
          <w:rFonts w:cstheme="minorHAnsi"/>
        </w:rPr>
        <w:t xml:space="preserve">, mají významné neurotoxické účinky. </w:t>
      </w:r>
      <w:proofErr w:type="spellStart"/>
      <w:r w:rsidRPr="00086E41">
        <w:rPr>
          <w:rFonts w:cstheme="minorHAnsi"/>
        </w:rPr>
        <w:t>Bungarotoxin</w:t>
      </w:r>
      <w:proofErr w:type="spellEnd"/>
      <w:r w:rsidRPr="00086E41">
        <w:rPr>
          <w:rFonts w:cstheme="minorHAnsi"/>
        </w:rPr>
        <w:t xml:space="preserve"> a </w:t>
      </w:r>
      <w:proofErr w:type="spellStart"/>
      <w:r w:rsidRPr="00086E41">
        <w:rPr>
          <w:rFonts w:cstheme="minorHAnsi"/>
        </w:rPr>
        <w:t>conotoxin</w:t>
      </w:r>
      <w:proofErr w:type="spellEnd"/>
      <w:r w:rsidRPr="00086E41">
        <w:rPr>
          <w:rFonts w:cstheme="minorHAnsi"/>
        </w:rPr>
        <w:t xml:space="preserve"> působí blokací nervosvalového přenosu, zatímco </w:t>
      </w:r>
      <w:proofErr w:type="spellStart"/>
      <w:r w:rsidRPr="00086E41">
        <w:rPr>
          <w:rFonts w:cstheme="minorHAnsi"/>
        </w:rPr>
        <w:t>saxitoxin</w:t>
      </w:r>
      <w:proofErr w:type="spellEnd"/>
      <w:r w:rsidRPr="00086E41">
        <w:rPr>
          <w:rFonts w:cstheme="minorHAnsi"/>
        </w:rPr>
        <w:t xml:space="preserve"> a </w:t>
      </w:r>
      <w:proofErr w:type="spellStart"/>
      <w:r w:rsidRPr="00086E41">
        <w:rPr>
          <w:rFonts w:cstheme="minorHAnsi"/>
        </w:rPr>
        <w:t>tetrodotoxin</w:t>
      </w:r>
      <w:proofErr w:type="spellEnd"/>
      <w:r w:rsidRPr="00086E41">
        <w:rPr>
          <w:rFonts w:cstheme="minorHAnsi"/>
        </w:rPr>
        <w:t xml:space="preserve"> blokují sodíkové kanály v buňkách, což vede k neurologickým poruchám a svalové paralýze (Patočka, 2007).</w:t>
      </w:r>
    </w:p>
    <w:p w14:paraId="07523095" w14:textId="77777777" w:rsidR="00951485" w:rsidRPr="00086E41" w:rsidRDefault="00951485" w:rsidP="00951485">
      <w:pPr>
        <w:rPr>
          <w:rFonts w:cstheme="minorHAnsi"/>
        </w:rPr>
      </w:pPr>
      <w:r w:rsidRPr="00086E41">
        <w:rPr>
          <w:rFonts w:cstheme="minorHAnsi"/>
        </w:rPr>
        <w:tab/>
        <w:t xml:space="preserve">Mezi významné bakteriální toxiny patří botulotoxin, </w:t>
      </w:r>
      <w:proofErr w:type="spellStart"/>
      <w:r w:rsidRPr="00086E41">
        <w:rPr>
          <w:rFonts w:cstheme="minorHAnsi"/>
        </w:rPr>
        <w:t>choleratoxin</w:t>
      </w:r>
      <w:proofErr w:type="spellEnd"/>
      <w:r w:rsidRPr="00086E41">
        <w:rPr>
          <w:rFonts w:cstheme="minorHAnsi"/>
        </w:rPr>
        <w:t xml:space="preserve"> a toxiny Clostridium </w:t>
      </w:r>
      <w:proofErr w:type="spellStart"/>
      <w:r w:rsidRPr="00086E41">
        <w:rPr>
          <w:rFonts w:cstheme="minorHAnsi"/>
        </w:rPr>
        <w:t>perfringens</w:t>
      </w:r>
      <w:proofErr w:type="spellEnd"/>
      <w:r w:rsidRPr="00086E41">
        <w:rPr>
          <w:rFonts w:cstheme="minorHAnsi"/>
        </w:rPr>
        <w:t>. Tyto toxiny způsobují různorodé klinické projevy, od neurologických poruch po těžké průjmy a dehydrataci (Patočka, 2007).</w:t>
      </w:r>
    </w:p>
    <w:p w14:paraId="771E6CBD" w14:textId="77777777" w:rsidR="00951485" w:rsidRPr="00086E41" w:rsidRDefault="00951485" w:rsidP="00951485">
      <w:pPr>
        <w:rPr>
          <w:rFonts w:cstheme="minorHAnsi"/>
        </w:rPr>
      </w:pPr>
      <w:r w:rsidRPr="00086E41">
        <w:rPr>
          <w:rFonts w:cstheme="minorHAnsi"/>
        </w:rPr>
        <w:tab/>
        <w:t xml:space="preserve">Toxiny produkované sinicemi, jako anatoxin-a(s) a </w:t>
      </w:r>
      <w:proofErr w:type="spellStart"/>
      <w:r w:rsidRPr="00086E41">
        <w:rPr>
          <w:rFonts w:cstheme="minorHAnsi"/>
        </w:rPr>
        <w:t>microcystin</w:t>
      </w:r>
      <w:proofErr w:type="spellEnd"/>
      <w:r w:rsidRPr="00086E41">
        <w:rPr>
          <w:rFonts w:cstheme="minorHAnsi"/>
        </w:rPr>
        <w:t xml:space="preserve">, mají neurotoxické a </w:t>
      </w:r>
      <w:proofErr w:type="spellStart"/>
      <w:r w:rsidRPr="00086E41">
        <w:rPr>
          <w:rFonts w:cstheme="minorHAnsi"/>
        </w:rPr>
        <w:t>hepatotoxické</w:t>
      </w:r>
      <w:proofErr w:type="spellEnd"/>
      <w:r w:rsidRPr="00086E41">
        <w:rPr>
          <w:rFonts w:cstheme="minorHAnsi"/>
        </w:rPr>
        <w:t xml:space="preserve"> účinky. Anatoxin-a(s) inhibuje přenos nervových vzruchů, zatímco </w:t>
      </w:r>
      <w:proofErr w:type="spellStart"/>
      <w:r w:rsidRPr="00086E41">
        <w:rPr>
          <w:rFonts w:cstheme="minorHAnsi"/>
        </w:rPr>
        <w:t>microcystin</w:t>
      </w:r>
      <w:proofErr w:type="spellEnd"/>
      <w:r w:rsidRPr="00086E41">
        <w:rPr>
          <w:rFonts w:cstheme="minorHAnsi"/>
        </w:rPr>
        <w:t xml:space="preserve"> ovlivňuje jaterní funkce (Patočka, 2007).</w:t>
      </w:r>
    </w:p>
    <w:p w14:paraId="653E79BB" w14:textId="77777777" w:rsidR="00951485" w:rsidRPr="00086E41" w:rsidRDefault="00951485" w:rsidP="00951485">
      <w:pPr>
        <w:rPr>
          <w:rFonts w:cstheme="minorHAnsi"/>
        </w:rPr>
      </w:pPr>
      <w:r w:rsidRPr="00086E41">
        <w:rPr>
          <w:rFonts w:cstheme="minorHAnsi"/>
        </w:rPr>
        <w:tab/>
        <w:t xml:space="preserve">Mykotoxiny produkované plísněmi zahrnují aflatoxiny a </w:t>
      </w:r>
      <w:proofErr w:type="spellStart"/>
      <w:r w:rsidRPr="00086E41">
        <w:rPr>
          <w:rFonts w:cstheme="minorHAnsi"/>
        </w:rPr>
        <w:t>trichotheceny</w:t>
      </w:r>
      <w:proofErr w:type="spellEnd"/>
      <w:r w:rsidRPr="00086E41">
        <w:rPr>
          <w:rFonts w:cstheme="minorHAnsi"/>
        </w:rPr>
        <w:t>. Tyto toxiny mohou způsobit těžké jaterní poškození nebo útlum krevních buněk (Štětina, 2007).</w:t>
      </w:r>
    </w:p>
    <w:p w14:paraId="66B0F2D3" w14:textId="1C498425" w:rsidR="00951485" w:rsidRDefault="00086E41" w:rsidP="00086E41">
      <w:pPr>
        <w:pStyle w:val="Nadpis2"/>
        <w:rPr>
          <w:lang w:val="cs-CZ"/>
        </w:rPr>
      </w:pPr>
      <w:bookmarkStart w:id="68" w:name="_Toc183029552"/>
      <w:r w:rsidRPr="00086E41">
        <w:rPr>
          <w:lang w:val="cs-CZ"/>
        </w:rPr>
        <w:t>Klasifikace podle stability v</w:t>
      </w:r>
      <w:r>
        <w:rPr>
          <w:lang w:val="cs-CZ"/>
        </w:rPr>
        <w:t> </w:t>
      </w:r>
      <w:r w:rsidRPr="00086E41">
        <w:rPr>
          <w:lang w:val="cs-CZ"/>
        </w:rPr>
        <w:t>terénu</w:t>
      </w:r>
      <w:bookmarkEnd w:id="68"/>
    </w:p>
    <w:p w14:paraId="08FAD7F6" w14:textId="77777777" w:rsidR="00086E41" w:rsidRPr="00086E41" w:rsidRDefault="00086E41" w:rsidP="00DF7A90">
      <w:pPr>
        <w:rPr>
          <w:lang w:val="cs-CZ"/>
        </w:rPr>
      </w:pPr>
      <w:r w:rsidRPr="00086E41">
        <w:rPr>
          <w:lang w:val="cs-CZ"/>
        </w:rPr>
        <w:t>Klasifikace bojových chemických látek (BCHL) podle jejich stability v terénu je jedním ze základních přístupů k pochopení a účinnému použití těchto látek ve vojenských operacích. Podle této klasifikace se BCHL dělí na stálé (trvalé, perzistentní) a nestálé (prchavé, neperzistentní) látky. Toto dělení je důležité, protože určuje, jak dlouho látka zůstane účinná na bojišti, což má významné důsledky pro vojenskou strategii, nasazení jednotek a pro plánování dekontaminačních postupů.</w:t>
      </w:r>
    </w:p>
    <w:p w14:paraId="1BB63749" w14:textId="19EFEFE6" w:rsidR="00DF7A90" w:rsidRPr="00086E41" w:rsidRDefault="00086E41" w:rsidP="00DF7A90">
      <w:pPr>
        <w:rPr>
          <w:lang w:val="cs-CZ"/>
        </w:rPr>
      </w:pPr>
      <w:r w:rsidRPr="00086E41">
        <w:rPr>
          <w:lang w:val="cs-CZ"/>
        </w:rPr>
        <w:t>Stálé, perzistentní BCHL se vyznačují dlouhou dobou účinku v prostředí, což znamená, že zůstávají účinné na površích a v terénu po dlouhou dobu, často až několik dní či týdnů, a někdy dokonce déle (</w:t>
      </w:r>
      <w:proofErr w:type="spellStart"/>
      <w:r w:rsidRPr="00086E41">
        <w:rPr>
          <w:lang w:val="cs-CZ"/>
        </w:rPr>
        <w:t>Brzybohatý</w:t>
      </w:r>
      <w:proofErr w:type="spellEnd"/>
      <w:r w:rsidRPr="00086E41">
        <w:rPr>
          <w:lang w:val="cs-CZ"/>
        </w:rPr>
        <w:t xml:space="preserve"> &amp; Mika, 2007). Tato vlastnost je zajištěna jejich nízkou těkavostí a odolností vůči klimatickým podmínkám, což jim umožňuje přilnout k různým povrchům a udržet si svou toxicitu po delší dobu (Mika &amp; Patočka, 2007). Stálé BCHL jsou strategicky používány k zamoření prostoru, ve kterém se očekává pozdější přítomnost protivníkových sil. Tyto látky se aplikují ve formě aerosolů nebo kapek, což jim umožňuje přilnout ke zvoleným povrchům a zajistit dlouhodobé působení. Příkladem perzistentních BCHL jsou látky, jako je yperit (známý také jako hořčičný plyn) a nervově-paralytická látka VX. Obě látky jsou známé svou schopností </w:t>
      </w:r>
      <w:r w:rsidRPr="00086E41">
        <w:rPr>
          <w:lang w:val="cs-CZ"/>
        </w:rPr>
        <w:lastRenderedPageBreak/>
        <w:t>kontaminovat prostředí a materiál na dlouhou dobu, čímž výrazně omezují možnosti protivníka v kontaminovaných oblastech (</w:t>
      </w:r>
      <w:proofErr w:type="spellStart"/>
      <w:r w:rsidRPr="00086E41">
        <w:rPr>
          <w:lang w:val="cs-CZ"/>
        </w:rPr>
        <w:t>Kassa</w:t>
      </w:r>
      <w:proofErr w:type="spellEnd"/>
      <w:r w:rsidRPr="00086E41">
        <w:rPr>
          <w:lang w:val="cs-CZ"/>
        </w:rPr>
        <w:t>, 2006).</w:t>
      </w:r>
    </w:p>
    <w:p w14:paraId="7B3E1395" w14:textId="43783D92" w:rsidR="00DF7A90" w:rsidRDefault="00086E41" w:rsidP="00DF7A90">
      <w:pPr>
        <w:pStyle w:val="Odstavecseseznamem"/>
        <w:numPr>
          <w:ilvl w:val="0"/>
          <w:numId w:val="31"/>
        </w:numPr>
        <w:rPr>
          <w:lang w:val="cs-CZ"/>
        </w:rPr>
      </w:pPr>
      <w:r w:rsidRPr="00DF7A90">
        <w:rPr>
          <w:b/>
          <w:bCs/>
          <w:lang w:val="cs-CZ"/>
        </w:rPr>
        <w:t>Stálé</w:t>
      </w:r>
      <w:r w:rsidRPr="00DF7A90">
        <w:rPr>
          <w:lang w:val="cs-CZ"/>
        </w:rPr>
        <w:t>:</w:t>
      </w:r>
      <w:r w:rsidR="00AE6CC6">
        <w:rPr>
          <w:lang w:val="cs-CZ"/>
        </w:rPr>
        <w:t xml:space="preserve"> P</w:t>
      </w:r>
      <w:proofErr w:type="spellStart"/>
      <w:r w:rsidR="00AE6CC6" w:rsidRPr="00AE6CC6">
        <w:t>oužití</w:t>
      </w:r>
      <w:proofErr w:type="spellEnd"/>
      <w:r w:rsidR="00AE6CC6" w:rsidRPr="00AE6CC6">
        <w:t xml:space="preserve"> stálých</w:t>
      </w:r>
      <w:r w:rsidR="00AE6CC6">
        <w:t xml:space="preserve"> </w:t>
      </w:r>
      <w:r w:rsidR="00AE6CC6" w:rsidRPr="00AE6CC6">
        <w:t xml:space="preserve">BCHL vyžaduje pečlivé plánování, protože tyto látky představují dlouhodobé riziko nejen pro nepřátelské síly, ale i pro civilní obyvatelstvo, vlastní jednotky a životní prostředí. </w:t>
      </w:r>
      <w:proofErr w:type="spellStart"/>
      <w:r w:rsidR="00AE6CC6" w:rsidRPr="00AE6CC6">
        <w:t>Brzybohatý</w:t>
      </w:r>
      <w:proofErr w:type="spellEnd"/>
      <w:r w:rsidR="00AE6CC6" w:rsidRPr="00AE6CC6">
        <w:t xml:space="preserve"> a Mika (2007) zdůrazňují, že dekontaminace oblastí zasažených těmito látkami je složitá a často vyžaduje speciální dekontaminační metody a prostředky. Tyto látky se používají především tam, kde je cílem dlouhodobé zneschopnění nepřítele a omezení jeho pohybu v konkrétní oblasti.</w:t>
      </w:r>
    </w:p>
    <w:p w14:paraId="69EBE653" w14:textId="77777777" w:rsidR="00DF7A90" w:rsidRPr="00DF7A90" w:rsidRDefault="00DF7A90" w:rsidP="00DF7A90">
      <w:pPr>
        <w:pStyle w:val="Odstavecseseznamem"/>
        <w:numPr>
          <w:ilvl w:val="0"/>
          <w:numId w:val="0"/>
        </w:numPr>
        <w:ind w:left="1287"/>
        <w:rPr>
          <w:lang w:val="cs-CZ"/>
        </w:rPr>
      </w:pPr>
    </w:p>
    <w:p w14:paraId="72B1AA6A" w14:textId="566656BF" w:rsidR="00086E41" w:rsidRDefault="00086E41" w:rsidP="00DF7A90">
      <w:pPr>
        <w:pStyle w:val="Odstavecseseznamem"/>
        <w:numPr>
          <w:ilvl w:val="0"/>
          <w:numId w:val="31"/>
        </w:numPr>
        <w:rPr>
          <w:lang w:val="cs-CZ"/>
        </w:rPr>
      </w:pPr>
      <w:r w:rsidRPr="00DF7A90">
        <w:rPr>
          <w:b/>
          <w:bCs/>
          <w:lang w:val="cs-CZ"/>
        </w:rPr>
        <w:t>Nestálé</w:t>
      </w:r>
      <w:r w:rsidRPr="00DF7A90">
        <w:rPr>
          <w:lang w:val="cs-CZ"/>
        </w:rPr>
        <w:t>, prchavé nebo neperzistentní BCHL se od perzistentních látek liší především svou vysokou těkavostí, což znamená, že se po aplikaci rychle odpařují a jejich účinek v terénu je pouze krátkodobý (</w:t>
      </w:r>
      <w:proofErr w:type="spellStart"/>
      <w:r w:rsidRPr="00DF7A90">
        <w:rPr>
          <w:lang w:val="cs-CZ"/>
        </w:rPr>
        <w:t>Pitschmann</w:t>
      </w:r>
      <w:proofErr w:type="spellEnd"/>
      <w:r w:rsidRPr="00DF7A90">
        <w:rPr>
          <w:lang w:val="cs-CZ"/>
        </w:rPr>
        <w:t>, 2008). Těchto vlastností se využívá v situacích, kdy je nutné rychlé působení na nepřátelské jednotky bez dlouhodobé kontaminace prostředí. Nestálé BCHL poskytují okamžitý účinek, který však po několika minutách až hodinách odeznívá, což umožňuje jednotkám rychlý postup bez rizika kontaminace vlastního personálu po opadnutí účinků látky (Bajgar, 2007).</w:t>
      </w:r>
    </w:p>
    <w:p w14:paraId="35DF3EE6" w14:textId="77777777" w:rsidR="00EA7C9B" w:rsidRPr="00EA7C9B" w:rsidRDefault="00EA7C9B" w:rsidP="002F39C9">
      <w:pPr>
        <w:pStyle w:val="Odstavecseseznamem"/>
        <w:numPr>
          <w:ilvl w:val="0"/>
          <w:numId w:val="0"/>
        </w:numPr>
        <w:ind w:left="1134"/>
        <w:rPr>
          <w:lang w:val="cs-CZ"/>
        </w:rPr>
      </w:pPr>
    </w:p>
    <w:p w14:paraId="7BA44F68" w14:textId="77777777" w:rsidR="00EA7C9B" w:rsidRDefault="00EA7C9B" w:rsidP="00EA7C9B">
      <w:r>
        <w:t>Typickými příklady nestálých bojových chemických látek (BCHL) jsou sarin a tabun, které patří mezi nervově paralytické látky</w:t>
      </w:r>
      <w:r w:rsidRPr="00EA7C9B">
        <w:rPr>
          <w:b/>
          <w:bCs/>
        </w:rPr>
        <w:t xml:space="preserve">. </w:t>
      </w:r>
      <w:proofErr w:type="spellStart"/>
      <w:r w:rsidRPr="00EA7C9B">
        <w:rPr>
          <w:rStyle w:val="Siln"/>
          <w:b w:val="0"/>
          <w:bCs w:val="0"/>
        </w:rPr>
        <w:t>Brzybohatý</w:t>
      </w:r>
      <w:proofErr w:type="spellEnd"/>
      <w:r w:rsidRPr="00EA7C9B">
        <w:rPr>
          <w:rStyle w:val="Siln"/>
          <w:b w:val="0"/>
          <w:bCs w:val="0"/>
        </w:rPr>
        <w:t xml:space="preserve"> a Mika (2007)</w:t>
      </w:r>
      <w:r>
        <w:t xml:space="preserve"> uvádějí, že tyto látky se po aplikaci rychle odpařují, což znamená, že jejich účinnost je krátkodobá, trvá jen několik minut až hodin, závisí však na podmínkách v terénu, jako je teplota, vítr a vlhkost. Nestálé BCHL se využívají především v rychlých a mobilních vojenských operacích, kde je kladeno důraz na okamžité zneschopnění nepřítele, ale kde není cílem dlouhodobé zamoření oblasti.</w:t>
      </w:r>
    </w:p>
    <w:p w14:paraId="42619D60" w14:textId="64EAF638" w:rsidR="00EA7C9B" w:rsidRDefault="00EA7C9B" w:rsidP="00EA7C9B">
      <w:r w:rsidRPr="00EA7C9B">
        <w:rPr>
          <w:rStyle w:val="Siln"/>
          <w:b w:val="0"/>
          <w:bCs w:val="0"/>
        </w:rPr>
        <w:t>Mika a Patočka (2007)</w:t>
      </w:r>
      <w:r>
        <w:t xml:space="preserve"> zdůrazňují, že pro dosažení maximálního účinku je důležité zajistit specifické podmínky a způsob aplikace. V uzavřených prostorech, kde je omezená ventilace, mohou mít tyto látky delší účinek, zatímco v otevřených prostorech jejich účinnost rychle slábne, což je výhodné pro rychlé vojenské operace, po nichž mohou jednotky bezpečně postupovat přes zasažené oblasti.</w:t>
      </w:r>
    </w:p>
    <w:p w14:paraId="7BA18A3B" w14:textId="77777777" w:rsidR="00EA7C9B" w:rsidRPr="00EA7C9B" w:rsidRDefault="00EA7C9B" w:rsidP="00EA7C9B">
      <w:pPr>
        <w:rPr>
          <w:lang w:val="cs-CZ"/>
        </w:rPr>
      </w:pPr>
      <w:r w:rsidRPr="00EA7C9B">
        <w:rPr>
          <w:lang w:val="cs-CZ"/>
        </w:rPr>
        <w:t xml:space="preserve">Klasifikace bojových chemických látek na stálé a nestálé je klíčová pro efektivní plánování vojenských operací a výběr vhodné chemické látky pro konkrétní účel. </w:t>
      </w:r>
      <w:proofErr w:type="spellStart"/>
      <w:r w:rsidRPr="00EA7C9B">
        <w:rPr>
          <w:lang w:val="cs-CZ"/>
        </w:rPr>
        <w:t>Brzybohatý</w:t>
      </w:r>
      <w:proofErr w:type="spellEnd"/>
      <w:r w:rsidRPr="00EA7C9B">
        <w:rPr>
          <w:lang w:val="cs-CZ"/>
        </w:rPr>
        <w:t xml:space="preserve"> a Mika (2007) uvádějí, že stálé látky jsou ideální pro dlouhodobé znepřístupnění určitého prostoru a </w:t>
      </w:r>
      <w:r w:rsidRPr="00EA7C9B">
        <w:rPr>
          <w:lang w:val="cs-CZ"/>
        </w:rPr>
        <w:lastRenderedPageBreak/>
        <w:t>strategické omezení pohybu nepřítele, zatímco nestálé látky se používají pro rychlé zásahy s okamžitým účinkem, což umožňuje následný postup vlastních jednotek.</w:t>
      </w:r>
    </w:p>
    <w:p w14:paraId="7F4105EC" w14:textId="77777777" w:rsidR="00EA7C9B" w:rsidRPr="00EA7C9B" w:rsidRDefault="00EA7C9B" w:rsidP="00EA7C9B">
      <w:pPr>
        <w:rPr>
          <w:lang w:val="cs-CZ"/>
        </w:rPr>
      </w:pPr>
      <w:r w:rsidRPr="00EA7C9B">
        <w:rPr>
          <w:lang w:val="cs-CZ"/>
        </w:rPr>
        <w:t xml:space="preserve">Tato klasifikace rovněž určuje postupy pro dekontaminaci a ochranu osob v zasažených oblastech. </w:t>
      </w:r>
      <w:proofErr w:type="spellStart"/>
      <w:r w:rsidRPr="00EA7C9B">
        <w:rPr>
          <w:lang w:val="cs-CZ"/>
        </w:rPr>
        <w:t>Pitschmann</w:t>
      </w:r>
      <w:proofErr w:type="spellEnd"/>
      <w:r w:rsidRPr="00EA7C9B">
        <w:rPr>
          <w:lang w:val="cs-CZ"/>
        </w:rPr>
        <w:t xml:space="preserve"> (2008) upozorňuje, že nestálé látky obvykle vyžadují méně náročné dekontaminační procesy než stálé látky, které mohou zůstat na površích po dlouhou dobu.</w:t>
      </w:r>
    </w:p>
    <w:p w14:paraId="648E334E" w14:textId="77777777" w:rsidR="00EA7C9B" w:rsidRPr="00EA7C9B" w:rsidRDefault="00EA7C9B" w:rsidP="00EA7C9B"/>
    <w:p w14:paraId="79731F85" w14:textId="77777777" w:rsidR="00086E41" w:rsidRPr="003C79A0" w:rsidRDefault="00086E41" w:rsidP="00086E41">
      <w:pPr>
        <w:pStyle w:val="Nadpis2"/>
      </w:pPr>
      <w:bookmarkStart w:id="69" w:name="_Toc183029553"/>
      <w:r w:rsidRPr="003C79A0">
        <w:t>Klasifikace podle rychlosti nástupu účinku</w:t>
      </w:r>
      <w:bookmarkEnd w:id="69"/>
    </w:p>
    <w:p w14:paraId="7355023B" w14:textId="057235FC" w:rsidR="00DF7A90" w:rsidRDefault="00EA7C9B" w:rsidP="00086E41">
      <w:pPr>
        <w:rPr>
          <w:rFonts w:cstheme="minorHAnsi"/>
        </w:rPr>
      </w:pPr>
      <w:r w:rsidRPr="00EA7C9B">
        <w:rPr>
          <w:rFonts w:cstheme="minorHAnsi"/>
        </w:rPr>
        <w:t xml:space="preserve">Rychlost nástupu účinku bojových chemických látek (BCHL) je klíčovým faktorem, který ovlivňuje jejich vojenské použití, efektivitu a taktické nasazení. </w:t>
      </w:r>
      <w:proofErr w:type="spellStart"/>
      <w:r w:rsidRPr="00EA7C9B">
        <w:rPr>
          <w:rFonts w:cstheme="minorHAnsi"/>
        </w:rPr>
        <w:t>Brzybohatý</w:t>
      </w:r>
      <w:proofErr w:type="spellEnd"/>
      <w:r w:rsidRPr="00EA7C9B">
        <w:rPr>
          <w:rFonts w:cstheme="minorHAnsi"/>
        </w:rPr>
        <w:t xml:space="preserve"> a Mika (2007) uvádějí, že na základě tohoto kritéria jsou BCHL rozděleny na látky s okamžitým účinkem a látky se zpožděným účinkem. Tato klasifikace umožňuje vojenským plánovačům přizpůsobit strategii použití chemických látek podle cílů operace, potřeby rychlého zásahu nebo naopak cíleného, postupného narušení protivníka.</w:t>
      </w:r>
    </w:p>
    <w:p w14:paraId="4C485BB9" w14:textId="77777777" w:rsidR="000F34BD" w:rsidRPr="00DF7A90" w:rsidRDefault="000F34BD" w:rsidP="00086E41">
      <w:pPr>
        <w:rPr>
          <w:rFonts w:cstheme="minorHAnsi"/>
        </w:rPr>
      </w:pPr>
    </w:p>
    <w:p w14:paraId="53F969C1" w14:textId="77777777" w:rsidR="00086E41" w:rsidRPr="00513E24" w:rsidRDefault="00086E41" w:rsidP="00DF7A90">
      <w:pPr>
        <w:ind w:firstLine="0"/>
        <w:rPr>
          <w:rFonts w:cstheme="minorHAnsi"/>
          <w:b/>
          <w:bCs/>
          <w:sz w:val="24"/>
          <w:szCs w:val="24"/>
        </w:rPr>
      </w:pPr>
      <w:r w:rsidRPr="00513E24">
        <w:rPr>
          <w:rFonts w:cstheme="minorHAnsi"/>
          <w:b/>
          <w:bCs/>
          <w:sz w:val="24"/>
          <w:szCs w:val="24"/>
        </w:rPr>
        <w:t>Látky s okamžitým účinkem</w:t>
      </w:r>
    </w:p>
    <w:p w14:paraId="225AF691" w14:textId="2E124409" w:rsidR="00086E41" w:rsidRPr="00DF7A90" w:rsidRDefault="00EA7C9B" w:rsidP="00086E41">
      <w:pPr>
        <w:rPr>
          <w:rFonts w:cstheme="minorHAnsi"/>
        </w:rPr>
      </w:pPr>
      <w:r w:rsidRPr="00EA7C9B">
        <w:rPr>
          <w:rFonts w:cstheme="minorHAnsi"/>
        </w:rPr>
        <w:t xml:space="preserve">Látky s okamžitým účinkem působí velmi rychle, často již během několika sekund až minut po expozici. </w:t>
      </w:r>
      <w:proofErr w:type="spellStart"/>
      <w:r w:rsidRPr="00EA7C9B">
        <w:rPr>
          <w:rFonts w:cstheme="minorHAnsi"/>
        </w:rPr>
        <w:t>Brzybohatý</w:t>
      </w:r>
      <w:proofErr w:type="spellEnd"/>
      <w:r w:rsidRPr="00EA7C9B">
        <w:rPr>
          <w:rFonts w:cstheme="minorHAnsi"/>
        </w:rPr>
        <w:t xml:space="preserve"> a Mika (2007) vysvětlují, že tento rychlý nástup účinku je charakteristický pro látky, které ovlivňují základní životní funkce, zejména prostřednictvím působení na nervový, respirační nebo kardiovaskulární systém. Nervově paralytické látky, jako jsou sarin, </w:t>
      </w:r>
      <w:proofErr w:type="spellStart"/>
      <w:r w:rsidRPr="00EA7C9B">
        <w:rPr>
          <w:rFonts w:cstheme="minorHAnsi"/>
        </w:rPr>
        <w:t>soman</w:t>
      </w:r>
      <w:proofErr w:type="spellEnd"/>
      <w:r w:rsidRPr="00EA7C9B">
        <w:rPr>
          <w:rFonts w:cstheme="minorHAnsi"/>
        </w:rPr>
        <w:t xml:space="preserve"> a VX, jsou příklady látek s okamžitým účinkem. Tyto látky blokují enzym </w:t>
      </w:r>
      <w:proofErr w:type="spellStart"/>
      <w:r w:rsidRPr="00EA7C9B">
        <w:rPr>
          <w:rFonts w:cstheme="minorHAnsi"/>
        </w:rPr>
        <w:t>acetylcholinesterázu</w:t>
      </w:r>
      <w:proofErr w:type="spellEnd"/>
      <w:r w:rsidRPr="00EA7C9B">
        <w:rPr>
          <w:rFonts w:cstheme="minorHAnsi"/>
        </w:rPr>
        <w:t>, což vede k rychlé paralýze svalstva, včetně dýchacích svalů, a následně k zástavě dechu a smrti (Bajgar, 2007).</w:t>
      </w:r>
      <w:r>
        <w:rPr>
          <w:rFonts w:cstheme="minorHAnsi"/>
        </w:rPr>
        <w:t xml:space="preserve"> L</w:t>
      </w:r>
      <w:r w:rsidR="00086E41" w:rsidRPr="00DF7A90">
        <w:rPr>
          <w:rFonts w:cstheme="minorHAnsi"/>
        </w:rPr>
        <w:t>átky se využívají v situacích, kde je nezbytné okamžité zneschopnění protivníka, například během rychlých útočných operací, kde je požadována okamžitá eliminace vojenských hrozeb (</w:t>
      </w:r>
      <w:proofErr w:type="spellStart"/>
      <w:r w:rsidR="00086E41" w:rsidRPr="00DF7A90">
        <w:rPr>
          <w:rFonts w:cstheme="minorHAnsi"/>
        </w:rPr>
        <w:t>Pitschmann</w:t>
      </w:r>
      <w:proofErr w:type="spellEnd"/>
      <w:r w:rsidR="00086E41" w:rsidRPr="00DF7A90">
        <w:rPr>
          <w:rFonts w:cstheme="minorHAnsi"/>
        </w:rPr>
        <w:t>, 2008).</w:t>
      </w:r>
    </w:p>
    <w:p w14:paraId="16B1F045" w14:textId="15312978" w:rsidR="00086E41" w:rsidRDefault="00086E41" w:rsidP="00086E41">
      <w:pPr>
        <w:rPr>
          <w:rFonts w:cstheme="minorHAnsi"/>
        </w:rPr>
      </w:pPr>
      <w:r w:rsidRPr="00DF7A90">
        <w:rPr>
          <w:rFonts w:cstheme="minorHAnsi"/>
        </w:rPr>
        <w:t xml:space="preserve">Rychle působící látky jsou často aplikovány ve formě aerosolů nebo plynných oblaků, které umožňují jejich rychlé vdechnutí nebo absorpci kůží. Jejich výhoda spočívá v tom, že mohou být použity k rychlému a okamžitému útoku, který zanechává protivníka zcela bez možnosti obrany nebo reakce. Vzhledem k vysoké toxicitě a okamžitému účinku představují tyto látky vážné nebezpečí pro každého, kdo je </w:t>
      </w:r>
      <w:r w:rsidR="001E26E9" w:rsidRPr="00DF7A90">
        <w:rPr>
          <w:rFonts w:cstheme="minorHAnsi"/>
        </w:rPr>
        <w:t>vystaven,</w:t>
      </w:r>
      <w:r w:rsidRPr="00DF7A90">
        <w:rPr>
          <w:rFonts w:cstheme="minorHAnsi"/>
        </w:rPr>
        <w:t xml:space="preserve"> byť jen nízkým koncentracím (</w:t>
      </w:r>
      <w:proofErr w:type="spellStart"/>
      <w:r w:rsidRPr="00DF7A90">
        <w:rPr>
          <w:rFonts w:cstheme="minorHAnsi"/>
        </w:rPr>
        <w:t>Kassa</w:t>
      </w:r>
      <w:proofErr w:type="spellEnd"/>
      <w:r w:rsidRPr="00DF7A90">
        <w:rPr>
          <w:rFonts w:cstheme="minorHAnsi"/>
        </w:rPr>
        <w:t>, 2006).</w:t>
      </w:r>
    </w:p>
    <w:p w14:paraId="7DC4080F" w14:textId="77777777" w:rsidR="00DF7A90" w:rsidRPr="00DF7A90" w:rsidRDefault="00DF7A90" w:rsidP="00086E41">
      <w:pPr>
        <w:rPr>
          <w:rFonts w:cstheme="minorHAnsi"/>
        </w:rPr>
      </w:pPr>
    </w:p>
    <w:p w14:paraId="435B4781" w14:textId="77777777" w:rsidR="00086E41" w:rsidRPr="00513E24" w:rsidRDefault="00086E41" w:rsidP="00DF7A90">
      <w:pPr>
        <w:ind w:firstLine="0"/>
        <w:rPr>
          <w:rFonts w:cstheme="minorHAnsi"/>
          <w:b/>
          <w:bCs/>
          <w:sz w:val="24"/>
          <w:szCs w:val="24"/>
        </w:rPr>
      </w:pPr>
      <w:r w:rsidRPr="00513E24">
        <w:rPr>
          <w:rFonts w:cstheme="minorHAnsi"/>
          <w:b/>
          <w:bCs/>
          <w:sz w:val="24"/>
          <w:szCs w:val="24"/>
        </w:rPr>
        <w:t>Látky se zpožděným účinkem</w:t>
      </w:r>
    </w:p>
    <w:p w14:paraId="1FD301CC" w14:textId="5201E734" w:rsidR="00086E41" w:rsidRPr="00DF7A90" w:rsidRDefault="00086E41" w:rsidP="00086E41">
      <w:pPr>
        <w:rPr>
          <w:rFonts w:cstheme="minorHAnsi"/>
        </w:rPr>
      </w:pPr>
      <w:r w:rsidRPr="00DF7A90">
        <w:rPr>
          <w:rFonts w:cstheme="minorHAnsi"/>
        </w:rPr>
        <w:t xml:space="preserve">Látky se zpožděným účinkem působí s určitým časovým odstupem, který může být v řádu minut, hodin, nebo dokonce dnů po expozici. Tento odklad nástupu účinku je typický pro látky, </w:t>
      </w:r>
      <w:r w:rsidRPr="00DF7A90">
        <w:rPr>
          <w:rFonts w:cstheme="minorHAnsi"/>
        </w:rPr>
        <w:lastRenderedPageBreak/>
        <w:t>které potřebují určitý čas k dosažení plné toxicity nebo k rozvinutí svých účinků v organismu. Příkladem takových látek jsou zpuchýřující látky jako yperit a lewisit, které při kontaktu s pokožkou způsobují kožní léze a popáleniny až po určité době, často několik hodin po expozici (</w:t>
      </w:r>
      <w:proofErr w:type="spellStart"/>
      <w:r w:rsidRPr="00DF7A90">
        <w:rPr>
          <w:rFonts w:cstheme="minorHAnsi"/>
        </w:rPr>
        <w:t>Brzybohatý</w:t>
      </w:r>
      <w:proofErr w:type="spellEnd"/>
      <w:r w:rsidRPr="00DF7A90">
        <w:rPr>
          <w:rFonts w:cstheme="minorHAnsi"/>
        </w:rPr>
        <w:t xml:space="preserve"> </w:t>
      </w:r>
      <w:r w:rsidR="00EA7C9B">
        <w:rPr>
          <w:rFonts w:cstheme="minorHAnsi"/>
        </w:rPr>
        <w:t>a</w:t>
      </w:r>
      <w:r w:rsidRPr="00DF7A90">
        <w:rPr>
          <w:rFonts w:cstheme="minorHAnsi"/>
        </w:rPr>
        <w:t xml:space="preserve"> Mika, 2007). Dalším příkladem jsou některé biologické toxiny a chemické sloučeniny, které ovlivňují metabolické procesy a způsobují příznaky otravy až po jejich distribuci v tělesných tkáních (Mika </w:t>
      </w:r>
      <w:r w:rsidR="00EA7C9B">
        <w:rPr>
          <w:rFonts w:cstheme="minorHAnsi"/>
        </w:rPr>
        <w:t>a</w:t>
      </w:r>
      <w:r w:rsidRPr="00DF7A90">
        <w:rPr>
          <w:rFonts w:cstheme="minorHAnsi"/>
        </w:rPr>
        <w:t xml:space="preserve"> Patočka, 2007).</w:t>
      </w:r>
    </w:p>
    <w:p w14:paraId="7CF8B218" w14:textId="77777777" w:rsidR="00086E41" w:rsidRPr="00DF7A90" w:rsidRDefault="00086E41" w:rsidP="00086E41">
      <w:pPr>
        <w:rPr>
          <w:rFonts w:cstheme="minorHAnsi"/>
        </w:rPr>
      </w:pPr>
      <w:r w:rsidRPr="00DF7A90">
        <w:rPr>
          <w:rFonts w:cstheme="minorHAnsi"/>
        </w:rPr>
        <w:t>Látky se zpožděným účinkem jsou často používány v situacích, kdy je požadováno zneschopnění nebo narušení protivníka bez okamžitého projevu intoxikace. Tato vlastnost umožňuje strategické použití těchto látek pro dlouhodobé účinky, kdy může protivník zpočátku přehlédnout kontaminaci a projevy otravy se dostaví až později, což znesnadňuje léčbu a odhalení původu intoxikace (Bajgar, 2007). Díky této vlastnosti jsou látky se zpožděným účinkem využívány zejména v případech, kdy je cílem znesnadnit a zkomplikovat logistiku nepřítele a jeho zdravotní péči.</w:t>
      </w:r>
    </w:p>
    <w:p w14:paraId="2423E01C" w14:textId="77777777" w:rsidR="00DF7A90" w:rsidRDefault="00DF7A90" w:rsidP="00DF7A90">
      <w:pPr>
        <w:ind w:firstLine="0"/>
        <w:rPr>
          <w:rFonts w:cstheme="minorHAnsi"/>
          <w:sz w:val="24"/>
          <w:szCs w:val="24"/>
        </w:rPr>
      </w:pPr>
    </w:p>
    <w:p w14:paraId="6BEE9216" w14:textId="64762986" w:rsidR="00086E41" w:rsidRPr="00513E24" w:rsidRDefault="00086E41" w:rsidP="00DF7A90">
      <w:pPr>
        <w:ind w:firstLine="0"/>
        <w:rPr>
          <w:rFonts w:cstheme="minorHAnsi"/>
          <w:b/>
          <w:bCs/>
          <w:sz w:val="24"/>
          <w:szCs w:val="24"/>
        </w:rPr>
      </w:pPr>
      <w:r w:rsidRPr="00513E24">
        <w:rPr>
          <w:rFonts w:cstheme="minorHAnsi"/>
          <w:b/>
          <w:bCs/>
          <w:sz w:val="24"/>
          <w:szCs w:val="24"/>
        </w:rPr>
        <w:t>Význam klasifikace pro vojenské použití</w:t>
      </w:r>
    </w:p>
    <w:p w14:paraId="3A675273" w14:textId="77777777" w:rsidR="00086E41" w:rsidRPr="00DF7A90" w:rsidRDefault="00086E41" w:rsidP="00086E41">
      <w:pPr>
        <w:rPr>
          <w:rFonts w:cstheme="minorHAnsi"/>
        </w:rPr>
      </w:pPr>
      <w:r w:rsidRPr="00DF7A90">
        <w:rPr>
          <w:rFonts w:cstheme="minorHAnsi"/>
        </w:rPr>
        <w:t>Klasifikace BCHL podle rychlosti nástupu účinku má velký význam pro vojenské plánování a operační strategii. Látky s okamžitým účinkem se uplatňují v případech, kdy je nezbytné rychle zneschopnit protivníka nebo zamezit jeho ústupu. Naopak látky se zpožděným účinkem jsou strategicky výhodné pro dlouhodobé narušení nepřátelských sil a jejich morálky, kdy se příznaky projevují až s časovým odstupem, což komplikuje protivníkovu reakci a léčbu. Tento typ klasifikace má rovněž dopad na ochranu vlastních sil a na dekontaminační postupy, protože látky s okamžitým účinkem mohou být rychle zneutralizovány, zatímco látky se zpožděným účinkem vyžadují dlouhodobé dekontaminační opatření.</w:t>
      </w:r>
    </w:p>
    <w:p w14:paraId="2BCAB14C" w14:textId="5CDCC5F4" w:rsidR="00086E41" w:rsidRPr="00086E41" w:rsidRDefault="00086E41" w:rsidP="00086E41">
      <w:pPr>
        <w:pStyle w:val="Nadpis2"/>
        <w:rPr>
          <w:rFonts w:cstheme="minorHAnsi"/>
          <w:sz w:val="22"/>
          <w:szCs w:val="22"/>
        </w:rPr>
      </w:pPr>
      <w:bookmarkStart w:id="70" w:name="_Toc182946193"/>
      <w:bookmarkStart w:id="71" w:name="_Toc183029554"/>
      <w:r w:rsidRPr="00086E41">
        <w:rPr>
          <w:sz w:val="24"/>
          <w:szCs w:val="24"/>
        </w:rPr>
        <w:t>Toxikologické účinky BCHL</w:t>
      </w:r>
      <w:bookmarkEnd w:id="70"/>
      <w:bookmarkEnd w:id="71"/>
    </w:p>
    <w:p w14:paraId="1A007506" w14:textId="77777777" w:rsidR="00086E41" w:rsidRPr="00086E41" w:rsidRDefault="00086E41" w:rsidP="00086E41">
      <w:pPr>
        <w:ind w:firstLine="708"/>
        <w:rPr>
          <w:rFonts w:cstheme="minorHAnsi"/>
        </w:rPr>
      </w:pPr>
      <w:r w:rsidRPr="00086E41">
        <w:rPr>
          <w:rFonts w:cstheme="minorHAnsi"/>
        </w:rPr>
        <w:t>Je důležité uvést, že míra a rychlost poškození organismu působením bojových chemických látek (BCHL) se odvíjí od řady faktorů, které ovlivňují jejich chování v prostředí. Mezi klíčové faktory patří zejména:</w:t>
      </w:r>
    </w:p>
    <w:p w14:paraId="1E961470" w14:textId="77777777" w:rsidR="00086E41" w:rsidRPr="00DF7A90" w:rsidRDefault="00086E41" w:rsidP="00DF7A90">
      <w:pPr>
        <w:pStyle w:val="Odstavecseseznamem"/>
        <w:numPr>
          <w:ilvl w:val="0"/>
          <w:numId w:val="32"/>
        </w:numPr>
        <w:rPr>
          <w:rFonts w:cstheme="minorHAnsi"/>
        </w:rPr>
      </w:pPr>
      <w:r w:rsidRPr="00DF7A90">
        <w:rPr>
          <w:rFonts w:cstheme="minorHAnsi"/>
          <w:b/>
          <w:bCs/>
        </w:rPr>
        <w:t>Fyzikální charakteristiky:</w:t>
      </w:r>
      <w:r w:rsidRPr="00DF7A90">
        <w:rPr>
          <w:rFonts w:cstheme="minorHAnsi"/>
        </w:rPr>
        <w:t xml:space="preserve"> Ty zahrnují parametry jako bod tání, bod varu, hustotu, tlak nasycených par, povrchové napětí či rozpustnost, které mají vliv na pohyb a distribuci látky v různých prostředích.</w:t>
      </w:r>
    </w:p>
    <w:p w14:paraId="7E9ADB6F" w14:textId="77777777" w:rsidR="00086E41" w:rsidRPr="00DF7A90" w:rsidRDefault="00086E41" w:rsidP="00DF7A90">
      <w:pPr>
        <w:pStyle w:val="Odstavecseseznamem"/>
        <w:numPr>
          <w:ilvl w:val="0"/>
          <w:numId w:val="32"/>
        </w:numPr>
        <w:rPr>
          <w:rFonts w:cstheme="minorHAnsi"/>
        </w:rPr>
      </w:pPr>
      <w:r w:rsidRPr="00DF7A90">
        <w:rPr>
          <w:rFonts w:cstheme="minorHAnsi"/>
          <w:b/>
          <w:bCs/>
        </w:rPr>
        <w:lastRenderedPageBreak/>
        <w:t>Chemická odolnost a stabilita:</w:t>
      </w:r>
      <w:r w:rsidRPr="00DF7A90">
        <w:rPr>
          <w:rFonts w:cstheme="minorHAnsi"/>
        </w:rPr>
        <w:t xml:space="preserve"> Sem spadají faktory jako odolnost látky vůči rozkladu ve vodě (hydrolýze), stabilita vůči jiným chemickým látkám a reaktivita s různými materiály. Tyto vlastnosti hrají roli v tom, jak dlouho látka zůstane účinná a jak snadno se rozloží.</w:t>
      </w:r>
    </w:p>
    <w:p w14:paraId="750C60C7" w14:textId="4F08A819" w:rsidR="00EA7C9B" w:rsidRDefault="00086E41" w:rsidP="00EA7C9B">
      <w:pPr>
        <w:pStyle w:val="Odstavecseseznamem"/>
        <w:numPr>
          <w:ilvl w:val="0"/>
          <w:numId w:val="32"/>
        </w:numPr>
        <w:spacing w:after="0"/>
        <w:rPr>
          <w:rFonts w:cstheme="minorHAnsi"/>
        </w:rPr>
      </w:pPr>
      <w:r w:rsidRPr="00DF7A90">
        <w:rPr>
          <w:rFonts w:cstheme="minorHAnsi"/>
          <w:b/>
          <w:bCs/>
        </w:rPr>
        <w:t>Toxikologické vlastnosti:</w:t>
      </w:r>
      <w:r w:rsidRPr="00DF7A90">
        <w:rPr>
          <w:rFonts w:cstheme="minorHAnsi"/>
        </w:rPr>
        <w:t xml:space="preserve"> Zde jde o úroveň toxicity látky, množství potřebné k vyvolání účinku, způsoby jejího vniknutí do těla, délku expozice a mechanismus působení na organismus. Tyto faktory určují, jak škodlivá látka může být a jaké kroky je třeba podniknout pro ochranu před jejími účinky</w:t>
      </w:r>
      <w:r w:rsidR="00EA7C9B">
        <w:rPr>
          <w:rFonts w:cstheme="minorHAnsi"/>
        </w:rPr>
        <w:t>.</w:t>
      </w:r>
    </w:p>
    <w:p w14:paraId="3EE98527" w14:textId="77777777" w:rsidR="00EA7C9B" w:rsidRDefault="00EA7C9B" w:rsidP="00EA7C9B">
      <w:pPr>
        <w:spacing w:after="0"/>
        <w:rPr>
          <w:rFonts w:cstheme="minorHAnsi"/>
        </w:rPr>
      </w:pPr>
    </w:p>
    <w:p w14:paraId="0513635E" w14:textId="5B2D56B7" w:rsidR="00EA7C9B" w:rsidRPr="00EA7C9B" w:rsidRDefault="00EA7C9B" w:rsidP="00EA7C9B">
      <w:pPr>
        <w:spacing w:after="0"/>
        <w:rPr>
          <w:rFonts w:cstheme="minorHAnsi"/>
          <w:lang w:val="cs-CZ"/>
        </w:rPr>
      </w:pPr>
      <w:r w:rsidRPr="00EA7C9B">
        <w:rPr>
          <w:rFonts w:cstheme="minorHAnsi"/>
          <w:lang w:val="cs-CZ"/>
        </w:rPr>
        <w:t xml:space="preserve">Toxické látky, které vstupují do organismu, procházejí několika klíčovými procesy. Prvním krokem je proniknutí toxické látky do těla, což může probíhat různými cestami, jako je kůže, sliznice nebo dýchací cesty. Následně dochází k absorpci látky do oběhového systému, kde se šíří krví a ovlivňuje celé tělo. Při tomto procesu může být část toxické látky vyloučena, například vydechnutím nebo vazbou na potravu, což ovlivňuje její konečné množství v organismu (Fusek, J. </w:t>
      </w:r>
      <w:r>
        <w:rPr>
          <w:rFonts w:cstheme="minorHAnsi"/>
          <w:lang w:val="cs-CZ"/>
        </w:rPr>
        <w:t>v</w:t>
      </w:r>
      <w:r w:rsidRPr="00EA7C9B">
        <w:rPr>
          <w:rFonts w:cstheme="minorHAnsi"/>
          <w:lang w:val="cs-CZ"/>
        </w:rPr>
        <w:t xml:space="preserve"> Patočka, J. et al., 2007).</w:t>
      </w:r>
    </w:p>
    <w:p w14:paraId="6086CE8D" w14:textId="2EAED9C1" w:rsidR="00AF29F9" w:rsidRPr="00EA7C9B" w:rsidRDefault="00EA7C9B" w:rsidP="00EA7C9B">
      <w:pPr>
        <w:spacing w:after="0"/>
        <w:ind w:firstLine="0"/>
        <w:rPr>
          <w:rFonts w:cstheme="minorHAnsi"/>
          <w:lang w:val="cs-CZ"/>
        </w:rPr>
      </w:pPr>
      <w:r w:rsidRPr="00EA7C9B">
        <w:rPr>
          <w:rFonts w:cstheme="minorHAnsi"/>
          <w:lang w:val="cs-CZ"/>
        </w:rPr>
        <w:t xml:space="preserve">Distribuce toxické látky v těle je další klíčovou fází, kdy se některé látky mohou vázat na bílkoviny nebo jiné složky krve a ukládat v tkáních. Tato akumulace může vést k postupnému uvolňování látky a dalším fázím intoxikace i po ukončení počáteční expozice. Metabolismus, který probíhá hlavně v játrech, a následné vylučování (přes ledviny, moč nebo plíce) jsou klíčové pro detoxikaci organismu (Fusek, J. </w:t>
      </w:r>
      <w:r w:rsidRPr="00EA7C9B">
        <w:rPr>
          <w:rFonts w:cstheme="minorHAnsi"/>
          <w:lang w:val="cs-CZ"/>
        </w:rPr>
        <w:t>v</w:t>
      </w:r>
      <w:r w:rsidRPr="00EA7C9B">
        <w:rPr>
          <w:rFonts w:cstheme="minorHAnsi"/>
          <w:lang w:val="cs-CZ"/>
        </w:rPr>
        <w:t xml:space="preserve"> Patočka, J. et al., 2007).</w:t>
      </w:r>
    </w:p>
    <w:p w14:paraId="18785B1E" w14:textId="617223A9" w:rsidR="00EA7C9B" w:rsidRPr="00EA7C9B" w:rsidRDefault="00EA7C9B" w:rsidP="00AF29F9">
      <w:pPr>
        <w:spacing w:after="0"/>
        <w:ind w:firstLine="708"/>
        <w:rPr>
          <w:rFonts w:cstheme="minorHAnsi"/>
          <w:lang w:val="cs-CZ"/>
        </w:rPr>
      </w:pPr>
      <w:r w:rsidRPr="00EA7C9B">
        <w:rPr>
          <w:rFonts w:cstheme="minorHAnsi"/>
          <w:lang w:val="cs-CZ"/>
        </w:rPr>
        <w:t>Pro správné pochopení, jak toxické látky ovlivňují tělo, je důležité se zaměřit na tzv. vnější bariéry, které oddělují tělo od vnějšího prostředí. Tyto bariéry ovlivňují nejen vstřebání toxických látek, ale i jejich distribuci a rychlost působení. Při značném rozdílu koncentrací mezi vnějším prostředím a tělem se pronikání těchto látek stává snadnějším. Způsob, jakým látky do těla pronikají (například vdechnutím, kontaktem s pokožkou, nebo požitím), ovlivňuje nejen rychlost jejich účinku, ale i rozsah poškození zdraví (Fusek, J.</w:t>
      </w:r>
      <w:r>
        <w:rPr>
          <w:rFonts w:cstheme="minorHAnsi"/>
          <w:lang w:val="cs-CZ"/>
        </w:rPr>
        <w:t xml:space="preserve"> v</w:t>
      </w:r>
      <w:r w:rsidRPr="00EA7C9B">
        <w:rPr>
          <w:rFonts w:cstheme="minorHAnsi"/>
          <w:lang w:val="cs-CZ"/>
        </w:rPr>
        <w:t xml:space="preserve"> Patočka, J. et al., 2007).</w:t>
      </w:r>
    </w:p>
    <w:p w14:paraId="5C4C4665" w14:textId="77777777" w:rsidR="00EA7C9B" w:rsidRPr="00EA7C9B" w:rsidRDefault="00EA7C9B" w:rsidP="00EA7C9B">
      <w:pPr>
        <w:spacing w:after="0"/>
        <w:ind w:firstLine="0"/>
        <w:rPr>
          <w:rFonts w:cstheme="minorHAnsi"/>
          <w:lang w:val="cs-CZ"/>
        </w:rPr>
      </w:pPr>
      <w:r w:rsidRPr="00EA7C9B">
        <w:rPr>
          <w:rFonts w:cstheme="minorHAnsi"/>
          <w:lang w:val="cs-CZ"/>
        </w:rPr>
        <w:t xml:space="preserve">Rychlost nástupu účinku bojových chemických látek závisí na typu expozice a množství látky, která se dostane do těla. Intoxikace může probíhat různými mechanismy, které mohou mít akutní nebo chronické následky v závislosti na typu, množství a době expozice. </w:t>
      </w:r>
      <w:proofErr w:type="spellStart"/>
      <w:r w:rsidRPr="00EA7C9B">
        <w:rPr>
          <w:rFonts w:cstheme="minorHAnsi"/>
          <w:lang w:val="cs-CZ"/>
        </w:rPr>
        <w:t>Prymula</w:t>
      </w:r>
      <w:proofErr w:type="spellEnd"/>
      <w:r w:rsidRPr="00EA7C9B">
        <w:rPr>
          <w:rFonts w:cstheme="minorHAnsi"/>
          <w:lang w:val="cs-CZ"/>
        </w:rPr>
        <w:t xml:space="preserve"> et al. (2008) popisují, že každý typ expozice vyžaduje specifický přístup k prevenci a léčbě, aby se minimalizovaly zdravotní následky a optimalizovala ochrana zdraví.</w:t>
      </w:r>
    </w:p>
    <w:p w14:paraId="0AF83833" w14:textId="753568E1" w:rsidR="00EA7C9B" w:rsidRPr="00EA7C9B" w:rsidRDefault="00EA7C9B" w:rsidP="00EA7C9B">
      <w:pPr>
        <w:spacing w:after="0"/>
        <w:ind w:firstLine="0"/>
        <w:rPr>
          <w:rFonts w:cstheme="minorHAnsi"/>
        </w:rPr>
      </w:pPr>
    </w:p>
    <w:p w14:paraId="0639E440" w14:textId="77777777" w:rsidR="00DF7A90" w:rsidRPr="00DF7A90" w:rsidRDefault="00DF7A90" w:rsidP="00DF7A90">
      <w:pPr>
        <w:spacing w:after="0"/>
        <w:ind w:firstLine="0"/>
        <w:rPr>
          <w:rFonts w:cstheme="minorHAnsi"/>
        </w:rPr>
      </w:pPr>
    </w:p>
    <w:p w14:paraId="4438155D" w14:textId="637CE343" w:rsidR="00086E41" w:rsidRPr="003C79A0" w:rsidRDefault="00086E41" w:rsidP="00086E41">
      <w:pPr>
        <w:pStyle w:val="Nadpis2"/>
      </w:pPr>
      <w:bookmarkStart w:id="72" w:name="_Toc182946194"/>
      <w:bookmarkStart w:id="73" w:name="_Toc183029555"/>
      <w:r w:rsidRPr="003C79A0">
        <w:lastRenderedPageBreak/>
        <w:t>K</w:t>
      </w:r>
      <w:r>
        <w:t>l</w:t>
      </w:r>
      <w:r w:rsidRPr="003C79A0">
        <w:t>íčové faktory ovlivňující interakci BCHL s organismem</w:t>
      </w:r>
      <w:bookmarkEnd w:id="72"/>
      <w:bookmarkEnd w:id="73"/>
    </w:p>
    <w:p w14:paraId="23C1578F" w14:textId="228928D8" w:rsidR="00DF7A90" w:rsidRDefault="00086E41" w:rsidP="00DF7A90">
      <w:pPr>
        <w:ind w:firstLine="708"/>
        <w:rPr>
          <w:rFonts w:cstheme="minorHAnsi"/>
        </w:rPr>
      </w:pPr>
      <w:r w:rsidRPr="00086E41">
        <w:rPr>
          <w:rFonts w:cstheme="minorHAnsi"/>
        </w:rPr>
        <w:t>Interakce bojových chemických látek (BCHL) s organismem závisí na řadě biologických, chemických a fyzikálních faktorů, které ovlivňují způsob, jakým látky pronikají do těla, šíří se, působí na cílové orgány a jakým způsobem jsou vylučovány. Klíčové faktory, které určují toxicitu a účinky BCHL na organismus, zahrnují:</w:t>
      </w:r>
    </w:p>
    <w:p w14:paraId="4C648E20" w14:textId="77777777" w:rsidR="00881044" w:rsidRDefault="00881044" w:rsidP="00DF7A90">
      <w:pPr>
        <w:ind w:firstLine="708"/>
        <w:rPr>
          <w:rFonts w:cstheme="minorHAnsi"/>
        </w:rPr>
      </w:pPr>
    </w:p>
    <w:p w14:paraId="666DC6A2" w14:textId="77777777" w:rsidR="00DF7A90" w:rsidRPr="00086E41" w:rsidRDefault="00DF7A90" w:rsidP="00DF7A90">
      <w:pPr>
        <w:ind w:firstLine="708"/>
        <w:rPr>
          <w:rFonts w:cstheme="minorHAnsi"/>
        </w:rPr>
      </w:pPr>
    </w:p>
    <w:p w14:paraId="1191D445" w14:textId="77777777" w:rsidR="00DF7A90" w:rsidRDefault="00086E41" w:rsidP="00DF7A90">
      <w:pPr>
        <w:ind w:firstLine="0"/>
        <w:rPr>
          <w:rFonts w:cstheme="minorHAnsi"/>
          <w:b/>
          <w:bCs/>
        </w:rPr>
      </w:pPr>
      <w:r w:rsidRPr="00086E41">
        <w:rPr>
          <w:rFonts w:cstheme="minorHAnsi"/>
          <w:b/>
          <w:bCs/>
        </w:rPr>
        <w:t>Fyzikálně-chemické vlastnosti látky</w:t>
      </w:r>
      <w:r w:rsidR="00DF7A90">
        <w:rPr>
          <w:rFonts w:cstheme="minorHAnsi"/>
          <w:b/>
          <w:bCs/>
        </w:rPr>
        <w:t xml:space="preserve"> </w:t>
      </w:r>
    </w:p>
    <w:p w14:paraId="7D8ABE5F" w14:textId="77777777" w:rsidR="00EA7C9B" w:rsidRPr="00EA7C9B" w:rsidRDefault="00EA7C9B" w:rsidP="00EA7C9B">
      <w:pPr>
        <w:rPr>
          <w:rFonts w:cstheme="minorHAnsi"/>
          <w:lang w:val="cs-CZ"/>
        </w:rPr>
      </w:pPr>
      <w:r>
        <w:rPr>
          <w:rFonts w:cstheme="minorHAnsi"/>
        </w:rPr>
        <w:tab/>
      </w:r>
      <w:r w:rsidRPr="00EA7C9B">
        <w:rPr>
          <w:rFonts w:cstheme="minorHAnsi"/>
          <w:lang w:val="cs-CZ"/>
        </w:rPr>
        <w:t>Látky s vysokou těkavostí, jako jsou nervově paralytické látky (např. sarin), se snadno odpařují a mohou být inhalovány, což zvyšuje riziko jejich účinků na dýchací systém. Lank (2010) vysvětluje, že těkavost látky určuje rychlost jejího šíření v prostředí a její přístupnost dýchacími cestami.</w:t>
      </w:r>
    </w:p>
    <w:p w14:paraId="4EB64470" w14:textId="77777777" w:rsidR="00EA7C9B" w:rsidRPr="00EA7C9B" w:rsidRDefault="00EA7C9B" w:rsidP="00EA7C9B">
      <w:pPr>
        <w:ind w:firstLine="0"/>
        <w:rPr>
          <w:rFonts w:cstheme="minorHAnsi"/>
          <w:lang w:val="cs-CZ"/>
        </w:rPr>
      </w:pPr>
      <w:r w:rsidRPr="00EA7C9B">
        <w:rPr>
          <w:rFonts w:cstheme="minorHAnsi"/>
          <w:lang w:val="cs-CZ"/>
        </w:rPr>
        <w:t>Dále Štěrba a Suchánek (2006) uvádějí, že rozpustnost BCHL ve vodě a lipidech ovlivňuje schopnost těchto látek pronikat buněčnými membránami. Látky, které jsou rozpustné v lipidech, jako například yperit, snadno pronikají kůží a nervovou tkání, zatímco látky rozpustné ve vodě se rychle distribuují krevním oběhem. Friedl a Přikryl (2007) doplňují, že látky s nižší molekulovou hmotností, jako jsou kyanidy, se snadno šíří a rychle pronikají do buněk, což způsobuje rychlý účinek na organismus.</w:t>
      </w:r>
    </w:p>
    <w:p w14:paraId="3921D678" w14:textId="416C5554" w:rsidR="00DF7A90" w:rsidRDefault="00DF7A90" w:rsidP="00DF7A90">
      <w:pPr>
        <w:ind w:firstLine="0"/>
        <w:rPr>
          <w:rFonts w:cstheme="minorHAnsi"/>
          <w:b/>
          <w:bCs/>
        </w:rPr>
      </w:pPr>
    </w:p>
    <w:p w14:paraId="27D9CAD0" w14:textId="720EB425" w:rsidR="00086E41" w:rsidRPr="00086E41" w:rsidRDefault="00086E41" w:rsidP="00DF7A90">
      <w:pPr>
        <w:ind w:firstLine="0"/>
        <w:rPr>
          <w:rFonts w:cstheme="minorHAnsi"/>
          <w:b/>
          <w:bCs/>
        </w:rPr>
      </w:pPr>
      <w:r w:rsidRPr="00086E41">
        <w:rPr>
          <w:rFonts w:cstheme="minorHAnsi"/>
          <w:b/>
          <w:bCs/>
        </w:rPr>
        <w:t>Mechanismus účinku</w:t>
      </w:r>
    </w:p>
    <w:p w14:paraId="6946448F" w14:textId="076273B4" w:rsidR="00086E41" w:rsidRDefault="00EA7C9B" w:rsidP="00086E41">
      <w:pPr>
        <w:ind w:firstLine="708"/>
        <w:rPr>
          <w:rFonts w:cstheme="minorHAnsi"/>
        </w:rPr>
      </w:pPr>
      <w:r w:rsidRPr="00EA7C9B">
        <w:rPr>
          <w:rFonts w:cstheme="minorHAnsi"/>
        </w:rPr>
        <w:t>Látky v plynné formě, aerosoly nebo prachové částice mohou být inhalovány a rychle se dostávají do krevního oběhu prostřednictvím plic. Štěrba a Suchánek (2006) vysvětlují, že nervově paralytické látky, jako je sarin, jsou při inhalaci vysoce účinné, protože rychle ovlivňují centrální nervový systém.</w:t>
      </w:r>
      <w:r>
        <w:rPr>
          <w:rFonts w:cstheme="minorHAnsi"/>
        </w:rPr>
        <w:t xml:space="preserve"> </w:t>
      </w:r>
      <w:r w:rsidR="00086E41" w:rsidRPr="00086E41">
        <w:rPr>
          <w:rFonts w:cstheme="minorHAnsi"/>
        </w:rPr>
        <w:t>Některé látky, zejména ty rozpustné v lipidech (např. yperit), mohou proniknout přes kůži a působit systémově. Průnik přes kůži bývá pomalejší než inhalace, ale látky mohou působit dlouhodoběji (Lank, 2010).</w:t>
      </w:r>
    </w:p>
    <w:p w14:paraId="7BC5FB9F" w14:textId="77777777" w:rsidR="00DF7A90" w:rsidRDefault="00DF7A90" w:rsidP="00DF7A90">
      <w:pPr>
        <w:ind w:firstLine="0"/>
        <w:rPr>
          <w:rFonts w:cstheme="minorHAnsi"/>
        </w:rPr>
      </w:pPr>
    </w:p>
    <w:p w14:paraId="47C1083A" w14:textId="522BF795" w:rsidR="00086E41" w:rsidRPr="00086E41" w:rsidRDefault="00086E41" w:rsidP="00DF7A90">
      <w:pPr>
        <w:ind w:firstLine="0"/>
        <w:rPr>
          <w:rFonts w:cstheme="minorHAnsi"/>
          <w:b/>
          <w:bCs/>
        </w:rPr>
      </w:pPr>
      <w:r w:rsidRPr="00086E41">
        <w:rPr>
          <w:rFonts w:cstheme="minorHAnsi"/>
          <w:b/>
          <w:bCs/>
        </w:rPr>
        <w:t>Dávka a expozice</w:t>
      </w:r>
    </w:p>
    <w:p w14:paraId="7964567E" w14:textId="6E3DAF0F" w:rsidR="00DF7A90" w:rsidRDefault="00EA7C9B" w:rsidP="00DF7A90">
      <w:pPr>
        <w:ind w:firstLine="0"/>
        <w:rPr>
          <w:rFonts w:cstheme="minorHAnsi"/>
        </w:rPr>
      </w:pPr>
      <w:r>
        <w:rPr>
          <w:rFonts w:cstheme="minorHAnsi"/>
          <w:b/>
          <w:bCs/>
        </w:rPr>
        <w:tab/>
      </w:r>
      <w:r w:rsidRPr="00EA7C9B">
        <w:rPr>
          <w:rFonts w:cstheme="minorHAnsi"/>
        </w:rPr>
        <w:t>Množství látky, kterému je organismus vystaven, je klíčovým faktorem, který ovlivňuje její toxicitu. Friedl a Přikryl (2007) uvádějí, že vyšší dávky chemických látek obvykle mají silnější účinky a mohou rychleji způsobit poškození zdraví nebo smrt.</w:t>
      </w:r>
    </w:p>
    <w:p w14:paraId="5D465B6E" w14:textId="77777777" w:rsidR="00EA7C9B" w:rsidRPr="00EA7C9B" w:rsidRDefault="00EA7C9B" w:rsidP="00DF7A90">
      <w:pPr>
        <w:ind w:firstLine="0"/>
        <w:rPr>
          <w:rFonts w:cstheme="minorHAnsi"/>
        </w:rPr>
      </w:pPr>
    </w:p>
    <w:p w14:paraId="759D0A53" w14:textId="78449064" w:rsidR="00086E41" w:rsidRPr="00086E41" w:rsidRDefault="00086E41" w:rsidP="00DF7A90">
      <w:pPr>
        <w:ind w:firstLine="0"/>
        <w:rPr>
          <w:rFonts w:cstheme="minorHAnsi"/>
          <w:b/>
          <w:bCs/>
        </w:rPr>
      </w:pPr>
      <w:r w:rsidRPr="00086E41">
        <w:rPr>
          <w:rFonts w:cstheme="minorHAnsi"/>
          <w:b/>
          <w:bCs/>
        </w:rPr>
        <w:t>Distribuce látky v organismu</w:t>
      </w:r>
    </w:p>
    <w:p w14:paraId="24A1F835" w14:textId="33E340F4" w:rsidR="00086E41" w:rsidRPr="00086E41" w:rsidRDefault="002D26D9" w:rsidP="00086E41">
      <w:pPr>
        <w:ind w:firstLine="708"/>
        <w:rPr>
          <w:rFonts w:cstheme="minorHAnsi"/>
        </w:rPr>
      </w:pPr>
      <w:r>
        <w:rPr>
          <w:rFonts w:cstheme="minorHAnsi"/>
        </w:rPr>
        <w:lastRenderedPageBreak/>
        <w:t xml:space="preserve">Tyto látky </w:t>
      </w:r>
      <w:r w:rsidR="00674DCF" w:rsidRPr="00674DCF">
        <w:rPr>
          <w:rFonts w:cstheme="minorHAnsi"/>
        </w:rPr>
        <w:t>jsou často rychle distribuovány krevním oběhem po vdechnutí, absorpci kůží nebo požití. Štěrba a Suchánek (2006) vysvětlují, že nervově paralytické plyny, jakými jsou například sarin a VX, působí na centrální nervový systém, kam jsou rychle přeneseny krevním řečištěm.</w:t>
      </w:r>
    </w:p>
    <w:p w14:paraId="74BBCC03" w14:textId="77777777" w:rsidR="00086E41" w:rsidRPr="00086E41" w:rsidRDefault="00086E41" w:rsidP="00086E41">
      <w:pPr>
        <w:rPr>
          <w:rFonts w:cstheme="minorHAnsi"/>
          <w:b/>
          <w:bCs/>
        </w:rPr>
      </w:pPr>
    </w:p>
    <w:p w14:paraId="638E8939" w14:textId="77777777" w:rsidR="00086E41" w:rsidRPr="00086E41" w:rsidRDefault="00086E41" w:rsidP="00DF7A90">
      <w:pPr>
        <w:ind w:firstLine="0"/>
        <w:rPr>
          <w:rFonts w:cstheme="minorHAnsi"/>
          <w:b/>
          <w:bCs/>
        </w:rPr>
      </w:pPr>
      <w:r w:rsidRPr="00086E41">
        <w:rPr>
          <w:rFonts w:cstheme="minorHAnsi"/>
          <w:b/>
          <w:bCs/>
        </w:rPr>
        <w:t>Cílové orgány</w:t>
      </w:r>
    </w:p>
    <w:p w14:paraId="3E220F30" w14:textId="121C683E" w:rsidR="00DF7A90" w:rsidRDefault="00674DCF" w:rsidP="00DF7A90">
      <w:pPr>
        <w:ind w:firstLine="0"/>
        <w:rPr>
          <w:rFonts w:cstheme="minorHAnsi"/>
        </w:rPr>
      </w:pPr>
      <w:r>
        <w:rPr>
          <w:rFonts w:cstheme="minorHAnsi"/>
        </w:rPr>
        <w:tab/>
      </w:r>
      <w:r w:rsidRPr="00674DCF">
        <w:rPr>
          <w:rFonts w:cstheme="minorHAnsi"/>
        </w:rPr>
        <w:t>Friedl a Přikryl (2007) dodávají, že nervově paralytické látky, jako je sarin a VX, specificky cílí na centrální a periferní nervový systém, kde narušují přenos nervových impulzů. Toto poškození může rychle vést k paralýze a smrti.</w:t>
      </w:r>
    </w:p>
    <w:p w14:paraId="4A506ADC" w14:textId="77777777" w:rsidR="00674DCF" w:rsidRDefault="00674DCF" w:rsidP="00DF7A90">
      <w:pPr>
        <w:ind w:firstLine="0"/>
        <w:rPr>
          <w:rFonts w:cstheme="minorHAnsi"/>
          <w:b/>
          <w:bCs/>
        </w:rPr>
      </w:pPr>
    </w:p>
    <w:p w14:paraId="3C40AC5C" w14:textId="19571DE1" w:rsidR="00086E41" w:rsidRPr="00086E41" w:rsidRDefault="00086E41" w:rsidP="00DF7A90">
      <w:pPr>
        <w:ind w:firstLine="0"/>
        <w:rPr>
          <w:rFonts w:cstheme="minorHAnsi"/>
          <w:b/>
          <w:bCs/>
        </w:rPr>
      </w:pPr>
      <w:r w:rsidRPr="00086E41">
        <w:rPr>
          <w:rFonts w:cstheme="minorHAnsi"/>
          <w:b/>
          <w:bCs/>
        </w:rPr>
        <w:t>Individuální citlivost organismu</w:t>
      </w:r>
    </w:p>
    <w:p w14:paraId="18211393" w14:textId="77777777" w:rsidR="00086E41" w:rsidRPr="00086E41" w:rsidRDefault="00086E41" w:rsidP="00086E41">
      <w:pPr>
        <w:ind w:firstLine="708"/>
        <w:rPr>
          <w:rFonts w:cstheme="minorHAnsi"/>
        </w:rPr>
      </w:pPr>
      <w:r w:rsidRPr="00086E41">
        <w:rPr>
          <w:rFonts w:cstheme="minorHAnsi"/>
        </w:rPr>
        <w:t>Někteří jedinci mohou být geneticky náchylnější k toxickým účinkům určitých látek, což může ovlivnit rychlost detoxikace nebo citlivost na konkrétní typy chemických látek (Lank, 2010).</w:t>
      </w:r>
    </w:p>
    <w:p w14:paraId="0AD7CFB3" w14:textId="77777777" w:rsidR="00DF7A90" w:rsidRDefault="00DF7A90" w:rsidP="00DF7A90">
      <w:pPr>
        <w:ind w:firstLine="0"/>
        <w:rPr>
          <w:rFonts w:cstheme="minorHAnsi"/>
          <w:b/>
          <w:bCs/>
        </w:rPr>
      </w:pPr>
    </w:p>
    <w:p w14:paraId="47F8B330" w14:textId="3BAD8518" w:rsidR="00086E41" w:rsidRDefault="00086E41" w:rsidP="00DF7A90">
      <w:pPr>
        <w:ind w:firstLine="0"/>
        <w:rPr>
          <w:rFonts w:cstheme="minorHAnsi"/>
          <w:b/>
          <w:bCs/>
        </w:rPr>
      </w:pPr>
      <w:r w:rsidRPr="00086E41">
        <w:rPr>
          <w:rFonts w:cstheme="minorHAnsi"/>
          <w:b/>
          <w:bCs/>
        </w:rPr>
        <w:t>Detoxikace a vylučování</w:t>
      </w:r>
    </w:p>
    <w:p w14:paraId="4B16EFC5" w14:textId="77777777" w:rsidR="00674DCF" w:rsidRPr="00674DCF" w:rsidRDefault="00674DCF" w:rsidP="00674DCF">
      <w:pPr>
        <w:rPr>
          <w:rFonts w:cstheme="minorHAnsi"/>
          <w:lang w:val="cs-CZ"/>
        </w:rPr>
      </w:pPr>
      <w:r w:rsidRPr="00674DCF">
        <w:rPr>
          <w:rFonts w:cstheme="minorHAnsi"/>
        </w:rPr>
        <w:tab/>
      </w:r>
      <w:r w:rsidRPr="00674DCF">
        <w:rPr>
          <w:rFonts w:cstheme="minorHAnsi"/>
          <w:lang w:val="cs-CZ"/>
        </w:rPr>
        <w:t>Organismus se snaží neutralizovat a eliminovat toxické látky prostřednictvím metabolických procesů, přičemž játra hrají klíčovou roli v přeměně chemických látek na méně toxické formy. Štěrba a Suchánek (2006) vysvětlují, že rychlost a účinnost detoxikace výrazně ovlivňuje míru poškození organismu.</w:t>
      </w:r>
    </w:p>
    <w:p w14:paraId="18F03AD5" w14:textId="64C1A257" w:rsidR="00674DCF" w:rsidRDefault="00674DCF" w:rsidP="00DF7A90">
      <w:pPr>
        <w:ind w:firstLine="0"/>
        <w:rPr>
          <w:rFonts w:cstheme="minorHAnsi"/>
          <w:lang w:val="cs-CZ"/>
        </w:rPr>
      </w:pPr>
      <w:r w:rsidRPr="00674DCF">
        <w:rPr>
          <w:rFonts w:cstheme="minorHAnsi"/>
          <w:lang w:val="cs-CZ"/>
        </w:rPr>
        <w:t>Interakce bojových chemických látek s organismem je komplexní proces, který závisí na celé řadě faktorů, včetně chemických a fyzikálních vlastností látky, způsobu expozice, dávky, distribuce v těle a citlivosti organismu. Lank (2010) uvádí, že chemické a fyzikální vlastnosti látky mají klíčový vliv na její účinek, zatímco Friedl a Přikryl (2007) zdůrazňují význam způsobu expozice a dávky. Štěrba a Suchánek (2006) se zaměřují na distribuci látky v těle a citlivost organismu. Porozumění těmto faktorům je nezbytné pro vývoj efektivních ochranných opatření a léčebných postupů při expozici těmto nebezpečným látkám.</w:t>
      </w:r>
    </w:p>
    <w:p w14:paraId="39CB30BC" w14:textId="77777777" w:rsidR="00674DCF" w:rsidRPr="00674DCF" w:rsidRDefault="00674DCF" w:rsidP="00DF7A90">
      <w:pPr>
        <w:ind w:firstLine="0"/>
        <w:rPr>
          <w:rFonts w:cstheme="minorHAnsi"/>
          <w:lang w:val="cs-CZ"/>
        </w:rPr>
      </w:pPr>
    </w:p>
    <w:p w14:paraId="6ECF8BD5" w14:textId="05DEDE5F" w:rsidR="00086E41" w:rsidRPr="00086E41" w:rsidRDefault="00086E41" w:rsidP="00086E41">
      <w:pPr>
        <w:pStyle w:val="Nadpis2"/>
        <w:rPr>
          <w:rFonts w:cstheme="minorHAnsi"/>
        </w:rPr>
      </w:pPr>
      <w:bookmarkStart w:id="74" w:name="_Toc182946195"/>
      <w:bookmarkStart w:id="75" w:name="_Toc183029556"/>
      <w:r w:rsidRPr="003C79A0">
        <w:t>Dělení BCHL podle rychlosti nástupu účinku</w:t>
      </w:r>
      <w:bookmarkEnd w:id="74"/>
      <w:bookmarkEnd w:id="75"/>
    </w:p>
    <w:p w14:paraId="1653863E" w14:textId="77777777" w:rsidR="00DF7A90" w:rsidRDefault="00086E41" w:rsidP="00DF7A90">
      <w:pPr>
        <w:ind w:firstLine="708"/>
        <w:rPr>
          <w:rFonts w:cstheme="minorHAnsi"/>
        </w:rPr>
      </w:pPr>
      <w:r w:rsidRPr="00086E41">
        <w:rPr>
          <w:rFonts w:cstheme="minorHAnsi"/>
        </w:rPr>
        <w:t xml:space="preserve">V kontextu bojových chemických látek (BCHL) je jedním z klíčových kritérií pro jejich klasifikaci rychlost, s jakou vyvolávají účinky po expozici. Rychlost nástupu účinku BCHL je důležitá z hlediska jejich vojenského využití, protože ovlivňuje čas, který je nutný pro vyřazení protivníka, a zároveň určuje potřebná ochranná opatření pro zasažené osoby. Na základě </w:t>
      </w:r>
      <w:r w:rsidRPr="00086E41">
        <w:rPr>
          <w:rFonts w:cstheme="minorHAnsi"/>
        </w:rPr>
        <w:lastRenderedPageBreak/>
        <w:t>rychlosti nástupu účinku lze BCHL rozdělit do tří hlavních kategorií: látky s okamžitým, rychlým a pomalým nástupem účinku (Fusek, 2020).</w:t>
      </w:r>
    </w:p>
    <w:p w14:paraId="65A15B3C" w14:textId="77777777" w:rsidR="00DF7A90" w:rsidRDefault="00DF7A90" w:rsidP="00DF7A90">
      <w:pPr>
        <w:ind w:firstLine="0"/>
        <w:rPr>
          <w:rFonts w:cstheme="minorHAnsi"/>
        </w:rPr>
      </w:pPr>
    </w:p>
    <w:p w14:paraId="119F6DD9" w14:textId="1D51C939" w:rsidR="00086E41" w:rsidRPr="00DF7A90" w:rsidRDefault="00086E41" w:rsidP="00DF7A90">
      <w:pPr>
        <w:ind w:firstLine="0"/>
        <w:rPr>
          <w:rFonts w:cstheme="minorHAnsi"/>
        </w:rPr>
      </w:pPr>
      <w:r w:rsidRPr="00086E41">
        <w:rPr>
          <w:rFonts w:cstheme="minorHAnsi"/>
          <w:b/>
          <w:bCs/>
        </w:rPr>
        <w:t>Látky s okamžitým nástupem účinku</w:t>
      </w:r>
    </w:p>
    <w:p w14:paraId="3017DE43" w14:textId="5519052A" w:rsidR="00DF7A90" w:rsidRDefault="00674DCF" w:rsidP="00674DCF">
      <w:pPr>
        <w:ind w:firstLine="708"/>
        <w:rPr>
          <w:rFonts w:cstheme="minorHAnsi"/>
        </w:rPr>
      </w:pPr>
      <w:r w:rsidRPr="00674DCF">
        <w:rPr>
          <w:rFonts w:cstheme="minorHAnsi"/>
        </w:rPr>
        <w:t xml:space="preserve">Kyanidy, jako je kyanovodík a </w:t>
      </w:r>
      <w:proofErr w:type="spellStart"/>
      <w:r w:rsidRPr="00674DCF">
        <w:rPr>
          <w:rFonts w:cstheme="minorHAnsi"/>
        </w:rPr>
        <w:t>chlorcyan</w:t>
      </w:r>
      <w:proofErr w:type="spellEnd"/>
      <w:r w:rsidRPr="00674DCF">
        <w:rPr>
          <w:rFonts w:cstheme="minorHAnsi"/>
        </w:rPr>
        <w:t xml:space="preserve">, působí blokováním enzymu </w:t>
      </w:r>
      <w:proofErr w:type="spellStart"/>
      <w:r w:rsidRPr="00674DCF">
        <w:rPr>
          <w:rFonts w:cstheme="minorHAnsi"/>
        </w:rPr>
        <w:t>cytochromoxidázy</w:t>
      </w:r>
      <w:proofErr w:type="spellEnd"/>
      <w:r w:rsidRPr="00674DCF">
        <w:rPr>
          <w:rFonts w:cstheme="minorHAnsi"/>
        </w:rPr>
        <w:t>, což má za následek rychlé zastavení buněčného dýchání a následný nedostatek kyslíku na buněčné úrovni. Patočka et al. (2019) uvádějí, že tento proces vede k velmi rychlé smrti buněk, a při vyšších koncentracích může způsobit okamžitou zástavu životních funkcí.</w:t>
      </w:r>
    </w:p>
    <w:p w14:paraId="4467071B" w14:textId="77777777" w:rsidR="00674DCF" w:rsidRPr="00674DCF" w:rsidRDefault="00674DCF" w:rsidP="00674DCF">
      <w:pPr>
        <w:ind w:firstLine="708"/>
        <w:rPr>
          <w:rFonts w:cstheme="minorHAnsi"/>
        </w:rPr>
      </w:pPr>
    </w:p>
    <w:p w14:paraId="51A52819" w14:textId="053DD4C3" w:rsidR="00086E41" w:rsidRPr="00086E41" w:rsidRDefault="00086E41" w:rsidP="00DF7A90">
      <w:pPr>
        <w:ind w:firstLine="0"/>
        <w:rPr>
          <w:rFonts w:cstheme="minorHAnsi"/>
          <w:b/>
          <w:bCs/>
        </w:rPr>
      </w:pPr>
      <w:r w:rsidRPr="00086E41">
        <w:rPr>
          <w:rFonts w:cstheme="minorHAnsi"/>
          <w:b/>
          <w:bCs/>
        </w:rPr>
        <w:t>Látky s rychlým nástupem účinku</w:t>
      </w:r>
    </w:p>
    <w:p w14:paraId="73056311" w14:textId="64F8E717" w:rsidR="00674DCF" w:rsidRPr="00674DCF" w:rsidRDefault="00674DCF" w:rsidP="00674DCF">
      <w:pPr>
        <w:ind w:firstLine="708"/>
        <w:rPr>
          <w:rFonts w:cstheme="minorHAnsi"/>
          <w:lang w:val="cs-CZ"/>
        </w:rPr>
      </w:pPr>
      <w:r w:rsidRPr="00674DCF">
        <w:rPr>
          <w:rFonts w:cstheme="minorHAnsi"/>
        </w:rPr>
        <w:t>Látky s rychlým nástupem účinku jsou specifickými</w:t>
      </w:r>
      <w:r>
        <w:rPr>
          <w:rFonts w:cstheme="minorHAnsi"/>
        </w:rPr>
        <w:t xml:space="preserve"> BCHL</w:t>
      </w:r>
      <w:r w:rsidRPr="00674DCF">
        <w:rPr>
          <w:rFonts w:cstheme="minorHAnsi"/>
        </w:rPr>
        <w:t>, které začínají působit obvykle během několika minut až desítek minut po expozici. I když jejich účinky nejsou okamžité, dokážou v bojových podmínkách rychle způsobit závažné zranění nebo zneškodnit nepřítele, což je činí velmi efektivními pro rychlé taktické zásahy (Fusek, 2020).</w:t>
      </w:r>
    </w:p>
    <w:p w14:paraId="6F8F3E73" w14:textId="3F88828E" w:rsidR="00674DCF" w:rsidRPr="00674DCF" w:rsidRDefault="00674DCF" w:rsidP="00674DCF">
      <w:pPr>
        <w:ind w:firstLine="708"/>
        <w:rPr>
          <w:rFonts w:cstheme="minorHAnsi"/>
          <w:lang w:val="cs-CZ"/>
        </w:rPr>
      </w:pPr>
      <w:r w:rsidRPr="00674DCF">
        <w:rPr>
          <w:rFonts w:cstheme="minorHAnsi"/>
          <w:lang w:val="cs-CZ"/>
        </w:rPr>
        <w:t>Puchýřnaté látky, jako například yperit a lewisit, mohou vážně poškodit buňky kůže a sliznic. Tato poškození vedou k tvorbě puchýřů, popáleninám a nekróze tkání. Po prvotní expozici mohou příznaky jako zarudnutí nebo podráždění pokožky začít během několika minut až hodin, ale plný účinek obvykle nastává až po několika hodinách. (Patočka et al., 2019)</w:t>
      </w:r>
    </w:p>
    <w:p w14:paraId="655BB16B" w14:textId="555A968A" w:rsidR="00674DCF" w:rsidRPr="00674DCF" w:rsidRDefault="00674DCF" w:rsidP="00674DCF">
      <w:pPr>
        <w:ind w:firstLine="0"/>
        <w:rPr>
          <w:rFonts w:cstheme="minorHAnsi"/>
          <w:lang w:val="cs-CZ"/>
        </w:rPr>
      </w:pPr>
      <w:r w:rsidRPr="00674DCF">
        <w:rPr>
          <w:rFonts w:cstheme="minorHAnsi"/>
          <w:lang w:val="cs-CZ"/>
        </w:rPr>
        <w:t>Dusivé látky, jako je fosgen nebo chlor, vyvolávají podráždění dýchacích cest a mohou způsobit plicní edém, což následně vede k respiračnímu selhání. První příznaky jako kašel a podráždění očí obvykle přicházejí do několika minut, zatímco plný účinek, jako plicní edém, může nastoupit až s časovým zpožděním (Fusek, 2020)</w:t>
      </w:r>
      <w:r>
        <w:rPr>
          <w:rFonts w:cstheme="minorHAnsi"/>
          <w:lang w:val="cs-CZ"/>
        </w:rPr>
        <w:t>.</w:t>
      </w:r>
    </w:p>
    <w:p w14:paraId="09B24897" w14:textId="77777777" w:rsidR="00674DCF" w:rsidRPr="00674DCF" w:rsidRDefault="00674DCF" w:rsidP="00674DCF">
      <w:pPr>
        <w:ind w:firstLine="0"/>
        <w:rPr>
          <w:rFonts w:cstheme="minorHAnsi"/>
          <w:lang w:val="cs-CZ"/>
        </w:rPr>
      </w:pPr>
      <w:r w:rsidRPr="00674DCF">
        <w:rPr>
          <w:rFonts w:cstheme="minorHAnsi"/>
          <w:lang w:val="cs-CZ"/>
        </w:rPr>
        <w:t xml:space="preserve">Dráždivé látky (např. CS, CN, </w:t>
      </w:r>
      <w:proofErr w:type="spellStart"/>
      <w:r w:rsidRPr="00674DCF">
        <w:rPr>
          <w:rFonts w:cstheme="minorHAnsi"/>
          <w:lang w:val="cs-CZ"/>
        </w:rPr>
        <w:t>adamsit</w:t>
      </w:r>
      <w:proofErr w:type="spellEnd"/>
      <w:r w:rsidRPr="00674DCF">
        <w:rPr>
          <w:rFonts w:cstheme="minorHAnsi"/>
          <w:lang w:val="cs-CZ"/>
        </w:rPr>
        <w:t>) mají okamžitý účinek na sliznice očí, nosu a dýchacích cest, což způsobuje silné slzení, kašel a potíže s dýcháním. (Patočka et al., 2019)</w:t>
      </w:r>
    </w:p>
    <w:p w14:paraId="57EA67F7" w14:textId="77777777" w:rsidR="00DF7A90" w:rsidRDefault="00DF7A90" w:rsidP="00DF7A90">
      <w:pPr>
        <w:ind w:firstLine="0"/>
        <w:rPr>
          <w:rFonts w:cstheme="minorHAnsi"/>
          <w:b/>
          <w:bCs/>
        </w:rPr>
      </w:pPr>
    </w:p>
    <w:p w14:paraId="50257631" w14:textId="77777777" w:rsidR="00DF7A90" w:rsidRDefault="00DF7A90" w:rsidP="00DF7A90">
      <w:pPr>
        <w:ind w:firstLine="0"/>
        <w:rPr>
          <w:rFonts w:cstheme="minorHAnsi"/>
          <w:b/>
          <w:bCs/>
        </w:rPr>
      </w:pPr>
    </w:p>
    <w:p w14:paraId="003D595B" w14:textId="56A341F0" w:rsidR="00086E41" w:rsidRDefault="00086E41" w:rsidP="00DF7A90">
      <w:pPr>
        <w:ind w:firstLine="0"/>
        <w:rPr>
          <w:rFonts w:cstheme="minorHAnsi"/>
          <w:b/>
          <w:bCs/>
        </w:rPr>
      </w:pPr>
      <w:r w:rsidRPr="00086E41">
        <w:rPr>
          <w:rFonts w:cstheme="minorHAnsi"/>
          <w:b/>
          <w:bCs/>
        </w:rPr>
        <w:t>Látky s pomalým nástupem účinku</w:t>
      </w:r>
    </w:p>
    <w:p w14:paraId="647672CD" w14:textId="77777777" w:rsidR="00674DCF" w:rsidRPr="00674DCF" w:rsidRDefault="00674DCF" w:rsidP="00674DCF">
      <w:pPr>
        <w:ind w:firstLine="708"/>
        <w:rPr>
          <w:rFonts w:cstheme="minorHAnsi"/>
          <w:lang w:val="cs-CZ"/>
        </w:rPr>
      </w:pPr>
      <w:r w:rsidRPr="00674DCF">
        <w:rPr>
          <w:rFonts w:cstheme="minorHAnsi"/>
          <w:lang w:val="cs-CZ"/>
        </w:rPr>
        <w:t>Látky, které mají pomalejší nástup účinku, ovlivňují organismus až po několika hodinách nebo dokonce dnech. I když nejsou ideální pro okamžité použití v bojových podmínkách, jejich dlouhodobé účinky mohou mít závažné zdravotní důsledky a postupně oslabit nebo zneškodnit postižené osoby. Tento typ látek je obvykle nasazován v situacích, kde je cílem způsobit trvalé oslabení nepřítele nebo dlouhodobé zneschopnění. (Patočka, Fusek, 2019)</w:t>
      </w:r>
    </w:p>
    <w:p w14:paraId="2F1F0707" w14:textId="77777777" w:rsidR="00674DCF" w:rsidRPr="00674DCF" w:rsidRDefault="00674DCF" w:rsidP="00674DCF">
      <w:pPr>
        <w:ind w:firstLine="0"/>
        <w:rPr>
          <w:rFonts w:cstheme="minorHAnsi"/>
          <w:lang w:val="cs-CZ"/>
        </w:rPr>
      </w:pPr>
      <w:r w:rsidRPr="00674DCF">
        <w:rPr>
          <w:rFonts w:cstheme="minorHAnsi"/>
          <w:lang w:val="cs-CZ"/>
        </w:rPr>
        <w:t xml:space="preserve">Mezi příklady těchto látek patří toxiny, jako je ricin a botulotoxin. Tyto biologické látky mají mimořádně silný účinek, ale projevují se až po určité době. Ricin, například, inhibuje </w:t>
      </w:r>
      <w:r w:rsidRPr="00674DCF">
        <w:rPr>
          <w:rFonts w:cstheme="minorHAnsi"/>
          <w:lang w:val="cs-CZ"/>
        </w:rPr>
        <w:lastRenderedPageBreak/>
        <w:t>proteosyntézu v buňkách, což vede k jejich smrti, a první příznaky mohou nastat až několik hodin po expozici (Fusek, 2020).</w:t>
      </w:r>
    </w:p>
    <w:p w14:paraId="545D683D" w14:textId="77777777" w:rsidR="00674DCF" w:rsidRPr="00674DCF" w:rsidRDefault="00674DCF" w:rsidP="00674DCF">
      <w:pPr>
        <w:ind w:firstLine="0"/>
        <w:rPr>
          <w:rFonts w:cstheme="minorHAnsi"/>
          <w:lang w:val="cs-CZ"/>
        </w:rPr>
      </w:pPr>
      <w:r w:rsidRPr="00674DCF">
        <w:rPr>
          <w:rFonts w:cstheme="minorHAnsi"/>
          <w:lang w:val="cs-CZ"/>
        </w:rPr>
        <w:t xml:space="preserve">Biologické látky, jako </w:t>
      </w:r>
      <w:proofErr w:type="spellStart"/>
      <w:r w:rsidRPr="00674DCF">
        <w:rPr>
          <w:rFonts w:cstheme="minorHAnsi"/>
          <w:lang w:val="cs-CZ"/>
        </w:rPr>
        <w:t>anthrax</w:t>
      </w:r>
      <w:proofErr w:type="spellEnd"/>
      <w:r w:rsidRPr="00674DCF">
        <w:rPr>
          <w:rFonts w:cstheme="minorHAnsi"/>
          <w:lang w:val="cs-CZ"/>
        </w:rPr>
        <w:t xml:space="preserve"> nebo tularémie, působí pomalu, ale mohou mít velmi vážné následky. </w:t>
      </w:r>
      <w:proofErr w:type="spellStart"/>
      <w:r w:rsidRPr="00674DCF">
        <w:rPr>
          <w:rFonts w:cstheme="minorHAnsi"/>
          <w:lang w:val="cs-CZ"/>
        </w:rPr>
        <w:t>Anthrax</w:t>
      </w:r>
      <w:proofErr w:type="spellEnd"/>
      <w:r w:rsidRPr="00674DCF">
        <w:rPr>
          <w:rFonts w:cstheme="minorHAnsi"/>
          <w:lang w:val="cs-CZ"/>
        </w:rPr>
        <w:t xml:space="preserve"> například může po několika dnech způsobit respirační selhání nebo sepsi, což vede k dramatickému zhoršení zdravotního stavu až k úmrtí.</w:t>
      </w:r>
    </w:p>
    <w:p w14:paraId="1E74DE0E" w14:textId="77777777" w:rsidR="00674DCF" w:rsidRPr="00674DCF" w:rsidRDefault="00674DCF" w:rsidP="00674DCF">
      <w:pPr>
        <w:ind w:firstLine="0"/>
        <w:rPr>
          <w:rFonts w:cstheme="minorHAnsi"/>
          <w:lang w:val="cs-CZ"/>
        </w:rPr>
      </w:pPr>
      <w:r w:rsidRPr="00674DCF">
        <w:rPr>
          <w:rFonts w:cstheme="minorHAnsi"/>
          <w:lang w:val="cs-CZ"/>
        </w:rPr>
        <w:t>Toto rozdělení bojových chemických látek podle rychlosti nástupu účinku je užitečné pro analýzu jejich využitelnosti v různých vojenských nebo bezpečnostních scénářích. Látky s okamžitým účinkem mohou být efektivní pro rychlé zneškodnění protivníka, zatímco látky s pomalejším účinkem mají dlouhodobější vliv, což je činí vhodnými pro strategické operace s trvalými důsledky (</w:t>
      </w:r>
      <w:proofErr w:type="spellStart"/>
      <w:r w:rsidRPr="00674DCF">
        <w:rPr>
          <w:rFonts w:cstheme="minorHAnsi"/>
          <w:lang w:val="cs-CZ"/>
        </w:rPr>
        <w:t>Kassa</w:t>
      </w:r>
      <w:proofErr w:type="spellEnd"/>
      <w:r w:rsidRPr="00674DCF">
        <w:rPr>
          <w:rFonts w:cstheme="minorHAnsi"/>
          <w:lang w:val="cs-CZ"/>
        </w:rPr>
        <w:t>, 2018).</w:t>
      </w:r>
    </w:p>
    <w:p w14:paraId="0882A3C3" w14:textId="77777777" w:rsidR="00674DCF" w:rsidRPr="00086E41" w:rsidRDefault="00674DCF" w:rsidP="00DF7A90">
      <w:pPr>
        <w:ind w:firstLine="0"/>
        <w:rPr>
          <w:rFonts w:cstheme="minorHAnsi"/>
          <w:b/>
          <w:bCs/>
        </w:rPr>
      </w:pPr>
    </w:p>
    <w:p w14:paraId="0F0D118C" w14:textId="2586D8AE" w:rsidR="00086E41" w:rsidRPr="009D54FC" w:rsidRDefault="00086E41" w:rsidP="00086E41">
      <w:pPr>
        <w:pStyle w:val="Nadpis2"/>
      </w:pPr>
      <w:bookmarkStart w:id="76" w:name="_Toc182946196"/>
      <w:bookmarkStart w:id="77" w:name="_Toc183029557"/>
      <w:r w:rsidRPr="009D54FC">
        <w:t>Specifikace chemických látek</w:t>
      </w:r>
      <w:bookmarkEnd w:id="76"/>
      <w:bookmarkEnd w:id="77"/>
    </w:p>
    <w:p w14:paraId="2BE3DD99" w14:textId="01346EEE" w:rsidR="00674DCF" w:rsidRDefault="00674DCF" w:rsidP="00674DCF">
      <w:pPr>
        <w:rPr>
          <w:lang w:val="cs-CZ"/>
        </w:rPr>
      </w:pPr>
      <w:r w:rsidRPr="00674DCF">
        <w:rPr>
          <w:lang w:val="cs-CZ"/>
        </w:rPr>
        <w:t xml:space="preserve">Při popisu chemických látek je zásadní uvést jejich vlastnosti a parametry, které umožňují správné pochopení, bezpečné použití a identifikaci rizik spojených s jejich manipulací. Novotná et al. (2019) a Patočka </w:t>
      </w:r>
      <w:r w:rsidR="00C71AA5">
        <w:rPr>
          <w:lang w:val="cs-CZ"/>
        </w:rPr>
        <w:t>a</w:t>
      </w:r>
      <w:r w:rsidRPr="00674DCF">
        <w:rPr>
          <w:lang w:val="cs-CZ"/>
        </w:rPr>
        <w:t xml:space="preserve"> Fusek (2019) poskytují systematický přístup k popisu chemických látek:</w:t>
      </w:r>
    </w:p>
    <w:p w14:paraId="567DDBFB" w14:textId="77777777" w:rsidR="00674DCF" w:rsidRPr="00674DCF" w:rsidRDefault="00674DCF" w:rsidP="00674DCF">
      <w:pPr>
        <w:rPr>
          <w:lang w:val="cs-CZ"/>
        </w:rPr>
      </w:pPr>
    </w:p>
    <w:p w14:paraId="5FB8F4FF" w14:textId="3C33010A" w:rsidR="00674DCF" w:rsidRPr="00674DCF" w:rsidRDefault="00674DCF" w:rsidP="00674DCF">
      <w:pPr>
        <w:numPr>
          <w:ilvl w:val="0"/>
          <w:numId w:val="41"/>
        </w:numPr>
        <w:rPr>
          <w:lang w:val="cs-CZ"/>
        </w:rPr>
      </w:pPr>
      <w:r w:rsidRPr="00674DCF">
        <w:rPr>
          <w:b/>
          <w:bCs/>
          <w:lang w:val="cs-CZ"/>
        </w:rPr>
        <w:t>Popis látky:</w:t>
      </w:r>
      <w:r w:rsidRPr="00674DCF">
        <w:rPr>
          <w:lang w:val="cs-CZ"/>
        </w:rPr>
        <w:t xml:space="preserve"> Tento popis zahrnuje základní informace, jako je chemický název, vzorec, vlastnosti a rizika. Tyto informace jsou klíčové pro identifikaci látky a její zařazení do příslušné kategorie (Patočka </w:t>
      </w:r>
      <w:r w:rsidRPr="00C71AA5">
        <w:rPr>
          <w:lang w:val="cs-CZ"/>
        </w:rPr>
        <w:t>a</w:t>
      </w:r>
      <w:r w:rsidRPr="00674DCF">
        <w:rPr>
          <w:lang w:val="cs-CZ"/>
        </w:rPr>
        <w:t xml:space="preserve"> Fusek, 2019).</w:t>
      </w:r>
    </w:p>
    <w:p w14:paraId="559BC03D" w14:textId="77777777" w:rsidR="00674DCF" w:rsidRPr="00674DCF" w:rsidRDefault="00674DCF" w:rsidP="00674DCF">
      <w:pPr>
        <w:numPr>
          <w:ilvl w:val="0"/>
          <w:numId w:val="41"/>
        </w:numPr>
        <w:rPr>
          <w:lang w:val="cs-CZ"/>
        </w:rPr>
      </w:pPr>
      <w:r w:rsidRPr="00674DCF">
        <w:rPr>
          <w:b/>
          <w:bCs/>
          <w:lang w:val="cs-CZ"/>
        </w:rPr>
        <w:t>Chemický název:</w:t>
      </w:r>
      <w:r w:rsidRPr="00674DCF">
        <w:rPr>
          <w:lang w:val="cs-CZ"/>
        </w:rPr>
        <w:t xml:space="preserve"> Je vytvořen podle pravidel IUPAC (International Union </w:t>
      </w:r>
      <w:proofErr w:type="spellStart"/>
      <w:r w:rsidRPr="00674DCF">
        <w:rPr>
          <w:lang w:val="cs-CZ"/>
        </w:rPr>
        <w:t>of</w:t>
      </w:r>
      <w:proofErr w:type="spellEnd"/>
      <w:r w:rsidRPr="00674DCF">
        <w:rPr>
          <w:lang w:val="cs-CZ"/>
        </w:rPr>
        <w:t xml:space="preserve"> </w:t>
      </w:r>
      <w:proofErr w:type="spellStart"/>
      <w:r w:rsidRPr="00674DCF">
        <w:rPr>
          <w:lang w:val="cs-CZ"/>
        </w:rPr>
        <w:t>Pure</w:t>
      </w:r>
      <w:proofErr w:type="spellEnd"/>
      <w:r w:rsidRPr="00674DCF">
        <w:rPr>
          <w:lang w:val="cs-CZ"/>
        </w:rPr>
        <w:t xml:space="preserve"> and </w:t>
      </w:r>
      <w:proofErr w:type="spellStart"/>
      <w:r w:rsidRPr="00674DCF">
        <w:rPr>
          <w:lang w:val="cs-CZ"/>
        </w:rPr>
        <w:t>Applied</w:t>
      </w:r>
      <w:proofErr w:type="spellEnd"/>
      <w:r w:rsidRPr="00674DCF">
        <w:rPr>
          <w:lang w:val="cs-CZ"/>
        </w:rPr>
        <w:t xml:space="preserve"> </w:t>
      </w:r>
      <w:proofErr w:type="spellStart"/>
      <w:r w:rsidRPr="00674DCF">
        <w:rPr>
          <w:lang w:val="cs-CZ"/>
        </w:rPr>
        <w:t>Chemistry</w:t>
      </w:r>
      <w:proofErr w:type="spellEnd"/>
      <w:r w:rsidRPr="00674DCF">
        <w:rPr>
          <w:lang w:val="cs-CZ"/>
        </w:rPr>
        <w:t>), což zajišťuje jednoznačnou identifikaci látky na základě její struktury a usnadňuje vědeckou a technickou komunikaci (Novotná et al., 2019).</w:t>
      </w:r>
    </w:p>
    <w:p w14:paraId="532AC9B0" w14:textId="77777777" w:rsidR="00674DCF" w:rsidRPr="00674DCF" w:rsidRDefault="00674DCF" w:rsidP="00674DCF">
      <w:pPr>
        <w:numPr>
          <w:ilvl w:val="0"/>
          <w:numId w:val="41"/>
        </w:numPr>
        <w:rPr>
          <w:lang w:val="cs-CZ"/>
        </w:rPr>
      </w:pPr>
      <w:r w:rsidRPr="00674DCF">
        <w:rPr>
          <w:b/>
          <w:bCs/>
          <w:lang w:val="cs-CZ"/>
        </w:rPr>
        <w:t>Molekulární vzorec:</w:t>
      </w:r>
      <w:r w:rsidRPr="00674DCF">
        <w:rPr>
          <w:lang w:val="cs-CZ"/>
        </w:rPr>
        <w:t xml:space="preserve"> Zobrazuje složení molekuly látky, konkrétně počet a typ atomů. Například molekulární vzorec vody je H₂O. Tento údaj je zásadní pro pochopení chemických a fyzikálních vlastností látky (Novotná et al., 2019).</w:t>
      </w:r>
    </w:p>
    <w:p w14:paraId="2B884380" w14:textId="3B00B561" w:rsidR="00674DCF" w:rsidRPr="00674DCF" w:rsidRDefault="00674DCF" w:rsidP="00674DCF">
      <w:pPr>
        <w:numPr>
          <w:ilvl w:val="0"/>
          <w:numId w:val="41"/>
        </w:numPr>
        <w:rPr>
          <w:lang w:val="cs-CZ"/>
        </w:rPr>
      </w:pPr>
      <w:r w:rsidRPr="00674DCF">
        <w:rPr>
          <w:b/>
          <w:bCs/>
          <w:lang w:val="cs-CZ"/>
        </w:rPr>
        <w:t>CAS číslo:</w:t>
      </w:r>
      <w:r w:rsidRPr="00674DCF">
        <w:rPr>
          <w:lang w:val="cs-CZ"/>
        </w:rPr>
        <w:t xml:space="preserve"> Je unikátní identifikátor, který umožňuje rychlé vyhledání látky v chemických databázích. Například CAS číslo pro kyselinu sírovou je 7664-93-9 (Patočka </w:t>
      </w:r>
      <w:r w:rsidRPr="00C71AA5">
        <w:rPr>
          <w:lang w:val="cs-CZ"/>
        </w:rPr>
        <w:t>a</w:t>
      </w:r>
      <w:r w:rsidRPr="00674DCF">
        <w:rPr>
          <w:lang w:val="cs-CZ"/>
        </w:rPr>
        <w:t xml:space="preserve"> Fusek, 2019).</w:t>
      </w:r>
    </w:p>
    <w:p w14:paraId="259241D2" w14:textId="77777777" w:rsidR="00674DCF" w:rsidRPr="00674DCF" w:rsidRDefault="00674DCF" w:rsidP="00674DCF">
      <w:pPr>
        <w:numPr>
          <w:ilvl w:val="0"/>
          <w:numId w:val="41"/>
        </w:numPr>
        <w:rPr>
          <w:lang w:val="cs-CZ"/>
        </w:rPr>
      </w:pPr>
      <w:r w:rsidRPr="00674DCF">
        <w:rPr>
          <w:b/>
          <w:bCs/>
          <w:lang w:val="cs-CZ"/>
        </w:rPr>
        <w:t>Fyzikální stav:</w:t>
      </w:r>
      <w:r w:rsidRPr="00674DCF">
        <w:rPr>
          <w:lang w:val="cs-CZ"/>
        </w:rPr>
        <w:t xml:space="preserve"> Popisuje skupenství látky (pevné, kapalné, plynné) při běžných podmínkách, což ovlivňuje manipulaci, skladování a transport (Novotná et al., 2019).</w:t>
      </w:r>
    </w:p>
    <w:p w14:paraId="76F3D13B" w14:textId="697C3E15" w:rsidR="00674DCF" w:rsidRPr="00674DCF" w:rsidRDefault="00674DCF" w:rsidP="00674DCF">
      <w:pPr>
        <w:numPr>
          <w:ilvl w:val="0"/>
          <w:numId w:val="41"/>
        </w:numPr>
        <w:rPr>
          <w:lang w:val="cs-CZ"/>
        </w:rPr>
      </w:pPr>
      <w:r w:rsidRPr="00674DCF">
        <w:rPr>
          <w:b/>
          <w:bCs/>
          <w:lang w:val="cs-CZ"/>
        </w:rPr>
        <w:t>Bod varu a bod tání:</w:t>
      </w:r>
      <w:r w:rsidRPr="00674DCF">
        <w:rPr>
          <w:lang w:val="cs-CZ"/>
        </w:rPr>
        <w:t xml:space="preserve"> Tyto teploty mají zásadní vliv na procesy jako odpařování nebo kondenzace. Bod tání označuje teplotu, při které látka přechází z pevného na kapalné </w:t>
      </w:r>
      <w:r w:rsidRPr="00674DCF">
        <w:rPr>
          <w:lang w:val="cs-CZ"/>
        </w:rPr>
        <w:lastRenderedPageBreak/>
        <w:t xml:space="preserve">skupenství, a bod varu, při kterém se mění z kapalného na plynné (Patočka </w:t>
      </w:r>
      <w:r w:rsidRPr="00C71AA5">
        <w:rPr>
          <w:lang w:val="cs-CZ"/>
        </w:rPr>
        <w:t>a</w:t>
      </w:r>
      <w:r w:rsidRPr="00674DCF">
        <w:rPr>
          <w:lang w:val="cs-CZ"/>
        </w:rPr>
        <w:t xml:space="preserve"> Fusek, 2019).</w:t>
      </w:r>
    </w:p>
    <w:p w14:paraId="02AEAA44" w14:textId="77777777" w:rsidR="00674DCF" w:rsidRPr="00674DCF" w:rsidRDefault="00674DCF" w:rsidP="00674DCF">
      <w:pPr>
        <w:numPr>
          <w:ilvl w:val="0"/>
          <w:numId w:val="41"/>
        </w:numPr>
        <w:rPr>
          <w:lang w:val="cs-CZ"/>
        </w:rPr>
      </w:pPr>
      <w:r w:rsidRPr="00674DCF">
        <w:rPr>
          <w:b/>
          <w:bCs/>
          <w:lang w:val="cs-CZ"/>
        </w:rPr>
        <w:t>Hustota:</w:t>
      </w:r>
      <w:r w:rsidRPr="00674DCF">
        <w:rPr>
          <w:lang w:val="cs-CZ"/>
        </w:rPr>
        <w:t xml:space="preserve"> Tento parametr vyjadřuje hmotnost látky na jednotku objemu (g/cm³), což je důležité pro manipulaci, skladování a mísení látek (Novotná et al., 2019).</w:t>
      </w:r>
    </w:p>
    <w:p w14:paraId="01C6A07D" w14:textId="0BF030BA" w:rsidR="00674DCF" w:rsidRPr="00674DCF" w:rsidRDefault="00674DCF" w:rsidP="00674DCF">
      <w:pPr>
        <w:numPr>
          <w:ilvl w:val="0"/>
          <w:numId w:val="41"/>
        </w:numPr>
        <w:rPr>
          <w:lang w:val="cs-CZ"/>
        </w:rPr>
      </w:pPr>
      <w:r w:rsidRPr="00674DCF">
        <w:rPr>
          <w:b/>
          <w:bCs/>
          <w:lang w:val="cs-CZ"/>
        </w:rPr>
        <w:t>Tlak nasycených par:</w:t>
      </w:r>
      <w:r w:rsidRPr="00674DCF">
        <w:rPr>
          <w:lang w:val="cs-CZ"/>
        </w:rPr>
        <w:t xml:space="preserve"> Určuje schopnost látky odpařovat se při určité teplotě. Látky s vysokým tlakem nasycených par, jako například aceton, se rychle odpařují, což zvyšuje riziko expozice (Patočka </w:t>
      </w:r>
      <w:r w:rsidR="00C71AA5" w:rsidRPr="00C71AA5">
        <w:rPr>
          <w:lang w:val="cs-CZ"/>
        </w:rPr>
        <w:t>a</w:t>
      </w:r>
      <w:r w:rsidRPr="00674DCF">
        <w:rPr>
          <w:lang w:val="cs-CZ"/>
        </w:rPr>
        <w:t xml:space="preserve"> Fusek, 2019).</w:t>
      </w:r>
    </w:p>
    <w:p w14:paraId="3C078E37" w14:textId="77777777" w:rsidR="00674DCF" w:rsidRPr="00674DCF" w:rsidRDefault="00674DCF" w:rsidP="00674DCF">
      <w:pPr>
        <w:numPr>
          <w:ilvl w:val="0"/>
          <w:numId w:val="41"/>
        </w:numPr>
        <w:rPr>
          <w:lang w:val="cs-CZ"/>
        </w:rPr>
      </w:pPr>
      <w:r w:rsidRPr="00674DCF">
        <w:rPr>
          <w:b/>
          <w:bCs/>
          <w:lang w:val="cs-CZ"/>
        </w:rPr>
        <w:t>Rozpustnost:</w:t>
      </w:r>
      <w:r w:rsidRPr="00674DCF">
        <w:rPr>
          <w:lang w:val="cs-CZ"/>
        </w:rPr>
        <w:t xml:space="preserve"> Měří schopnost látky rozpouštět se ve vodě nebo jiných rozpouštědlech. Například některé látky se dobře rozpouštějí ve vodě (např. čpavek), zatímco jiné, jako oleje, vyžadují organická rozpouštědla (Novotná et al., 2019).</w:t>
      </w:r>
    </w:p>
    <w:p w14:paraId="08E7A44D" w14:textId="03A35E04" w:rsidR="00674DCF" w:rsidRPr="00674DCF" w:rsidRDefault="00674DCF" w:rsidP="00674DCF">
      <w:pPr>
        <w:numPr>
          <w:ilvl w:val="0"/>
          <w:numId w:val="41"/>
        </w:numPr>
        <w:rPr>
          <w:lang w:val="cs-CZ"/>
        </w:rPr>
      </w:pPr>
      <w:r w:rsidRPr="00674DCF">
        <w:rPr>
          <w:b/>
          <w:bCs/>
          <w:lang w:val="cs-CZ"/>
        </w:rPr>
        <w:t>Toxické účinky a hodnoty toxicity:</w:t>
      </w:r>
      <w:r w:rsidRPr="00674DCF">
        <w:rPr>
          <w:lang w:val="cs-CZ"/>
        </w:rPr>
        <w:t xml:space="preserve"> Toxicita zahrnuje efekty, jako jsou podráždění, popáleniny, selhání orgánů nebo smrt. LD50 je dávka, která způsobí smrt u 50 % testovaných organismů (Patočka </w:t>
      </w:r>
      <w:r w:rsidR="00C71AA5" w:rsidRPr="00C71AA5">
        <w:rPr>
          <w:lang w:val="cs-CZ"/>
        </w:rPr>
        <w:t>a</w:t>
      </w:r>
      <w:r w:rsidRPr="00674DCF">
        <w:rPr>
          <w:lang w:val="cs-CZ"/>
        </w:rPr>
        <w:t xml:space="preserve"> Fusek, 2019).</w:t>
      </w:r>
    </w:p>
    <w:p w14:paraId="3996E561" w14:textId="77777777" w:rsidR="00674DCF" w:rsidRPr="00674DCF" w:rsidRDefault="00674DCF" w:rsidP="00674DCF">
      <w:pPr>
        <w:numPr>
          <w:ilvl w:val="0"/>
          <w:numId w:val="41"/>
        </w:numPr>
        <w:rPr>
          <w:lang w:val="cs-CZ"/>
        </w:rPr>
      </w:pPr>
      <w:r w:rsidRPr="00674DCF">
        <w:rPr>
          <w:b/>
          <w:bCs/>
          <w:lang w:val="cs-CZ"/>
        </w:rPr>
        <w:t>Mechanismus účinku:</w:t>
      </w:r>
      <w:r w:rsidRPr="00674DCF">
        <w:rPr>
          <w:lang w:val="cs-CZ"/>
        </w:rPr>
        <w:t xml:space="preserve"> Popisuje, jak látka ovlivňuje biologické systémy. Například nervové plyny inhibují enzymy, což vede k paralýze a smrti (Novotná et al., 2019).</w:t>
      </w:r>
    </w:p>
    <w:p w14:paraId="6CEA980C" w14:textId="68FF400B" w:rsidR="00674DCF" w:rsidRPr="00674DCF" w:rsidRDefault="00674DCF" w:rsidP="00674DCF">
      <w:pPr>
        <w:numPr>
          <w:ilvl w:val="0"/>
          <w:numId w:val="41"/>
        </w:numPr>
        <w:rPr>
          <w:lang w:val="cs-CZ"/>
        </w:rPr>
      </w:pPr>
      <w:r w:rsidRPr="00674DCF">
        <w:rPr>
          <w:b/>
          <w:bCs/>
          <w:lang w:val="cs-CZ"/>
        </w:rPr>
        <w:t>Možnosti dekontaminace:</w:t>
      </w:r>
      <w:r w:rsidRPr="00674DCF">
        <w:rPr>
          <w:lang w:val="cs-CZ"/>
        </w:rPr>
        <w:t xml:space="preserve"> Zahrnují různé metody pro odstranění nebo neutralizaci nebezpečných látek. Používané metody zahrnují fyzikální (oplachování vodou, mechanické odstranění) a chemické (neutralizace alkalickými nebo kyselými látkami) postupy (Patočka </w:t>
      </w:r>
      <w:r w:rsidRPr="00C71AA5">
        <w:rPr>
          <w:lang w:val="cs-CZ"/>
        </w:rPr>
        <w:t xml:space="preserve">a </w:t>
      </w:r>
      <w:r w:rsidRPr="00674DCF">
        <w:rPr>
          <w:lang w:val="cs-CZ"/>
        </w:rPr>
        <w:t>Fusek, 2019).</w:t>
      </w:r>
    </w:p>
    <w:p w14:paraId="7ED7EE14" w14:textId="77777777" w:rsidR="00674DCF" w:rsidRPr="00674DCF" w:rsidRDefault="00674DCF" w:rsidP="00674DCF">
      <w:pPr>
        <w:numPr>
          <w:ilvl w:val="0"/>
          <w:numId w:val="41"/>
        </w:numPr>
        <w:rPr>
          <w:lang w:val="cs-CZ"/>
        </w:rPr>
      </w:pPr>
      <w:r w:rsidRPr="00674DCF">
        <w:rPr>
          <w:b/>
          <w:bCs/>
          <w:lang w:val="cs-CZ"/>
        </w:rPr>
        <w:t>Stabilita látky a doporučené podmínky skladování:</w:t>
      </w:r>
      <w:r w:rsidRPr="00674DCF">
        <w:rPr>
          <w:lang w:val="cs-CZ"/>
        </w:rPr>
        <w:t xml:space="preserve"> Stabilita látky určuje podmínky, při nichž zůstává chemicky nezměněná. Doporučené podmínky zahrnují například skladování při nízkých teplotách pro látky citlivé na teplo a použití nepropustných obalů pro prevenci úniku nebo reakcí s okolím (Novotná et al., 2019).</w:t>
      </w:r>
    </w:p>
    <w:p w14:paraId="326F9E7C" w14:textId="77777777" w:rsidR="00674DCF" w:rsidRPr="009D54FC" w:rsidRDefault="00674DCF" w:rsidP="00674DCF">
      <w:pPr>
        <w:ind w:left="720" w:firstLine="0"/>
        <w:rPr>
          <w:lang w:val="cs-CZ"/>
        </w:rPr>
      </w:pPr>
    </w:p>
    <w:p w14:paraId="1181C0B5" w14:textId="2116628C" w:rsidR="00086E41" w:rsidRPr="00086E41" w:rsidRDefault="00086E41" w:rsidP="00086E41">
      <w:pPr>
        <w:pStyle w:val="Nadpis2"/>
        <w:rPr>
          <w:rFonts w:cstheme="minorHAnsi"/>
        </w:rPr>
      </w:pPr>
      <w:bookmarkStart w:id="78" w:name="_Toc182946197"/>
      <w:bookmarkStart w:id="79" w:name="_Toc183029558"/>
      <w:r w:rsidRPr="003C79A0">
        <w:t>Ekologické dopady použití BCHL</w:t>
      </w:r>
      <w:bookmarkEnd w:id="78"/>
      <w:bookmarkEnd w:id="79"/>
    </w:p>
    <w:p w14:paraId="28B9D0E2" w14:textId="77777777" w:rsidR="00C71AA5" w:rsidRPr="00C71AA5" w:rsidRDefault="00C71AA5" w:rsidP="00C71AA5">
      <w:pPr>
        <w:pStyle w:val="Normlnweb"/>
        <w:spacing w:before="0" w:beforeAutospacing="0" w:after="0" w:afterAutospacing="0" w:line="360" w:lineRule="auto"/>
        <w:ind w:firstLine="708"/>
        <w:jc w:val="both"/>
        <w:rPr>
          <w:rFonts w:asciiTheme="minorHAnsi" w:hAnsiTheme="minorHAnsi" w:cstheme="minorHAnsi"/>
          <w:sz w:val="22"/>
          <w:szCs w:val="22"/>
        </w:rPr>
      </w:pPr>
      <w:r w:rsidRPr="00C71AA5">
        <w:rPr>
          <w:rFonts w:asciiTheme="minorHAnsi" w:hAnsiTheme="minorHAnsi" w:cstheme="minorHAnsi"/>
          <w:sz w:val="22"/>
          <w:szCs w:val="22"/>
        </w:rPr>
        <w:t xml:space="preserve">Použití bojových chemických látek (BCHL) má závažné dopady na životní prostředí, včetně kontaminace půdy, vodních zdrojů a ovzduší, což může způsobit dlouhodobé poškození ekosystémů. Jak uvádí studie v časopise </w:t>
      </w:r>
      <w:proofErr w:type="spellStart"/>
      <w:r w:rsidRPr="00C71AA5">
        <w:rPr>
          <w:rFonts w:asciiTheme="minorHAnsi" w:hAnsiTheme="minorHAnsi" w:cstheme="minorHAnsi"/>
          <w:i/>
          <w:iCs/>
          <w:sz w:val="22"/>
          <w:szCs w:val="22"/>
        </w:rPr>
        <w:t>Environmental</w:t>
      </w:r>
      <w:proofErr w:type="spellEnd"/>
      <w:r w:rsidRPr="00C71AA5">
        <w:rPr>
          <w:rFonts w:asciiTheme="minorHAnsi" w:hAnsiTheme="minorHAnsi" w:cstheme="minorHAnsi"/>
          <w:i/>
          <w:iCs/>
          <w:sz w:val="22"/>
          <w:szCs w:val="22"/>
        </w:rPr>
        <w:t xml:space="preserve"> Science &amp; Technology</w:t>
      </w:r>
      <w:r w:rsidRPr="00C71AA5">
        <w:rPr>
          <w:rFonts w:asciiTheme="minorHAnsi" w:hAnsiTheme="minorHAnsi" w:cstheme="minorHAnsi"/>
          <w:sz w:val="22"/>
          <w:szCs w:val="22"/>
        </w:rPr>
        <w:t>, některé látky, jako perzistentní organické znečišťující látky, mají schopnost se bioakumulovat v potravních řetězcích, což zvyšuje riziko pro lidské zdraví i pro zvířata (Smith et al., 2015). Příkladně, během vietnamské války byl defoliant Agent Orange nejen spojován s rozsáhlým odlesňováním, ale také s přítomností dioxinů v půdě, které mohou v prostředí přetrvávat po několik desetiletí (Miller, 2016).</w:t>
      </w:r>
    </w:p>
    <w:p w14:paraId="7365614D" w14:textId="60293A98" w:rsidR="00C71AA5" w:rsidRPr="00C71AA5" w:rsidRDefault="00C71AA5" w:rsidP="00C71AA5">
      <w:pPr>
        <w:pStyle w:val="Normlnweb"/>
        <w:spacing w:before="0" w:beforeAutospacing="0" w:after="0" w:afterAutospacing="0" w:line="360" w:lineRule="auto"/>
        <w:ind w:firstLine="708"/>
        <w:jc w:val="both"/>
        <w:rPr>
          <w:rFonts w:asciiTheme="minorHAnsi" w:hAnsiTheme="minorHAnsi" w:cstheme="minorHAnsi"/>
          <w:sz w:val="22"/>
          <w:szCs w:val="22"/>
        </w:rPr>
      </w:pPr>
      <w:r w:rsidRPr="00C71AA5">
        <w:rPr>
          <w:rFonts w:asciiTheme="minorHAnsi" w:hAnsiTheme="minorHAnsi" w:cstheme="minorHAnsi"/>
          <w:sz w:val="22"/>
          <w:szCs w:val="22"/>
        </w:rPr>
        <w:lastRenderedPageBreak/>
        <w:t>Kontaminace ovzduší nervově paralytickými látkami, jako je sarin, může vést k jejich šíření na velké vzdálenosti díky atmosférickým proudům, což podtrhuje důležitost přísné regulace a mezinárodní kontroly těchto látek (Brown, 2018). Evropská agentura pro chemické látky (ECHA) v roce 2020 upozornila na klíčovou roli správné klasifikace a omezení vysoce toxických látek podle legislativy REACH (ECHA, 2020).</w:t>
      </w:r>
    </w:p>
    <w:p w14:paraId="17DF8E9F" w14:textId="6BB3FC30" w:rsidR="00C71AA5" w:rsidRPr="00C71AA5" w:rsidRDefault="00C71AA5" w:rsidP="00C71AA5">
      <w:pPr>
        <w:pStyle w:val="Normlnweb"/>
        <w:spacing w:before="0" w:beforeAutospacing="0" w:after="0" w:afterAutospacing="0" w:line="360" w:lineRule="auto"/>
        <w:ind w:firstLine="708"/>
        <w:jc w:val="both"/>
        <w:rPr>
          <w:rFonts w:asciiTheme="minorHAnsi" w:hAnsiTheme="minorHAnsi" w:cstheme="minorHAnsi"/>
          <w:sz w:val="22"/>
          <w:szCs w:val="22"/>
        </w:rPr>
      </w:pPr>
      <w:r w:rsidRPr="00C71AA5">
        <w:rPr>
          <w:rFonts w:asciiTheme="minorHAnsi" w:hAnsiTheme="minorHAnsi" w:cstheme="minorHAnsi"/>
          <w:sz w:val="22"/>
          <w:szCs w:val="22"/>
        </w:rPr>
        <w:t xml:space="preserve">K minimalizaci těchto negativních ekologických dopadů je nezbytné využívat moderní dekontaminační technologie, jako jsou nanomateriály nebo </w:t>
      </w:r>
      <w:proofErr w:type="spellStart"/>
      <w:r w:rsidRPr="00C71AA5">
        <w:rPr>
          <w:rFonts w:asciiTheme="minorHAnsi" w:hAnsiTheme="minorHAnsi" w:cstheme="minorHAnsi"/>
          <w:sz w:val="22"/>
          <w:szCs w:val="22"/>
        </w:rPr>
        <w:t>bioremediace</w:t>
      </w:r>
      <w:proofErr w:type="spellEnd"/>
      <w:r w:rsidRPr="00C71AA5">
        <w:rPr>
          <w:rFonts w:asciiTheme="minorHAnsi" w:hAnsiTheme="minorHAnsi" w:cstheme="minorHAnsi"/>
          <w:sz w:val="22"/>
          <w:szCs w:val="22"/>
        </w:rPr>
        <w:t xml:space="preserve">, které byly podrobně diskutovány v odborných článcích v časopise </w:t>
      </w:r>
      <w:proofErr w:type="spellStart"/>
      <w:r w:rsidRPr="00C71AA5">
        <w:rPr>
          <w:rFonts w:asciiTheme="minorHAnsi" w:hAnsiTheme="minorHAnsi" w:cstheme="minorHAnsi"/>
          <w:i/>
          <w:iCs/>
          <w:sz w:val="22"/>
          <w:szCs w:val="22"/>
        </w:rPr>
        <w:t>Journal</w:t>
      </w:r>
      <w:proofErr w:type="spellEnd"/>
      <w:r w:rsidRPr="00C71AA5">
        <w:rPr>
          <w:rFonts w:asciiTheme="minorHAnsi" w:hAnsiTheme="minorHAnsi" w:cstheme="minorHAnsi"/>
          <w:i/>
          <w:iCs/>
          <w:sz w:val="22"/>
          <w:szCs w:val="22"/>
        </w:rPr>
        <w:t xml:space="preserve"> </w:t>
      </w:r>
      <w:proofErr w:type="spellStart"/>
      <w:r w:rsidRPr="00C71AA5">
        <w:rPr>
          <w:rFonts w:asciiTheme="minorHAnsi" w:hAnsiTheme="minorHAnsi" w:cstheme="minorHAnsi"/>
          <w:i/>
          <w:iCs/>
          <w:sz w:val="22"/>
          <w:szCs w:val="22"/>
        </w:rPr>
        <w:t>of</w:t>
      </w:r>
      <w:proofErr w:type="spellEnd"/>
      <w:r w:rsidRPr="00C71AA5">
        <w:rPr>
          <w:rFonts w:asciiTheme="minorHAnsi" w:hAnsiTheme="minorHAnsi" w:cstheme="minorHAnsi"/>
          <w:i/>
          <w:iCs/>
          <w:sz w:val="22"/>
          <w:szCs w:val="22"/>
        </w:rPr>
        <w:t xml:space="preserve"> </w:t>
      </w:r>
      <w:proofErr w:type="spellStart"/>
      <w:r w:rsidRPr="00C71AA5">
        <w:rPr>
          <w:rFonts w:asciiTheme="minorHAnsi" w:hAnsiTheme="minorHAnsi" w:cstheme="minorHAnsi"/>
          <w:i/>
          <w:iCs/>
          <w:sz w:val="22"/>
          <w:szCs w:val="22"/>
        </w:rPr>
        <w:t>Environmental</w:t>
      </w:r>
      <w:proofErr w:type="spellEnd"/>
      <w:r w:rsidRPr="00C71AA5">
        <w:rPr>
          <w:rFonts w:asciiTheme="minorHAnsi" w:hAnsiTheme="minorHAnsi" w:cstheme="minorHAnsi"/>
          <w:i/>
          <w:iCs/>
          <w:sz w:val="22"/>
          <w:szCs w:val="22"/>
        </w:rPr>
        <w:t xml:space="preserve"> Management</w:t>
      </w:r>
      <w:r w:rsidRPr="00C71AA5">
        <w:rPr>
          <w:rFonts w:asciiTheme="minorHAnsi" w:hAnsiTheme="minorHAnsi" w:cstheme="minorHAnsi"/>
          <w:sz w:val="22"/>
          <w:szCs w:val="22"/>
        </w:rPr>
        <w:t xml:space="preserve"> (Green et al., 2019). Tyto inovativní přístupy představují naději na snížení ekologických rizik a zlepšení ochrany životního prostředí v oblastech postižených chemickými látkami.</w:t>
      </w:r>
    </w:p>
    <w:p w14:paraId="34B7AC8B" w14:textId="2FF4DD5A" w:rsidR="00C71AA5" w:rsidRPr="00C71AA5" w:rsidRDefault="00C71AA5" w:rsidP="00C71AA5">
      <w:pPr>
        <w:pStyle w:val="Normlnweb"/>
        <w:spacing w:before="0" w:beforeAutospacing="0" w:after="0" w:afterAutospacing="0" w:line="360" w:lineRule="auto"/>
        <w:ind w:firstLine="708"/>
        <w:jc w:val="both"/>
        <w:rPr>
          <w:rFonts w:asciiTheme="minorHAnsi" w:hAnsiTheme="minorHAnsi" w:cstheme="minorHAnsi"/>
          <w:sz w:val="22"/>
          <w:szCs w:val="22"/>
        </w:rPr>
      </w:pPr>
      <w:r w:rsidRPr="00C71AA5">
        <w:rPr>
          <w:rFonts w:asciiTheme="minorHAnsi" w:hAnsiTheme="minorHAnsi" w:cstheme="minorHAnsi"/>
          <w:sz w:val="22"/>
          <w:szCs w:val="22"/>
        </w:rPr>
        <w:t>Pro minimalizaci ekologických dopadů spojených s použitím BCHL je klíčové zaměřit se na několik hlavních oblastí. Jednou z nejdůležitějších je vývoj látek s kratší dobou perzistence. Látky, které se rychle rozkládají na méně toxické nebo neškodné sloučeniny, mohou výrazně snížit riziko dlouhodobé kontaminace životního prostředí (Novák, 2015). Dalším důležitým krokem je zlepšení metod detekce a dekontaminace. Pokročilé technologie umožňují efektivnější identifikaci a odstranění chemických kontaminantů z prostředí, což pomáhá minimalizovat jejich ekologický dopad (Smith, 2017). K tomu je nutné i striktní dodržování mezinárodních regulací, zejména úmluvy o chemických zbraních, která má klíčovou roli v kontrole výroby, skladování a použití BCHL, čímž se zajišťuje ochrana jak životního prostředí, tak veřejného zdraví (Brown, 2018).</w:t>
      </w:r>
    </w:p>
    <w:p w14:paraId="056314C2" w14:textId="77777777" w:rsidR="00C71AA5" w:rsidRPr="00C71AA5" w:rsidRDefault="00C71AA5" w:rsidP="00C71AA5">
      <w:pPr>
        <w:pStyle w:val="Normlnweb"/>
        <w:spacing w:before="0" w:beforeAutospacing="0" w:after="0" w:afterAutospacing="0" w:line="360" w:lineRule="auto"/>
        <w:ind w:firstLine="708"/>
        <w:jc w:val="both"/>
        <w:rPr>
          <w:rFonts w:asciiTheme="minorHAnsi" w:hAnsiTheme="minorHAnsi" w:cstheme="minorHAnsi"/>
          <w:sz w:val="22"/>
          <w:szCs w:val="22"/>
        </w:rPr>
      </w:pPr>
      <w:r w:rsidRPr="00C71AA5">
        <w:rPr>
          <w:rFonts w:asciiTheme="minorHAnsi" w:hAnsiTheme="minorHAnsi" w:cstheme="minorHAnsi"/>
          <w:sz w:val="22"/>
          <w:szCs w:val="22"/>
        </w:rPr>
        <w:t>Použití BCHL může způsobit závažné ekologické škody, které mohou přetrvávat po mnoho desetiletí. Proto je nezbytné nejen důsledně kontrolovat jejich využívání, ale i investovat do výzkumu metod, které umožní snížit jejich negativní dopady na přírodu. Ekologické důsledky použití těchto látek by měly být součástí celkového hodnocení rizik spojených s jejich nasazením. Z dlouhodobého hlediska je prioritní rozvíjet technologie a strategie, které ochrání nejen lidské životy, ale také celkové životní prostředí.</w:t>
      </w:r>
    </w:p>
    <w:p w14:paraId="6FD850F7" w14:textId="77777777" w:rsidR="00C71AA5" w:rsidRPr="00C71AA5" w:rsidRDefault="00C71AA5" w:rsidP="00C71AA5">
      <w:pPr>
        <w:pStyle w:val="Normlnweb"/>
        <w:spacing w:before="0" w:beforeAutospacing="0" w:after="0" w:afterAutospacing="0" w:line="360" w:lineRule="auto"/>
        <w:ind w:firstLine="708"/>
        <w:jc w:val="both"/>
        <w:rPr>
          <w:rFonts w:asciiTheme="minorHAnsi" w:hAnsiTheme="minorHAnsi" w:cstheme="minorHAnsi"/>
          <w:sz w:val="20"/>
          <w:szCs w:val="20"/>
        </w:rPr>
      </w:pPr>
    </w:p>
    <w:p w14:paraId="61B46139" w14:textId="77777777" w:rsidR="00C71AA5" w:rsidRPr="00C71AA5" w:rsidRDefault="00C71AA5" w:rsidP="00C71AA5">
      <w:pPr>
        <w:pStyle w:val="Normlnweb"/>
        <w:spacing w:before="0" w:beforeAutospacing="0" w:after="0" w:afterAutospacing="0" w:line="360" w:lineRule="auto"/>
        <w:ind w:firstLine="708"/>
        <w:jc w:val="both"/>
        <w:rPr>
          <w:rFonts w:asciiTheme="minorHAnsi" w:hAnsiTheme="minorHAnsi" w:cstheme="minorHAnsi"/>
          <w:sz w:val="20"/>
          <w:szCs w:val="20"/>
        </w:rPr>
      </w:pPr>
    </w:p>
    <w:p w14:paraId="6343A3C4" w14:textId="77777777" w:rsidR="00C71AA5" w:rsidRPr="00C71AA5" w:rsidRDefault="00C71AA5" w:rsidP="00C71AA5">
      <w:pPr>
        <w:pStyle w:val="Normlnweb"/>
        <w:spacing w:before="0" w:beforeAutospacing="0" w:after="0" w:afterAutospacing="0" w:line="360" w:lineRule="auto"/>
        <w:ind w:firstLine="708"/>
        <w:jc w:val="both"/>
        <w:rPr>
          <w:rFonts w:asciiTheme="minorHAnsi" w:hAnsiTheme="minorHAnsi" w:cstheme="minorHAnsi"/>
          <w:sz w:val="20"/>
          <w:szCs w:val="20"/>
        </w:rPr>
      </w:pPr>
    </w:p>
    <w:p w14:paraId="3DDF3E8B" w14:textId="77777777" w:rsidR="00C71AA5" w:rsidRPr="00C71AA5" w:rsidRDefault="00C71AA5" w:rsidP="00C71AA5">
      <w:pPr>
        <w:pStyle w:val="Normlnweb"/>
        <w:spacing w:before="0" w:beforeAutospacing="0" w:after="0" w:afterAutospacing="0" w:line="360" w:lineRule="auto"/>
        <w:ind w:firstLine="708"/>
        <w:jc w:val="both"/>
        <w:rPr>
          <w:rFonts w:asciiTheme="minorHAnsi" w:hAnsiTheme="minorHAnsi" w:cstheme="minorHAnsi"/>
          <w:sz w:val="20"/>
          <w:szCs w:val="20"/>
        </w:rPr>
      </w:pPr>
    </w:p>
    <w:p w14:paraId="3BBB00F5" w14:textId="4433968C" w:rsidR="00223CF4" w:rsidRPr="00223CF4" w:rsidRDefault="00223CF4" w:rsidP="00223CF4">
      <w:pPr>
        <w:pStyle w:val="Nadpis1"/>
      </w:pPr>
      <w:bookmarkStart w:id="80" w:name="_Toc183029559"/>
      <w:r w:rsidRPr="00223CF4">
        <w:lastRenderedPageBreak/>
        <w:t>Cíl</w:t>
      </w:r>
      <w:bookmarkEnd w:id="80"/>
      <w:r w:rsidRPr="00223CF4">
        <w:t xml:space="preserve"> </w:t>
      </w:r>
    </w:p>
    <w:p w14:paraId="4BE9AA96" w14:textId="77777777" w:rsidR="00220D7C" w:rsidRPr="00220D7C" w:rsidRDefault="00220D7C" w:rsidP="00220D7C">
      <w:pPr>
        <w:spacing w:before="100" w:beforeAutospacing="1" w:after="100" w:afterAutospacing="1"/>
        <w:ind w:firstLine="432"/>
        <w:contextualSpacing w:val="0"/>
        <w:rPr>
          <w:rFonts w:ascii="Times New Roman" w:eastAsia="Times New Roman" w:hAnsi="Times New Roman" w:cs="Times New Roman"/>
          <w:lang w:val="cs-CZ"/>
        </w:rPr>
      </w:pPr>
      <w:r w:rsidRPr="00220D7C">
        <w:rPr>
          <w:rFonts w:eastAsia="Times New Roman" w:cstheme="minorHAnsi"/>
          <w:lang w:val="cs-CZ"/>
        </w:rPr>
        <w:t>Cílem této práce je vytvořit přehlednou a snadno přístupnou databázi bojových chemických látek (BCHL), která bude sloužit širokému spektru uživatelů, od odborníků na ochranu obyvatelstva až po pedagogickou veřejnost. V rámci práce budou specifikovány a popsány fyzikální a toxikologicko-chemické vlastnosti současných i historických BCHL včetně jejich historického kontextu. Součástí bude analýza dostupných databázových aplikací a podrobný popis té, která bude použita pro realizaci databáze. Výstupy budou zpracovány do formy editovatelné databáze publikované na webu, která umožní průběžné doplňování. Dále budou navrženy varianty využití této databáze ve prospěch specialistů a vzdělávacích institucí.</w:t>
      </w:r>
    </w:p>
    <w:p w14:paraId="3619F4BE" w14:textId="61077B50" w:rsidR="00220D7C" w:rsidRDefault="00220D7C" w:rsidP="00220D7C">
      <w:pPr>
        <w:pStyle w:val="Nadpis2"/>
      </w:pPr>
      <w:bookmarkStart w:id="81" w:name="_Toc183029560"/>
      <w:r>
        <w:t>Cíle práce</w:t>
      </w:r>
      <w:bookmarkEnd w:id="81"/>
      <w:r>
        <w:t xml:space="preserve"> </w:t>
      </w:r>
    </w:p>
    <w:p w14:paraId="0BD8C97A" w14:textId="4460BEAF" w:rsidR="00220D7C" w:rsidRDefault="00220D7C" w:rsidP="00220D7C">
      <w:pPr>
        <w:pStyle w:val="Odstavecseseznamem"/>
        <w:numPr>
          <w:ilvl w:val="0"/>
          <w:numId w:val="26"/>
        </w:numPr>
      </w:pPr>
      <w:r w:rsidRPr="00220D7C">
        <w:t xml:space="preserve">Na základě rešerše literatury specifikovat, charakterizovat a popsat fyzikální a vybrané toxikologicko-chemické vlastnosti současných i archaických BCHL. Jednotlivé fyzikální a toxikologicko-chemické vlastnosti popsat v historických souvislostech. </w:t>
      </w:r>
    </w:p>
    <w:p w14:paraId="601B3A57" w14:textId="3CAFB632" w:rsidR="00220D7C" w:rsidRDefault="00220D7C" w:rsidP="00220D7C">
      <w:pPr>
        <w:pStyle w:val="Odstavecseseznamem"/>
        <w:numPr>
          <w:ilvl w:val="0"/>
          <w:numId w:val="26"/>
        </w:numPr>
      </w:pPr>
      <w:r w:rsidRPr="00220D7C">
        <w:t xml:space="preserve">Popsat možnosti vybraných (nejužívanějších) databázových aplikacích, přičemž tu použitou specifikovat detailně. </w:t>
      </w:r>
    </w:p>
    <w:p w14:paraId="21417E63" w14:textId="3243A9BD" w:rsidR="00220D7C" w:rsidRDefault="00220D7C" w:rsidP="00220D7C">
      <w:pPr>
        <w:pStyle w:val="Odstavecseseznamem"/>
        <w:numPr>
          <w:ilvl w:val="0"/>
          <w:numId w:val="26"/>
        </w:numPr>
      </w:pPr>
      <w:r w:rsidRPr="00220D7C">
        <w:t xml:space="preserve">Získaná data zpracovat formou databáze, kterou uveřejnit na webu. Databázi zpracovat formou údajů opatřených zdroji příslušné informace a ve formě, která bude nadále editovatelná a připravena k průběžnému doplňování. </w:t>
      </w:r>
    </w:p>
    <w:p w14:paraId="229545AE" w14:textId="4C80620F" w:rsidR="00220D7C" w:rsidRDefault="00220D7C" w:rsidP="00220D7C">
      <w:pPr>
        <w:pStyle w:val="Odstavecseseznamem"/>
        <w:numPr>
          <w:ilvl w:val="0"/>
          <w:numId w:val="26"/>
        </w:numPr>
      </w:pPr>
      <w:r w:rsidRPr="00220D7C">
        <w:t xml:space="preserve">Zpracovat návrh konkrétních variant využití vytvořené databáze ve prospěch specialistů na ochranu obyvatelstva a ve školských zařízeních. </w:t>
      </w:r>
    </w:p>
    <w:p w14:paraId="04E22268" w14:textId="23767F17" w:rsidR="00220D7C" w:rsidRDefault="00220D7C" w:rsidP="00220D7C">
      <w:pPr>
        <w:pStyle w:val="Nadpis2"/>
      </w:pPr>
      <w:bookmarkStart w:id="82" w:name="_Toc183029561"/>
      <w:r>
        <w:t>Výzkumné otázky</w:t>
      </w:r>
      <w:bookmarkEnd w:id="82"/>
    </w:p>
    <w:p w14:paraId="2F03C6DD" w14:textId="69CC0114" w:rsidR="00220D7C" w:rsidRDefault="00220D7C" w:rsidP="00220D7C">
      <w:pPr>
        <w:pStyle w:val="Odstavecseseznamem"/>
        <w:numPr>
          <w:ilvl w:val="0"/>
          <w:numId w:val="28"/>
        </w:numPr>
        <w:spacing w:after="0"/>
      </w:pPr>
      <w:r>
        <w:t xml:space="preserve">je důležité tvořit online databáze pro záležitosti které se netýkají běžného </w:t>
      </w:r>
      <w:r w:rsidR="008E15FA">
        <w:t>života?</w:t>
      </w:r>
    </w:p>
    <w:p w14:paraId="6B1B3C20" w14:textId="674D8AA2" w:rsidR="00220D7C" w:rsidRPr="00220D7C" w:rsidRDefault="00220D7C" w:rsidP="00220D7C">
      <w:pPr>
        <w:pStyle w:val="Odstavecseseznamem"/>
        <w:numPr>
          <w:ilvl w:val="0"/>
          <w:numId w:val="28"/>
        </w:numPr>
      </w:pPr>
      <w:r>
        <w:t xml:space="preserve">bylo zjištěno že existují využitelnější </w:t>
      </w:r>
      <w:r w:rsidR="009D54FC">
        <w:t>databáze,</w:t>
      </w:r>
      <w:r>
        <w:t xml:space="preserve"> než </w:t>
      </w:r>
      <w:proofErr w:type="gramStart"/>
      <w:r>
        <w:t>ta</w:t>
      </w:r>
      <w:proofErr w:type="gramEnd"/>
      <w:r>
        <w:t xml:space="preserve"> co byla </w:t>
      </w:r>
      <w:r w:rsidR="008E15FA">
        <w:t>použita?</w:t>
      </w:r>
    </w:p>
    <w:p w14:paraId="7EFE1649" w14:textId="77777777" w:rsidR="00223CF4" w:rsidRPr="00223CF4" w:rsidRDefault="00223CF4" w:rsidP="00223CF4">
      <w:pPr>
        <w:rPr>
          <w:rFonts w:cstheme="minorHAnsi"/>
        </w:rPr>
      </w:pPr>
    </w:p>
    <w:p w14:paraId="74A9ECB2" w14:textId="77777777" w:rsidR="00223CF4" w:rsidRPr="00223CF4" w:rsidRDefault="00223CF4" w:rsidP="00223CF4">
      <w:pPr>
        <w:rPr>
          <w:rFonts w:cstheme="minorHAnsi"/>
        </w:rPr>
      </w:pPr>
    </w:p>
    <w:p w14:paraId="35EA645F" w14:textId="77777777" w:rsidR="00223CF4" w:rsidRPr="00223CF4" w:rsidRDefault="00223CF4" w:rsidP="00223CF4">
      <w:pPr>
        <w:rPr>
          <w:rFonts w:cstheme="minorHAnsi"/>
        </w:rPr>
      </w:pPr>
    </w:p>
    <w:p w14:paraId="7C196627" w14:textId="77777777" w:rsidR="00223CF4" w:rsidRPr="00223CF4" w:rsidRDefault="00223CF4" w:rsidP="00223CF4">
      <w:pPr>
        <w:rPr>
          <w:rFonts w:cstheme="minorHAnsi"/>
        </w:rPr>
      </w:pPr>
    </w:p>
    <w:p w14:paraId="7570D79B" w14:textId="77777777" w:rsidR="00223CF4" w:rsidRPr="00223CF4" w:rsidRDefault="00223CF4" w:rsidP="00223CF4">
      <w:pPr>
        <w:rPr>
          <w:rFonts w:cstheme="minorHAnsi"/>
        </w:rPr>
      </w:pPr>
    </w:p>
    <w:p w14:paraId="050C55D1" w14:textId="77777777" w:rsidR="00223CF4" w:rsidRPr="00223CF4" w:rsidRDefault="00223CF4" w:rsidP="00223CF4">
      <w:pPr>
        <w:rPr>
          <w:rFonts w:cstheme="minorHAnsi"/>
        </w:rPr>
      </w:pPr>
    </w:p>
    <w:p w14:paraId="4544D3D2" w14:textId="77777777" w:rsidR="00223CF4" w:rsidRPr="00223CF4" w:rsidRDefault="00223CF4" w:rsidP="00223CF4">
      <w:pPr>
        <w:rPr>
          <w:rFonts w:cstheme="minorHAnsi"/>
        </w:rPr>
      </w:pPr>
    </w:p>
    <w:p w14:paraId="5BAABE7E" w14:textId="15964C39" w:rsidR="00223CF4" w:rsidRPr="00223CF4" w:rsidRDefault="00223CF4" w:rsidP="005A7EE3">
      <w:pPr>
        <w:pStyle w:val="Nadpis1"/>
      </w:pPr>
      <w:bookmarkStart w:id="83" w:name="_Toc183029562"/>
      <w:r w:rsidRPr="00223CF4">
        <w:lastRenderedPageBreak/>
        <w:t>Metodika</w:t>
      </w:r>
      <w:bookmarkEnd w:id="83"/>
    </w:p>
    <w:p w14:paraId="405AC1EA" w14:textId="77777777" w:rsidR="00223CF4" w:rsidRPr="00223CF4" w:rsidRDefault="00223CF4" w:rsidP="00223CF4">
      <w:pPr>
        <w:rPr>
          <w:rFonts w:cstheme="minorHAnsi"/>
        </w:rPr>
      </w:pPr>
      <w:r w:rsidRPr="00223CF4">
        <w:rPr>
          <w:rFonts w:cstheme="minorHAnsi"/>
        </w:rPr>
        <w:t>metodický postup při vytváření databáze bojových chemických látek (BCHL), která shromažďuje klíčové informace o chemických bojových látkách, jejich vlastnostech, účincích na lidský organismus a možnostech ochrany. Postup vývoje databáze zahrnuje několik fází – od sběru a analýzy dat až po tvorbu uživatelsky přívětivé webové aplikace, která slouží jako informační zdroj pro odborníky i širší veřejnost.</w:t>
      </w:r>
    </w:p>
    <w:p w14:paraId="74CDF530" w14:textId="4AE0D778" w:rsidR="00223CF4" w:rsidRPr="00223CF4" w:rsidRDefault="00223CF4" w:rsidP="00223CF4">
      <w:pPr>
        <w:pStyle w:val="Nadpis2"/>
      </w:pPr>
      <w:bookmarkStart w:id="84" w:name="_Toc183029563"/>
      <w:r w:rsidRPr="00223CF4">
        <w:t>Sběr dat</w:t>
      </w:r>
      <w:bookmarkEnd w:id="84"/>
    </w:p>
    <w:p w14:paraId="7CCDEC8D" w14:textId="211A029C" w:rsidR="00223CF4" w:rsidRPr="00223CF4" w:rsidRDefault="00223CF4" w:rsidP="00223CF4">
      <w:pPr>
        <w:rPr>
          <w:rFonts w:cstheme="minorHAnsi"/>
        </w:rPr>
      </w:pPr>
      <w:r w:rsidRPr="00223CF4">
        <w:rPr>
          <w:rFonts w:cstheme="minorHAnsi"/>
        </w:rPr>
        <w:t>Při návrhu a implementaci databáze bojových chemických látek byl kladen důraz na zabezpečení dat a ochranu před neoprávněným přístupem. V databázi jsou publikovány informace z veřejných zdrojů, webových a knižních zdrojů. Hlavní informace o bojových chemických látkách byly získány z vědeckých publikací, toxikologických databází a odborných článků. Byly také využity vojenské a bezpečnostní studie a legislativní dokumenty o chemických zbraních.</w:t>
      </w:r>
      <w:r w:rsidR="008E15FA">
        <w:rPr>
          <w:rFonts w:cstheme="minorHAnsi"/>
        </w:rPr>
        <w:t xml:space="preserve"> </w:t>
      </w:r>
      <w:r w:rsidRPr="00223CF4">
        <w:rPr>
          <w:rFonts w:cstheme="minorHAnsi"/>
        </w:rPr>
        <w:t>Pro širší kontext byly zahrnuty sekundární zdroje, které poskytují přehled právních a historických aspektů využívání chemických látek ve válkách. Tyto informace byly čerpány z univerzitních knihoven, veřejně dostupných databází a elektronických knih.</w:t>
      </w:r>
    </w:p>
    <w:p w14:paraId="02F8C839" w14:textId="588E761C" w:rsidR="00223CF4" w:rsidRPr="00223CF4" w:rsidRDefault="006D32D8" w:rsidP="00223CF4">
      <w:pPr>
        <w:pStyle w:val="Nadpis2"/>
      </w:pPr>
      <w:bookmarkStart w:id="85" w:name="_Toc183029564"/>
      <w:r>
        <w:t>Z</w:t>
      </w:r>
      <w:r w:rsidR="00223CF4" w:rsidRPr="00223CF4">
        <w:t>pracování dat a návrh databázového systému</w:t>
      </w:r>
      <w:bookmarkEnd w:id="85"/>
    </w:p>
    <w:p w14:paraId="1D25F4DF" w14:textId="77777777" w:rsidR="00223CF4" w:rsidRPr="00223CF4" w:rsidRDefault="00223CF4" w:rsidP="00223CF4">
      <w:pPr>
        <w:rPr>
          <w:rFonts w:cstheme="minorHAnsi"/>
        </w:rPr>
      </w:pPr>
      <w:r w:rsidRPr="00223CF4">
        <w:rPr>
          <w:rFonts w:cstheme="minorHAnsi"/>
        </w:rPr>
        <w:t>Hlavním cílem vytvořené databáze je centralizovat a zpřístupnit informace o neletálních bojových chemických látkách širokému spektru uživatelů. Databáze bude sloužit jako interaktivní nástroj pro specialisty na ochranu obyvatelstva, vzdělávací instituce a další odborníky, kteří potřebují přístup k aktuálním, vědecky podloženým a editovatelným údajům. Databáze bude zveřejněna na webu, aby byla snadno přístupná a umožňovala průběžnou aktualizaci a rozšiřování.</w:t>
      </w:r>
    </w:p>
    <w:p w14:paraId="49812459" w14:textId="4F6F0019" w:rsidR="00223CF4" w:rsidRPr="00223CF4" w:rsidRDefault="00223CF4" w:rsidP="00223CF4">
      <w:pPr>
        <w:pStyle w:val="Nadpis2"/>
      </w:pPr>
      <w:bookmarkStart w:id="86" w:name="_Toc183029565"/>
      <w:r w:rsidRPr="00223CF4">
        <w:t>Návrh struktury databáze</w:t>
      </w:r>
      <w:bookmarkEnd w:id="86"/>
    </w:p>
    <w:p w14:paraId="7A5C528E" w14:textId="77777777" w:rsidR="00223CF4" w:rsidRPr="00223CF4" w:rsidRDefault="00223CF4" w:rsidP="00223CF4">
      <w:pPr>
        <w:rPr>
          <w:rFonts w:cstheme="minorHAnsi"/>
        </w:rPr>
      </w:pPr>
      <w:r w:rsidRPr="00223CF4">
        <w:rPr>
          <w:rFonts w:cstheme="minorHAnsi"/>
        </w:rPr>
        <w:t xml:space="preserve">Databáze bojových chemických látek je navržena na relačním modelu, který zajišťuje přehlednou organizaci dat, snadnou manipulaci s informacemi a možnost budoucího rozšiřování. Struktura databáze zahrnuje čtyři hlavní tabulky. První z nich je tabulka „Chemické látky“, která obsahuje informace o jednotlivých látkách, včetně jejich názvu, chemického vzorce, fyzikálních a chemických vlastností, mechanismu účinku a klasifikace dle jejich třídy (např. dráždivé nebo paralyzující látky). Další klíčovou tabulkou je tabulka „Zdroje“, kde jsou uvedeny informace o použitých publikacích a článcích, jako jsou název zdroje, autor, rok vydání a případně URL nebo </w:t>
      </w:r>
      <w:r w:rsidRPr="00223CF4">
        <w:rPr>
          <w:rFonts w:cstheme="minorHAnsi"/>
        </w:rPr>
        <w:lastRenderedPageBreak/>
        <w:t>ISBN. Pro kategorizaci látek slouží tabulka „Kategorizace“, která obsahuje jednotlivé kategorie, například nervově paralytické látky. Poslední tabulka „Spojení látky a zdrojů“ umožňuje propojení mezi chemickými látkami a zdroji, čímž je zajištěno přiřazení ověřených informací ke každé látce.</w:t>
      </w:r>
    </w:p>
    <w:p w14:paraId="42D804D3" w14:textId="77777777" w:rsidR="00223CF4" w:rsidRPr="00223CF4" w:rsidRDefault="00223CF4" w:rsidP="00223CF4">
      <w:pPr>
        <w:rPr>
          <w:rFonts w:cstheme="minorHAnsi"/>
        </w:rPr>
      </w:pPr>
      <w:r w:rsidRPr="00223CF4">
        <w:rPr>
          <w:rFonts w:cstheme="minorHAnsi"/>
        </w:rPr>
        <w:t xml:space="preserve">Technické řešení databáze je realizováno jako webová aplikace, která nabízí snadný přístup a aktualizaci dat. Databáze je postavena na systému </w:t>
      </w:r>
      <w:proofErr w:type="spellStart"/>
      <w:r w:rsidRPr="00223CF4">
        <w:rPr>
          <w:rFonts w:cstheme="minorHAnsi"/>
        </w:rPr>
        <w:t>MySQL</w:t>
      </w:r>
      <w:proofErr w:type="spellEnd"/>
      <w:r w:rsidRPr="00223CF4">
        <w:rPr>
          <w:rFonts w:cstheme="minorHAnsi"/>
        </w:rPr>
        <w:t xml:space="preserve">, který je vhodný pro komplexní řešení, nebo </w:t>
      </w:r>
      <w:proofErr w:type="spellStart"/>
      <w:r w:rsidRPr="00223CF4">
        <w:rPr>
          <w:rFonts w:cstheme="minorHAnsi"/>
        </w:rPr>
        <w:t>SQLite</w:t>
      </w:r>
      <w:proofErr w:type="spellEnd"/>
      <w:r w:rsidRPr="00223CF4">
        <w:rPr>
          <w:rFonts w:cstheme="minorHAnsi"/>
        </w:rPr>
        <w:t xml:space="preserve">, který je ideální pro jednodušší implementace. Uživatelské rozhraní je navrženo pomocí technologií HTML, CSS a JavaScript, zatímco serverové funkce zajišťuje </w:t>
      </w:r>
      <w:proofErr w:type="spellStart"/>
      <w:r w:rsidRPr="00223CF4">
        <w:rPr>
          <w:rFonts w:cstheme="minorHAnsi"/>
        </w:rPr>
        <w:t>backend</w:t>
      </w:r>
      <w:proofErr w:type="spellEnd"/>
      <w:r w:rsidRPr="00223CF4">
        <w:rPr>
          <w:rFonts w:cstheme="minorHAnsi"/>
        </w:rPr>
        <w:t xml:space="preserve"> vytvořený v PHP nebo Pythonu (např. pomocí frameworků </w:t>
      </w:r>
      <w:proofErr w:type="spellStart"/>
      <w:r w:rsidRPr="00223CF4">
        <w:rPr>
          <w:rFonts w:cstheme="minorHAnsi"/>
        </w:rPr>
        <w:t>Flask</w:t>
      </w:r>
      <w:proofErr w:type="spellEnd"/>
      <w:r w:rsidRPr="00223CF4">
        <w:rPr>
          <w:rFonts w:cstheme="minorHAnsi"/>
        </w:rPr>
        <w:t xml:space="preserve"> nebo </w:t>
      </w:r>
      <w:proofErr w:type="spellStart"/>
      <w:r w:rsidRPr="00223CF4">
        <w:rPr>
          <w:rFonts w:cstheme="minorHAnsi"/>
        </w:rPr>
        <w:t>Django</w:t>
      </w:r>
      <w:proofErr w:type="spellEnd"/>
      <w:r w:rsidRPr="00223CF4">
        <w:rPr>
          <w:rFonts w:cstheme="minorHAnsi"/>
        </w:rPr>
        <w:t xml:space="preserve">). </w:t>
      </w:r>
    </w:p>
    <w:p w14:paraId="743DFA93" w14:textId="77777777" w:rsidR="00223CF4" w:rsidRPr="00223CF4" w:rsidRDefault="00223CF4" w:rsidP="00223CF4">
      <w:pPr>
        <w:rPr>
          <w:rFonts w:cstheme="minorHAnsi"/>
        </w:rPr>
      </w:pPr>
      <w:r w:rsidRPr="00223CF4">
        <w:rPr>
          <w:rFonts w:cstheme="minorHAnsi"/>
        </w:rPr>
        <w:t>Aby byla databáze uživatelsky přívětivá a snadno dostupná, webová aplikace nabídne několik klíčových funkcí. Uživatelé budou moci vyhledávat chemické látky pomocí intuitivního vyhledávacího panelu a filtrovat záznamy podle vlastností, kategorií nebo mechanismu účinku. U každé látky budou k dispozici detailní informace zahrnující její popis, vlastnosti, mechanismus účinku a seznam ověřených zdrojů. Administrativní rozhraní umožní oprávněným uživatelům přidávat nové látky, aktualizovat stávající data a odstraňovat již neplatné informace.</w:t>
      </w:r>
    </w:p>
    <w:p w14:paraId="08C2D723" w14:textId="77777777" w:rsidR="00223CF4" w:rsidRPr="00223CF4" w:rsidRDefault="00223CF4" w:rsidP="00223CF4">
      <w:pPr>
        <w:rPr>
          <w:rFonts w:cstheme="minorHAnsi"/>
        </w:rPr>
      </w:pPr>
      <w:r w:rsidRPr="00223CF4">
        <w:rPr>
          <w:rFonts w:cstheme="minorHAnsi"/>
        </w:rPr>
        <w:t>Databáze bude pravidelně aktualizována a udržována, aby byla zajištěna její dlouhodobá relevantnost a spolehlivost. Revize dat bude provádět určený tým nebo jednotlivci zodpovědní za kontrolu a aktualizaci obsahu. Přidávání nových vědeckých poznatků a datových sad bude jednoduché díky flexibilnímu designu databáze. Administrativní sekce umožní autorizovaným uživatelům průběžně doplňovat a rozšiřovat obsah, což zajistí, že databáze bude aktuálním a důvěryhodným zdrojem informací pro odborníky i širokou veřejnost.</w:t>
      </w:r>
    </w:p>
    <w:p w14:paraId="3C0FEFEC" w14:textId="61931D0D" w:rsidR="00223CF4" w:rsidRPr="00223CF4" w:rsidRDefault="00223CF4" w:rsidP="00223CF4">
      <w:pPr>
        <w:pStyle w:val="Nadpis2"/>
      </w:pPr>
      <w:bookmarkStart w:id="87" w:name="_Toc183029566"/>
      <w:r w:rsidRPr="00223CF4">
        <w:t>Struktura databáze</w:t>
      </w:r>
      <w:bookmarkEnd w:id="87"/>
    </w:p>
    <w:p w14:paraId="4A7410B8" w14:textId="77777777" w:rsidR="00223CF4" w:rsidRPr="00223CF4" w:rsidRDefault="00223CF4" w:rsidP="00223CF4">
      <w:pPr>
        <w:rPr>
          <w:rFonts w:cstheme="minorHAnsi"/>
        </w:rPr>
      </w:pPr>
      <w:r w:rsidRPr="00223CF4">
        <w:rPr>
          <w:rFonts w:cstheme="minorHAnsi"/>
        </w:rPr>
        <w:t>Databáze byla navržena tak, aby byla přehledná a uživatelsky přívětivá. Každá BCHL zahrnuje následující položky:</w:t>
      </w:r>
    </w:p>
    <w:p w14:paraId="61B23078" w14:textId="77777777" w:rsidR="00223CF4" w:rsidRPr="00223CF4" w:rsidRDefault="00223CF4" w:rsidP="00223CF4">
      <w:pPr>
        <w:rPr>
          <w:rFonts w:cstheme="minorHAnsi"/>
        </w:rPr>
      </w:pPr>
      <w:r w:rsidRPr="00223CF4">
        <w:rPr>
          <w:rFonts w:cstheme="minorHAnsi"/>
        </w:rPr>
        <w:t>•</w:t>
      </w:r>
      <w:r w:rsidRPr="00223CF4">
        <w:rPr>
          <w:rFonts w:cstheme="minorHAnsi"/>
        </w:rPr>
        <w:tab/>
        <w:t>Popis látky</w:t>
      </w:r>
    </w:p>
    <w:p w14:paraId="0BFA4C54" w14:textId="77777777" w:rsidR="00223CF4" w:rsidRPr="00223CF4" w:rsidRDefault="00223CF4" w:rsidP="00223CF4">
      <w:pPr>
        <w:rPr>
          <w:rFonts w:cstheme="minorHAnsi"/>
        </w:rPr>
      </w:pPr>
      <w:r w:rsidRPr="00223CF4">
        <w:rPr>
          <w:rFonts w:cstheme="minorHAnsi"/>
        </w:rPr>
        <w:t>•</w:t>
      </w:r>
      <w:r w:rsidRPr="00223CF4">
        <w:rPr>
          <w:rFonts w:cstheme="minorHAnsi"/>
        </w:rPr>
        <w:tab/>
        <w:t>Chemický název</w:t>
      </w:r>
    </w:p>
    <w:p w14:paraId="1C4EF91A" w14:textId="77777777" w:rsidR="00223CF4" w:rsidRPr="00223CF4" w:rsidRDefault="00223CF4" w:rsidP="00223CF4">
      <w:pPr>
        <w:rPr>
          <w:rFonts w:cstheme="minorHAnsi"/>
        </w:rPr>
      </w:pPr>
      <w:r w:rsidRPr="00223CF4">
        <w:rPr>
          <w:rFonts w:cstheme="minorHAnsi"/>
        </w:rPr>
        <w:t>•</w:t>
      </w:r>
      <w:r w:rsidRPr="00223CF4">
        <w:rPr>
          <w:rFonts w:cstheme="minorHAnsi"/>
        </w:rPr>
        <w:tab/>
        <w:t>Molekulární vzorec</w:t>
      </w:r>
    </w:p>
    <w:p w14:paraId="1CB711F8" w14:textId="77777777" w:rsidR="00223CF4" w:rsidRPr="00223CF4" w:rsidRDefault="00223CF4" w:rsidP="00223CF4">
      <w:pPr>
        <w:rPr>
          <w:rFonts w:cstheme="minorHAnsi"/>
        </w:rPr>
      </w:pPr>
      <w:r w:rsidRPr="00223CF4">
        <w:rPr>
          <w:rFonts w:cstheme="minorHAnsi"/>
        </w:rPr>
        <w:t>•</w:t>
      </w:r>
      <w:r w:rsidRPr="00223CF4">
        <w:rPr>
          <w:rFonts w:cstheme="minorHAnsi"/>
        </w:rPr>
        <w:tab/>
        <w:t>CAS číslo</w:t>
      </w:r>
    </w:p>
    <w:p w14:paraId="3639216C" w14:textId="77777777" w:rsidR="00223CF4" w:rsidRPr="00223CF4" w:rsidRDefault="00223CF4" w:rsidP="00223CF4">
      <w:pPr>
        <w:rPr>
          <w:rFonts w:cstheme="minorHAnsi"/>
        </w:rPr>
      </w:pPr>
      <w:r w:rsidRPr="00223CF4">
        <w:rPr>
          <w:rFonts w:cstheme="minorHAnsi"/>
        </w:rPr>
        <w:t>•</w:t>
      </w:r>
      <w:r w:rsidRPr="00223CF4">
        <w:rPr>
          <w:rFonts w:cstheme="minorHAnsi"/>
        </w:rPr>
        <w:tab/>
        <w:t>Fyzikální stav (Skupenství látky)</w:t>
      </w:r>
    </w:p>
    <w:p w14:paraId="48C40D44" w14:textId="77777777" w:rsidR="00223CF4" w:rsidRPr="00223CF4" w:rsidRDefault="00223CF4" w:rsidP="00223CF4">
      <w:pPr>
        <w:rPr>
          <w:rFonts w:cstheme="minorHAnsi"/>
        </w:rPr>
      </w:pPr>
      <w:r w:rsidRPr="00223CF4">
        <w:rPr>
          <w:rFonts w:cstheme="minorHAnsi"/>
        </w:rPr>
        <w:t>•</w:t>
      </w:r>
      <w:r w:rsidRPr="00223CF4">
        <w:rPr>
          <w:rFonts w:cstheme="minorHAnsi"/>
        </w:rPr>
        <w:tab/>
        <w:t>Bod varu a tání</w:t>
      </w:r>
    </w:p>
    <w:p w14:paraId="243DCC29" w14:textId="77777777" w:rsidR="00223CF4" w:rsidRPr="00223CF4" w:rsidRDefault="00223CF4" w:rsidP="00223CF4">
      <w:pPr>
        <w:rPr>
          <w:rFonts w:cstheme="minorHAnsi"/>
        </w:rPr>
      </w:pPr>
      <w:r w:rsidRPr="00223CF4">
        <w:rPr>
          <w:rFonts w:cstheme="minorHAnsi"/>
        </w:rPr>
        <w:t>•</w:t>
      </w:r>
      <w:r w:rsidRPr="00223CF4">
        <w:rPr>
          <w:rFonts w:cstheme="minorHAnsi"/>
        </w:rPr>
        <w:tab/>
        <w:t>Hustota</w:t>
      </w:r>
    </w:p>
    <w:p w14:paraId="71CE0E4B" w14:textId="77777777" w:rsidR="00223CF4" w:rsidRPr="00223CF4" w:rsidRDefault="00223CF4" w:rsidP="00223CF4">
      <w:pPr>
        <w:rPr>
          <w:rFonts w:cstheme="minorHAnsi"/>
        </w:rPr>
      </w:pPr>
      <w:r w:rsidRPr="00223CF4">
        <w:rPr>
          <w:rFonts w:cstheme="minorHAnsi"/>
        </w:rPr>
        <w:t>•</w:t>
      </w:r>
      <w:r w:rsidRPr="00223CF4">
        <w:rPr>
          <w:rFonts w:cstheme="minorHAnsi"/>
        </w:rPr>
        <w:tab/>
        <w:t>Tlak nasycených par</w:t>
      </w:r>
    </w:p>
    <w:p w14:paraId="09074571" w14:textId="77777777" w:rsidR="00223CF4" w:rsidRPr="00223CF4" w:rsidRDefault="00223CF4" w:rsidP="00223CF4">
      <w:pPr>
        <w:rPr>
          <w:rFonts w:cstheme="minorHAnsi"/>
        </w:rPr>
      </w:pPr>
      <w:r w:rsidRPr="00223CF4">
        <w:rPr>
          <w:rFonts w:cstheme="minorHAnsi"/>
        </w:rPr>
        <w:t>•</w:t>
      </w:r>
      <w:r w:rsidRPr="00223CF4">
        <w:rPr>
          <w:rFonts w:cstheme="minorHAnsi"/>
        </w:rPr>
        <w:tab/>
        <w:t>Rozpustnost (Ve vodě a v jiných látkách)</w:t>
      </w:r>
    </w:p>
    <w:p w14:paraId="76FFACA1" w14:textId="77777777" w:rsidR="00223CF4" w:rsidRPr="00223CF4" w:rsidRDefault="00223CF4" w:rsidP="00223CF4">
      <w:pPr>
        <w:rPr>
          <w:rFonts w:cstheme="minorHAnsi"/>
        </w:rPr>
      </w:pPr>
      <w:r w:rsidRPr="00223CF4">
        <w:rPr>
          <w:rFonts w:cstheme="minorHAnsi"/>
        </w:rPr>
        <w:lastRenderedPageBreak/>
        <w:t>•</w:t>
      </w:r>
      <w:r w:rsidRPr="00223CF4">
        <w:rPr>
          <w:rFonts w:cstheme="minorHAnsi"/>
        </w:rPr>
        <w:tab/>
        <w:t>Toxické účinky a hodnoty toxicity (Toxicita, účinky při vdechnutí či kontaktu)</w:t>
      </w:r>
    </w:p>
    <w:p w14:paraId="498E9F9D" w14:textId="77777777" w:rsidR="00223CF4" w:rsidRPr="00223CF4" w:rsidRDefault="00223CF4" w:rsidP="00223CF4">
      <w:pPr>
        <w:rPr>
          <w:rFonts w:cstheme="minorHAnsi"/>
        </w:rPr>
      </w:pPr>
      <w:r w:rsidRPr="00223CF4">
        <w:rPr>
          <w:rFonts w:cstheme="minorHAnsi"/>
        </w:rPr>
        <w:t>•</w:t>
      </w:r>
      <w:r w:rsidRPr="00223CF4">
        <w:rPr>
          <w:rFonts w:cstheme="minorHAnsi"/>
        </w:rPr>
        <w:tab/>
        <w:t>Mechanismus účinku a působení látky (Účinek látky na organismus a projevy otravy)</w:t>
      </w:r>
    </w:p>
    <w:p w14:paraId="7F8E1F13" w14:textId="77777777" w:rsidR="00223CF4" w:rsidRPr="00223CF4" w:rsidRDefault="00223CF4" w:rsidP="00223CF4">
      <w:pPr>
        <w:rPr>
          <w:rFonts w:cstheme="minorHAnsi"/>
        </w:rPr>
      </w:pPr>
      <w:r w:rsidRPr="00223CF4">
        <w:rPr>
          <w:rFonts w:cstheme="minorHAnsi"/>
        </w:rPr>
        <w:t>•</w:t>
      </w:r>
      <w:r w:rsidRPr="00223CF4">
        <w:rPr>
          <w:rFonts w:cstheme="minorHAnsi"/>
        </w:rPr>
        <w:tab/>
        <w:t>Možnosti dekontaminace</w:t>
      </w:r>
    </w:p>
    <w:p w14:paraId="0A4B2254" w14:textId="77777777" w:rsidR="00223CF4" w:rsidRPr="00223CF4" w:rsidRDefault="00223CF4" w:rsidP="00223CF4">
      <w:pPr>
        <w:rPr>
          <w:rFonts w:cstheme="minorHAnsi"/>
        </w:rPr>
      </w:pPr>
      <w:r w:rsidRPr="00223CF4">
        <w:rPr>
          <w:rFonts w:cstheme="minorHAnsi"/>
        </w:rPr>
        <w:t>•</w:t>
      </w:r>
      <w:r w:rsidRPr="00223CF4">
        <w:rPr>
          <w:rFonts w:cstheme="minorHAnsi"/>
        </w:rPr>
        <w:tab/>
        <w:t>Stabilita látky a doporučené podmínky skladování</w:t>
      </w:r>
    </w:p>
    <w:p w14:paraId="7F709EE5" w14:textId="77777777" w:rsidR="00223CF4" w:rsidRPr="00223CF4" w:rsidRDefault="00223CF4" w:rsidP="00223CF4">
      <w:pPr>
        <w:rPr>
          <w:rFonts w:cstheme="minorHAnsi"/>
        </w:rPr>
      </w:pPr>
      <w:r w:rsidRPr="00223CF4">
        <w:rPr>
          <w:rFonts w:cstheme="minorHAnsi"/>
        </w:rPr>
        <w:t>Struktura databáze umožňuje filtrování a vyhledávání podle klíčových parametrů, což usnadňuje práci s informacemi.</w:t>
      </w:r>
    </w:p>
    <w:p w14:paraId="1425B4E4" w14:textId="222D3AA9" w:rsidR="00223CF4" w:rsidRPr="00223CF4" w:rsidRDefault="00223CF4" w:rsidP="00223CF4">
      <w:pPr>
        <w:pStyle w:val="Nadpis2"/>
      </w:pPr>
      <w:bookmarkStart w:id="88" w:name="_Toc183029567"/>
      <w:r w:rsidRPr="00223CF4">
        <w:t>Implementace databáze do webového prostředí</w:t>
      </w:r>
      <w:bookmarkEnd w:id="88"/>
    </w:p>
    <w:p w14:paraId="05995185" w14:textId="77777777" w:rsidR="00223CF4" w:rsidRPr="00223CF4" w:rsidRDefault="00223CF4" w:rsidP="00223CF4">
      <w:pPr>
        <w:rPr>
          <w:rFonts w:cstheme="minorHAnsi"/>
        </w:rPr>
      </w:pPr>
      <w:r w:rsidRPr="00223CF4">
        <w:rPr>
          <w:rFonts w:cstheme="minorHAnsi"/>
        </w:rPr>
        <w:t xml:space="preserve">Pro implementaci databáze bylo zvoleno webové rozhraní, které usnadňuje přístupnost a efektivní zobrazení informací. Vybraný open-source systém nabízí možnost rozšiřování a aktualizace. Webové prostředí bylo postaveno pomocí HTML, CSS a </w:t>
      </w:r>
      <w:proofErr w:type="spellStart"/>
      <w:r w:rsidRPr="00223CF4">
        <w:rPr>
          <w:rFonts w:cstheme="minorHAnsi"/>
        </w:rPr>
        <w:t>JavaScriptu</w:t>
      </w:r>
      <w:proofErr w:type="spellEnd"/>
      <w:r w:rsidRPr="00223CF4">
        <w:rPr>
          <w:rFonts w:cstheme="minorHAnsi"/>
        </w:rPr>
        <w:t xml:space="preserve"> s databázovým systémem </w:t>
      </w:r>
      <w:proofErr w:type="spellStart"/>
      <w:r w:rsidRPr="00223CF4">
        <w:rPr>
          <w:rFonts w:cstheme="minorHAnsi"/>
        </w:rPr>
        <w:t>MySQL</w:t>
      </w:r>
      <w:proofErr w:type="spellEnd"/>
      <w:r w:rsidRPr="00223CF4">
        <w:rPr>
          <w:rFonts w:cstheme="minorHAnsi"/>
        </w:rPr>
        <w:t xml:space="preserve"> či </w:t>
      </w:r>
      <w:proofErr w:type="spellStart"/>
      <w:r w:rsidRPr="00223CF4">
        <w:rPr>
          <w:rFonts w:cstheme="minorHAnsi"/>
        </w:rPr>
        <w:t>PostgreSQL</w:t>
      </w:r>
      <w:proofErr w:type="spellEnd"/>
      <w:r w:rsidRPr="00223CF4">
        <w:rPr>
          <w:rFonts w:cstheme="minorHAnsi"/>
        </w:rPr>
        <w:t>.</w:t>
      </w:r>
    </w:p>
    <w:p w14:paraId="512529EB" w14:textId="4D7578C0" w:rsidR="00223CF4" w:rsidRPr="00223CF4" w:rsidRDefault="00223CF4" w:rsidP="00223CF4">
      <w:pPr>
        <w:pStyle w:val="Nadpis2"/>
      </w:pPr>
      <w:bookmarkStart w:id="89" w:name="_Toc183029568"/>
      <w:r w:rsidRPr="00223CF4">
        <w:t>Testování a validace</w:t>
      </w:r>
      <w:bookmarkEnd w:id="89"/>
    </w:p>
    <w:p w14:paraId="19C6104A" w14:textId="77777777" w:rsidR="00223CF4" w:rsidRPr="00223CF4" w:rsidRDefault="00223CF4" w:rsidP="00223CF4">
      <w:pPr>
        <w:rPr>
          <w:rFonts w:cstheme="minorHAnsi"/>
        </w:rPr>
      </w:pPr>
      <w:r w:rsidRPr="00223CF4">
        <w:rPr>
          <w:rFonts w:cstheme="minorHAnsi"/>
        </w:rPr>
        <w:t>Po dokončení tvorby databáze následovala fáze testování, která zahrnovala dvě klíčové části. Nejprve proběhla interní validace zaměřená na kontrolu správnosti a konzistence dat, aby byla zajištěna jejich kvalita a spolehlivost. Následně bylo provedeno uživatelské testování, do kterého byli zapojeni odborníci z vojenského a chemického sektoru. Tito specialisté hodnotili funkčnost systému i jeho uživatelskou přívětivost. Na základě jejich zpětné vazby byly provedeny potřebné úpravy, čímž se zajistilo, že databáze splňuje požadované standardy a potřeby uživatelů.</w:t>
      </w:r>
    </w:p>
    <w:p w14:paraId="610AAD39" w14:textId="60B163A3" w:rsidR="00223CF4" w:rsidRPr="00223CF4" w:rsidRDefault="00223CF4" w:rsidP="00223CF4">
      <w:pPr>
        <w:pStyle w:val="Nadpis2"/>
      </w:pPr>
      <w:bookmarkStart w:id="90" w:name="_Toc183029569"/>
      <w:r w:rsidRPr="00223CF4">
        <w:t>Aktualizace a správa databáze</w:t>
      </w:r>
      <w:bookmarkEnd w:id="90"/>
    </w:p>
    <w:p w14:paraId="71A44137" w14:textId="77777777" w:rsidR="00223CF4" w:rsidRPr="00223CF4" w:rsidRDefault="00223CF4" w:rsidP="00223CF4">
      <w:pPr>
        <w:rPr>
          <w:rFonts w:cstheme="minorHAnsi"/>
        </w:rPr>
      </w:pPr>
      <w:r w:rsidRPr="00223CF4">
        <w:rPr>
          <w:rFonts w:cstheme="minorHAnsi"/>
        </w:rPr>
        <w:t>Pro zajištění dlouhodobé užitečnosti databáze byl navržen systém pravidelné aktualizace, který umožňuje přidávání nových látek a úpravu údajů na základě nových vědeckých poznatků či změn v legislativě. Tato databáze je spravována přímo prostřednictvím webového rozhraní v administrátorské sekci. Uživatel s přístupovými údaji má možnost vyhledat konkrétní BCHL, kterou může podle potřeby upravovat či aktualizovat. Stejný princip platí i pro všechny ostatní informace uložené na webu, což eliminuje potřebu nahrávat další externí dokumenty.</w:t>
      </w:r>
    </w:p>
    <w:p w14:paraId="4A7A0924" w14:textId="2F6D2C99" w:rsidR="00223CF4" w:rsidRPr="00223CF4" w:rsidRDefault="00223CF4" w:rsidP="00223CF4">
      <w:pPr>
        <w:pStyle w:val="Nadpis2"/>
      </w:pPr>
      <w:bookmarkStart w:id="91" w:name="_Toc183029570"/>
      <w:r w:rsidRPr="00223CF4">
        <w:t>Zabezpečení databáze</w:t>
      </w:r>
      <w:bookmarkEnd w:id="91"/>
    </w:p>
    <w:p w14:paraId="46BD84F7" w14:textId="77777777" w:rsidR="00223CF4" w:rsidRPr="00223CF4" w:rsidRDefault="00223CF4" w:rsidP="00223CF4">
      <w:pPr>
        <w:rPr>
          <w:rFonts w:cstheme="minorHAnsi"/>
        </w:rPr>
      </w:pPr>
      <w:r w:rsidRPr="00223CF4">
        <w:rPr>
          <w:rFonts w:cstheme="minorHAnsi"/>
        </w:rPr>
        <w:t xml:space="preserve">Tato databáze bojových chemických látek (BCHL) je spravována prostřednictvím webového rozhraní v administrátorské sekci, přičemž přístup k ní je omezen pouze na uživatele </w:t>
      </w:r>
      <w:r w:rsidRPr="00223CF4">
        <w:rPr>
          <w:rFonts w:cstheme="minorHAnsi"/>
        </w:rPr>
        <w:lastRenderedPageBreak/>
        <w:t>s platnými přístupovými údaji. Přístupová práva jsou zcela pod mojí kontrolou, a heslo je udělováno pouze osobám, které splňují podmínky důvěryhodnosti.</w:t>
      </w:r>
    </w:p>
    <w:p w14:paraId="6FA2DE3B" w14:textId="77777777" w:rsidR="00223CF4" w:rsidRPr="00223CF4" w:rsidRDefault="00223CF4" w:rsidP="00223CF4">
      <w:pPr>
        <w:rPr>
          <w:rFonts w:cstheme="minorHAnsi"/>
        </w:rPr>
      </w:pPr>
      <w:r w:rsidRPr="00223CF4">
        <w:rPr>
          <w:rFonts w:cstheme="minorHAnsi"/>
        </w:rPr>
        <w:t>Při návrhu a implementaci databáze byl kladen důraz na zabezpečení dat a ochranu před neoprávněným přístupem. Zavedena byla opatření zajišťující důvěrnost, integritu a dostupnost informací. Přístup do databáze je chráněn autentizací pomocí uživatelského jména a hesla, přičemž uživatelé jsou rozděleni do skupin podle úrovně oprávnění (administrátoři, editoři, čtenáři). Citlivé informace, včetně hesel, jsou ukládány v šifrované podobě pomocí moderních kryptografických algoritmů.</w:t>
      </w:r>
    </w:p>
    <w:p w14:paraId="563469DB" w14:textId="77777777" w:rsidR="00223CF4" w:rsidRPr="00223CF4" w:rsidRDefault="00223CF4" w:rsidP="00223CF4">
      <w:pPr>
        <w:rPr>
          <w:rFonts w:cstheme="minorHAnsi"/>
        </w:rPr>
      </w:pPr>
      <w:r w:rsidRPr="00223CF4">
        <w:rPr>
          <w:rFonts w:cstheme="minorHAnsi"/>
        </w:rPr>
        <w:t>Přenos dat mezi uživateli a databází je chráněn šifrováním prostřednictvím SSL/TLS protokolu, čímž se minimalizuje riziko odposlechu nebo zneužití během přenosu. Navíc je databáze pravidelně zálohována na zabezpečené servery, přičemž zálohy jsou šifrovány a ukládány na fyzicky oddělených úložištích pro zvýšení bezpečnosti.</w:t>
      </w:r>
    </w:p>
    <w:p w14:paraId="33CDCA1B" w14:textId="77777777" w:rsidR="00223CF4" w:rsidRPr="00223CF4" w:rsidRDefault="00223CF4" w:rsidP="00223CF4">
      <w:pPr>
        <w:rPr>
          <w:rFonts w:cstheme="minorHAnsi"/>
        </w:rPr>
      </w:pPr>
      <w:r w:rsidRPr="00223CF4">
        <w:rPr>
          <w:rFonts w:cstheme="minorHAnsi"/>
        </w:rPr>
        <w:t>Pro ochranu před kybernetickými hrozbami byly implementovány firewally a systémy detekce a prevence průniků (IDS/IPS). Jakékoliv neoprávněné pokusy o přístup nebo podezřelé aktivity jsou okamžitě logovány a blokovány. Kromě toho jsou systém i databáze pravidelně aktualizovány, aby byly minimalizovány zranitelnosti vůči známým hrozbám.</w:t>
      </w:r>
    </w:p>
    <w:p w14:paraId="78CF3596" w14:textId="77777777" w:rsidR="00223CF4" w:rsidRPr="00223CF4" w:rsidRDefault="00223CF4" w:rsidP="00223CF4">
      <w:pPr>
        <w:rPr>
          <w:rFonts w:cstheme="minorHAnsi"/>
        </w:rPr>
      </w:pPr>
      <w:r w:rsidRPr="00223CF4">
        <w:rPr>
          <w:rFonts w:cstheme="minorHAnsi"/>
        </w:rPr>
        <w:t>Všechna uživatelská aktivita je logována a pravidelně monitorována, což umožňuje detekci případných podezřelých událostí a jejich rychlé řešení. Systém zabezpečení byl testován prostřednictvím penetračních testů a simulací kybernetických útoků, čímž byly odhaleny a odstraněny možné slabiny.</w:t>
      </w:r>
    </w:p>
    <w:p w14:paraId="4047BC25" w14:textId="77777777" w:rsidR="00223CF4" w:rsidRPr="00223CF4" w:rsidRDefault="00223CF4" w:rsidP="00223CF4">
      <w:pPr>
        <w:rPr>
          <w:rFonts w:cstheme="minorHAnsi"/>
        </w:rPr>
      </w:pPr>
      <w:r w:rsidRPr="00223CF4">
        <w:rPr>
          <w:rFonts w:cstheme="minorHAnsi"/>
        </w:rPr>
        <w:t>Tato opatření zajišťují vysokou úroveň ochrany databáze, což nejen minimalizuje riziko neoprávněného přístupu nebo zneužití dat, ale také poskytuje uživatelům jistotu, že spravované informace jsou bezpečné a dostupné pouze oprávněným osobám.</w:t>
      </w:r>
    </w:p>
    <w:p w14:paraId="5D30B0D8" w14:textId="63DAE3DF" w:rsidR="00223CF4" w:rsidRPr="00223CF4" w:rsidRDefault="00223CF4" w:rsidP="00223CF4">
      <w:pPr>
        <w:pStyle w:val="Nadpis2"/>
      </w:pPr>
      <w:bookmarkStart w:id="92" w:name="_Toc183029571"/>
      <w:proofErr w:type="spellStart"/>
      <w:r w:rsidRPr="00223CF4">
        <w:t>Vzled</w:t>
      </w:r>
      <w:proofErr w:type="spellEnd"/>
      <w:r w:rsidRPr="00223CF4">
        <w:t xml:space="preserve"> databáze</w:t>
      </w:r>
      <w:bookmarkEnd w:id="92"/>
      <w:r w:rsidRPr="00223CF4">
        <w:t xml:space="preserve"> </w:t>
      </w:r>
    </w:p>
    <w:p w14:paraId="2FFD412F" w14:textId="77777777" w:rsidR="00223CF4" w:rsidRPr="00223CF4" w:rsidRDefault="00223CF4" w:rsidP="00223CF4">
      <w:pPr>
        <w:rPr>
          <w:rFonts w:cstheme="minorHAnsi"/>
        </w:rPr>
      </w:pPr>
      <w:r w:rsidRPr="00223CF4">
        <w:rPr>
          <w:rFonts w:cstheme="minorHAnsi"/>
        </w:rPr>
        <w:t xml:space="preserve">Databáze bojových chemických látek (BCHL) vytvořená v rámci webové stránky bojovechemickelatky.cz byla navržena s důrazem na přehlednost, bezpečnost a snadnou použitelnost. Cílem bylo vytvořit intuitivní prostředí, které umožní efektivní správu dat a poskytne uživatelům rychlý přístup k informacím o jednotlivých látkách. </w:t>
      </w:r>
    </w:p>
    <w:p w14:paraId="21BA8570" w14:textId="77777777" w:rsidR="00223CF4" w:rsidRPr="00223CF4" w:rsidRDefault="00223CF4" w:rsidP="00223CF4">
      <w:pPr>
        <w:rPr>
          <w:rFonts w:cstheme="minorHAnsi"/>
        </w:rPr>
      </w:pPr>
    </w:p>
    <w:p w14:paraId="0B9DD99B" w14:textId="77777777" w:rsidR="00223CF4" w:rsidRPr="00223CF4" w:rsidRDefault="00223CF4" w:rsidP="00223CF4">
      <w:pPr>
        <w:rPr>
          <w:rFonts w:cstheme="minorHAnsi"/>
        </w:rPr>
      </w:pPr>
    </w:p>
    <w:p w14:paraId="41B1C076" w14:textId="77777777" w:rsidR="00223CF4" w:rsidRPr="00223CF4" w:rsidRDefault="00223CF4" w:rsidP="00223CF4">
      <w:pPr>
        <w:rPr>
          <w:rFonts w:cstheme="minorHAnsi"/>
        </w:rPr>
      </w:pPr>
    </w:p>
    <w:p w14:paraId="5B314EB3" w14:textId="77777777" w:rsidR="00223CF4" w:rsidRPr="00223CF4" w:rsidRDefault="00223CF4" w:rsidP="00223CF4">
      <w:pPr>
        <w:rPr>
          <w:rFonts w:cstheme="minorHAnsi"/>
        </w:rPr>
      </w:pPr>
    </w:p>
    <w:p w14:paraId="0DA50F15" w14:textId="77777777" w:rsidR="00223CF4" w:rsidRDefault="00223CF4" w:rsidP="00223CF4">
      <w:pPr>
        <w:rPr>
          <w:rFonts w:cstheme="minorHAnsi"/>
        </w:rPr>
      </w:pPr>
      <w:r w:rsidRPr="00223CF4">
        <w:rPr>
          <w:rFonts w:cstheme="minorHAnsi"/>
        </w:rPr>
        <w:lastRenderedPageBreak/>
        <w:t>Struktura webové stránky a databázového rozhraní byla navržena s ohledem na různé uživatelské potřeby. Hlavní stránka slouží jako úvodní bod pro návštěvníky, poskytuje základní informace a navigační menu, což zajišťuje přehlednou a intuitivní orientaci uživatelů.</w:t>
      </w:r>
    </w:p>
    <w:p w14:paraId="25B0DCAD" w14:textId="4B0A63AF" w:rsidR="00EA4A6D" w:rsidRDefault="00EA4A6D" w:rsidP="00EA4A6D">
      <w:pPr>
        <w:pStyle w:val="obrzky"/>
        <w:spacing w:after="0"/>
      </w:pPr>
      <w:bookmarkStart w:id="93" w:name="_Toc182992406"/>
      <w:r>
        <w:t>Obrázek 11.</w:t>
      </w:r>
      <w:bookmarkEnd w:id="93"/>
    </w:p>
    <w:p w14:paraId="1CEFE811" w14:textId="37F679F3" w:rsidR="00EA4A6D" w:rsidRPr="00EA4A6D" w:rsidRDefault="00EA4A6D" w:rsidP="00EA4A6D">
      <w:pPr>
        <w:spacing w:after="0"/>
        <w:ind w:firstLine="0"/>
        <w:rPr>
          <w:i/>
          <w:iCs/>
        </w:rPr>
      </w:pPr>
      <w:r w:rsidRPr="00EA4A6D">
        <w:rPr>
          <w:i/>
          <w:iCs/>
        </w:rPr>
        <w:t>Hlavní stránka výsledného webu (autor, 2024)</w:t>
      </w:r>
    </w:p>
    <w:p w14:paraId="5E858EE0" w14:textId="6AF5FC10" w:rsidR="00EA4A6D" w:rsidRPr="00223CF4" w:rsidRDefault="00EA4A6D" w:rsidP="005952ED">
      <w:pPr>
        <w:rPr>
          <w:rFonts w:cstheme="minorHAnsi"/>
        </w:rPr>
      </w:pPr>
      <w:r>
        <w:rPr>
          <w:rFonts w:cstheme="minorHAnsi"/>
          <w:noProof/>
        </w:rPr>
        <w:drawing>
          <wp:inline distT="0" distB="0" distL="0" distR="0" wp14:anchorId="6A630274" wp14:editId="6EFF7609">
            <wp:extent cx="4728845" cy="2942590"/>
            <wp:effectExtent l="0" t="0" r="0" b="0"/>
            <wp:docPr id="2000847878" name="Obrázek 1" descr="Obsah obrázku text, snímek obrazovky, software,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47878" name="Obrázek 1" descr="Obsah obrázku text, snímek obrazovky, software, Webová stránka&#10;&#10;Popis byl vytvořen automaticky"/>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2130"/>
                    <a:stretch/>
                  </pic:blipFill>
                  <pic:spPr bwMode="auto">
                    <a:xfrm>
                      <a:off x="0" y="0"/>
                      <a:ext cx="4728845" cy="2942590"/>
                    </a:xfrm>
                    <a:prstGeom prst="rect">
                      <a:avLst/>
                    </a:prstGeom>
                    <a:noFill/>
                    <a:ln>
                      <a:noFill/>
                    </a:ln>
                    <a:extLst>
                      <a:ext uri="{53640926-AAD7-44D8-BBD7-CCE9431645EC}">
                        <a14:shadowObscured xmlns:a14="http://schemas.microsoft.com/office/drawing/2010/main"/>
                      </a:ext>
                    </a:extLst>
                  </pic:spPr>
                </pic:pic>
              </a:graphicData>
            </a:graphic>
          </wp:inline>
        </w:drawing>
      </w:r>
    </w:p>
    <w:p w14:paraId="0FF91F5C" w14:textId="77777777" w:rsidR="00223CF4" w:rsidRDefault="00223CF4" w:rsidP="00223CF4">
      <w:pPr>
        <w:rPr>
          <w:rFonts w:cstheme="minorHAnsi"/>
        </w:rPr>
      </w:pPr>
      <w:r w:rsidRPr="00223CF4">
        <w:rPr>
          <w:rFonts w:cstheme="minorHAnsi"/>
        </w:rPr>
        <w:t>Jedním z klíčových prvků databáze je vyhledávací pole, které umožňuje rychlé a efektivní filtrování záznamů podle různých parametrů, jako jsou název látky, chemický vzorec, CAS číslo nebo typ látky (např. nervové, zpuchýřující látky). Tento nástroj zaručuje snadný přístup k požadovaným informacím a podporuje rychlou práci s databází.</w:t>
      </w:r>
    </w:p>
    <w:p w14:paraId="0C416508" w14:textId="57A4C8C5" w:rsidR="005952ED" w:rsidRDefault="005952ED" w:rsidP="005952ED">
      <w:pPr>
        <w:pStyle w:val="obrzky"/>
        <w:spacing w:after="0"/>
      </w:pPr>
      <w:bookmarkStart w:id="94" w:name="_Toc182992407"/>
      <w:r>
        <w:t>Obrázek 12.</w:t>
      </w:r>
      <w:bookmarkEnd w:id="94"/>
    </w:p>
    <w:p w14:paraId="77FF4046" w14:textId="070345FB" w:rsidR="005952ED" w:rsidRPr="005952ED" w:rsidRDefault="005952ED" w:rsidP="005952ED">
      <w:pPr>
        <w:spacing w:after="0"/>
        <w:ind w:firstLine="0"/>
      </w:pPr>
      <w:r w:rsidRPr="005952ED">
        <w:t xml:space="preserve">Ukázka filtrace </w:t>
      </w:r>
      <w:r>
        <w:t>webu (Autor, 2024)</w:t>
      </w:r>
    </w:p>
    <w:p w14:paraId="2947B7A5" w14:textId="2FDDCB21" w:rsidR="005952ED" w:rsidRPr="00223CF4" w:rsidRDefault="005952ED" w:rsidP="00223CF4">
      <w:pPr>
        <w:rPr>
          <w:rFonts w:cstheme="minorHAnsi"/>
        </w:rPr>
      </w:pPr>
      <w:r>
        <w:rPr>
          <w:rFonts w:cstheme="minorHAnsi"/>
          <w:noProof/>
        </w:rPr>
        <w:drawing>
          <wp:inline distT="0" distB="0" distL="0" distR="0" wp14:anchorId="10BA906C" wp14:editId="6E773A2B">
            <wp:extent cx="4729431" cy="2577465"/>
            <wp:effectExtent l="0" t="0" r="0" b="0"/>
            <wp:docPr id="47963752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2823" cy="2584763"/>
                    </a:xfrm>
                    <a:prstGeom prst="rect">
                      <a:avLst/>
                    </a:prstGeom>
                    <a:noFill/>
                    <a:ln>
                      <a:noFill/>
                    </a:ln>
                  </pic:spPr>
                </pic:pic>
              </a:graphicData>
            </a:graphic>
          </wp:inline>
        </w:drawing>
      </w:r>
    </w:p>
    <w:p w14:paraId="6334CAFC" w14:textId="77777777" w:rsidR="00223CF4" w:rsidRDefault="00223CF4" w:rsidP="00223CF4">
      <w:pPr>
        <w:rPr>
          <w:rFonts w:cstheme="minorHAnsi"/>
        </w:rPr>
      </w:pPr>
      <w:r w:rsidRPr="00223CF4">
        <w:rPr>
          <w:rFonts w:cstheme="minorHAnsi"/>
        </w:rPr>
        <w:lastRenderedPageBreak/>
        <w:t xml:space="preserve">Po výběru konkrétní látky se zobrazí její detailní karta, která obsahuje všechny důležité informace. Tyto údaje zahrnují název látky, chemický vzorec, CAS číslo, fyzikálně-chemické vlastnosti (např. bod varu, bod tání, rozpustnost), hodnoty toxicity (např. </w:t>
      </w:r>
      <w:proofErr w:type="spellStart"/>
      <w:r w:rsidRPr="00223CF4">
        <w:rPr>
          <w:rFonts w:cstheme="minorHAnsi"/>
        </w:rPr>
        <w:t>LCt</w:t>
      </w:r>
      <w:proofErr w:type="spellEnd"/>
      <w:r w:rsidRPr="00223CF4">
        <w:rPr>
          <w:rFonts w:cstheme="minorHAnsi"/>
        </w:rPr>
        <w:t xml:space="preserve">₅₀, </w:t>
      </w:r>
      <w:proofErr w:type="spellStart"/>
      <w:r w:rsidRPr="00223CF4">
        <w:rPr>
          <w:rFonts w:cstheme="minorHAnsi"/>
        </w:rPr>
        <w:t>ICt</w:t>
      </w:r>
      <w:proofErr w:type="spellEnd"/>
      <w:r w:rsidRPr="00223CF4">
        <w:rPr>
          <w:rFonts w:cstheme="minorHAnsi"/>
        </w:rPr>
        <w:t>₅₀, LD₅₀) a další poznámky, například historické nebo současné využití.</w:t>
      </w:r>
    </w:p>
    <w:p w14:paraId="7B5C1915" w14:textId="598D2B7D" w:rsidR="00223CF4" w:rsidRDefault="002F27FB" w:rsidP="002F27FB">
      <w:pPr>
        <w:pStyle w:val="obrzky"/>
        <w:spacing w:after="0"/>
      </w:pPr>
      <w:bookmarkStart w:id="95" w:name="_Toc182992408"/>
      <w:r>
        <w:t>Obrázek 13.</w:t>
      </w:r>
      <w:bookmarkEnd w:id="95"/>
    </w:p>
    <w:p w14:paraId="457C7351" w14:textId="4E93A8AD" w:rsidR="002F27FB" w:rsidRDefault="002F27FB" w:rsidP="002F27FB">
      <w:pPr>
        <w:spacing w:after="0"/>
        <w:ind w:firstLine="0"/>
        <w:rPr>
          <w:i/>
          <w:iCs/>
        </w:rPr>
      </w:pPr>
      <w:r w:rsidRPr="002F27FB">
        <w:rPr>
          <w:i/>
          <w:iCs/>
        </w:rPr>
        <w:t>Náhled na kartu jednotlivé látky</w:t>
      </w:r>
      <w:r>
        <w:rPr>
          <w:i/>
          <w:iCs/>
        </w:rPr>
        <w:t xml:space="preserve"> (Autor, 2024).</w:t>
      </w:r>
    </w:p>
    <w:p w14:paraId="47589EF2" w14:textId="1FCADAA6" w:rsidR="002F27FB" w:rsidRPr="002F27FB" w:rsidRDefault="002F27FB" w:rsidP="002F27FB">
      <w:pPr>
        <w:spacing w:after="0"/>
        <w:ind w:firstLine="0"/>
        <w:rPr>
          <w:i/>
          <w:iCs/>
        </w:rPr>
      </w:pPr>
      <w:r>
        <w:rPr>
          <w:i/>
          <w:iCs/>
          <w:noProof/>
        </w:rPr>
        <w:drawing>
          <wp:inline distT="0" distB="0" distL="0" distR="0" wp14:anchorId="3EB4AFC0" wp14:editId="6E699254">
            <wp:extent cx="5391150" cy="2943225"/>
            <wp:effectExtent l="0" t="0" r="0" b="9525"/>
            <wp:docPr id="95700257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150" cy="2943225"/>
                    </a:xfrm>
                    <a:prstGeom prst="rect">
                      <a:avLst/>
                    </a:prstGeom>
                    <a:noFill/>
                    <a:ln>
                      <a:noFill/>
                    </a:ln>
                  </pic:spPr>
                </pic:pic>
              </a:graphicData>
            </a:graphic>
          </wp:inline>
        </w:drawing>
      </w:r>
    </w:p>
    <w:p w14:paraId="56D1092D" w14:textId="4432DD88" w:rsidR="00223CF4" w:rsidRPr="00223CF4" w:rsidRDefault="00223CF4" w:rsidP="002F27FB">
      <w:pPr>
        <w:rPr>
          <w:rFonts w:cstheme="minorHAnsi"/>
        </w:rPr>
      </w:pPr>
      <w:r w:rsidRPr="00223CF4">
        <w:rPr>
          <w:rFonts w:cstheme="minorHAnsi"/>
        </w:rPr>
        <w:t>Administrátorská sekce umožňuje přístup pouze oprávněným osobám prostřednictvím uživatelského jména a hesla, jejichž udělení je plně pod mojí kontrolou. Administrátor má možnost přidávat nové záznamy, upravovat stávající data nebo mazat neplatné záznamy. Tento systém zajišťuje důslednou správu a aktualizaci databáze.</w:t>
      </w:r>
    </w:p>
    <w:p w14:paraId="2C59E5F4" w14:textId="77777777" w:rsidR="00223CF4" w:rsidRPr="00223CF4" w:rsidRDefault="00223CF4" w:rsidP="00223CF4">
      <w:pPr>
        <w:rPr>
          <w:rFonts w:cstheme="minorHAnsi"/>
        </w:rPr>
      </w:pPr>
      <w:r w:rsidRPr="00223CF4">
        <w:rPr>
          <w:rFonts w:cstheme="minorHAnsi"/>
        </w:rPr>
        <w:t>Design databáze je navržen minimalisticky, s důrazem na snadnou orientaci a čitelnost. Barevné schéma využívá neutrální pozadí, které zvýrazňuje důležité prvky. Použité fonty a rozložení prvků zajišťují pohodlné používání i při delší práci.</w:t>
      </w:r>
    </w:p>
    <w:p w14:paraId="0FD79CFB" w14:textId="77777777" w:rsidR="00223CF4" w:rsidRPr="00223CF4" w:rsidRDefault="00223CF4" w:rsidP="00223CF4">
      <w:pPr>
        <w:rPr>
          <w:rFonts w:cstheme="minorHAnsi"/>
        </w:rPr>
      </w:pPr>
      <w:r w:rsidRPr="00223CF4">
        <w:rPr>
          <w:rFonts w:cstheme="minorHAnsi"/>
        </w:rPr>
        <w:t>Velká pozornost byla věnována zabezpečení databáze. Přístupová práva mají pouze oprávnění uživatelé a veškerý přenos dat je chráněn šifrováním prostřednictvím SSL/TLS protokolu. Uživatelská aktivita je logována a pravidelné zálohování dat na zabezpečené servery zajišťuje kontinuitu v případě technických problémů.</w:t>
      </w:r>
    </w:p>
    <w:p w14:paraId="5DAE0CC4" w14:textId="77777777" w:rsidR="00223CF4" w:rsidRPr="00223CF4" w:rsidRDefault="00223CF4" w:rsidP="00223CF4">
      <w:pPr>
        <w:rPr>
          <w:rFonts w:cstheme="minorHAnsi"/>
        </w:rPr>
      </w:pPr>
      <w:r w:rsidRPr="00223CF4">
        <w:rPr>
          <w:rFonts w:cstheme="minorHAnsi"/>
        </w:rPr>
        <w:t>Databáze je také plně responzivní, což umožňuje její použití na různých zařízeních, jako jsou stolní počítače, tablety nebo mobilní telefony. Tato funkce zaručuje flexibilitu a přístupnost odkudkoliv.</w:t>
      </w:r>
    </w:p>
    <w:p w14:paraId="792CB542" w14:textId="77777777" w:rsidR="00223CF4" w:rsidRPr="00223CF4" w:rsidRDefault="00223CF4" w:rsidP="00223CF4">
      <w:pPr>
        <w:rPr>
          <w:rFonts w:cstheme="minorHAnsi"/>
        </w:rPr>
      </w:pPr>
      <w:r w:rsidRPr="00223CF4">
        <w:rPr>
          <w:rFonts w:cstheme="minorHAnsi"/>
        </w:rPr>
        <w:lastRenderedPageBreak/>
        <w:t>Celkově byla databáze navržena jako spolehlivý a bezpečný nástroj pro práci s údaji o bojových chemických látkách. Moderní design a robustní zabezpečení poskytují uživatelům přehledné prostředí a ochranu dat proti neoprávněnému přístupu.</w:t>
      </w:r>
    </w:p>
    <w:p w14:paraId="4EBB2A59" w14:textId="0D62C5BC" w:rsidR="00223CF4" w:rsidRPr="00223CF4" w:rsidRDefault="00223CF4" w:rsidP="00223CF4">
      <w:pPr>
        <w:pStyle w:val="Nadpis2"/>
      </w:pPr>
      <w:bookmarkStart w:id="96" w:name="_Toc183029572"/>
      <w:r w:rsidRPr="00223CF4">
        <w:t>Návrh konkrétních variant využití databáze</w:t>
      </w:r>
      <w:bookmarkEnd w:id="96"/>
    </w:p>
    <w:p w14:paraId="7D546607" w14:textId="77777777" w:rsidR="00223CF4" w:rsidRPr="00223CF4" w:rsidRDefault="00223CF4" w:rsidP="00223CF4">
      <w:pPr>
        <w:rPr>
          <w:rFonts w:cstheme="minorHAnsi"/>
        </w:rPr>
      </w:pPr>
      <w:r w:rsidRPr="00223CF4">
        <w:rPr>
          <w:rFonts w:cstheme="minorHAnsi"/>
        </w:rPr>
        <w:t>Vytvořená databáze představuje cenný nástroj, který může být efektivně využit specialisty na ochranu obyvatelstva, stejně jako ve školských zařízeních, zejména v oblasti vzdělávání a přípravy na mimořádné situace. Výsledkem těchto aktivit jsou mimo jiné webové stránky dostupné na adrese www.bojovechemickelatky.cz, které nabízejí moderní a uživatelsky přívětivý přístup k informacím o bojových chemických látkách. Níže jsou navrženy konkrétní možnosti aplikace databáze, které reflektují různé potřeby těchto uživatelských skupin.</w:t>
      </w:r>
    </w:p>
    <w:p w14:paraId="35ECEED8" w14:textId="149E427B" w:rsidR="00223CF4" w:rsidRPr="00223CF4" w:rsidRDefault="00223CF4" w:rsidP="00FB5848">
      <w:pPr>
        <w:pStyle w:val="Nadpis3"/>
      </w:pPr>
      <w:bookmarkStart w:id="97" w:name="_Toc183029573"/>
      <w:r w:rsidRPr="00223CF4">
        <w:t>Využití databáze specialisty na ochranu obyvatelstva</w:t>
      </w:r>
      <w:bookmarkEnd w:id="97"/>
    </w:p>
    <w:p w14:paraId="5D93A0E5" w14:textId="77777777" w:rsidR="00223CF4" w:rsidRPr="00223CF4" w:rsidRDefault="00223CF4" w:rsidP="00223CF4">
      <w:pPr>
        <w:rPr>
          <w:rFonts w:cstheme="minorHAnsi"/>
        </w:rPr>
      </w:pPr>
      <w:r w:rsidRPr="00223CF4">
        <w:rPr>
          <w:rFonts w:cstheme="minorHAnsi"/>
        </w:rPr>
        <w:t>Specialisté na ochranu obyvatelstva, jako jsou hasiči, chemici a záchranné složky, mohou databázi bojových chemických látek využívat jako klíčový nástroj pro efektivní krizové plánování, prevenci a rychlou reakci na chemické hrozby. Databáze jim poskytuje rychlý přístup k důležitým informacím, podporu při tvorbě krizových opatření a možnost jejího využití v rámci vzdělávacích a výcvikových programů.</w:t>
      </w:r>
    </w:p>
    <w:p w14:paraId="03905586" w14:textId="77777777" w:rsidR="00223CF4" w:rsidRPr="00223CF4" w:rsidRDefault="00223CF4" w:rsidP="00223CF4">
      <w:pPr>
        <w:rPr>
          <w:rFonts w:cstheme="minorHAnsi"/>
        </w:rPr>
      </w:pPr>
      <w:r w:rsidRPr="00223CF4">
        <w:rPr>
          <w:rFonts w:cstheme="minorHAnsi"/>
        </w:rPr>
        <w:t>Rychlý přístup k informacím při zásahu je jedním z hlavních přínosů databáze. V případě chemického incidentu umožňuje okamžité vyhledání specifických údajů o dané látce, například jejích fyzikálně-chemických vlastností, účinků na zdraví a doporučených ochranných opatření. Při podezření na únik nervového plynu by záchranné složky mohly rychle zjistit informace, jako je bod varu látky, její toxicita a vhodné filtrační prostředky, což by zásadně zlepšilo jejich schopnost správně reagovat.</w:t>
      </w:r>
    </w:p>
    <w:p w14:paraId="532DB179" w14:textId="77777777" w:rsidR="00223CF4" w:rsidRPr="00223CF4" w:rsidRDefault="00223CF4" w:rsidP="00223CF4">
      <w:pPr>
        <w:rPr>
          <w:rFonts w:cstheme="minorHAnsi"/>
        </w:rPr>
      </w:pPr>
      <w:r w:rsidRPr="00223CF4">
        <w:rPr>
          <w:rFonts w:cstheme="minorHAnsi"/>
        </w:rPr>
        <w:t>Databáze také výrazně podporuje plánování krizových opatření. Její využití při tvorbě krizových scénářů umožňuje odborníkům identifikovat potenciální rizika v určitém regionu, například v blízkosti průmyslových zón, a navrhnout vhodná preventivní opatření. Díky dostupným datům o fyzikálních vlastnostech chemických látek je navíc možné simulovat jejich šíření v různých podmínkách, což usnadňuje přípravu na reálné situace.</w:t>
      </w:r>
    </w:p>
    <w:p w14:paraId="1AFE46DA" w14:textId="77777777" w:rsidR="00223CF4" w:rsidRPr="00223CF4" w:rsidRDefault="00223CF4" w:rsidP="00223CF4">
      <w:pPr>
        <w:rPr>
          <w:rFonts w:cstheme="minorHAnsi"/>
        </w:rPr>
      </w:pPr>
      <w:r w:rsidRPr="00223CF4">
        <w:rPr>
          <w:rFonts w:cstheme="minorHAnsi"/>
        </w:rPr>
        <w:t>V oblasti vzdělávání a výcviku záchranných složek se databáze osvědčuje jako užitečný nástroj pro školení nových pracovníků. Poskytuje podklady pro modelové situace, při nichž účastníci analyzují vlastnosti konkrétních látek a navrhují optimální zásahové strategie. Tento přístup zvyšuje připravenost záchranných týmů na zvládání mimořádných situací a podporuje jejich odborný rozvoj.</w:t>
      </w:r>
    </w:p>
    <w:p w14:paraId="5C478FE3" w14:textId="7A1CF379" w:rsidR="00223CF4" w:rsidRPr="00223CF4" w:rsidRDefault="00223CF4" w:rsidP="00223CF4">
      <w:pPr>
        <w:pStyle w:val="Nadpis3"/>
      </w:pPr>
      <w:bookmarkStart w:id="98" w:name="_Toc183029574"/>
      <w:r w:rsidRPr="00223CF4">
        <w:lastRenderedPageBreak/>
        <w:t>Využití databáze ve školských zařízeních</w:t>
      </w:r>
      <w:bookmarkEnd w:id="98"/>
    </w:p>
    <w:p w14:paraId="4067E250" w14:textId="77777777" w:rsidR="00223CF4" w:rsidRPr="00223CF4" w:rsidRDefault="00223CF4" w:rsidP="00223CF4">
      <w:pPr>
        <w:rPr>
          <w:rFonts w:cstheme="minorHAnsi"/>
        </w:rPr>
      </w:pPr>
      <w:r w:rsidRPr="00223CF4">
        <w:rPr>
          <w:rFonts w:cstheme="minorHAnsi"/>
        </w:rPr>
        <w:t>Databáze bojových chemických látek nachází široké uplatnění ve školských a vysokoškolských zařízeních, zejména v oblasti vzdělávání a výzkumu. Podporuje jak teoretickou výuku, tak praktické dovednosti studentů, čímž přispívá k jejich komplexnímu vzdělání a připravenosti na řešení mimořádných situací.</w:t>
      </w:r>
    </w:p>
    <w:p w14:paraId="6C61F1A6" w14:textId="77777777" w:rsidR="00223CF4" w:rsidRPr="00223CF4" w:rsidRDefault="00223CF4" w:rsidP="00223CF4">
      <w:pPr>
        <w:rPr>
          <w:rFonts w:cstheme="minorHAnsi"/>
        </w:rPr>
      </w:pPr>
      <w:r w:rsidRPr="00223CF4">
        <w:rPr>
          <w:rFonts w:cstheme="minorHAnsi"/>
        </w:rPr>
        <w:t>Podpora výuky chemie a toxikologie je jednou z hlavních výhod databáze. Studenti ji mohou využívat k detailnímu zkoumání chemických vlastností bojových látek, jejich mechanismů účinku a způsobů ochrany. Tím se prohlubuje jejich pochopení chemických a biologických procesů. Například v předmětech zaměřených na toxikologii mohou analyzovat účinky různých látek na lidský organismus a diskutovat o možných preventivních opatřeních. Tento přístup podporuje kritické myšlení a propojuje teoretické znalosti s praktickými aplikacemi.</w:t>
      </w:r>
    </w:p>
    <w:p w14:paraId="04805E4D" w14:textId="77777777" w:rsidR="00223CF4" w:rsidRPr="00223CF4" w:rsidRDefault="00223CF4" w:rsidP="00223CF4">
      <w:pPr>
        <w:rPr>
          <w:rFonts w:cstheme="minorHAnsi"/>
        </w:rPr>
      </w:pPr>
      <w:r w:rsidRPr="00223CF4">
        <w:rPr>
          <w:rFonts w:cstheme="minorHAnsi"/>
        </w:rPr>
        <w:t>Databáze rovněž slouží jako nástroj pro přípravu na mimořádné situace v rámci bezpečnostního vzdělávání. Studenti mohou řešit modelové situace, jako je únik nebezpečné chemikálie, a navrhovat opatření na ochranu obyvatelstva. Příkladem by mohla být simulace situace, kdy dojde k úniku toxické látky, během níž studenti analyzují rizika, plánují evakuaci a vybírají vhodné ochranné prostředky. Tyto tréninkové aktivity zlepšují schopnosti studentů reagovat na krizové situace a připravují je na reálné výzvy.</w:t>
      </w:r>
    </w:p>
    <w:p w14:paraId="4BAE6027" w14:textId="77777777" w:rsidR="00223CF4" w:rsidRPr="00223CF4" w:rsidRDefault="00223CF4" w:rsidP="00223CF4">
      <w:pPr>
        <w:rPr>
          <w:rFonts w:cstheme="minorHAnsi"/>
        </w:rPr>
      </w:pPr>
      <w:r w:rsidRPr="00223CF4">
        <w:rPr>
          <w:rFonts w:cstheme="minorHAnsi"/>
        </w:rPr>
        <w:t>Pro akademické pracovníky a studenty zaměřené na vědecký výzkum představuje databáze platformu pro výzkum v oblasti chemických látek, jejich vlastností a bezpečnostních opatření. Díky dostupným informacím mohou realizovat projekty zaměřené na analýzu interakcí látek s prostředím nebo na modelování jejich šíření v různých podmínkách. Doplnění databáze o simulační moduly by dále rozšířilo její využití ve výzkumných aktivitách a podpořilo inovativní přístupy k řešení environmentálních a bezpečnostních problémů.</w:t>
      </w:r>
    </w:p>
    <w:p w14:paraId="7EDF55F9" w14:textId="46D00AE0" w:rsidR="00223CF4" w:rsidRPr="00223CF4" w:rsidRDefault="00223CF4" w:rsidP="00223CF4">
      <w:pPr>
        <w:pStyle w:val="Nadpis3"/>
      </w:pPr>
      <w:bookmarkStart w:id="99" w:name="_Toc183029575"/>
      <w:r w:rsidRPr="00223CF4">
        <w:t>Webová a mobilní aplikace pro širší přístupnost</w:t>
      </w:r>
      <w:bookmarkEnd w:id="99"/>
    </w:p>
    <w:p w14:paraId="58F23C00" w14:textId="77777777" w:rsidR="00223CF4" w:rsidRPr="00223CF4" w:rsidRDefault="00223CF4" w:rsidP="00223CF4">
      <w:pPr>
        <w:rPr>
          <w:rFonts w:cstheme="minorHAnsi"/>
        </w:rPr>
      </w:pPr>
      <w:r w:rsidRPr="00223CF4">
        <w:rPr>
          <w:rFonts w:cstheme="minorHAnsi"/>
        </w:rPr>
        <w:t>Rozšířením databáze do podoby webové nebo mobilní aplikace na adrese www.bojovechemickelatky.cz bylo dosaženo větší přístupnosti pro specialisty i studenty. Hlavní funkce aplikace zahrnují:</w:t>
      </w:r>
    </w:p>
    <w:p w14:paraId="5FF4A04B" w14:textId="77777777" w:rsidR="00223CF4" w:rsidRPr="00223CF4" w:rsidRDefault="00223CF4" w:rsidP="00223CF4">
      <w:pPr>
        <w:rPr>
          <w:rFonts w:cstheme="minorHAnsi"/>
        </w:rPr>
      </w:pPr>
      <w:r w:rsidRPr="00223CF4">
        <w:rPr>
          <w:rFonts w:cstheme="minorHAnsi"/>
        </w:rPr>
        <w:t>•</w:t>
      </w:r>
      <w:r w:rsidRPr="00223CF4">
        <w:rPr>
          <w:rFonts w:cstheme="minorHAnsi"/>
        </w:rPr>
        <w:tab/>
        <w:t>Vyhledávání látek podle názvu nebo chemického vzorce.</w:t>
      </w:r>
    </w:p>
    <w:p w14:paraId="46B64459" w14:textId="77777777" w:rsidR="00223CF4" w:rsidRPr="00223CF4" w:rsidRDefault="00223CF4" w:rsidP="00223CF4">
      <w:pPr>
        <w:rPr>
          <w:rFonts w:cstheme="minorHAnsi"/>
        </w:rPr>
      </w:pPr>
      <w:r w:rsidRPr="00223CF4">
        <w:rPr>
          <w:rFonts w:cstheme="minorHAnsi"/>
        </w:rPr>
        <w:t>•</w:t>
      </w:r>
      <w:r w:rsidRPr="00223CF4">
        <w:rPr>
          <w:rFonts w:cstheme="minorHAnsi"/>
        </w:rPr>
        <w:tab/>
        <w:t>Poskytování praktických návodů a doporučení pro ochranu.</w:t>
      </w:r>
    </w:p>
    <w:p w14:paraId="5968E1C6" w14:textId="77777777" w:rsidR="00223CF4" w:rsidRPr="00223CF4" w:rsidRDefault="00223CF4" w:rsidP="00223CF4">
      <w:pPr>
        <w:rPr>
          <w:rFonts w:cstheme="minorHAnsi"/>
        </w:rPr>
      </w:pPr>
      <w:r w:rsidRPr="00223CF4">
        <w:rPr>
          <w:rFonts w:cstheme="minorHAnsi"/>
        </w:rPr>
        <w:t>•</w:t>
      </w:r>
      <w:r w:rsidRPr="00223CF4">
        <w:rPr>
          <w:rFonts w:cstheme="minorHAnsi"/>
        </w:rPr>
        <w:tab/>
        <w:t>Ukládání a sdílení scénářů pro výuku nebo krizové plány.</w:t>
      </w:r>
    </w:p>
    <w:p w14:paraId="27AA41CC" w14:textId="77777777" w:rsidR="00223CF4" w:rsidRPr="00223CF4" w:rsidRDefault="00223CF4" w:rsidP="00223CF4">
      <w:pPr>
        <w:rPr>
          <w:rFonts w:cstheme="minorHAnsi"/>
        </w:rPr>
      </w:pPr>
      <w:r w:rsidRPr="00223CF4">
        <w:rPr>
          <w:rFonts w:cstheme="minorHAnsi"/>
        </w:rPr>
        <w:t xml:space="preserve">Navržené varianty využití databáze ukazují její univerzálnost a potenciál pro různé cílové skupiny. Implementace databáze do praxe nejen podpoří odbornou přípravu specialistů a </w:t>
      </w:r>
      <w:r w:rsidRPr="00223CF4">
        <w:rPr>
          <w:rFonts w:cstheme="minorHAnsi"/>
        </w:rPr>
        <w:lastRenderedPageBreak/>
        <w:t>studentů, ale také přispěje k větší bezpečnosti obyvatelstva a prevenci chemických hrozeb. Tím se databáze stává nejen vzdělávacím nástrojem, ale i efektivním prostředkem ochrany obyvatel.</w:t>
      </w:r>
    </w:p>
    <w:p w14:paraId="58B90B99" w14:textId="37C6456E" w:rsidR="00223CF4" w:rsidRPr="00223CF4" w:rsidRDefault="00223CF4" w:rsidP="00223CF4">
      <w:pPr>
        <w:pStyle w:val="Nadpis2"/>
      </w:pPr>
      <w:bookmarkStart w:id="100" w:name="_Toc183029576"/>
      <w:r w:rsidRPr="00223CF4">
        <w:t>Existující databáze</w:t>
      </w:r>
      <w:bookmarkEnd w:id="100"/>
      <w:r w:rsidRPr="00223CF4">
        <w:t xml:space="preserve"> </w:t>
      </w:r>
    </w:p>
    <w:p w14:paraId="4DFEDB7A" w14:textId="77777777" w:rsidR="00223CF4" w:rsidRPr="00223CF4" w:rsidRDefault="00223CF4" w:rsidP="00223CF4">
      <w:pPr>
        <w:rPr>
          <w:rFonts w:cstheme="minorHAnsi"/>
        </w:rPr>
      </w:pPr>
      <w:r w:rsidRPr="00223CF4">
        <w:rPr>
          <w:rFonts w:cstheme="minorHAnsi"/>
        </w:rPr>
        <w:t>Existuje několik významných databází a zdrojů, které poskytují informace o chemických bojových látkách, včetně bojových chemických plynů. Tyto databáze jsou využívány vědeckými pracovníky, zdravotnickými institucemi a bezpečnostními agenturami k identifikaci a studiu chemických zbraní a toxických látek.</w:t>
      </w:r>
    </w:p>
    <w:p w14:paraId="0394FC41" w14:textId="77777777" w:rsidR="008E15FA" w:rsidRDefault="008E15FA" w:rsidP="008E15FA">
      <w:pPr>
        <w:ind w:firstLine="0"/>
        <w:rPr>
          <w:rFonts w:cstheme="minorHAnsi"/>
        </w:rPr>
      </w:pPr>
    </w:p>
    <w:p w14:paraId="4536AA91" w14:textId="7DE2DF14" w:rsidR="00223CF4" w:rsidRPr="008E15FA" w:rsidRDefault="00223CF4" w:rsidP="008E15FA">
      <w:pPr>
        <w:pStyle w:val="Odstavecseseznamem"/>
        <w:numPr>
          <w:ilvl w:val="0"/>
          <w:numId w:val="34"/>
        </w:numPr>
        <w:rPr>
          <w:rFonts w:cstheme="minorHAnsi"/>
          <w:b/>
          <w:bCs/>
        </w:rPr>
      </w:pPr>
      <w:proofErr w:type="spellStart"/>
      <w:r w:rsidRPr="008E15FA">
        <w:rPr>
          <w:rFonts w:cstheme="minorHAnsi"/>
          <w:b/>
          <w:bCs/>
        </w:rPr>
        <w:t>PubChem</w:t>
      </w:r>
      <w:proofErr w:type="spellEnd"/>
    </w:p>
    <w:p w14:paraId="5D3A4EF2" w14:textId="77777777" w:rsidR="00223CF4" w:rsidRPr="00223CF4" w:rsidRDefault="00223CF4" w:rsidP="00223CF4">
      <w:pPr>
        <w:rPr>
          <w:rFonts w:cstheme="minorHAnsi"/>
        </w:rPr>
      </w:pPr>
      <w:proofErr w:type="spellStart"/>
      <w:r w:rsidRPr="00223CF4">
        <w:rPr>
          <w:rFonts w:cstheme="minorHAnsi"/>
        </w:rPr>
        <w:t>PubChem</w:t>
      </w:r>
      <w:proofErr w:type="spellEnd"/>
      <w:r w:rsidRPr="00223CF4">
        <w:rPr>
          <w:rFonts w:cstheme="minorHAnsi"/>
        </w:rPr>
        <w:t xml:space="preserve"> je volně dostupná databáze chemických látek spravovaná americkou organizací </w:t>
      </w:r>
      <w:proofErr w:type="spellStart"/>
      <w:r w:rsidRPr="00223CF4">
        <w:rPr>
          <w:rFonts w:cstheme="minorHAnsi"/>
        </w:rPr>
        <w:t>National</w:t>
      </w:r>
      <w:proofErr w:type="spellEnd"/>
      <w:r w:rsidRPr="00223CF4">
        <w:rPr>
          <w:rFonts w:cstheme="minorHAnsi"/>
        </w:rPr>
        <w:t xml:space="preserve"> </w:t>
      </w:r>
      <w:proofErr w:type="spellStart"/>
      <w:r w:rsidRPr="00223CF4">
        <w:rPr>
          <w:rFonts w:cstheme="minorHAnsi"/>
        </w:rPr>
        <w:t>Institutes</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Health</w:t>
      </w:r>
      <w:proofErr w:type="spellEnd"/>
      <w:r w:rsidRPr="00223CF4">
        <w:rPr>
          <w:rFonts w:cstheme="minorHAnsi"/>
        </w:rPr>
        <w:t xml:space="preserve"> (NIH). Tato databáze nabízí podrobné informace o širokém spektru chemických látek, včetně chemických zbraní. Uživatelé mohou vyhledávat chemické látky podle názvu, chemického vzorce nebo struktury. </w:t>
      </w:r>
      <w:proofErr w:type="spellStart"/>
      <w:r w:rsidRPr="00223CF4">
        <w:rPr>
          <w:rFonts w:cstheme="minorHAnsi"/>
        </w:rPr>
        <w:t>PubChem</w:t>
      </w:r>
      <w:proofErr w:type="spellEnd"/>
      <w:r w:rsidRPr="00223CF4">
        <w:rPr>
          <w:rFonts w:cstheme="minorHAnsi"/>
        </w:rPr>
        <w:t xml:space="preserve"> poskytuje rozsáhlé informace o vlastnostech těchto látek, jejich toxicitě, použití a potenciálních zdravotních účincích. Díky své přístupnosti a obsáhlým údajům představuje </w:t>
      </w:r>
      <w:proofErr w:type="spellStart"/>
      <w:r w:rsidRPr="00223CF4">
        <w:rPr>
          <w:rFonts w:cstheme="minorHAnsi"/>
        </w:rPr>
        <w:t>PubChem</w:t>
      </w:r>
      <w:proofErr w:type="spellEnd"/>
      <w:r w:rsidRPr="00223CF4">
        <w:rPr>
          <w:rFonts w:cstheme="minorHAnsi"/>
        </w:rPr>
        <w:t xml:space="preserve"> klíčový nástroj pro odborníky i širokou veřejnost, kteří potřebují spolehlivé informace o chemických látkách.</w:t>
      </w:r>
    </w:p>
    <w:p w14:paraId="3936278F" w14:textId="20FD0EC2" w:rsidR="00223CF4" w:rsidRPr="008E15FA" w:rsidRDefault="00223CF4" w:rsidP="008E15FA">
      <w:pPr>
        <w:rPr>
          <w:rFonts w:cstheme="minorHAnsi"/>
        </w:rPr>
      </w:pPr>
      <w:r w:rsidRPr="008E15FA">
        <w:rPr>
          <w:rFonts w:cstheme="minorHAnsi"/>
        </w:rPr>
        <w:t xml:space="preserve">Pozitiva: </w:t>
      </w:r>
      <w:proofErr w:type="spellStart"/>
      <w:r w:rsidRPr="008E15FA">
        <w:rPr>
          <w:rFonts w:cstheme="minorHAnsi"/>
        </w:rPr>
        <w:t>PubChem</w:t>
      </w:r>
      <w:proofErr w:type="spellEnd"/>
      <w:r w:rsidRPr="008E15FA">
        <w:rPr>
          <w:rFonts w:cstheme="minorHAnsi"/>
        </w:rPr>
        <w:t xml:space="preserve"> se vyznačuje několika klíčovými výhodami. Databáze nabízí vysokou míru komplexnosti, protože obsahuje rozsáhlé informace o chemických látkách, jejich vlastnostech, toxicitě, biologické aktivitě a možnostech použití. Díky interaktivním funkcím umožňuje uživatelům snadno vyhledávat látky podle názvu, chemického vzorce nebo struktury, což značně usnadňuje práci s daty. Její spolehlivost je zajištěna správou americkou vládní organizací </w:t>
      </w:r>
      <w:proofErr w:type="spellStart"/>
      <w:r w:rsidRPr="008E15FA">
        <w:rPr>
          <w:rFonts w:cstheme="minorHAnsi"/>
        </w:rPr>
        <w:t>National</w:t>
      </w:r>
      <w:proofErr w:type="spellEnd"/>
      <w:r w:rsidRPr="008E15FA">
        <w:rPr>
          <w:rFonts w:cstheme="minorHAnsi"/>
        </w:rPr>
        <w:t xml:space="preserve"> </w:t>
      </w:r>
      <w:proofErr w:type="spellStart"/>
      <w:r w:rsidRPr="008E15FA">
        <w:rPr>
          <w:rFonts w:cstheme="minorHAnsi"/>
        </w:rPr>
        <w:t>Institutes</w:t>
      </w:r>
      <w:proofErr w:type="spellEnd"/>
      <w:r w:rsidRPr="008E15FA">
        <w:rPr>
          <w:rFonts w:cstheme="minorHAnsi"/>
        </w:rPr>
        <w:t xml:space="preserve"> </w:t>
      </w:r>
      <w:proofErr w:type="spellStart"/>
      <w:r w:rsidRPr="008E15FA">
        <w:rPr>
          <w:rFonts w:cstheme="minorHAnsi"/>
        </w:rPr>
        <w:t>of</w:t>
      </w:r>
      <w:proofErr w:type="spellEnd"/>
      <w:r w:rsidRPr="008E15FA">
        <w:rPr>
          <w:rFonts w:cstheme="minorHAnsi"/>
        </w:rPr>
        <w:t xml:space="preserve"> </w:t>
      </w:r>
      <w:proofErr w:type="spellStart"/>
      <w:r w:rsidRPr="008E15FA">
        <w:rPr>
          <w:rFonts w:cstheme="minorHAnsi"/>
        </w:rPr>
        <w:t>Health</w:t>
      </w:r>
      <w:proofErr w:type="spellEnd"/>
      <w:r w:rsidRPr="008E15FA">
        <w:rPr>
          <w:rFonts w:cstheme="minorHAnsi"/>
        </w:rPr>
        <w:t xml:space="preserve"> (NIH), která garantuje vědecky ověřené údaje. Navíc má </w:t>
      </w:r>
      <w:proofErr w:type="spellStart"/>
      <w:r w:rsidRPr="008E15FA">
        <w:rPr>
          <w:rFonts w:cstheme="minorHAnsi"/>
        </w:rPr>
        <w:t>PubChem</w:t>
      </w:r>
      <w:proofErr w:type="spellEnd"/>
      <w:r w:rsidRPr="008E15FA">
        <w:rPr>
          <w:rFonts w:cstheme="minorHAnsi"/>
        </w:rPr>
        <w:t xml:space="preserve"> mezinárodní zaměření, protože obsahuje data shromážděná z celosvětových zdrojů, což ji činí užitečnou pro globální výzkum.</w:t>
      </w:r>
    </w:p>
    <w:p w14:paraId="6D9867B2" w14:textId="2A54B46A" w:rsidR="00223CF4" w:rsidRPr="008E15FA" w:rsidRDefault="00223CF4" w:rsidP="008E15FA">
      <w:pPr>
        <w:rPr>
          <w:rFonts w:cstheme="minorHAnsi"/>
        </w:rPr>
      </w:pPr>
      <w:r w:rsidRPr="008E15FA">
        <w:rPr>
          <w:rFonts w:cstheme="minorHAnsi"/>
        </w:rPr>
        <w:t xml:space="preserve">Negativa: Navzdory svým výhodám má </w:t>
      </w:r>
      <w:proofErr w:type="spellStart"/>
      <w:r w:rsidRPr="008E15FA">
        <w:rPr>
          <w:rFonts w:cstheme="minorHAnsi"/>
        </w:rPr>
        <w:t>PubChem</w:t>
      </w:r>
      <w:proofErr w:type="spellEnd"/>
      <w:r w:rsidRPr="008E15FA">
        <w:rPr>
          <w:rFonts w:cstheme="minorHAnsi"/>
        </w:rPr>
        <w:t xml:space="preserve"> také určité nevýhody. Jednou z nich je jeho obecnost – databáze není zaměřena specificky na BCHL, což znamená, že pro tento účel může být nutné další zpracování a filtrování informací. Dalším záporem je velký objem dat, který může být pro uživatele bez větších zkušeností obtížný na orientaci a ztěžovat vyhledání konkrétních relevantních informací.</w:t>
      </w:r>
    </w:p>
    <w:p w14:paraId="082B7B05" w14:textId="77777777" w:rsidR="008E15FA" w:rsidRDefault="008E15FA" w:rsidP="008E15FA">
      <w:pPr>
        <w:rPr>
          <w:rFonts w:cstheme="minorHAnsi"/>
        </w:rPr>
      </w:pPr>
    </w:p>
    <w:p w14:paraId="767DFF12" w14:textId="77777777" w:rsidR="008E15FA" w:rsidRPr="008E15FA" w:rsidRDefault="008E15FA" w:rsidP="008E15FA">
      <w:pPr>
        <w:rPr>
          <w:rFonts w:cstheme="minorHAnsi"/>
        </w:rPr>
      </w:pPr>
    </w:p>
    <w:p w14:paraId="0ACF1433" w14:textId="77777777" w:rsidR="00223CF4" w:rsidRPr="00223CF4" w:rsidRDefault="00223CF4" w:rsidP="00223CF4">
      <w:pPr>
        <w:rPr>
          <w:rFonts w:cstheme="minorHAnsi"/>
        </w:rPr>
      </w:pPr>
    </w:p>
    <w:p w14:paraId="454697CF" w14:textId="77777777" w:rsidR="00223CF4" w:rsidRPr="003D255C" w:rsidRDefault="00223CF4" w:rsidP="008E15FA">
      <w:pPr>
        <w:pStyle w:val="Odstavecseseznamem"/>
        <w:numPr>
          <w:ilvl w:val="0"/>
          <w:numId w:val="34"/>
        </w:numPr>
        <w:rPr>
          <w:rFonts w:cstheme="minorHAnsi"/>
          <w:b/>
          <w:bCs/>
        </w:rPr>
      </w:pPr>
      <w:proofErr w:type="spellStart"/>
      <w:r w:rsidRPr="003D255C">
        <w:rPr>
          <w:rFonts w:cstheme="minorHAnsi"/>
          <w:b/>
          <w:bCs/>
        </w:rPr>
        <w:lastRenderedPageBreak/>
        <w:t>European</w:t>
      </w:r>
      <w:proofErr w:type="spellEnd"/>
      <w:r w:rsidRPr="003D255C">
        <w:rPr>
          <w:rFonts w:cstheme="minorHAnsi"/>
          <w:b/>
          <w:bCs/>
        </w:rPr>
        <w:t xml:space="preserve"> </w:t>
      </w:r>
      <w:proofErr w:type="spellStart"/>
      <w:r w:rsidRPr="003D255C">
        <w:rPr>
          <w:rFonts w:cstheme="minorHAnsi"/>
          <w:b/>
          <w:bCs/>
        </w:rPr>
        <w:t>Chemicals</w:t>
      </w:r>
      <w:proofErr w:type="spellEnd"/>
      <w:r w:rsidRPr="003D255C">
        <w:rPr>
          <w:rFonts w:cstheme="minorHAnsi"/>
          <w:b/>
          <w:bCs/>
        </w:rPr>
        <w:t xml:space="preserve"> </w:t>
      </w:r>
      <w:proofErr w:type="spellStart"/>
      <w:r w:rsidRPr="003D255C">
        <w:rPr>
          <w:rFonts w:cstheme="minorHAnsi"/>
          <w:b/>
          <w:bCs/>
        </w:rPr>
        <w:t>Agency</w:t>
      </w:r>
      <w:proofErr w:type="spellEnd"/>
      <w:r w:rsidRPr="003D255C">
        <w:rPr>
          <w:rFonts w:cstheme="minorHAnsi"/>
          <w:b/>
          <w:bCs/>
        </w:rPr>
        <w:t xml:space="preserve"> (ECHA)</w:t>
      </w:r>
    </w:p>
    <w:p w14:paraId="403AAB47" w14:textId="77777777" w:rsidR="00223CF4" w:rsidRPr="00223CF4" w:rsidRDefault="00223CF4" w:rsidP="00223CF4">
      <w:pPr>
        <w:rPr>
          <w:rFonts w:cstheme="minorHAnsi"/>
        </w:rPr>
      </w:pPr>
      <w:r w:rsidRPr="00223CF4">
        <w:rPr>
          <w:rFonts w:cstheme="minorHAnsi"/>
        </w:rPr>
        <w:t>Databáze ECHA, spravovaná Evropskou agenturou pro chemické látky, obsahuje informace o chemických látkách registrovaných v EU dle nařízení REACH a CLP. Poskytuje údaje o vlastnostech, toxicitě, použití a bezpečnostních opatřeních, včetně látek s potenciálním vojenským využitím.</w:t>
      </w:r>
    </w:p>
    <w:p w14:paraId="25C99CC9" w14:textId="77777777" w:rsidR="00223CF4" w:rsidRPr="00223CF4" w:rsidRDefault="00223CF4" w:rsidP="00223CF4">
      <w:pPr>
        <w:rPr>
          <w:rFonts w:cstheme="minorHAnsi"/>
        </w:rPr>
      </w:pPr>
      <w:r w:rsidRPr="00223CF4">
        <w:rPr>
          <w:rFonts w:cstheme="minorHAnsi"/>
        </w:rPr>
        <w:t>Slouží odborníkům, výrobcům i veřejnosti k hodnocení rizik, plnění legislativních požadavků a bezpečnému používání chemických látek. Nabízí informace o nebezpečných vlastnostech, doporučení pro dekontaminaci a podporu při hledání alternativ ke škodlivým látkám. ECHA je klíčový nástroj pro regulaci, vzdělávání a inovace v oblasti chemie.</w:t>
      </w:r>
    </w:p>
    <w:p w14:paraId="3D2EF5DA" w14:textId="77777777" w:rsidR="00223CF4" w:rsidRPr="00223CF4" w:rsidRDefault="00223CF4" w:rsidP="00223CF4">
      <w:pPr>
        <w:rPr>
          <w:rFonts w:cstheme="minorHAnsi"/>
        </w:rPr>
      </w:pPr>
      <w:r w:rsidRPr="00223CF4">
        <w:rPr>
          <w:rFonts w:cstheme="minorHAnsi"/>
        </w:rPr>
        <w:t>ECHA Databáze má několik výrazných výhod. Mezi ně patří její regulační zaměření, které zahrnuje informace o látkách registrovaných v Evropské unii podle nařízení REACH a CLP. Databáze obsahuje údaje o nebezpečných vlastnostech látek a poskytuje doporučení pro jejich dekontaminaci, což ji činí velmi užitečnou v oblasti chemické bezpečnosti. Je rovněž ideální pro studium chemických látek v souladu s evropskou legislativou, čímž podporuje výzkum odpovídající platným právním normám. Další výhodou je její přehlednost, která umožňuje snadný přístup k datům o chemických látkách a jejich klasifikaci.</w:t>
      </w:r>
    </w:p>
    <w:p w14:paraId="4D9A7B2B" w14:textId="77777777" w:rsidR="00223CF4" w:rsidRDefault="00223CF4" w:rsidP="00223CF4">
      <w:pPr>
        <w:rPr>
          <w:rFonts w:cstheme="minorHAnsi"/>
        </w:rPr>
      </w:pPr>
      <w:r w:rsidRPr="00223CF4">
        <w:rPr>
          <w:rFonts w:cstheme="minorHAnsi"/>
        </w:rPr>
        <w:t>Na druhou stranu má ECHA Databáze i své nevýhody. Jednou z nich je omezený záběr, protože se zaměřuje výhradně na látky používané a registrované v EU, což může být omezující při provádění globálního výzkumu. Další nevýhodou je její regulační fokus, který poskytuje méně detailní informace o aplikacích látek mimo legislativní rámec, což může být problematické pro širší vědecký výzkum.</w:t>
      </w:r>
    </w:p>
    <w:p w14:paraId="045C2832" w14:textId="77777777" w:rsidR="008E15FA" w:rsidRDefault="008E15FA" w:rsidP="008E15FA">
      <w:pPr>
        <w:ind w:firstLine="0"/>
        <w:rPr>
          <w:rFonts w:cstheme="minorHAnsi"/>
        </w:rPr>
      </w:pPr>
    </w:p>
    <w:p w14:paraId="1A1A7461" w14:textId="77777777" w:rsidR="00223CF4" w:rsidRPr="003D255C" w:rsidRDefault="00223CF4" w:rsidP="003D255C">
      <w:pPr>
        <w:pStyle w:val="Odstavecseseznamem"/>
        <w:numPr>
          <w:ilvl w:val="0"/>
          <w:numId w:val="34"/>
        </w:numPr>
        <w:rPr>
          <w:rFonts w:cstheme="minorHAnsi"/>
          <w:b/>
          <w:bCs/>
        </w:rPr>
      </w:pPr>
      <w:r w:rsidRPr="003D255C">
        <w:rPr>
          <w:rFonts w:cstheme="minorHAnsi"/>
          <w:b/>
          <w:bCs/>
        </w:rPr>
        <w:t>Registr chemických látek a prostředků</w:t>
      </w:r>
    </w:p>
    <w:p w14:paraId="03EF5E8C" w14:textId="77777777" w:rsidR="00223CF4" w:rsidRPr="00223CF4" w:rsidRDefault="00223CF4" w:rsidP="00223CF4">
      <w:pPr>
        <w:rPr>
          <w:rFonts w:cstheme="minorHAnsi"/>
        </w:rPr>
      </w:pPr>
      <w:r w:rsidRPr="00223CF4">
        <w:rPr>
          <w:rFonts w:cstheme="minorHAnsi"/>
        </w:rPr>
        <w:t>Registr chemických látek a prostředků je databáze spravovaná Ústavem zdravotnických informací a statistiky ČR (ÚZIS ČR). Obsahuje informace o biocidních přípravcích a nebezpečných chemických směsích, včetně jejich složení, vlastností a zdravotních rizik. Registr slouží jako klíčový nástroj pro sledování a evidenci chemických látek v České republice.</w:t>
      </w:r>
    </w:p>
    <w:p w14:paraId="110AC1E8" w14:textId="77777777" w:rsidR="00223CF4" w:rsidRPr="00223CF4" w:rsidRDefault="00223CF4" w:rsidP="00223CF4">
      <w:pPr>
        <w:rPr>
          <w:rFonts w:cstheme="minorHAnsi"/>
        </w:rPr>
      </w:pPr>
      <w:r w:rsidRPr="00223CF4">
        <w:rPr>
          <w:rFonts w:cstheme="minorHAnsi"/>
        </w:rPr>
        <w:t>Tato databáze je určena pro odborníky v oblasti chemické bezpečnosti, zdravotnictví a ochrany veřejného zdraví. Slouží Toxikologickému informačnímu středisku a orgánům státní správy pro rychlé získání údajů o nebezpečných látkách. Je využívána při řešení havárií, kontrole expozice chemickým látkám a přípravě bezpečnostních opatření.</w:t>
      </w:r>
    </w:p>
    <w:p w14:paraId="5899014B" w14:textId="77777777" w:rsidR="00223CF4" w:rsidRPr="00223CF4" w:rsidRDefault="00223CF4" w:rsidP="00223CF4">
      <w:pPr>
        <w:rPr>
          <w:rFonts w:cstheme="minorHAnsi"/>
        </w:rPr>
      </w:pPr>
      <w:r w:rsidRPr="00223CF4">
        <w:rPr>
          <w:rFonts w:cstheme="minorHAnsi"/>
        </w:rPr>
        <w:t xml:space="preserve">Registr chemických látek a prostředků, spravovaný Ústavem zdravotnických informací a statistiky ČR (ÚZIS ČR), představuje důležitý nástroj zaměřený na biocidní přípravky a </w:t>
      </w:r>
      <w:r w:rsidRPr="00223CF4">
        <w:rPr>
          <w:rFonts w:cstheme="minorHAnsi"/>
        </w:rPr>
        <w:lastRenderedPageBreak/>
        <w:t>nebezpečné chemické směsi. Databáze poskytuje podrobné informace o složení, vlastnostech a zdravotních rizicích těchto látek. Je navržena tak, aby sloužila odborníkům v oblasti chemické bezpečnosti, zdravotnictví a ochrany veřejného zdraví, a je využívána při řešení havárií, kontrole expozice chemickým látkám a přípravě bezpečnostních opatření. Důvěryhodnost databáze zajišťuje renomovaná instituce ÚZIS ČR, což zaručuje spolehlivost a relevantnost dat. Její regionální zaměření poskytuje užitečné informace specifické pro Českou republiku.</w:t>
      </w:r>
    </w:p>
    <w:p w14:paraId="00D37F67" w14:textId="77777777" w:rsidR="00223CF4" w:rsidRPr="00223CF4" w:rsidRDefault="00223CF4" w:rsidP="00223CF4">
      <w:pPr>
        <w:rPr>
          <w:rFonts w:cstheme="minorHAnsi"/>
        </w:rPr>
      </w:pPr>
      <w:r w:rsidRPr="00223CF4">
        <w:rPr>
          <w:rFonts w:cstheme="minorHAnsi"/>
        </w:rPr>
        <w:t xml:space="preserve">Na druhé straně má databáze i své limity. Zaměřuje se především na biocidní přípravky a nebezpečné směsi, nikoliv specificky na BCHL. Regionální charakter databáze omezuje její využitelnost pro globální výzkum, což může být nevýhodou při mezinárodním srovnání. Ve srovnání s komplexními mezinárodními databázemi, jako jsou </w:t>
      </w:r>
      <w:proofErr w:type="spellStart"/>
      <w:r w:rsidRPr="00223CF4">
        <w:rPr>
          <w:rFonts w:cstheme="minorHAnsi"/>
        </w:rPr>
        <w:t>PubChem</w:t>
      </w:r>
      <w:proofErr w:type="spellEnd"/>
      <w:r w:rsidRPr="00223CF4">
        <w:rPr>
          <w:rFonts w:cstheme="minorHAnsi"/>
        </w:rPr>
        <w:t xml:space="preserve"> nebo ECHA, poskytuje méně detailní informace o chemických látkách. Přístup k informacím je navíc primárně určen odborníkům a orgánům státní správy, což může ztížit její využití širokou veřejností.</w:t>
      </w:r>
    </w:p>
    <w:p w14:paraId="0D8583C2" w14:textId="765E5E09" w:rsidR="003D255C" w:rsidRDefault="00223CF4" w:rsidP="00F029A4">
      <w:pPr>
        <w:rPr>
          <w:rFonts w:cstheme="minorHAnsi"/>
        </w:rPr>
      </w:pPr>
      <w:r w:rsidRPr="00223CF4">
        <w:rPr>
          <w:rFonts w:cstheme="minorHAnsi"/>
        </w:rPr>
        <w:t>Celkově je Registr chemických látek a prostředků hodnotným zdrojem pro odborníky a instituce v České republice, zejména v kontextu ochrany veřejného zdraví a bezpečnosti. Jeho praktické využití při řešení krizových situací a regionální zaměření jsou jeho hlavními přínosy, ale omezený záběr a menší globální relevance mohou být překážkou pro širší aplikaci.</w:t>
      </w:r>
    </w:p>
    <w:p w14:paraId="35250A1D" w14:textId="08AA6F89" w:rsidR="00223CF4" w:rsidRPr="00FB5848" w:rsidRDefault="00223CF4" w:rsidP="003D255C">
      <w:pPr>
        <w:pStyle w:val="Odstavecseseznamem"/>
        <w:numPr>
          <w:ilvl w:val="0"/>
          <w:numId w:val="34"/>
        </w:numPr>
        <w:rPr>
          <w:rFonts w:cstheme="minorHAnsi"/>
          <w:b/>
          <w:bCs/>
        </w:rPr>
      </w:pPr>
      <w:r w:rsidRPr="00FB5848">
        <w:rPr>
          <w:rFonts w:cstheme="minorHAnsi"/>
          <w:b/>
          <w:bCs/>
        </w:rPr>
        <w:t>Arnika</w:t>
      </w:r>
    </w:p>
    <w:p w14:paraId="6901C397" w14:textId="77777777" w:rsidR="00223CF4" w:rsidRPr="00223CF4" w:rsidRDefault="00223CF4" w:rsidP="00223CF4">
      <w:pPr>
        <w:rPr>
          <w:rFonts w:cstheme="minorHAnsi"/>
        </w:rPr>
      </w:pPr>
      <w:r w:rsidRPr="00223CF4">
        <w:rPr>
          <w:rFonts w:cstheme="minorHAnsi"/>
        </w:rPr>
        <w:t>Databáze spravovaná organizací Arnika se zaměřuje na toxické chemické látky, jejich vlastnosti, použití a vliv na zdraví a životní prostředí. Obsahuje informace o různých nebezpečných látkách používaných v průmyslu, zemědělství a dalších odvětvích.</w:t>
      </w:r>
    </w:p>
    <w:p w14:paraId="03B95585" w14:textId="77777777" w:rsidR="00223CF4" w:rsidRPr="00223CF4" w:rsidRDefault="00223CF4" w:rsidP="00223CF4">
      <w:pPr>
        <w:rPr>
          <w:rFonts w:cstheme="minorHAnsi"/>
        </w:rPr>
      </w:pPr>
      <w:r w:rsidRPr="00223CF4">
        <w:rPr>
          <w:rFonts w:cstheme="minorHAnsi"/>
        </w:rPr>
        <w:t>Tato databáze je vhodná pro široké spektrum uživatelů, včetně odborníků, studentů a veřejnosti. Poskytuje přehled o toxických látkách a jejich potenciálních rizicích, což ji činí užitečným zdrojem pro výzkum v oblasti ochrany zdraví a životního prostředí. Může být využita jako doplňkový zdroj pro diplomové práce, zaměřené na chemické látky, pokud téma zahrnuje toxické účinky nebo ekologické souvislosti chemikálií.</w:t>
      </w:r>
    </w:p>
    <w:p w14:paraId="781284BD" w14:textId="77777777" w:rsidR="00223CF4" w:rsidRPr="00223CF4" w:rsidRDefault="00223CF4" w:rsidP="00223CF4">
      <w:pPr>
        <w:rPr>
          <w:rFonts w:cstheme="minorHAnsi"/>
        </w:rPr>
      </w:pPr>
    </w:p>
    <w:p w14:paraId="0688DE6C" w14:textId="578DACAE" w:rsidR="00223CF4" w:rsidRPr="00223CF4" w:rsidRDefault="00223CF4" w:rsidP="00223CF4">
      <w:pPr>
        <w:rPr>
          <w:rFonts w:cstheme="minorHAnsi"/>
        </w:rPr>
      </w:pPr>
      <w:r w:rsidRPr="00223CF4">
        <w:rPr>
          <w:rFonts w:cstheme="minorHAnsi"/>
        </w:rPr>
        <w:t xml:space="preserve">Databáze </w:t>
      </w:r>
      <w:r w:rsidR="001E26E9" w:rsidRPr="00223CF4">
        <w:rPr>
          <w:rFonts w:cstheme="minorHAnsi"/>
        </w:rPr>
        <w:t>látek – Arnika</w:t>
      </w:r>
      <w:r w:rsidRPr="00223CF4">
        <w:rPr>
          <w:rFonts w:cstheme="minorHAnsi"/>
        </w:rPr>
        <w:t xml:space="preserve"> má několik klíčových předností. Jednou z nich je zaměření na toxické látky, přičemž obsahuje informace o chemických látkách, které jsou škodlivé pro zdraví a životní prostředí. Další výhodou je srozumitelnost – informace jsou prezentovány tak, aby byly přístupné i širší veřejnosti, což z ní činí užitečný nástroj pro zvyšování povědomí o chemické bezpečnosti. Významným přínosem databáze je také její ekologické zaměření, kladoucí důraz na environmentální aspekty chemikálií.</w:t>
      </w:r>
    </w:p>
    <w:p w14:paraId="4BC986E9" w14:textId="77777777" w:rsidR="00223CF4" w:rsidRDefault="00223CF4" w:rsidP="00223CF4">
      <w:pPr>
        <w:rPr>
          <w:rFonts w:cstheme="minorHAnsi"/>
        </w:rPr>
      </w:pPr>
      <w:r w:rsidRPr="00223CF4">
        <w:rPr>
          <w:rFonts w:cstheme="minorHAnsi"/>
        </w:rPr>
        <w:lastRenderedPageBreak/>
        <w:t xml:space="preserve">Na druhou stranu má databáze určité nevýhody. Zaměřuje se především na toxické látky a neobsahuje specifické informace o bojových chemických látkách, což může omezit její využití v této oblasti. Její regionální charakter, orientovaný primárně na ČR a okolí, ji činí méně vhodnou pro globální analýzu. V neposlední řadě má menší vědeckou hloubku, přičemž poskytuje méně podrobné technické informace než databáze jako </w:t>
      </w:r>
      <w:proofErr w:type="spellStart"/>
      <w:r w:rsidRPr="00223CF4">
        <w:rPr>
          <w:rFonts w:cstheme="minorHAnsi"/>
        </w:rPr>
        <w:t>PubChem</w:t>
      </w:r>
      <w:proofErr w:type="spellEnd"/>
      <w:r w:rsidRPr="00223CF4">
        <w:rPr>
          <w:rFonts w:cstheme="minorHAnsi"/>
        </w:rPr>
        <w:t xml:space="preserve"> nebo ECHA.</w:t>
      </w:r>
    </w:p>
    <w:p w14:paraId="4FED002D" w14:textId="77777777" w:rsidR="003D255C" w:rsidRPr="00223CF4" w:rsidRDefault="003D255C" w:rsidP="00F029A4">
      <w:pPr>
        <w:ind w:firstLine="0"/>
        <w:rPr>
          <w:rFonts w:cstheme="minorHAnsi"/>
        </w:rPr>
      </w:pPr>
    </w:p>
    <w:p w14:paraId="56313E76" w14:textId="118632A6" w:rsidR="00223CF4" w:rsidRPr="00223CF4" w:rsidRDefault="00223CF4" w:rsidP="00223CF4">
      <w:pPr>
        <w:pStyle w:val="Nadpis2"/>
      </w:pPr>
      <w:bookmarkStart w:id="101" w:name="_Toc183029577"/>
      <w:r w:rsidRPr="00223CF4">
        <w:t>Porovnání existujících databází</w:t>
      </w:r>
      <w:bookmarkEnd w:id="101"/>
    </w:p>
    <w:p w14:paraId="3A3617EC" w14:textId="6D619DCF" w:rsidR="00223CF4" w:rsidRPr="00223CF4" w:rsidRDefault="00223CF4" w:rsidP="00223CF4">
      <w:pPr>
        <w:rPr>
          <w:rFonts w:cstheme="minorHAnsi"/>
        </w:rPr>
      </w:pPr>
      <w:r w:rsidRPr="00223CF4">
        <w:rPr>
          <w:rFonts w:cstheme="minorHAnsi"/>
        </w:rPr>
        <w:t xml:space="preserve">Porovnání databází </w:t>
      </w:r>
      <w:proofErr w:type="spellStart"/>
      <w:r w:rsidRPr="00223CF4">
        <w:rPr>
          <w:rFonts w:cstheme="minorHAnsi"/>
        </w:rPr>
        <w:t>PubChem</w:t>
      </w:r>
      <w:proofErr w:type="spellEnd"/>
      <w:r w:rsidRPr="00223CF4">
        <w:rPr>
          <w:rFonts w:cstheme="minorHAnsi"/>
        </w:rPr>
        <w:t xml:space="preserve">, ECHA Databáze, Databáze </w:t>
      </w:r>
      <w:r w:rsidR="001E26E9" w:rsidRPr="00223CF4">
        <w:rPr>
          <w:rFonts w:cstheme="minorHAnsi"/>
        </w:rPr>
        <w:t>látek – Arnika</w:t>
      </w:r>
      <w:r w:rsidRPr="00223CF4">
        <w:rPr>
          <w:rFonts w:cstheme="minorHAnsi"/>
        </w:rPr>
        <w:t xml:space="preserve"> a Registr chemických látek a prostředků ukazuje, že každá z nich má své specifické výhody a nevýhody, které ovlivňují jejich vhodnost pro výzkum bojových chemických látek.</w:t>
      </w:r>
    </w:p>
    <w:p w14:paraId="48409785" w14:textId="77777777" w:rsidR="00223CF4" w:rsidRPr="00223CF4" w:rsidRDefault="00223CF4" w:rsidP="00223CF4">
      <w:pPr>
        <w:rPr>
          <w:rFonts w:cstheme="minorHAnsi"/>
        </w:rPr>
      </w:pPr>
      <w:proofErr w:type="spellStart"/>
      <w:r w:rsidRPr="00223CF4">
        <w:rPr>
          <w:rFonts w:cstheme="minorHAnsi"/>
        </w:rPr>
        <w:t>PubChem</w:t>
      </w:r>
      <w:proofErr w:type="spellEnd"/>
      <w:r w:rsidRPr="00223CF4">
        <w:rPr>
          <w:rFonts w:cstheme="minorHAnsi"/>
        </w:rPr>
        <w:t xml:space="preserve"> se vyznačuje komplexností a globálním záběrem, což ji činí ideální pro vědecký výzkum. Poskytuje rozsáhlé informace o chemických látkách, jejich vlastnostech, toxicitě a biologické aktivitě, přičemž umožňuje vyhledávání podle názvu, chemického vzorce nebo struktury. Navzdory tomu se databáze nezaměřuje specificky na BCHL, což může vyžadovat další zpracování informací. Pro některé uživatele může být také náročné orientovat se v jejím velkém objemu dat.</w:t>
      </w:r>
    </w:p>
    <w:p w14:paraId="71019A89" w14:textId="77777777" w:rsidR="00223CF4" w:rsidRPr="00223CF4" w:rsidRDefault="00223CF4" w:rsidP="00223CF4">
      <w:pPr>
        <w:rPr>
          <w:rFonts w:cstheme="minorHAnsi"/>
        </w:rPr>
      </w:pPr>
      <w:r w:rsidRPr="00223CF4">
        <w:rPr>
          <w:rFonts w:cstheme="minorHAnsi"/>
        </w:rPr>
        <w:t>ECHA Databáze je klíčovým nástrojem pro výzkum chemických látek v evropském kontextu. Obsahuje informace o látkách registrovaných dle nařízení REACH a CLP, včetně jejich nebezpečných vlastností a doporučení pro dekontaminaci. Díky regulačnímu zaměření a souladu s evropskou legislativou je ideální pro studium chemických látek s právními aspekty. Její záběr je však omezen na látky registrované v EU a poskytuje méně detailní informace o aplikacích látek mimo legislativní rámec.</w:t>
      </w:r>
    </w:p>
    <w:p w14:paraId="65927613" w14:textId="172EE522" w:rsidR="00223CF4" w:rsidRPr="00223CF4" w:rsidRDefault="00223CF4" w:rsidP="00223CF4">
      <w:pPr>
        <w:rPr>
          <w:rFonts w:cstheme="minorHAnsi"/>
        </w:rPr>
      </w:pPr>
      <w:r w:rsidRPr="00223CF4">
        <w:rPr>
          <w:rFonts w:cstheme="minorHAnsi"/>
        </w:rPr>
        <w:t xml:space="preserve">Databáze </w:t>
      </w:r>
      <w:r w:rsidR="001E26E9" w:rsidRPr="00223CF4">
        <w:rPr>
          <w:rFonts w:cstheme="minorHAnsi"/>
        </w:rPr>
        <w:t>látek – Arnika</w:t>
      </w:r>
      <w:r w:rsidRPr="00223CF4">
        <w:rPr>
          <w:rFonts w:cstheme="minorHAnsi"/>
        </w:rPr>
        <w:t xml:space="preserve"> je zaměřena na toxické látky s důrazem na jejich zdravotní a ekologické dopady. Její obsah je srozumitelný i pro širší veřejnost a klade důraz na environmentální aspekty chemikálií. Na druhou stranu se nezaměřuje specificky na BCHL a má spíše regionální charakter zaměřený na Českou republiku. Vědecká hloubka databáze je ve srovnání s </w:t>
      </w:r>
      <w:proofErr w:type="spellStart"/>
      <w:r w:rsidRPr="00223CF4">
        <w:rPr>
          <w:rFonts w:cstheme="minorHAnsi"/>
        </w:rPr>
        <w:t>PubChem</w:t>
      </w:r>
      <w:proofErr w:type="spellEnd"/>
      <w:r w:rsidRPr="00223CF4">
        <w:rPr>
          <w:rFonts w:cstheme="minorHAnsi"/>
        </w:rPr>
        <w:t xml:space="preserve"> nebo ECHA omezenější, což ji činí méně vhodnou pro detailní výzkum.</w:t>
      </w:r>
    </w:p>
    <w:p w14:paraId="3EC89DEE" w14:textId="77777777" w:rsidR="00223CF4" w:rsidRPr="00223CF4" w:rsidRDefault="00223CF4" w:rsidP="00223CF4">
      <w:pPr>
        <w:rPr>
          <w:rFonts w:cstheme="minorHAnsi"/>
        </w:rPr>
      </w:pPr>
      <w:r w:rsidRPr="00223CF4">
        <w:rPr>
          <w:rFonts w:cstheme="minorHAnsi"/>
        </w:rPr>
        <w:t>Registr chemických látek a prostředků, spravovaný Ústavem zdravotnických informací a statistiky ČR, je praktický nástroj zaměřený na biocidní přípravky a nebezpečné chemické směsi. Slouží především odborníkům v oblasti chemické bezpečnosti a státní správě v České republice, například při řešení havárií nebo kontrole expozice chemickým látkám. Jeho obsah je však regionálně zaměřen na ČR a neposkytuje specifické informace o bojových chemických látkách, což omezuje jeho využití v globálním výzkumu.</w:t>
      </w:r>
    </w:p>
    <w:p w14:paraId="315F83EF" w14:textId="47178F9B" w:rsidR="00223CF4" w:rsidRDefault="00223CF4" w:rsidP="00223CF4">
      <w:pPr>
        <w:rPr>
          <w:rFonts w:cstheme="minorHAnsi"/>
        </w:rPr>
      </w:pPr>
      <w:r w:rsidRPr="00223CF4">
        <w:rPr>
          <w:rFonts w:cstheme="minorHAnsi"/>
        </w:rPr>
        <w:lastRenderedPageBreak/>
        <w:t xml:space="preserve">Shrneme-li, </w:t>
      </w:r>
      <w:proofErr w:type="spellStart"/>
      <w:r w:rsidRPr="00223CF4">
        <w:rPr>
          <w:rFonts w:cstheme="minorHAnsi"/>
        </w:rPr>
        <w:t>PubChem</w:t>
      </w:r>
      <w:proofErr w:type="spellEnd"/>
      <w:r w:rsidRPr="00223CF4">
        <w:rPr>
          <w:rFonts w:cstheme="minorHAnsi"/>
        </w:rPr>
        <w:t xml:space="preserve"> je ideální pro mezinárodní a vědecký výzkum, zatímco ECHA Databáze je nejlepší volbou pro analýzy v evropském legislativním kontextu. Databáze </w:t>
      </w:r>
      <w:r w:rsidR="001E26E9" w:rsidRPr="00223CF4">
        <w:rPr>
          <w:rFonts w:cstheme="minorHAnsi"/>
        </w:rPr>
        <w:t>látek – Arnika</w:t>
      </w:r>
      <w:r w:rsidRPr="00223CF4">
        <w:rPr>
          <w:rFonts w:cstheme="minorHAnsi"/>
        </w:rPr>
        <w:t xml:space="preserve"> je užitečná pro ekologické a lokální aspekty chemických látek, zatímco Registr chemických látek a prostředků se hodí pro české odborníky a krizové situace. Každá z databází tak má své specifické oblasti využití, které je třeba zohlednit při výběru zdroje informací.</w:t>
      </w:r>
    </w:p>
    <w:p w14:paraId="62016E3A" w14:textId="18A7E43C" w:rsidR="00FB5848" w:rsidRDefault="00FB5848" w:rsidP="00FB5848">
      <w:pPr>
        <w:pStyle w:val="obrzky"/>
        <w:spacing w:after="0"/>
      </w:pPr>
      <w:bookmarkStart w:id="102" w:name="_Toc182992409"/>
      <w:r>
        <w:t>Obrázek 14.</w:t>
      </w:r>
      <w:bookmarkEnd w:id="102"/>
    </w:p>
    <w:p w14:paraId="192794C8" w14:textId="4263CF8C" w:rsidR="00FB5848" w:rsidRPr="00FB5848" w:rsidRDefault="00FB5848" w:rsidP="00FB5848">
      <w:pPr>
        <w:spacing w:after="0"/>
        <w:ind w:firstLine="0"/>
      </w:pPr>
      <w:r w:rsidRPr="00FB5848">
        <w:t>Porovnání existujících vybraných databází.</w:t>
      </w:r>
    </w:p>
    <w:p w14:paraId="7486B8AC" w14:textId="747AA994" w:rsidR="00223CF4" w:rsidRDefault="00223CF4" w:rsidP="00223CF4">
      <w:pPr>
        <w:rPr>
          <w:rFonts w:cstheme="minorHAnsi"/>
        </w:rPr>
      </w:pPr>
      <w:r>
        <w:rPr>
          <w:rFonts w:cstheme="minorHAnsi"/>
          <w:noProof/>
        </w:rPr>
        <w:drawing>
          <wp:anchor distT="0" distB="0" distL="114300" distR="114300" simplePos="0" relativeHeight="251666432" behindDoc="1" locked="0" layoutInCell="1" allowOverlap="1" wp14:anchorId="60A477AD" wp14:editId="5B409859">
            <wp:simplePos x="0" y="0"/>
            <wp:positionH relativeFrom="column">
              <wp:posOffset>6350</wp:posOffset>
            </wp:positionH>
            <wp:positionV relativeFrom="paragraph">
              <wp:posOffset>168910</wp:posOffset>
            </wp:positionV>
            <wp:extent cx="5706110" cy="1816735"/>
            <wp:effectExtent l="0" t="0" r="8890" b="0"/>
            <wp:wrapSquare wrapText="bothSides"/>
            <wp:docPr id="83456890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6110" cy="1816735"/>
                    </a:xfrm>
                    <a:prstGeom prst="rect">
                      <a:avLst/>
                    </a:prstGeom>
                    <a:noFill/>
                  </pic:spPr>
                </pic:pic>
              </a:graphicData>
            </a:graphic>
          </wp:anchor>
        </w:drawing>
      </w:r>
    </w:p>
    <w:p w14:paraId="74C9BD0F" w14:textId="5AD00EA1" w:rsidR="00223CF4" w:rsidRDefault="00223CF4" w:rsidP="00223CF4">
      <w:pPr>
        <w:jc w:val="left"/>
        <w:rPr>
          <w:rFonts w:cstheme="minorHAnsi"/>
        </w:rPr>
      </w:pPr>
    </w:p>
    <w:p w14:paraId="4420263F" w14:textId="45C45D7B" w:rsidR="00223CF4" w:rsidRPr="00223CF4" w:rsidRDefault="00223CF4" w:rsidP="00223CF4">
      <w:pPr>
        <w:pStyle w:val="Nadpis1"/>
      </w:pPr>
      <w:bookmarkStart w:id="103" w:name="_Toc183029578"/>
      <w:r w:rsidRPr="00223CF4">
        <w:lastRenderedPageBreak/>
        <w:t>Výsledky</w:t>
      </w:r>
      <w:bookmarkEnd w:id="103"/>
    </w:p>
    <w:p w14:paraId="20681A60" w14:textId="77777777" w:rsidR="00223CF4" w:rsidRPr="00223CF4" w:rsidRDefault="00223CF4" w:rsidP="00223CF4">
      <w:pPr>
        <w:rPr>
          <w:rFonts w:cstheme="minorHAnsi"/>
        </w:rPr>
      </w:pPr>
      <w:r w:rsidRPr="00223CF4">
        <w:rPr>
          <w:rFonts w:cstheme="minorHAnsi"/>
        </w:rPr>
        <w:t>Diplomová práce zaměřená na vytvoření databáze BCHL přinesla hodnotný výsledek ve formě interaktivního a přehledného zdroje informací o těchto nebezpečných látkách, zahrnující klíčové charakteristiky, účinky na lidský organismus, zásady ochrany a dekontaminace. Výsledná databáze je strukturovaná tak, aby poskytovala relevantní a snadno přístupné informace odborníkům v oblasti chemické bezpečnosti, vojenské toxikologie, ale i široké veřejnosti, která hledá přehledný zdroj informací o chemických bojových látkách.</w:t>
      </w:r>
    </w:p>
    <w:p w14:paraId="30A46282" w14:textId="77777777" w:rsidR="00223CF4" w:rsidRPr="00223CF4" w:rsidRDefault="00223CF4" w:rsidP="00223CF4">
      <w:pPr>
        <w:rPr>
          <w:rFonts w:cstheme="minorHAnsi"/>
        </w:rPr>
      </w:pPr>
      <w:r w:rsidRPr="00223CF4">
        <w:rPr>
          <w:rFonts w:cstheme="minorHAnsi"/>
        </w:rPr>
        <w:t>Jedním z hlavních přínosů této práce je logicky uspořádaná a uživatelsky přívětivá struktura databáze, která zahrnuje informace o jednotlivých bojových chemických látkách, a to včetně jejich základních charakteristik, mechanismů účinku a zásad ochrany. Každá položka v databázi obsahuje následující údaje:</w:t>
      </w:r>
    </w:p>
    <w:p w14:paraId="2D63EBB2" w14:textId="77777777" w:rsidR="00223CF4" w:rsidRPr="003D255C" w:rsidRDefault="00223CF4" w:rsidP="003D255C">
      <w:pPr>
        <w:pStyle w:val="Odstavecseseznamem"/>
        <w:numPr>
          <w:ilvl w:val="0"/>
          <w:numId w:val="33"/>
        </w:numPr>
        <w:rPr>
          <w:rFonts w:cstheme="minorHAnsi"/>
        </w:rPr>
      </w:pPr>
      <w:r w:rsidRPr="003D255C">
        <w:rPr>
          <w:rFonts w:cstheme="minorHAnsi"/>
          <w:b/>
          <w:bCs/>
        </w:rPr>
        <w:t>Identifikace látky:</w:t>
      </w:r>
      <w:r w:rsidRPr="003D255C">
        <w:rPr>
          <w:rFonts w:cstheme="minorHAnsi"/>
        </w:rPr>
        <w:t xml:space="preserve"> zahrnuje chemický název, molekulární vzorec, CAS číslo a kód, což umožňuje snadnou identifikaci látky a její zařazení v rámci vojenské a chemické klasifikace.</w:t>
      </w:r>
    </w:p>
    <w:p w14:paraId="6D55D6AA" w14:textId="77777777" w:rsidR="00223CF4" w:rsidRPr="003D255C" w:rsidRDefault="00223CF4" w:rsidP="003D255C">
      <w:pPr>
        <w:pStyle w:val="Odstavecseseznamem"/>
        <w:numPr>
          <w:ilvl w:val="0"/>
          <w:numId w:val="33"/>
        </w:numPr>
        <w:rPr>
          <w:rFonts w:cstheme="minorHAnsi"/>
        </w:rPr>
      </w:pPr>
      <w:r w:rsidRPr="003D255C">
        <w:rPr>
          <w:rFonts w:cstheme="minorHAnsi"/>
          <w:b/>
          <w:bCs/>
        </w:rPr>
        <w:t>Fyzikální a chemické vlastnosti:</w:t>
      </w:r>
      <w:r w:rsidRPr="003D255C">
        <w:rPr>
          <w:rFonts w:cstheme="minorHAnsi"/>
        </w:rPr>
        <w:t xml:space="preserve"> databáze obsahuje informace o skupenství, bodu tání, bodu varu, hustotě, tlaku par a rozpustnosti ve vodě i jiných látkách. Tyto údaje jsou klíčové pro pochopení stability látky v prostředí a možnosti šíření.</w:t>
      </w:r>
    </w:p>
    <w:p w14:paraId="11193125" w14:textId="36AE6BB4" w:rsidR="00223CF4" w:rsidRPr="003D255C" w:rsidRDefault="00223CF4" w:rsidP="003D255C">
      <w:pPr>
        <w:pStyle w:val="Odstavecseseznamem"/>
        <w:numPr>
          <w:ilvl w:val="0"/>
          <w:numId w:val="33"/>
        </w:numPr>
        <w:rPr>
          <w:rFonts w:cstheme="minorHAnsi"/>
        </w:rPr>
      </w:pPr>
      <w:r w:rsidRPr="003D255C">
        <w:rPr>
          <w:rFonts w:cstheme="minorHAnsi"/>
          <w:b/>
          <w:bCs/>
        </w:rPr>
        <w:t>Toxicita a mechanismus účinku:</w:t>
      </w:r>
      <w:r w:rsidRPr="003D255C">
        <w:rPr>
          <w:rFonts w:cstheme="minorHAnsi"/>
        </w:rPr>
        <w:t xml:space="preserve"> specifické údaje o hodnotách toxicity (např. LD</w:t>
      </w:r>
      <w:r w:rsidR="001E26E9" w:rsidRPr="003D255C">
        <w:rPr>
          <w:rFonts w:cstheme="minorHAnsi"/>
        </w:rPr>
        <w:t>50)</w:t>
      </w:r>
      <w:r w:rsidRPr="003D255C">
        <w:rPr>
          <w:rFonts w:cstheme="minorHAnsi"/>
        </w:rPr>
        <w:t>, těkavosti a účincích na různé orgánové systémy pomáhají uživatelům chápat rizika spojená s expozicí těmto látkám.</w:t>
      </w:r>
    </w:p>
    <w:p w14:paraId="0E7F15D0" w14:textId="77777777" w:rsidR="00223CF4" w:rsidRPr="003D255C" w:rsidRDefault="00223CF4" w:rsidP="003D255C">
      <w:pPr>
        <w:pStyle w:val="Odstavecseseznamem"/>
        <w:numPr>
          <w:ilvl w:val="0"/>
          <w:numId w:val="33"/>
        </w:numPr>
        <w:rPr>
          <w:rFonts w:cstheme="minorHAnsi"/>
        </w:rPr>
      </w:pPr>
      <w:r w:rsidRPr="003D255C">
        <w:rPr>
          <w:rFonts w:cstheme="minorHAnsi"/>
          <w:b/>
          <w:bCs/>
        </w:rPr>
        <w:t>Možnosti dekontaminace a bezpečnostní opatření:</w:t>
      </w:r>
      <w:r w:rsidRPr="003D255C">
        <w:rPr>
          <w:rFonts w:cstheme="minorHAnsi"/>
        </w:rPr>
        <w:t xml:space="preserve"> databáze obsahuje zásady správné dekontaminace a ochranných opatření, které jsou nezbytné pro eliminaci rizika při práci s látkami.</w:t>
      </w:r>
    </w:p>
    <w:p w14:paraId="3C7476F9" w14:textId="77777777" w:rsidR="00223CF4" w:rsidRPr="00223CF4" w:rsidRDefault="00223CF4" w:rsidP="00223CF4">
      <w:pPr>
        <w:rPr>
          <w:rFonts w:cstheme="minorHAnsi"/>
        </w:rPr>
      </w:pPr>
      <w:r w:rsidRPr="00223CF4">
        <w:rPr>
          <w:rFonts w:cstheme="minorHAnsi"/>
        </w:rPr>
        <w:t>Díky této struktuře lze informace o BCHL rychle filtrovat a vyhledávat, což usnadňuje orientaci a použití databáze jak pro praktické účely, tak pro studium.</w:t>
      </w:r>
    </w:p>
    <w:p w14:paraId="27274DF6" w14:textId="77777777" w:rsidR="003D255C" w:rsidRDefault="003D255C" w:rsidP="003D255C">
      <w:pPr>
        <w:ind w:firstLine="0"/>
        <w:rPr>
          <w:rFonts w:cstheme="minorHAnsi"/>
        </w:rPr>
      </w:pPr>
    </w:p>
    <w:p w14:paraId="5B0500F4" w14:textId="53EC312C" w:rsidR="00223CF4" w:rsidRPr="003D255C" w:rsidRDefault="00223CF4" w:rsidP="003D255C">
      <w:pPr>
        <w:ind w:firstLine="0"/>
        <w:rPr>
          <w:rFonts w:cstheme="minorHAnsi"/>
          <w:b/>
          <w:bCs/>
        </w:rPr>
      </w:pPr>
      <w:r w:rsidRPr="003D255C">
        <w:rPr>
          <w:rFonts w:cstheme="minorHAnsi"/>
          <w:b/>
          <w:bCs/>
        </w:rPr>
        <w:t>Sběr a validace dat</w:t>
      </w:r>
    </w:p>
    <w:p w14:paraId="6A0269F4" w14:textId="77777777" w:rsidR="00223CF4" w:rsidRPr="00223CF4" w:rsidRDefault="00223CF4" w:rsidP="00223CF4">
      <w:pPr>
        <w:rPr>
          <w:rFonts w:cstheme="minorHAnsi"/>
        </w:rPr>
      </w:pPr>
      <w:r w:rsidRPr="00223CF4">
        <w:rPr>
          <w:rFonts w:cstheme="minorHAnsi"/>
        </w:rPr>
        <w:t>Data v databázi byla získána z odborné literatury, toxikologických databází a publikací. Na základě tohoto pečlivého výběru jsou údaje v databázi aktuální, věrohodné a ověřené, což zajišťuje spolehlivost informací. Validace dat probíhala za pomoci odborné zpětné vazby a průběžného testování přesnosti informací, čímž je zajištěna vysoká kvalita obsahu.</w:t>
      </w:r>
    </w:p>
    <w:p w14:paraId="79A7A342" w14:textId="77777777" w:rsidR="00223CF4" w:rsidRPr="00223CF4" w:rsidRDefault="00223CF4" w:rsidP="00223CF4">
      <w:pPr>
        <w:rPr>
          <w:rFonts w:cstheme="minorHAnsi"/>
        </w:rPr>
      </w:pPr>
    </w:p>
    <w:p w14:paraId="0BA49647" w14:textId="77777777" w:rsidR="00223CF4" w:rsidRPr="003D255C" w:rsidRDefault="00223CF4" w:rsidP="003D255C">
      <w:pPr>
        <w:ind w:firstLine="0"/>
        <w:rPr>
          <w:rFonts w:cstheme="minorHAnsi"/>
          <w:b/>
          <w:bCs/>
        </w:rPr>
      </w:pPr>
      <w:r w:rsidRPr="003D255C">
        <w:rPr>
          <w:rFonts w:cstheme="minorHAnsi"/>
          <w:b/>
          <w:bCs/>
        </w:rPr>
        <w:lastRenderedPageBreak/>
        <w:t>Webová platforma a uživatelské rozhraní</w:t>
      </w:r>
    </w:p>
    <w:p w14:paraId="4425DC50" w14:textId="3E05B848" w:rsidR="00223CF4" w:rsidRPr="00223CF4" w:rsidRDefault="00223CF4" w:rsidP="00223CF4">
      <w:pPr>
        <w:rPr>
          <w:rFonts w:cstheme="minorHAnsi"/>
        </w:rPr>
      </w:pPr>
      <w:r w:rsidRPr="00223CF4">
        <w:rPr>
          <w:rFonts w:cstheme="minorHAnsi"/>
        </w:rPr>
        <w:t>Výsledkem práce je webová platforma umožňující uživatelsky přívětivý přístup k databázi. Platforma je navržena tak, aby byla přehledná a snadno ovladatelná, a nabízí funkce, které zlepšují uživatelský komfort</w:t>
      </w:r>
      <w:r w:rsidR="003D255C">
        <w:rPr>
          <w:rFonts w:cstheme="minorHAnsi"/>
        </w:rPr>
        <w:t>.</w:t>
      </w:r>
    </w:p>
    <w:p w14:paraId="7B81BD94" w14:textId="77777777" w:rsidR="00223CF4" w:rsidRPr="003D255C" w:rsidRDefault="00223CF4" w:rsidP="003D255C">
      <w:pPr>
        <w:rPr>
          <w:rFonts w:cstheme="minorHAnsi"/>
        </w:rPr>
      </w:pPr>
      <w:r w:rsidRPr="003D255C">
        <w:rPr>
          <w:rFonts w:cstheme="minorHAnsi"/>
        </w:rPr>
        <w:t>Intuitivní vyhledávání a filtrování: Uživatelé mohou vyhledávat látky podle různých parametrů, jako jsou fyzikální vlastnosti, toxicita nebo mechanismus účinku, což usnadňuje cílené vyhledávání relevantních informací.</w:t>
      </w:r>
    </w:p>
    <w:p w14:paraId="3B52D2C6" w14:textId="77777777" w:rsidR="00223CF4" w:rsidRPr="003D255C" w:rsidRDefault="00223CF4" w:rsidP="003D255C">
      <w:pPr>
        <w:rPr>
          <w:rFonts w:cstheme="minorHAnsi"/>
        </w:rPr>
      </w:pPr>
      <w:r w:rsidRPr="003D255C">
        <w:rPr>
          <w:rFonts w:cstheme="minorHAnsi"/>
        </w:rPr>
        <w:t>Interaktivní zobrazení a vizualizace: Platforma zahrnuje grafy, tabulky a schémata, která vizuálně prezentují informace o toxicitě, chemických reakcích a účincích na lidský organismus. Tyto vizuální prvky pomáhají uživatelům rychle pochopit složité informace.</w:t>
      </w:r>
    </w:p>
    <w:p w14:paraId="736CC114" w14:textId="77777777" w:rsidR="00223CF4" w:rsidRPr="00223CF4" w:rsidRDefault="00223CF4" w:rsidP="00223CF4">
      <w:pPr>
        <w:rPr>
          <w:rFonts w:cstheme="minorHAnsi"/>
        </w:rPr>
      </w:pPr>
      <w:r w:rsidRPr="00223CF4">
        <w:rPr>
          <w:rFonts w:cstheme="minorHAnsi"/>
        </w:rPr>
        <w:t>Webové rozhraní je optimalizováno pro širokou škálu zařízení, od stolních počítačů po mobilní telefony, což zajišťuje snadnou dostupnost informací pro všechny uživatele bez ohledu na technické možnosti.</w:t>
      </w:r>
    </w:p>
    <w:p w14:paraId="2E382396" w14:textId="77777777" w:rsidR="00223CF4" w:rsidRPr="00223CF4" w:rsidRDefault="00223CF4" w:rsidP="00223CF4">
      <w:pPr>
        <w:rPr>
          <w:rFonts w:cstheme="minorHAnsi"/>
        </w:rPr>
      </w:pPr>
    </w:p>
    <w:p w14:paraId="3ABA0D21" w14:textId="77777777" w:rsidR="00223CF4" w:rsidRPr="003D255C" w:rsidRDefault="00223CF4" w:rsidP="003D255C">
      <w:pPr>
        <w:ind w:firstLine="0"/>
        <w:rPr>
          <w:rFonts w:cstheme="minorHAnsi"/>
          <w:b/>
          <w:bCs/>
        </w:rPr>
      </w:pPr>
      <w:r w:rsidRPr="003D255C">
        <w:rPr>
          <w:rFonts w:cstheme="minorHAnsi"/>
          <w:b/>
          <w:bCs/>
        </w:rPr>
        <w:t>Uplatnění databáze v praxi</w:t>
      </w:r>
    </w:p>
    <w:p w14:paraId="0E968A73" w14:textId="77777777" w:rsidR="00223CF4" w:rsidRPr="00223CF4" w:rsidRDefault="00223CF4" w:rsidP="00223CF4">
      <w:pPr>
        <w:rPr>
          <w:rFonts w:cstheme="minorHAnsi"/>
        </w:rPr>
      </w:pPr>
      <w:r w:rsidRPr="00223CF4">
        <w:rPr>
          <w:rFonts w:cstheme="minorHAnsi"/>
        </w:rPr>
        <w:t>Databáze BCHL je navržena tak, aby byla využitelná jak pro odborné účely, tak pro širokou veřejnost, což se odráží v jejích funkcionalitách a obsahu:</w:t>
      </w:r>
    </w:p>
    <w:p w14:paraId="404A20FD" w14:textId="77777777" w:rsidR="00223CF4" w:rsidRPr="003D255C" w:rsidRDefault="00223CF4" w:rsidP="003D255C">
      <w:pPr>
        <w:pStyle w:val="Odstavecseseznamem"/>
        <w:numPr>
          <w:ilvl w:val="0"/>
          <w:numId w:val="36"/>
        </w:numPr>
        <w:rPr>
          <w:rFonts w:cstheme="minorHAnsi"/>
        </w:rPr>
      </w:pPr>
      <w:r w:rsidRPr="003D255C">
        <w:rPr>
          <w:rFonts w:cstheme="minorHAnsi"/>
        </w:rPr>
        <w:t>Vzdělávací a výzkumné účely: Databáze poskytuje studentům, výzkumníkům a dalším odborníkům komplexní přehled o chemických bojových látkách. Díky podrobným údajům o toxických účincích, historickém využití a legislativních aspektech mohou uživatelé získat ucelený pohled na problematiku a lépe pochopit složitosti spojené s těmito látkami.</w:t>
      </w:r>
    </w:p>
    <w:p w14:paraId="76E06120" w14:textId="77777777" w:rsidR="00223CF4" w:rsidRPr="003D255C" w:rsidRDefault="00223CF4" w:rsidP="003D255C">
      <w:pPr>
        <w:pStyle w:val="Odstavecseseznamem"/>
        <w:numPr>
          <w:ilvl w:val="0"/>
          <w:numId w:val="36"/>
        </w:numPr>
        <w:rPr>
          <w:rFonts w:cstheme="minorHAnsi"/>
        </w:rPr>
      </w:pPr>
      <w:r w:rsidRPr="003D255C">
        <w:rPr>
          <w:rFonts w:cstheme="minorHAnsi"/>
        </w:rPr>
        <w:t>Bezpečnost a krizový management: Databáze poskytuje relevantní informace o dekontaminačních metodách a bezpečnostních opatřeních, což umožňuje krizovým týmům a bezpečnostním složkám rychlou orientaci v případě incidentu spojeného s únikem chemických látek nebo jejich zneužitím.</w:t>
      </w:r>
    </w:p>
    <w:p w14:paraId="18FAF2F3" w14:textId="77777777" w:rsidR="00223CF4" w:rsidRDefault="00223CF4" w:rsidP="003D255C">
      <w:pPr>
        <w:pStyle w:val="Odstavecseseznamem"/>
        <w:numPr>
          <w:ilvl w:val="0"/>
          <w:numId w:val="36"/>
        </w:numPr>
        <w:rPr>
          <w:rFonts w:cstheme="minorHAnsi"/>
        </w:rPr>
      </w:pPr>
      <w:r w:rsidRPr="003D255C">
        <w:rPr>
          <w:rFonts w:cstheme="minorHAnsi"/>
        </w:rPr>
        <w:t>Historie a legislativa: Součástí databáze jsou informace o historických událostech spojených s používáním chemických zbraní, což umožňuje získat širší perspektivu a pochopit kontext používání BCHL v minulosti. Legislativní aspekty, jako je Ženevský protokol nebo Úmluva o chemických zbraních, zajišťují, že uživatelé mohou pochopit právní rámec a etické otázky spojené s bojovými chemickými látkami.</w:t>
      </w:r>
    </w:p>
    <w:p w14:paraId="06C6CAFA" w14:textId="77777777" w:rsidR="003D255C" w:rsidRPr="003D255C" w:rsidRDefault="003D255C" w:rsidP="003D255C">
      <w:pPr>
        <w:pStyle w:val="Odstavecseseznamem"/>
        <w:numPr>
          <w:ilvl w:val="0"/>
          <w:numId w:val="0"/>
        </w:numPr>
        <w:ind w:left="720"/>
        <w:rPr>
          <w:rFonts w:cstheme="minorHAnsi"/>
        </w:rPr>
      </w:pPr>
    </w:p>
    <w:p w14:paraId="6E472486" w14:textId="77777777" w:rsidR="00223CF4" w:rsidRPr="00223CF4" w:rsidRDefault="00223CF4" w:rsidP="00223CF4">
      <w:pPr>
        <w:rPr>
          <w:rFonts w:cstheme="minorHAnsi"/>
        </w:rPr>
      </w:pPr>
    </w:p>
    <w:p w14:paraId="3A511720" w14:textId="77777777" w:rsidR="00223CF4" w:rsidRPr="003D255C" w:rsidRDefault="00223CF4" w:rsidP="003D255C">
      <w:pPr>
        <w:ind w:firstLine="0"/>
        <w:rPr>
          <w:rFonts w:cstheme="minorHAnsi"/>
          <w:b/>
          <w:bCs/>
        </w:rPr>
      </w:pPr>
      <w:r w:rsidRPr="003D255C">
        <w:rPr>
          <w:rFonts w:cstheme="minorHAnsi"/>
          <w:b/>
          <w:bCs/>
        </w:rPr>
        <w:lastRenderedPageBreak/>
        <w:t>Technologické řešení a bezpečnost</w:t>
      </w:r>
    </w:p>
    <w:p w14:paraId="53F0F693" w14:textId="77777777" w:rsidR="00223CF4" w:rsidRPr="00223CF4" w:rsidRDefault="00223CF4" w:rsidP="00223CF4">
      <w:pPr>
        <w:rPr>
          <w:rFonts w:cstheme="minorHAnsi"/>
        </w:rPr>
      </w:pPr>
      <w:r w:rsidRPr="00223CF4">
        <w:rPr>
          <w:rFonts w:cstheme="minorHAnsi"/>
        </w:rPr>
        <w:t>Vytvoření databáze zahrnovalo využití moderních webových technologií, jako jsou HTML, CSS, JavaScript a SQL databáze (</w:t>
      </w:r>
      <w:proofErr w:type="spellStart"/>
      <w:r w:rsidRPr="00223CF4">
        <w:rPr>
          <w:rFonts w:cstheme="minorHAnsi"/>
        </w:rPr>
        <w:t>MySQL</w:t>
      </w:r>
      <w:proofErr w:type="spellEnd"/>
      <w:r w:rsidRPr="00223CF4">
        <w:rPr>
          <w:rFonts w:cstheme="minorHAnsi"/>
        </w:rPr>
        <w:t xml:space="preserve"> nebo </w:t>
      </w:r>
      <w:proofErr w:type="spellStart"/>
      <w:r w:rsidRPr="00223CF4">
        <w:rPr>
          <w:rFonts w:cstheme="minorHAnsi"/>
        </w:rPr>
        <w:t>PostgreSQL</w:t>
      </w:r>
      <w:proofErr w:type="spellEnd"/>
      <w:r w:rsidRPr="00223CF4">
        <w:rPr>
          <w:rFonts w:cstheme="minorHAnsi"/>
        </w:rPr>
        <w:t>). Platforma byla navržena s důrazem na bezpečnost dat, aby se zabránilo neoprávněnému přístupu a zneužití informací. Databáze je navíc připravena na další rozvoj a pravidelnou aktualizaci, což umožňuje přidávat nové informace a udržovat data aktuální.</w:t>
      </w:r>
    </w:p>
    <w:p w14:paraId="3C5093ED" w14:textId="77777777" w:rsidR="003D255C" w:rsidRDefault="003D255C" w:rsidP="003D255C">
      <w:pPr>
        <w:ind w:firstLine="0"/>
        <w:rPr>
          <w:rFonts w:cstheme="minorHAnsi"/>
        </w:rPr>
      </w:pPr>
    </w:p>
    <w:p w14:paraId="7AE02BBD" w14:textId="13659D4F" w:rsidR="00223CF4" w:rsidRPr="003D255C" w:rsidRDefault="00223CF4" w:rsidP="003D255C">
      <w:pPr>
        <w:ind w:firstLine="0"/>
        <w:rPr>
          <w:rFonts w:cstheme="minorHAnsi"/>
          <w:b/>
          <w:bCs/>
        </w:rPr>
      </w:pPr>
      <w:r w:rsidRPr="003D255C">
        <w:rPr>
          <w:rFonts w:cstheme="minorHAnsi"/>
          <w:b/>
          <w:bCs/>
        </w:rPr>
        <w:t>Možnosti budoucího rozšíření</w:t>
      </w:r>
    </w:p>
    <w:p w14:paraId="04FADB2A" w14:textId="77777777" w:rsidR="00223CF4" w:rsidRPr="00223CF4" w:rsidRDefault="00223CF4" w:rsidP="00223CF4">
      <w:pPr>
        <w:rPr>
          <w:rFonts w:cstheme="minorHAnsi"/>
        </w:rPr>
      </w:pPr>
      <w:r w:rsidRPr="00223CF4">
        <w:rPr>
          <w:rFonts w:cstheme="minorHAnsi"/>
        </w:rPr>
        <w:t>Díky modulární architektuře a otevřené platformě může být databáze BCHL snadno rozšiřována. Doporučené možnosti dalšího vývoje zahrnují:</w:t>
      </w:r>
    </w:p>
    <w:p w14:paraId="26B68425" w14:textId="77777777" w:rsidR="00223CF4" w:rsidRPr="003D255C" w:rsidRDefault="00223CF4" w:rsidP="003D255C">
      <w:pPr>
        <w:pStyle w:val="Odstavecseseznamem"/>
        <w:numPr>
          <w:ilvl w:val="0"/>
          <w:numId w:val="37"/>
        </w:numPr>
        <w:rPr>
          <w:rFonts w:cstheme="minorHAnsi"/>
        </w:rPr>
      </w:pPr>
      <w:r w:rsidRPr="003D255C">
        <w:rPr>
          <w:rFonts w:cstheme="minorHAnsi"/>
        </w:rPr>
        <w:t>Rozšíření o další bojové látky: Vzhledem k neustálému výzkumu a vývoji chemických látek je možné databázi pravidelně rozšiřovat o nové látky, včetně těch, které se objevují v souvislosti s novými bezpečnostními hrozbami.</w:t>
      </w:r>
    </w:p>
    <w:p w14:paraId="42F84786" w14:textId="77777777" w:rsidR="00223CF4" w:rsidRPr="003D255C" w:rsidRDefault="00223CF4" w:rsidP="003D255C">
      <w:pPr>
        <w:pStyle w:val="Odstavecseseznamem"/>
        <w:numPr>
          <w:ilvl w:val="0"/>
          <w:numId w:val="37"/>
        </w:numPr>
        <w:rPr>
          <w:rFonts w:cstheme="minorHAnsi"/>
        </w:rPr>
      </w:pPr>
      <w:r w:rsidRPr="003D255C">
        <w:rPr>
          <w:rFonts w:cstheme="minorHAnsi"/>
        </w:rPr>
        <w:t>Multimediální obsah: Pro lepší pochopení účinků a mechanismů BCHL by databáze mohla obsahovat interaktivní prvky, jako jsou 3D modely molekul, videa s instruktáží dekontaminace a infografiky o účincích látek na lidské zdraví.</w:t>
      </w:r>
    </w:p>
    <w:p w14:paraId="49DCAF7A" w14:textId="77777777" w:rsidR="00223CF4" w:rsidRPr="003D255C" w:rsidRDefault="00223CF4" w:rsidP="003D255C">
      <w:pPr>
        <w:pStyle w:val="Odstavecseseznamem"/>
        <w:numPr>
          <w:ilvl w:val="0"/>
          <w:numId w:val="37"/>
        </w:numPr>
        <w:rPr>
          <w:rFonts w:cstheme="minorHAnsi"/>
        </w:rPr>
      </w:pPr>
      <w:r w:rsidRPr="003D255C">
        <w:rPr>
          <w:rFonts w:cstheme="minorHAnsi"/>
        </w:rPr>
        <w:t>Integrace mobilní aplikace: Vytvoření mobilní aplikace by rozšířilo přístup k informacím a umožnilo uživatelům rychle získat informace v terénu, což by bylo cenné zejména pro bezpečnostní složky.</w:t>
      </w:r>
    </w:p>
    <w:p w14:paraId="3244C652" w14:textId="5C916BDF" w:rsidR="00223CF4" w:rsidRDefault="00223CF4" w:rsidP="00223CF4">
      <w:pPr>
        <w:rPr>
          <w:rFonts w:cstheme="minorHAnsi"/>
        </w:rPr>
      </w:pPr>
      <w:r w:rsidRPr="00223CF4">
        <w:rPr>
          <w:rFonts w:cstheme="minorHAnsi"/>
        </w:rPr>
        <w:t> </w:t>
      </w:r>
    </w:p>
    <w:p w14:paraId="1378F9F4" w14:textId="51D1525A" w:rsidR="00223CF4" w:rsidRPr="00223CF4" w:rsidRDefault="00223CF4" w:rsidP="00223CF4">
      <w:pPr>
        <w:pStyle w:val="Nadpis1"/>
      </w:pPr>
      <w:bookmarkStart w:id="104" w:name="_Toc183029579"/>
      <w:r w:rsidRPr="00223CF4">
        <w:lastRenderedPageBreak/>
        <w:t>Diskuze</w:t>
      </w:r>
      <w:bookmarkEnd w:id="104"/>
    </w:p>
    <w:p w14:paraId="2319C807" w14:textId="7366D483" w:rsidR="00223CF4" w:rsidRPr="00223CF4" w:rsidRDefault="00223CF4" w:rsidP="00223CF4">
      <w:pPr>
        <w:rPr>
          <w:rFonts w:cstheme="minorHAnsi"/>
        </w:rPr>
      </w:pPr>
      <w:r w:rsidRPr="00223CF4">
        <w:rPr>
          <w:rFonts w:cstheme="minorHAnsi"/>
        </w:rPr>
        <w:t xml:space="preserve">Diplomová práce zaměřená na vytvoření databáze </w:t>
      </w:r>
      <w:r w:rsidR="001E26E9" w:rsidRPr="00223CF4">
        <w:rPr>
          <w:rFonts w:cstheme="minorHAnsi"/>
        </w:rPr>
        <w:t>BCHL, která</w:t>
      </w:r>
      <w:r w:rsidRPr="00223CF4">
        <w:rPr>
          <w:rFonts w:cstheme="minorHAnsi"/>
        </w:rPr>
        <w:t xml:space="preserve"> přináší inovativní řešení pro shromažďování a organizaci klíčových informací z oblasti chemické bezpečnosti, vojenské toxikologie a krizového managementu. Hlavním cílem projektu bylo vytvořit uživatelsky přívětivý a přístupný nástroj, který poskytne důležité informace o vlastnostech a účincích nebezpečných chemických látek. V této </w:t>
      </w:r>
      <w:r w:rsidR="00B97B20" w:rsidRPr="00223CF4">
        <w:rPr>
          <w:rFonts w:cstheme="minorHAnsi"/>
        </w:rPr>
        <w:t>diskusi</w:t>
      </w:r>
      <w:r w:rsidRPr="00223CF4">
        <w:rPr>
          <w:rFonts w:cstheme="minorHAnsi"/>
        </w:rPr>
        <w:t xml:space="preserve"> se zaměřujeme na klíčové přínosy práce, uživatelskou hodnotu databáze, identifikované limity, etické aspekty a možnosti budoucího rozvoje.</w:t>
      </w:r>
    </w:p>
    <w:p w14:paraId="2F1B8BD6" w14:textId="77777777" w:rsidR="00223CF4" w:rsidRPr="00223CF4" w:rsidRDefault="00223CF4" w:rsidP="00223CF4">
      <w:pPr>
        <w:rPr>
          <w:rFonts w:cstheme="minorHAnsi"/>
        </w:rPr>
      </w:pPr>
      <w:r w:rsidRPr="00223CF4">
        <w:rPr>
          <w:rFonts w:cstheme="minorHAnsi"/>
        </w:rPr>
        <w:t>Databáze BCHL představuje zásadní krok vpřed v organizaci a zpřístupnění informací o nebezpečných chemických látkách. Obsahuje široké spektrum dat, která zahrnují chemické charakteristiky, mechanismy účinku, toxikologické údaje a doporučení pro dekontaminaci. Uživatelé databáze mohou rychle a snadno najít informace o látkách, jako jsou nervově paralytické látky (např. sarin), zpuchýřující látky (např. yperit) nebo dusivé látky (např. fosgen). Tato strukturovaná a přehledná forma dat umožňuje odborníkům efektivněji reagovat na potenciální chemické hrozby.</w:t>
      </w:r>
    </w:p>
    <w:p w14:paraId="4ED05BAB" w14:textId="77777777" w:rsidR="00223CF4" w:rsidRPr="00223CF4" w:rsidRDefault="00223CF4" w:rsidP="00223CF4">
      <w:pPr>
        <w:rPr>
          <w:rFonts w:cstheme="minorHAnsi"/>
        </w:rPr>
      </w:pPr>
      <w:r w:rsidRPr="00223CF4">
        <w:rPr>
          <w:rFonts w:cstheme="minorHAnsi"/>
        </w:rPr>
        <w:t>Praktická hodnota databáze spočívá v jejím využití nejen odborníky z oblasti vojenské toxikologie, ale také pracovníky ve zdravotnictví, bezpečnostních složkách a záchranných sborech. Přístup k aktuálním informacím o nebezpečných látkách může v kritických situacích zachránit lidské životy a minimalizovat negativní dopady na životní prostředí.</w:t>
      </w:r>
    </w:p>
    <w:p w14:paraId="2A59A18A" w14:textId="77777777" w:rsidR="00223CF4" w:rsidRPr="00223CF4" w:rsidRDefault="00223CF4" w:rsidP="00223CF4">
      <w:pPr>
        <w:rPr>
          <w:rFonts w:cstheme="minorHAnsi"/>
        </w:rPr>
      </w:pPr>
      <w:r w:rsidRPr="00223CF4">
        <w:rPr>
          <w:rFonts w:cstheme="minorHAnsi"/>
        </w:rPr>
        <w:t>Jedním z hlavních pilířů úspěchu databáze je její obsahová kvalita a komplexnost. Informace byly získány z širokého spektra zdrojů, mezi nimiž dominují vědecké publikace, odborné články, legislativní dokumenty a data poskytovaná mezinárodními organizacemi, jako je Organizace pro zákaz chemických zbraní (OPCW). Tento interdisciplinární přístup zajistil vysokou úroveň přesnosti a spolehlivosti dat, což je klíčové vzhledem k závažnosti tématu.</w:t>
      </w:r>
    </w:p>
    <w:p w14:paraId="4B96EC9F" w14:textId="77777777" w:rsidR="00223CF4" w:rsidRPr="00223CF4" w:rsidRDefault="00223CF4" w:rsidP="00223CF4">
      <w:pPr>
        <w:rPr>
          <w:rFonts w:cstheme="minorHAnsi"/>
        </w:rPr>
      </w:pPr>
      <w:r w:rsidRPr="00223CF4">
        <w:rPr>
          <w:rFonts w:cstheme="minorHAnsi"/>
        </w:rPr>
        <w:t>Komplexní charakter databáze umožňuje uživatelům nejen získat základní údaje, jako je chemický vzorec nebo CAS číslo, ale také pochopit fyziologické účinky jednotlivých látek. Díky tomu se databáze stává neocenitelným nástrojem při výuce i při krizovém managementu.</w:t>
      </w:r>
    </w:p>
    <w:p w14:paraId="78006028" w14:textId="77777777" w:rsidR="00223CF4" w:rsidRPr="00223CF4" w:rsidRDefault="00223CF4" w:rsidP="00223CF4">
      <w:pPr>
        <w:rPr>
          <w:rFonts w:cstheme="minorHAnsi"/>
        </w:rPr>
      </w:pPr>
      <w:r w:rsidRPr="00223CF4">
        <w:rPr>
          <w:rFonts w:cstheme="minorHAnsi"/>
        </w:rPr>
        <w:t>Významnou předností databáze je její uživatelská přívětivost. Strukturované uspořádání dat v kombinaci s intuitivním webovým rozhraním umožňuje snadnou orientaci i rychlé vyhledávání informací. Filtrování podle parametrů, jako jsou chemické skupiny, mechanismy účinku nebo toxicita, usnadňuje analýzu a srovnání jednotlivých látek. Tato funkcionalita je mimořádně praktická při plánování preventivních opatření i při řešení krizových situací.</w:t>
      </w:r>
    </w:p>
    <w:p w14:paraId="4175DAEA" w14:textId="77777777" w:rsidR="00223CF4" w:rsidRPr="00223CF4" w:rsidRDefault="00223CF4" w:rsidP="00223CF4">
      <w:pPr>
        <w:rPr>
          <w:rFonts w:cstheme="minorHAnsi"/>
        </w:rPr>
      </w:pPr>
      <w:r w:rsidRPr="00223CF4">
        <w:rPr>
          <w:rFonts w:cstheme="minorHAnsi"/>
        </w:rPr>
        <w:t xml:space="preserve">Vzdělávací hodnota databáze je dalším důležitým aspektem. Díky své přístupnosti a přehlednosti je ideálním nástrojem pro vzdělávací instituce, které mohou databázi využít při </w:t>
      </w:r>
      <w:r w:rsidRPr="00223CF4">
        <w:rPr>
          <w:rFonts w:cstheme="minorHAnsi"/>
        </w:rPr>
        <w:lastRenderedPageBreak/>
        <w:t>výuce chemie, toxikologie a krizového řízení. Studenti mohou získat nejen teoretické znalosti, ale i praktické dovednosti, které využijí při simulacích a modelových situacích.</w:t>
      </w:r>
    </w:p>
    <w:p w14:paraId="615C0A90" w14:textId="77777777" w:rsidR="00223CF4" w:rsidRPr="00223CF4" w:rsidRDefault="00223CF4" w:rsidP="00223CF4">
      <w:pPr>
        <w:rPr>
          <w:rFonts w:cstheme="minorHAnsi"/>
        </w:rPr>
      </w:pPr>
      <w:r w:rsidRPr="00223CF4">
        <w:rPr>
          <w:rFonts w:cstheme="minorHAnsi"/>
        </w:rPr>
        <w:t>Přestože databáze BCHL přináší řadu přínosů, během jejího vytváření se objevily některé limity. Nejvýznamnější z nich je omezený přístup k datům o některých bojových chemických látkách, zejména u těch, které podléhají vojenskému utajení. Tato skutečnost ovlivňuje úplnost databáze a vyžaduje její průběžnou aktualizaci a spolupráci s institucemi, které mohou poskytovat relevantní informace.</w:t>
      </w:r>
    </w:p>
    <w:p w14:paraId="230E2210" w14:textId="77777777" w:rsidR="00223CF4" w:rsidRPr="00223CF4" w:rsidRDefault="00223CF4" w:rsidP="00223CF4">
      <w:pPr>
        <w:rPr>
          <w:rFonts w:cstheme="minorHAnsi"/>
        </w:rPr>
      </w:pPr>
      <w:r w:rsidRPr="00223CF4">
        <w:rPr>
          <w:rFonts w:cstheme="minorHAnsi"/>
        </w:rPr>
        <w:t>Další výzvou je technická údržba databáze. Aby byla databáze spolehlivá a bezpečná, je nutné pravidelně provádět technologické aktualizace a implementovat zabezpečovací opatření, která zabrání neoprávněnému přístupu a zneužití dat.</w:t>
      </w:r>
    </w:p>
    <w:p w14:paraId="703D7AEE" w14:textId="77777777" w:rsidR="00223CF4" w:rsidRPr="00223CF4" w:rsidRDefault="00223CF4" w:rsidP="00223CF4">
      <w:pPr>
        <w:rPr>
          <w:rFonts w:cstheme="minorHAnsi"/>
        </w:rPr>
      </w:pPr>
      <w:r w:rsidRPr="00223CF4">
        <w:rPr>
          <w:rFonts w:cstheme="minorHAnsi"/>
        </w:rPr>
        <w:t>Databáze BCHL má značný potenciál pro další rozvoj a rozšíření. Mezi doporučené kroky patří:</w:t>
      </w:r>
    </w:p>
    <w:p w14:paraId="0DAC02CB" w14:textId="77777777" w:rsidR="003D255C" w:rsidRDefault="00223CF4" w:rsidP="003D255C">
      <w:pPr>
        <w:pStyle w:val="Odstavecseseznamem"/>
        <w:numPr>
          <w:ilvl w:val="0"/>
          <w:numId w:val="38"/>
        </w:numPr>
        <w:rPr>
          <w:rFonts w:cstheme="minorHAnsi"/>
        </w:rPr>
      </w:pPr>
      <w:r w:rsidRPr="003D255C">
        <w:rPr>
          <w:rFonts w:cstheme="minorHAnsi"/>
        </w:rPr>
        <w:t>Pravidelná aktualizace obsahu: S rozvojem vědy a technologií je klíčové doplňovat databázi o nové poznatky a výzkumy.</w:t>
      </w:r>
    </w:p>
    <w:p w14:paraId="760852B3" w14:textId="77777777" w:rsidR="003D255C" w:rsidRDefault="00223CF4" w:rsidP="003D255C">
      <w:pPr>
        <w:pStyle w:val="Odstavecseseznamem"/>
        <w:numPr>
          <w:ilvl w:val="0"/>
          <w:numId w:val="38"/>
        </w:numPr>
        <w:rPr>
          <w:rFonts w:cstheme="minorHAnsi"/>
        </w:rPr>
      </w:pPr>
      <w:r w:rsidRPr="003D255C">
        <w:rPr>
          <w:rFonts w:cstheme="minorHAnsi"/>
        </w:rPr>
        <w:t>Rozšíření funkcionality: Přidání interaktivních prvků, jako jsou 3D modely molekul nebo simulace šíření chemických látek, by zlepšilo její vzdělávací hodnotu.</w:t>
      </w:r>
    </w:p>
    <w:p w14:paraId="0B4AC53D" w14:textId="77777777" w:rsidR="003D255C" w:rsidRDefault="00223CF4" w:rsidP="003D255C">
      <w:pPr>
        <w:pStyle w:val="Odstavecseseznamem"/>
        <w:numPr>
          <w:ilvl w:val="0"/>
          <w:numId w:val="38"/>
        </w:numPr>
        <w:rPr>
          <w:rFonts w:cstheme="minorHAnsi"/>
        </w:rPr>
      </w:pPr>
      <w:r w:rsidRPr="003D255C">
        <w:rPr>
          <w:rFonts w:cstheme="minorHAnsi"/>
        </w:rPr>
        <w:t>Mobilní verze databáze: Vytvoření mobilní aplikace by umožnilo rychlý přístup k informacím v terénu, což by bylo užitečné zejména při krizových zásazích.</w:t>
      </w:r>
    </w:p>
    <w:p w14:paraId="16691498" w14:textId="77777777" w:rsidR="003D255C" w:rsidRDefault="00223CF4" w:rsidP="003D255C">
      <w:pPr>
        <w:pStyle w:val="Odstavecseseznamem"/>
        <w:numPr>
          <w:ilvl w:val="0"/>
          <w:numId w:val="38"/>
        </w:numPr>
        <w:rPr>
          <w:rFonts w:cstheme="minorHAnsi"/>
        </w:rPr>
      </w:pPr>
      <w:r w:rsidRPr="003D255C">
        <w:rPr>
          <w:rFonts w:cstheme="minorHAnsi"/>
        </w:rPr>
        <w:t>Spolupráce s mezinárodními organizacemi: Navázání užší spolupráce s institucemi, jako je OPCW nebo NATO, by zajistilo přístup k aktuálním datům a zvýšilo odbornou prestiž databáze.</w:t>
      </w:r>
    </w:p>
    <w:p w14:paraId="67AC7D2E" w14:textId="1BDA07C7" w:rsidR="00223CF4" w:rsidRPr="003D255C" w:rsidRDefault="00223CF4" w:rsidP="003D255C">
      <w:pPr>
        <w:pStyle w:val="Odstavecseseznamem"/>
        <w:numPr>
          <w:ilvl w:val="0"/>
          <w:numId w:val="38"/>
        </w:numPr>
        <w:rPr>
          <w:rFonts w:cstheme="minorHAnsi"/>
        </w:rPr>
      </w:pPr>
      <w:r w:rsidRPr="003D255C">
        <w:rPr>
          <w:rFonts w:cstheme="minorHAnsi"/>
        </w:rPr>
        <w:t>Používání a výzkum bojových chemických látek vyvolávají zásadní etické otázky. Databáze BCHL podporuje povědomí o rizicích spojených s těmito látkami a jejich zákaz v souladu s Úmluvou o chemických zbraních (CWC). Tím se stává nejen technickým nástrojem, ale i prostředkem pro podporu etického vzdělávání a prevence neetického použití těchto látek.</w:t>
      </w:r>
    </w:p>
    <w:p w14:paraId="5F4B437F" w14:textId="77777777" w:rsidR="00223CF4" w:rsidRPr="00223CF4" w:rsidRDefault="00223CF4" w:rsidP="00223CF4">
      <w:pPr>
        <w:rPr>
          <w:rFonts w:cstheme="minorHAnsi"/>
        </w:rPr>
      </w:pPr>
      <w:r w:rsidRPr="00223CF4">
        <w:rPr>
          <w:rFonts w:cstheme="minorHAnsi"/>
        </w:rPr>
        <w:t>Vytvoření databáze bojových chemických látek představuje významný přínos pro oblast chemické bezpečnosti, vojenské toxikologie a vzdělávání. Databáze poskytuje strukturované, přehledné a spolehlivé informace, které mohou být využity jak odborníky, tak i studenty a dalšími uživateli. I přes určité limity nabízí široké možnosti dalšího rozvoje a rozšíření, což z ní činí perspektivní nástroj pro budoucí výzkum a praktické aplikace.</w:t>
      </w:r>
    </w:p>
    <w:p w14:paraId="13D4FCCD" w14:textId="3B44B996" w:rsidR="00223CF4" w:rsidRPr="00223CF4" w:rsidRDefault="00223CF4" w:rsidP="00223CF4">
      <w:pPr>
        <w:pStyle w:val="Nadpis2"/>
      </w:pPr>
      <w:bookmarkStart w:id="105" w:name="_Toc183029580"/>
      <w:r w:rsidRPr="00223CF4">
        <w:lastRenderedPageBreak/>
        <w:t>Závěry pro rozvoj oboru ochrany obyvatelstva a vzdělávání</w:t>
      </w:r>
      <w:bookmarkEnd w:id="105"/>
    </w:p>
    <w:p w14:paraId="6CF304FC" w14:textId="77777777" w:rsidR="00223CF4" w:rsidRPr="00223CF4" w:rsidRDefault="00223CF4" w:rsidP="00223CF4">
      <w:pPr>
        <w:rPr>
          <w:rFonts w:cstheme="minorHAnsi"/>
        </w:rPr>
      </w:pPr>
      <w:r w:rsidRPr="00223CF4">
        <w:rPr>
          <w:rFonts w:cstheme="minorHAnsi"/>
        </w:rPr>
        <w:t>Rozvoj oboru ochrany obyvatelstva a jeho implementace do vzdělávacích procesů má klíčový význam pro zajištění bezpečnosti jednotlivců i celé společnosti. Moderní přístupy a technologie umožňují efektivní propojování teoretických poznatků s praktickými dovednostmi, čímž podporují připravenost obyvatel na zvládání mimořádných událostí. V této části jsou navrženy konkrétní směry, které reflektují aktuální potřeby odborníků i vzdělávacího systému, s důrazem na preventivní činnost, interaktivní výuku a zapojení inovativních metod.</w:t>
      </w:r>
    </w:p>
    <w:p w14:paraId="53B640F9" w14:textId="77777777" w:rsidR="003D255C" w:rsidRDefault="003D255C" w:rsidP="003D255C">
      <w:pPr>
        <w:ind w:firstLine="0"/>
        <w:rPr>
          <w:rFonts w:cstheme="minorHAnsi"/>
        </w:rPr>
      </w:pPr>
    </w:p>
    <w:p w14:paraId="72D09AA4" w14:textId="5847C0A4" w:rsidR="00223CF4" w:rsidRPr="003D255C" w:rsidRDefault="00223CF4" w:rsidP="003D255C">
      <w:pPr>
        <w:ind w:firstLine="0"/>
        <w:rPr>
          <w:rFonts w:cstheme="minorHAnsi"/>
          <w:b/>
          <w:bCs/>
        </w:rPr>
      </w:pPr>
      <w:r w:rsidRPr="003D255C">
        <w:rPr>
          <w:rFonts w:cstheme="minorHAnsi"/>
          <w:b/>
          <w:bCs/>
        </w:rPr>
        <w:t>Nácviky, ochrana zdraví a prevence</w:t>
      </w:r>
    </w:p>
    <w:p w14:paraId="47C96EA1" w14:textId="77777777" w:rsidR="00223CF4" w:rsidRPr="00223CF4" w:rsidRDefault="00223CF4" w:rsidP="00223CF4">
      <w:pPr>
        <w:rPr>
          <w:rFonts w:cstheme="minorHAnsi"/>
        </w:rPr>
      </w:pPr>
      <w:r w:rsidRPr="00223CF4">
        <w:rPr>
          <w:rFonts w:cstheme="minorHAnsi"/>
        </w:rPr>
        <w:t>Nácvik a preventivní opatření jsou zásadními prvky přípravy obyvatelstva na mimořádné situace. Efektivní implementace preventivních aktivit vyžaduje kombinaci realistických scénářů, odborného vedení a snadno dostupných informací.</w:t>
      </w:r>
    </w:p>
    <w:p w14:paraId="15A5E371" w14:textId="77777777" w:rsidR="00223CF4" w:rsidRPr="00223CF4" w:rsidRDefault="00223CF4" w:rsidP="00223CF4">
      <w:pPr>
        <w:rPr>
          <w:rFonts w:cstheme="minorHAnsi"/>
        </w:rPr>
      </w:pPr>
      <w:r w:rsidRPr="00223CF4">
        <w:rPr>
          <w:rFonts w:cstheme="minorHAnsi"/>
        </w:rPr>
        <w:t>Realistické simulační tréninky hrají klíčovou roli při přípravě na chemické a biologické hrozby. Jejich obsah zahrnuje modelové situace, jako je únik chemických látek, šíření toxických plynů nebo evakuace obyvatelstva z ohrožené oblasti. Tyto tréninky poskytují účastníkům možnost získat praktické zkušenosti v kontrolovaném a bezpečném prostředí, což zvyšuje jejich schopnost efektivně reagovat v reálných krizových situacích. K vyšší autenticitě a efektivitě těchto nácviků přispívá využití moderních technologií, jako je virtuální realita (VR) a rozšířená realita (AR). Tyto nástroje umožňují simulovat komplexní scénáře, které by jinak byly nákladné nebo příliš rizikové.</w:t>
      </w:r>
    </w:p>
    <w:p w14:paraId="18132E6F" w14:textId="77777777" w:rsidR="00223CF4" w:rsidRPr="00223CF4" w:rsidRDefault="00223CF4" w:rsidP="00223CF4">
      <w:pPr>
        <w:rPr>
          <w:rFonts w:cstheme="minorHAnsi"/>
        </w:rPr>
      </w:pPr>
      <w:r w:rsidRPr="00223CF4">
        <w:rPr>
          <w:rFonts w:cstheme="minorHAnsi"/>
        </w:rPr>
        <w:t>Součástí příprav na krizové situace je také výuka správného používání osobních ochranných prostředků. Praktické ukázky a nácviky manipulace s ochrannými pomůckami, jako jsou masky, filtry či dekontaminační prostředky, zajišťují, že uživatelé budou schopni tyto prostředky používat bezpečně a účinně. Tréninky často zahrnují simulované podmínky, například prostředí s nízkou viditelností nebo s napodobením toxické atmosféry, což účastníkům umožňuje vyzkoušet ochranné prostředky v realistických situacích.</w:t>
      </w:r>
    </w:p>
    <w:p w14:paraId="32E91DA2" w14:textId="77777777" w:rsidR="00223CF4" w:rsidRPr="00223CF4" w:rsidRDefault="00223CF4" w:rsidP="00223CF4">
      <w:pPr>
        <w:rPr>
          <w:rFonts w:cstheme="minorHAnsi"/>
        </w:rPr>
      </w:pPr>
      <w:r w:rsidRPr="00223CF4">
        <w:rPr>
          <w:rFonts w:cstheme="minorHAnsi"/>
        </w:rPr>
        <w:t>Důležitou součástí prevence a přípravy na krizové situace jsou také osvětové kampaně a školení veřejnosti. Tyto aktivity mají za cíl zvýšit povědomí o chemických a biologických hrozbách a naučit obyvatelstvo základním krizovým dovednostem. Informační kampaně mohou zahrnovat distribuci vzdělávacích materiálů, online semináře nebo veřejné přednášky. Praktické workshopy pak umožňují různé skupiny obyvatel, od školáků po seniory, osvojit si preventivní opatření a základní dovednosti potřebné pro zvládání mimořádných situací.</w:t>
      </w:r>
    </w:p>
    <w:p w14:paraId="3422AA5E" w14:textId="77777777" w:rsidR="00223CF4" w:rsidRPr="00223CF4" w:rsidRDefault="00223CF4" w:rsidP="00223CF4">
      <w:pPr>
        <w:rPr>
          <w:rFonts w:cstheme="minorHAnsi"/>
        </w:rPr>
      </w:pPr>
      <w:r w:rsidRPr="00223CF4">
        <w:rPr>
          <w:rFonts w:cstheme="minorHAnsi"/>
        </w:rPr>
        <w:lastRenderedPageBreak/>
        <w:t>Kombinace simulačních tréninků, technických nácviků a osvětových aktivit vytváří komplexní přístup k přípravě na chemické a biologické hrozby, čímž přispívá ke zvýšení bezpečnosti a odolnosti obyvatelstva.</w:t>
      </w:r>
    </w:p>
    <w:p w14:paraId="30EE9BCF" w14:textId="77777777" w:rsidR="00223CF4" w:rsidRPr="00223CF4" w:rsidRDefault="00223CF4" w:rsidP="00223CF4">
      <w:pPr>
        <w:rPr>
          <w:rFonts w:cstheme="minorHAnsi"/>
        </w:rPr>
      </w:pPr>
    </w:p>
    <w:p w14:paraId="4CDC2EDD" w14:textId="77777777" w:rsidR="00223CF4" w:rsidRPr="003D255C" w:rsidRDefault="00223CF4" w:rsidP="003D255C">
      <w:pPr>
        <w:ind w:firstLine="0"/>
        <w:rPr>
          <w:rFonts w:cstheme="minorHAnsi"/>
          <w:b/>
          <w:bCs/>
        </w:rPr>
      </w:pPr>
      <w:r w:rsidRPr="003D255C">
        <w:rPr>
          <w:rFonts w:cstheme="minorHAnsi"/>
          <w:b/>
          <w:bCs/>
        </w:rPr>
        <w:t>Vzdělávání a implementace do škol (RVP/ŠVP)</w:t>
      </w:r>
    </w:p>
    <w:p w14:paraId="35FEA5E2" w14:textId="77777777" w:rsidR="00223CF4" w:rsidRPr="00223CF4" w:rsidRDefault="00223CF4" w:rsidP="00223CF4">
      <w:pPr>
        <w:rPr>
          <w:rFonts w:cstheme="minorHAnsi"/>
        </w:rPr>
      </w:pPr>
      <w:r w:rsidRPr="00223CF4">
        <w:rPr>
          <w:rFonts w:cstheme="minorHAnsi"/>
        </w:rPr>
        <w:t>Začlenění problematiky ochrany obyvatelstva do vzdělávacích procesů je zásadní pro dlouhodobé budování povědomí o bezpečnosti, prevenci a krizovém řízení. Tato témata by měla být systematicky zahrnuta jak do rámcových vzdělávacích programů (RVP), tak do školních vzdělávacích programů (ŠVP), aby byla zajištěna jejich dostupnost na všech úrovních vzdělávání.</w:t>
      </w:r>
    </w:p>
    <w:p w14:paraId="052EA187" w14:textId="77777777" w:rsidR="00223CF4" w:rsidRPr="00223CF4" w:rsidRDefault="00223CF4" w:rsidP="00223CF4">
      <w:pPr>
        <w:rPr>
          <w:rFonts w:cstheme="minorHAnsi"/>
        </w:rPr>
      </w:pPr>
      <w:r w:rsidRPr="00223CF4">
        <w:rPr>
          <w:rFonts w:cstheme="minorHAnsi"/>
        </w:rPr>
        <w:t>Jedním z klíčových kroků je integrace relevantních témat, jako jsou toxikologie, chemické zbraně, krizové řízení a ochrana zdraví, do výuky přírodovědných předmětů (chemie, biologie) nebo občanské výchovy. Tento přístup umožní žákům porozumět základním principům ochrany obyvatelstva v širším kontextu. Interdisciplinární přístup dále zvyšuje efektivitu vzdělávání – například propojením s geografií lze analyzovat šíření nebezpečných látek, historické lekce mohou poskytnout přehled o chemických útocích a využití ICT umožní vytvářet simulace a modelovat různé scénáře.</w:t>
      </w:r>
    </w:p>
    <w:p w14:paraId="75C52BEB" w14:textId="77777777" w:rsidR="00223CF4" w:rsidRPr="00223CF4" w:rsidRDefault="00223CF4" w:rsidP="003D255C">
      <w:pPr>
        <w:rPr>
          <w:rFonts w:cstheme="minorHAnsi"/>
        </w:rPr>
      </w:pPr>
      <w:r w:rsidRPr="00223CF4">
        <w:rPr>
          <w:rFonts w:cstheme="minorHAnsi"/>
        </w:rPr>
        <w:t>Praktická výuka má zásadní význam pro aplikaci teoretických znalostí. Modelové situace, jako je simulace úniku toxických látek, nácvik dekontaminace nebo analýza krizových scénářů, umožňují studentům získat dovednosti potřebné k efektivní reakci na mimořádné situace. Školy mohou také organizovat cvičení evakuace nebo tréninky zaměřené na orientaci v krizovém plánu školy, čímž se posiluje připravenost žáků na reálné situace.</w:t>
      </w:r>
    </w:p>
    <w:p w14:paraId="2832CC3C" w14:textId="77777777" w:rsidR="00223CF4" w:rsidRPr="00223CF4" w:rsidRDefault="00223CF4" w:rsidP="00223CF4">
      <w:pPr>
        <w:rPr>
          <w:rFonts w:cstheme="minorHAnsi"/>
        </w:rPr>
      </w:pPr>
      <w:r w:rsidRPr="00223CF4">
        <w:rPr>
          <w:rFonts w:cstheme="minorHAnsi"/>
        </w:rPr>
        <w:t>Moderní technologie otevírají nové možnosti pro interaktivní výuku. Online platformy, jako je IOOLB.cz, mohou být využívány pro samostatné studium, interaktivní simulace a testování znalostí. Zavedení herních prvků do výuky, tzv. gamifikace, představuje další způsob, jak zvýšit zájem studentů o problematiku ochrany obyvatelstva. Například bodový systém za úspěšné řešení krizových scénářů podporuje motivaci a aktivní zapojení žáků.</w:t>
      </w:r>
    </w:p>
    <w:p w14:paraId="3FD1E8FF" w14:textId="77777777" w:rsidR="00223CF4" w:rsidRPr="00223CF4" w:rsidRDefault="00223CF4" w:rsidP="00223CF4">
      <w:pPr>
        <w:rPr>
          <w:rFonts w:cstheme="minorHAnsi"/>
        </w:rPr>
      </w:pPr>
      <w:r w:rsidRPr="00223CF4">
        <w:rPr>
          <w:rFonts w:cstheme="minorHAnsi"/>
        </w:rPr>
        <w:t>Práce na projektech zaměřených na ochranu obyvatelstva umožňuje žákům rozvíjet kreativitu a analytické schopnosti. Může se jednat o návrh krizových plánů, analýzu rizik v místní komunitě nebo vytváření modelových scénářů mimořádných událostí. Skupinová práce na těchto úkolech zároveň podporuje schopnost efektivního rozhodování a spolupráce v týmu, což jsou klíčové dovednosti pro zvládání krizových situací.</w:t>
      </w:r>
    </w:p>
    <w:p w14:paraId="6988AC14" w14:textId="77777777" w:rsidR="003D255C" w:rsidRDefault="00223CF4" w:rsidP="003D255C">
      <w:pPr>
        <w:rPr>
          <w:rFonts w:cstheme="minorHAnsi"/>
        </w:rPr>
      </w:pPr>
      <w:r w:rsidRPr="00223CF4">
        <w:rPr>
          <w:rFonts w:cstheme="minorHAnsi"/>
        </w:rPr>
        <w:t>Integrace ochrany obyvatelstva do vzdělávacích procesů tak nabízí komplexní přístup ke vzdělávání, který propojuje teoretické znalosti s praktickými dovednostmi. Tento přístup přispívá nejen k lepšímu pochopení chemických a biologických hrozeb, ale také k celkové připravenosti společnosti na zvládání mimořádných situací.</w:t>
      </w:r>
    </w:p>
    <w:p w14:paraId="3AA2D911" w14:textId="6679CBB4" w:rsidR="00223CF4" w:rsidRPr="003D255C" w:rsidRDefault="00223CF4" w:rsidP="003D255C">
      <w:pPr>
        <w:ind w:firstLine="0"/>
        <w:rPr>
          <w:rFonts w:cstheme="minorHAnsi"/>
          <w:b/>
          <w:bCs/>
        </w:rPr>
      </w:pPr>
      <w:r w:rsidRPr="003D255C">
        <w:rPr>
          <w:rFonts w:cstheme="minorHAnsi"/>
          <w:b/>
          <w:bCs/>
        </w:rPr>
        <w:lastRenderedPageBreak/>
        <w:t>Interaktivní nácviková činnost</w:t>
      </w:r>
    </w:p>
    <w:p w14:paraId="146E3540" w14:textId="77777777" w:rsidR="00223CF4" w:rsidRPr="00223CF4" w:rsidRDefault="00223CF4" w:rsidP="00223CF4">
      <w:pPr>
        <w:rPr>
          <w:rFonts w:cstheme="minorHAnsi"/>
        </w:rPr>
      </w:pPr>
      <w:r w:rsidRPr="00223CF4">
        <w:rPr>
          <w:rFonts w:cstheme="minorHAnsi"/>
        </w:rPr>
        <w:t>Interaktivní nácvik představuje klíčový prvek při zajištění aktivního zapojení účastníků a zvyšování efektivity vzdělávacího procesu. Tato forma výuky podporuje lepší zapamatování získaných znalostí a schopnost aplikace v praxi. Moderní metody interaktivního nácviku zahrnují využití technologií, samostatných úkolů i simulací v reálném prostředí, čímž nabízejí komplexní přístup k rozvoji dovedností a znalostí.</w:t>
      </w:r>
    </w:p>
    <w:p w14:paraId="62FD8415" w14:textId="77777777" w:rsidR="00223CF4" w:rsidRPr="00223CF4" w:rsidRDefault="00223CF4" w:rsidP="00223CF4">
      <w:pPr>
        <w:rPr>
          <w:rFonts w:cstheme="minorHAnsi"/>
        </w:rPr>
      </w:pPr>
      <w:r w:rsidRPr="00223CF4">
        <w:rPr>
          <w:rFonts w:cstheme="minorHAnsi"/>
        </w:rPr>
        <w:t>Virtuální realita umožňuje simulaci mimořádných událostí, jako je šíření toxických plynů, evakuace nebo dekontaminace, v bezpečném a realistickém prostředí. Tato metoda je vysoce efektivní díky možnosti opakovaného testování různých scénářů, což účastníkům pomáhá lépe porozumět situaci a zdokonalit rozhodovací schopnosti. Bezpečnostní aspekt virtuální reality umožňuje i trénink složitých nebo nebezpečných úkolů, aniž by účastníci byli vystaveni reálnému riziku.</w:t>
      </w:r>
    </w:p>
    <w:p w14:paraId="32C0FD6F" w14:textId="77777777" w:rsidR="00223CF4" w:rsidRPr="00223CF4" w:rsidRDefault="00223CF4" w:rsidP="00223CF4">
      <w:pPr>
        <w:rPr>
          <w:rFonts w:cstheme="minorHAnsi"/>
        </w:rPr>
      </w:pPr>
      <w:r w:rsidRPr="00223CF4">
        <w:rPr>
          <w:rFonts w:cstheme="minorHAnsi"/>
        </w:rPr>
        <w:t xml:space="preserve">Herní prvky, jako jsou </w:t>
      </w:r>
      <w:proofErr w:type="spellStart"/>
      <w:r w:rsidRPr="00223CF4">
        <w:rPr>
          <w:rFonts w:cstheme="minorHAnsi"/>
        </w:rPr>
        <w:t>gamifikované</w:t>
      </w:r>
      <w:proofErr w:type="spellEnd"/>
      <w:r w:rsidRPr="00223CF4">
        <w:rPr>
          <w:rFonts w:cstheme="minorHAnsi"/>
        </w:rPr>
        <w:t xml:space="preserve"> aplikace, přinášejí do výuky prvek soutěživosti a zábavy. Tyto aplikace jsou zaměřené na rozhodování v krizových situacích, správný výběr ochranných prostředků nebo simulaci postupů při úniku nebezpečných látek. Hry mohou zahrnovat bodové hodnocení, úspěšné dokončení misí nebo porovnání výsledků, což motivuje účastníky k aktivnímu zapojení a zlepšování výkonu.</w:t>
      </w:r>
    </w:p>
    <w:p w14:paraId="6C30518C" w14:textId="77777777" w:rsidR="00223CF4" w:rsidRPr="00223CF4" w:rsidRDefault="00223CF4" w:rsidP="003D255C">
      <w:pPr>
        <w:rPr>
          <w:rFonts w:cstheme="minorHAnsi"/>
        </w:rPr>
      </w:pPr>
      <w:r w:rsidRPr="00223CF4">
        <w:rPr>
          <w:rFonts w:cstheme="minorHAnsi"/>
        </w:rPr>
        <w:t>Samostatné úlohy jsou dalším efektivním nástrojem, který umožňuje účastníkům analyzovat konkrétní látky, jejich vlastnosti a vliv na zdraví. Tento přístup podporuje kritické myšlení a hlubší porozumění dané problematice. Online testy poskytují okamžitou zpětnou vazbu, což umožňuje studentům porovnat své znalosti s ostatními a zaměřit se na oblasti, kde mají mezery.</w:t>
      </w:r>
    </w:p>
    <w:p w14:paraId="14B567EA" w14:textId="77777777" w:rsidR="00223CF4" w:rsidRPr="00223CF4" w:rsidRDefault="00223CF4" w:rsidP="00223CF4">
      <w:pPr>
        <w:rPr>
          <w:rFonts w:cstheme="minorHAnsi"/>
        </w:rPr>
      </w:pPr>
      <w:r w:rsidRPr="00223CF4">
        <w:rPr>
          <w:rFonts w:cstheme="minorHAnsi"/>
        </w:rPr>
        <w:t>Praktické simulace v reálném prostředí, jako je nácvik evakuace nebo vytvoření dekontaminační zóny, přinášejí účastníkům cenné zkušenosti. Tyto aktivity často probíhají za účasti záchranných složek, což umožňuje realistické provedení scénáře a koordinaci mezi různými týmy. Simulace v terénu jsou neocenitelným nástrojem při přípravě na krizové situace, protože účastníkům poskytují praktické dovednosti, které mohou být klíčové při skutečných událostech.</w:t>
      </w:r>
    </w:p>
    <w:p w14:paraId="0E603FD2" w14:textId="77777777" w:rsidR="00223CF4" w:rsidRPr="00223CF4" w:rsidRDefault="00223CF4" w:rsidP="00223CF4">
      <w:pPr>
        <w:rPr>
          <w:rFonts w:cstheme="minorHAnsi"/>
        </w:rPr>
      </w:pPr>
      <w:r w:rsidRPr="00223CF4">
        <w:rPr>
          <w:rFonts w:cstheme="minorHAnsi"/>
        </w:rPr>
        <w:t xml:space="preserve">Interaktivní nácvik je nedílnou součástí moderního vzdělávání zaměřeného na ochranu obyvatelstva a zvládání mimořádných událostí. Využití technologií, jako je virtuální realita, spolu s praktickými cvičeními a </w:t>
      </w:r>
      <w:proofErr w:type="spellStart"/>
      <w:r w:rsidRPr="00223CF4">
        <w:rPr>
          <w:rFonts w:cstheme="minorHAnsi"/>
        </w:rPr>
        <w:t>gamifikovanými</w:t>
      </w:r>
      <w:proofErr w:type="spellEnd"/>
      <w:r w:rsidRPr="00223CF4">
        <w:rPr>
          <w:rFonts w:cstheme="minorHAnsi"/>
        </w:rPr>
        <w:t xml:space="preserve"> aplikacemi, přispívá k efektivnímu a zábavnému učení, které zároveň připravuje účastníky na reálné situace. Tento přístup nejen zvyšuje kvalitu výuky, ale také posiluje schopnosti účastníků reagovat na krizové situace s jistotou a odborností.</w:t>
      </w:r>
    </w:p>
    <w:p w14:paraId="4C97354B" w14:textId="77777777" w:rsidR="003D255C" w:rsidRDefault="003D255C" w:rsidP="003D255C">
      <w:pPr>
        <w:ind w:firstLine="0"/>
        <w:rPr>
          <w:rFonts w:cstheme="minorHAnsi"/>
        </w:rPr>
      </w:pPr>
    </w:p>
    <w:p w14:paraId="590533C8" w14:textId="77777777" w:rsidR="003D255C" w:rsidRDefault="003D255C" w:rsidP="003D255C">
      <w:pPr>
        <w:ind w:firstLine="0"/>
        <w:rPr>
          <w:rFonts w:cstheme="minorHAnsi"/>
        </w:rPr>
      </w:pPr>
    </w:p>
    <w:p w14:paraId="63E28D65" w14:textId="5FE46BB7" w:rsidR="00223CF4" w:rsidRPr="003D255C" w:rsidRDefault="00223CF4" w:rsidP="003D255C">
      <w:pPr>
        <w:ind w:firstLine="0"/>
        <w:rPr>
          <w:rFonts w:cstheme="minorHAnsi"/>
          <w:b/>
          <w:bCs/>
        </w:rPr>
      </w:pPr>
      <w:r w:rsidRPr="003D255C">
        <w:rPr>
          <w:rFonts w:cstheme="minorHAnsi"/>
          <w:b/>
          <w:bCs/>
        </w:rPr>
        <w:lastRenderedPageBreak/>
        <w:t>Komparativní analýza pro žáky SŠ</w:t>
      </w:r>
    </w:p>
    <w:p w14:paraId="0557553B" w14:textId="77777777" w:rsidR="00223CF4" w:rsidRPr="00223CF4" w:rsidRDefault="00223CF4" w:rsidP="00223CF4">
      <w:pPr>
        <w:rPr>
          <w:rFonts w:cstheme="minorHAnsi"/>
        </w:rPr>
      </w:pPr>
      <w:r w:rsidRPr="00223CF4">
        <w:rPr>
          <w:rFonts w:cstheme="minorHAnsi"/>
        </w:rPr>
        <w:t>Rozvoj analytických schopností u žáků středních škol je klíčový pro jejich přípravu na řešení mimořádných situací. Komparativní analýza jim umožňuje srovnávat různé přístupy, posuzovat jejich efektivitu a navrhovat vlastní řešení, což přispívá k jejich praktické i teoretické připravenosti. Tento přístup kombinuje studium chemických látek, historické příklady a kreativní úkoly, čímž podporuje interdisciplinární vzdělávání a kritické myšlení.</w:t>
      </w:r>
    </w:p>
    <w:p w14:paraId="026D5D61" w14:textId="77777777" w:rsidR="00223CF4" w:rsidRPr="00223CF4" w:rsidRDefault="00223CF4" w:rsidP="00223CF4">
      <w:pPr>
        <w:rPr>
          <w:rFonts w:cstheme="minorHAnsi"/>
        </w:rPr>
      </w:pPr>
      <w:r w:rsidRPr="00223CF4">
        <w:rPr>
          <w:rFonts w:cstheme="minorHAnsi"/>
        </w:rPr>
        <w:t>Žáci mohou porovnávat vlastnosti různých chemických látek, včetně jejich rizik, toxických účinků a smrtelných dávek. Tento typ analýzy zahrnuje i hodnocení doporučených ochranných prostředků a postupů pro minimalizaci expozice. Taková cvičení učí studenty nejen rozumět chemickým vlastnostem látek, ale i praktickým aspektům jejich zvládání v krizových situacích.</w:t>
      </w:r>
    </w:p>
    <w:p w14:paraId="38A3F468" w14:textId="77777777" w:rsidR="00223CF4" w:rsidRPr="00223CF4" w:rsidRDefault="00223CF4" w:rsidP="00223CF4">
      <w:pPr>
        <w:rPr>
          <w:rFonts w:cstheme="minorHAnsi"/>
        </w:rPr>
      </w:pPr>
      <w:r w:rsidRPr="00223CF4">
        <w:rPr>
          <w:rFonts w:cstheme="minorHAnsi"/>
        </w:rPr>
        <w:t xml:space="preserve">Studium historických událostí, jako je použití chemických látek během První světové války nebo při útoku na </w:t>
      </w:r>
      <w:proofErr w:type="spellStart"/>
      <w:r w:rsidRPr="00223CF4">
        <w:rPr>
          <w:rFonts w:cstheme="minorHAnsi"/>
        </w:rPr>
        <w:t>Halabju</w:t>
      </w:r>
      <w:proofErr w:type="spellEnd"/>
      <w:r w:rsidRPr="00223CF4">
        <w:rPr>
          <w:rFonts w:cstheme="minorHAnsi"/>
        </w:rPr>
        <w:t>, poskytuje žákům hlubší kontext pro pochopení dopadů těchto incidentů na obyvatelstvo. Analýza historických přístupů k ochraně obyvatelstva a jejich srovnání s moderními metodami umožňuje studentům identifikovat pokroky v oblasti prevence, krizového řízení a technologie.</w:t>
      </w:r>
    </w:p>
    <w:p w14:paraId="04E40D08" w14:textId="77777777" w:rsidR="00223CF4" w:rsidRPr="00223CF4" w:rsidRDefault="00223CF4" w:rsidP="00223CF4">
      <w:pPr>
        <w:rPr>
          <w:rFonts w:cstheme="minorHAnsi"/>
        </w:rPr>
      </w:pPr>
      <w:r w:rsidRPr="00223CF4">
        <w:rPr>
          <w:rFonts w:cstheme="minorHAnsi"/>
        </w:rPr>
        <w:t>Žákům mohou být zadávány úkoly, při kterých navrhují krizová opatření pro konkrétní scénáře, například simulovaný únik nebezpečné látky v jejich okolí. Tato aktivita podporuje kreativitu, kritické myšlení a schopnost aplikovat teoretické znalosti v praxi. Učí také spolupráci a efektivní komunikaci při řešení problémů.</w:t>
      </w:r>
    </w:p>
    <w:p w14:paraId="694369A1" w14:textId="77777777" w:rsidR="00223CF4" w:rsidRPr="00223CF4" w:rsidRDefault="00223CF4" w:rsidP="003D255C">
      <w:pPr>
        <w:rPr>
          <w:rFonts w:cstheme="minorHAnsi"/>
        </w:rPr>
      </w:pPr>
      <w:r w:rsidRPr="00223CF4">
        <w:rPr>
          <w:rFonts w:cstheme="minorHAnsi"/>
        </w:rPr>
        <w:t xml:space="preserve">Začlenění ochrany obyvatelstva do vzdělávacího systému přináší mnoho příležitostí k prevenci, </w:t>
      </w:r>
      <w:proofErr w:type="spellStart"/>
      <w:r w:rsidRPr="00223CF4">
        <w:rPr>
          <w:rFonts w:cstheme="minorHAnsi"/>
        </w:rPr>
        <w:t>osvěte</w:t>
      </w:r>
      <w:proofErr w:type="spellEnd"/>
      <w:r w:rsidRPr="00223CF4">
        <w:rPr>
          <w:rFonts w:cstheme="minorHAnsi"/>
        </w:rPr>
        <w:t xml:space="preserve"> a přípravě na mimořádné události. Kombinace moderních technologií, interaktivních metod a praktických cvičení v rámci výuky podporuje rozvoj klíčových dovedností u žáků. Zvýšené povědomí o chemických a biologických hrozbách připravuje nejen jednotlivce, ale i celé komunity na zvládání krizových situací.</w:t>
      </w:r>
    </w:p>
    <w:p w14:paraId="5A38404B" w14:textId="77777777" w:rsidR="00223CF4" w:rsidRPr="00223CF4" w:rsidRDefault="00223CF4" w:rsidP="00223CF4">
      <w:pPr>
        <w:rPr>
          <w:rFonts w:cstheme="minorHAnsi"/>
        </w:rPr>
      </w:pPr>
      <w:r w:rsidRPr="00223CF4">
        <w:rPr>
          <w:rFonts w:cstheme="minorHAnsi"/>
        </w:rPr>
        <w:t>Tento přístup k vzdělávání zároveň posiluje interdisciplinární propojení mezi předměty, jako jsou chemie, historie nebo občanská výchova. Podporuje mladou generaci v kritickém myšlení, odpovědném přístupu k ochraně zdraví a bezpečnosti a rozvíjí jejich schopnost řešit složité problémy v reálném světě.</w:t>
      </w:r>
    </w:p>
    <w:p w14:paraId="3B077249" w14:textId="77777777" w:rsidR="00223CF4" w:rsidRPr="00223CF4" w:rsidRDefault="00223CF4" w:rsidP="00223CF4">
      <w:pPr>
        <w:rPr>
          <w:rFonts w:cstheme="minorHAnsi"/>
        </w:rPr>
      </w:pPr>
    </w:p>
    <w:p w14:paraId="5F255175" w14:textId="2996053D" w:rsidR="00223CF4" w:rsidRPr="00223CF4" w:rsidRDefault="00223CF4" w:rsidP="00223CF4">
      <w:pPr>
        <w:pStyle w:val="Nadpis1"/>
      </w:pPr>
      <w:bookmarkStart w:id="106" w:name="_Toc183029581"/>
      <w:r w:rsidRPr="00223CF4">
        <w:lastRenderedPageBreak/>
        <w:t>Závěry</w:t>
      </w:r>
      <w:bookmarkEnd w:id="106"/>
    </w:p>
    <w:p w14:paraId="35B2D8A3" w14:textId="77777777" w:rsidR="00223CF4" w:rsidRPr="00223CF4" w:rsidRDefault="00223CF4" w:rsidP="00223CF4">
      <w:pPr>
        <w:rPr>
          <w:rFonts w:cstheme="minorHAnsi"/>
        </w:rPr>
      </w:pPr>
      <w:r w:rsidRPr="00223CF4">
        <w:rPr>
          <w:rFonts w:cstheme="minorHAnsi"/>
        </w:rPr>
        <w:t>Závěr diplomové práce „Databáze bojových chemických látek“ se zaměřuje na vyhodnocení dosažených výsledků a jejich přínos v oblasti bezpečnosti a informovanosti o BCHL. Cílem této práce bylo vytvořit strukturovanou databázi obsahující komplexní informace o bojových chemických látkách, jejich vlastnostech, toxicitě, účincích na lidský organismus, bezpečnostních opatřeních, možnostech dekontaminace a historickém využití. Přístupnost těchto informací veřejnosti i odborníkům byla zajištěna pomocí přehledné a snadno použitelné webové aplikace.</w:t>
      </w:r>
    </w:p>
    <w:p w14:paraId="292DA49B" w14:textId="77777777" w:rsidR="00223CF4" w:rsidRPr="00223CF4" w:rsidRDefault="00223CF4" w:rsidP="00223CF4">
      <w:pPr>
        <w:rPr>
          <w:rFonts w:cstheme="minorHAnsi"/>
        </w:rPr>
      </w:pPr>
      <w:r w:rsidRPr="00223CF4">
        <w:rPr>
          <w:rFonts w:cstheme="minorHAnsi"/>
        </w:rPr>
        <w:t>Výsledky této práce přinášejí několik zásadních přínosů v oblasti bezpečnosti a vzdělávání. Strukturovaná databáze BCHL umožňuje efektivní přístup k informacím o chemických látkách, což je cenné zejména pro odborníky z oblasti vojenského, bezpečnostního a chemického sektoru, ale i pro širší veřejnost a vzdělávací instituce. Aplikace databáze nejen zjednodušuje přístup k informacím, ale také zlepšuje obecné povědomí o rizicích spojených s chemickými látkami a podporuje připravenost na krizové situace.</w:t>
      </w:r>
    </w:p>
    <w:p w14:paraId="57109B69" w14:textId="77777777" w:rsidR="00223CF4" w:rsidRPr="00223CF4" w:rsidRDefault="00223CF4" w:rsidP="00223CF4">
      <w:pPr>
        <w:rPr>
          <w:rFonts w:cstheme="minorHAnsi"/>
        </w:rPr>
      </w:pPr>
      <w:r w:rsidRPr="00223CF4">
        <w:rPr>
          <w:rFonts w:cstheme="minorHAnsi"/>
        </w:rPr>
        <w:t>Diplomová práce „Databáze bojových chemických látek“ přináší významné přínosy v oblasti vzdělávání, prevence a odborného výzkumu. Jedním z klíčových výsledků je vytvoření vzdělávacího nástroje s vysokou osvětovou hodnotou, který podporuje informovanost o rizicích spojených s bojovými chemickými látkami. Databáze nabízí studentům, výzkumníkům i odborníkům z praxe přístup k důležitým informacím o chemických látkách, jejich toxicitě, účincích a metodách ochrany. Pro vzdělávací instituce se stává cenným zdrojem při výuce toxikologie, vojenské bezpečnosti a krizového managementu.</w:t>
      </w:r>
    </w:p>
    <w:p w14:paraId="3326E177" w14:textId="77777777" w:rsidR="00223CF4" w:rsidRPr="00223CF4" w:rsidRDefault="00223CF4" w:rsidP="00223CF4">
      <w:pPr>
        <w:rPr>
          <w:rFonts w:cstheme="minorHAnsi"/>
        </w:rPr>
      </w:pPr>
      <w:r w:rsidRPr="00223CF4">
        <w:rPr>
          <w:rFonts w:cstheme="minorHAnsi"/>
        </w:rPr>
        <w:t>Strukturovaný obsah databáze přispívá k podpoře prevence a připravenosti. Informace o bezpečnostních opatřeních a dekontaminačních postupech umožňují snadný přístup k praktickým údajům, které jsou klíčové nejen pro prevenci, ale i pro zvládání krizových situací. Tento přínos je zvláště důležitý pro školení a cvičení záchranných a bezpečnostních složek, čímž databáze podporuje lepší připravenost na chemické hrozby.</w:t>
      </w:r>
    </w:p>
    <w:p w14:paraId="75A44F4B" w14:textId="77777777" w:rsidR="00223CF4" w:rsidRPr="00223CF4" w:rsidRDefault="00223CF4" w:rsidP="00223CF4">
      <w:pPr>
        <w:rPr>
          <w:rFonts w:cstheme="minorHAnsi"/>
        </w:rPr>
      </w:pPr>
      <w:r w:rsidRPr="00223CF4">
        <w:rPr>
          <w:rFonts w:cstheme="minorHAnsi"/>
        </w:rPr>
        <w:t>Databáze rovněž zvyšuje veřejné povědomí o chemických hrozbách. Díky své uživatelské přívětivosti a široké dostupnosti na webové platformě umožňuje přístup k informacím nejen profesionálům, ale i laické veřejnosti. Tím podporuje osvětu o nebezpečích spojených s bojovými chemickými látkami a o ochranných opatřeních, která je nutná pro minimalizaci rizik.</w:t>
      </w:r>
    </w:p>
    <w:p w14:paraId="3B82F1DF" w14:textId="77777777" w:rsidR="00223CF4" w:rsidRPr="00223CF4" w:rsidRDefault="00223CF4" w:rsidP="00223CF4">
      <w:pPr>
        <w:rPr>
          <w:rFonts w:cstheme="minorHAnsi"/>
        </w:rPr>
      </w:pPr>
      <w:r w:rsidRPr="00223CF4">
        <w:rPr>
          <w:rFonts w:cstheme="minorHAnsi"/>
        </w:rPr>
        <w:t xml:space="preserve">Z hlediska odborného výzkumu přináší databáze přehledné a detailní informace o chemických vlastnostech, toxicitě a mechanismech účinku bojových chemických látek. Tyto informace mohou být využity jako základ pro vývoj nových ochranných technologií, zlepšení </w:t>
      </w:r>
      <w:r w:rsidRPr="00223CF4">
        <w:rPr>
          <w:rFonts w:cstheme="minorHAnsi"/>
        </w:rPr>
        <w:lastRenderedPageBreak/>
        <w:t>dekontaminačních postupů a navrhování efektivnějších bezpečnostních opatření. Databáze tím přispívá k odborné komunitě a poskytuje cenný zdroj pro další výzkumné aktivity.</w:t>
      </w:r>
    </w:p>
    <w:p w14:paraId="2985DB25" w14:textId="77777777" w:rsidR="00223CF4" w:rsidRDefault="00223CF4" w:rsidP="00223CF4">
      <w:pPr>
        <w:rPr>
          <w:rFonts w:cstheme="minorHAnsi"/>
        </w:rPr>
      </w:pPr>
      <w:r w:rsidRPr="00223CF4">
        <w:rPr>
          <w:rFonts w:cstheme="minorHAnsi"/>
        </w:rPr>
        <w:t>Významným aspektem práce je i její potenciál pro mezinárodní spolupráci a podporu právní regulace. Databáze obsahuje informace o mezinárodních normách, jako je Úmluva o chemických zbraních (CWC), čímž přispívá k informovanosti o právních závazcích jednotlivých zemí a organizací. Tento aspekt podporuje sdílené úsilí o kontrolu a likvidaci chemických zbraní a budování společného základu pro globální prevenci.</w:t>
      </w:r>
    </w:p>
    <w:p w14:paraId="4533FF13" w14:textId="5BC4B8A3" w:rsidR="002E6E3D" w:rsidRPr="00223CF4" w:rsidRDefault="002E6E3D" w:rsidP="00223CF4">
      <w:pPr>
        <w:rPr>
          <w:rFonts w:cstheme="minorHAnsi"/>
        </w:rPr>
      </w:pPr>
      <w:r>
        <w:rPr>
          <w:rFonts w:cstheme="minorHAnsi"/>
        </w:rPr>
        <w:t>T</w:t>
      </w:r>
      <w:r w:rsidRPr="002E6E3D">
        <w:rPr>
          <w:rFonts w:cstheme="minorHAnsi"/>
        </w:rPr>
        <w:t>vorba online databází i pro specifické nebo málo běžné oblasti má svůj význam. Tyto databáze slouží jako klíčový nástroj pro odborníky a instituce, které se těmito tématy zabývají. Například u BCHL je databáze zásadní pro výzkumné pracovníky, vojenské odborníky, bezpečnostní složky a zdravotnický personál, kteří potřebují rychlý přístup k ověřeným informacím. Takové databáze mohou být také důležité při krizovém řízení, kdy je nutné reagovat na mimořádné situace s využitím přesných dat, což má nepřímý dopad na ochranu veřejnosti.</w:t>
      </w:r>
    </w:p>
    <w:p w14:paraId="0F34D9D6" w14:textId="24EC23DA" w:rsidR="00223CF4" w:rsidRDefault="00223CF4" w:rsidP="00223CF4">
      <w:pPr>
        <w:rPr>
          <w:rFonts w:cstheme="minorHAnsi"/>
        </w:rPr>
      </w:pPr>
      <w:r w:rsidRPr="00223CF4">
        <w:rPr>
          <w:rFonts w:cstheme="minorHAnsi"/>
        </w:rPr>
        <w:t>Doporučení pro budoucí rozvoj zahrnují několik oblastí. Pravidelná aktualizace databáze by měla zahrnovat nové poznatky o bojových chemických látkách, jejich účincích a dekontaminačních postupech, aby zůstala dlouhodobě relevantní. Rozšíření obsahu by mohlo zahrnovat nejen tradiční BCHL, ale také moderní hrozby, jako jsou biologické toxiny nebo látky zneužitelné v asymetrických konfliktech.</w:t>
      </w:r>
      <w:r w:rsidR="002E6E3D">
        <w:rPr>
          <w:rFonts w:cstheme="minorHAnsi"/>
        </w:rPr>
        <w:t xml:space="preserve"> </w:t>
      </w:r>
    </w:p>
    <w:p w14:paraId="2932BDDF" w14:textId="45FA0FB1" w:rsidR="002E6E3D" w:rsidRPr="00223CF4" w:rsidRDefault="002E6E3D" w:rsidP="00223CF4">
      <w:pPr>
        <w:rPr>
          <w:rFonts w:cstheme="minorHAnsi"/>
        </w:rPr>
      </w:pPr>
      <w:r w:rsidRPr="002E6E3D">
        <w:rPr>
          <w:rFonts w:cstheme="minorHAnsi"/>
        </w:rPr>
        <w:t>Pokud byla během rešerší identifikována jiná databázová řešení, která by byla vhodnější než původně plánovaná, může být vhodné přehodnotit jejich využití. Výběr databázové platformy by měl být založen na kritériích, jako je dostupnost funkcí, uživatelská přívětivost, možnost editace, kompatibilita s budoucím rozšiřováním a také cena. Pokud se ukáže, že některá dostupná řešení lépe vyhovují potřebám projektu, je důležité tuto skutečnost zohlednit a případně navrhnout jejich integraci, aby byla databáze co nejefektivnější a nejlépe splňovala svůj účel.</w:t>
      </w:r>
    </w:p>
    <w:p w14:paraId="79958D7A" w14:textId="77777777" w:rsidR="00223CF4" w:rsidRPr="00223CF4" w:rsidRDefault="00223CF4" w:rsidP="002E6E3D">
      <w:pPr>
        <w:rPr>
          <w:rFonts w:cstheme="minorHAnsi"/>
        </w:rPr>
      </w:pPr>
      <w:r w:rsidRPr="00223CF4">
        <w:rPr>
          <w:rFonts w:cstheme="minorHAnsi"/>
        </w:rPr>
        <w:t>Integrace multimediálního obsahu, jako jsou animace nebo instruktážní videa, by podpořila lepší vizuální a interaktivní pochopení problematiky. Dále je nutné zajistit vysokou úroveň zabezpečení dat a ochrany proti neoprávněnému přístupu pomocí pokročilých autentizačních a šifrovacích metod.</w:t>
      </w:r>
    </w:p>
    <w:p w14:paraId="79617DFF" w14:textId="77777777" w:rsidR="00223CF4" w:rsidRPr="00223CF4" w:rsidRDefault="00223CF4" w:rsidP="00223CF4">
      <w:pPr>
        <w:rPr>
          <w:rFonts w:cstheme="minorHAnsi"/>
        </w:rPr>
      </w:pPr>
      <w:r w:rsidRPr="00223CF4">
        <w:rPr>
          <w:rFonts w:cstheme="minorHAnsi"/>
        </w:rPr>
        <w:t>Tento projekt má potenciál stát se dlouhodobým nástrojem nejen pro odborníky a vědce, ale i pro širší veřejnost, čímž přispívá k budování kolektivní připravenosti a odpovědnosti vůči chemickým hrozbám. Svým obsahem podtrhuje význam etických a právních aspektů této problematiky a zdůrazňuje potřebu osvěty a prevence v oblasti bezpečnosti.</w:t>
      </w:r>
    </w:p>
    <w:p w14:paraId="2C2BA96E" w14:textId="48037623" w:rsidR="00223CF4" w:rsidRPr="00223CF4" w:rsidRDefault="00223CF4" w:rsidP="00223CF4">
      <w:pPr>
        <w:rPr>
          <w:rFonts w:cstheme="minorHAnsi"/>
        </w:rPr>
      </w:pPr>
    </w:p>
    <w:p w14:paraId="2E8AD6A5" w14:textId="7EDB3103" w:rsidR="00223CF4" w:rsidRPr="00223CF4" w:rsidRDefault="00223CF4" w:rsidP="002E6E3D">
      <w:pPr>
        <w:ind w:firstLine="0"/>
        <w:rPr>
          <w:rFonts w:cstheme="minorHAnsi"/>
        </w:rPr>
      </w:pPr>
    </w:p>
    <w:p w14:paraId="1F594DA9" w14:textId="5675DE96" w:rsidR="00223CF4" w:rsidRPr="00223CF4" w:rsidRDefault="00223CF4" w:rsidP="00223CF4">
      <w:pPr>
        <w:pStyle w:val="Nadpis1"/>
      </w:pPr>
      <w:bookmarkStart w:id="107" w:name="_Toc183029582"/>
      <w:r w:rsidRPr="00223CF4">
        <w:lastRenderedPageBreak/>
        <w:t>Souhrn</w:t>
      </w:r>
      <w:bookmarkEnd w:id="107"/>
    </w:p>
    <w:p w14:paraId="40051E71" w14:textId="77777777" w:rsidR="00223CF4" w:rsidRPr="00223CF4" w:rsidRDefault="00223CF4" w:rsidP="00223CF4">
      <w:pPr>
        <w:rPr>
          <w:rFonts w:cstheme="minorHAnsi"/>
        </w:rPr>
      </w:pPr>
      <w:r w:rsidRPr="00223CF4">
        <w:rPr>
          <w:rFonts w:cstheme="minorHAnsi"/>
        </w:rPr>
        <w:t>Diplomová práce „Databáze bojových chemických látek“ se zaměřuje na vytvoření obsáhlé a strukturované databáze, která poskytuje detailní informace o BCHL – jejich chemických vlastnostech, mechanismech působení, účincích na lidský organismus, zásadách bezpečného zacházení a možnostech dekontaminace. Cílem této práce bylo vytvořit centralizovaný a snadno přístupný zdroj informací, který bude sloužit jak odborníkům (např. chemikům, toxikologům a bezpečnostním pracovníkům), tak širší veřejnosti, a podpořit tak prevenci a osvětu v oblasti chemické bezpečnosti.</w:t>
      </w:r>
    </w:p>
    <w:p w14:paraId="1F6DAAEC" w14:textId="77777777" w:rsidR="00223CF4" w:rsidRPr="00223CF4" w:rsidRDefault="00223CF4" w:rsidP="00223CF4">
      <w:pPr>
        <w:rPr>
          <w:rFonts w:cstheme="minorHAnsi"/>
        </w:rPr>
      </w:pPr>
      <w:r w:rsidRPr="00223CF4">
        <w:rPr>
          <w:rFonts w:cstheme="minorHAnsi"/>
        </w:rPr>
        <w:t>Práce byla rozdělena do několika klíčových fází, počínaje sběrem a analýzou dat o BCHL. Sběr informací vycházel z primárních a sekundárních zdrojů zahrnujících vědecké publikace, toxikologické databáze, vojenské a bezpečnostní studie, odborné časopisy a legislativní dokumenty. Tento pečlivý výzkum zajistil, že informace v databázi jsou přesné, ověřené a reflektují aktuální znalosti v oboru.</w:t>
      </w:r>
    </w:p>
    <w:p w14:paraId="4D42D95B" w14:textId="77777777" w:rsidR="00223CF4" w:rsidRPr="00223CF4" w:rsidRDefault="00223CF4" w:rsidP="00223CF4">
      <w:pPr>
        <w:rPr>
          <w:rFonts w:cstheme="minorHAnsi"/>
        </w:rPr>
      </w:pPr>
      <w:r w:rsidRPr="00223CF4">
        <w:rPr>
          <w:rFonts w:cstheme="minorHAnsi"/>
        </w:rPr>
        <w:t xml:space="preserve">Na základě shromážděných dat byly BCHL klasifikovány podle jejich chemického složení, fyzikálních vlastností, účinků na člověka a možností ochrany před jejich účinky. Klasifikace zahrnovala například typ látky (nervově paralytické, puchýřnaté, dusivé látky apod.), toxicitu (LD50, LC50), způsob nasazení (aerosol, plyn, kapalina) a mechanismus účinku (např. inhibice enzymu </w:t>
      </w:r>
      <w:proofErr w:type="spellStart"/>
      <w:r w:rsidRPr="00223CF4">
        <w:rPr>
          <w:rFonts w:cstheme="minorHAnsi"/>
        </w:rPr>
        <w:t>acetylcholinesterázy</w:t>
      </w:r>
      <w:proofErr w:type="spellEnd"/>
      <w:r w:rsidRPr="00223CF4">
        <w:rPr>
          <w:rFonts w:cstheme="minorHAnsi"/>
        </w:rPr>
        <w:t xml:space="preserve"> u nervových látek).</w:t>
      </w:r>
    </w:p>
    <w:p w14:paraId="189945B0" w14:textId="77777777" w:rsidR="00223CF4" w:rsidRPr="00223CF4" w:rsidRDefault="00223CF4" w:rsidP="00223CF4">
      <w:pPr>
        <w:rPr>
          <w:rFonts w:cstheme="minorHAnsi"/>
        </w:rPr>
      </w:pPr>
      <w:r w:rsidRPr="00223CF4">
        <w:rPr>
          <w:rFonts w:cstheme="minorHAnsi"/>
        </w:rPr>
        <w:t>Databáze byla koncipována s ohledem na přehlednost a uživatelskou přívětivost. Každá položka zahrnuje následující informace o látce:</w:t>
      </w:r>
    </w:p>
    <w:p w14:paraId="4B132B4E" w14:textId="4E07C181" w:rsidR="00223CF4" w:rsidRPr="00223CF4" w:rsidRDefault="00223CF4" w:rsidP="00223CF4">
      <w:pPr>
        <w:pStyle w:val="Odstavecseseznamem"/>
        <w:numPr>
          <w:ilvl w:val="1"/>
          <w:numId w:val="23"/>
        </w:numPr>
        <w:rPr>
          <w:rFonts w:cstheme="minorHAnsi"/>
        </w:rPr>
      </w:pPr>
      <w:r w:rsidRPr="00223CF4">
        <w:rPr>
          <w:rFonts w:cstheme="minorHAnsi"/>
        </w:rPr>
        <w:t>Chemický název a molekulární vzorec</w:t>
      </w:r>
    </w:p>
    <w:p w14:paraId="39713C48" w14:textId="23C5E190" w:rsidR="00223CF4" w:rsidRPr="00223CF4" w:rsidRDefault="00223CF4" w:rsidP="00223CF4">
      <w:pPr>
        <w:pStyle w:val="Odstavecseseznamem"/>
        <w:numPr>
          <w:ilvl w:val="1"/>
          <w:numId w:val="23"/>
        </w:numPr>
        <w:rPr>
          <w:rFonts w:cstheme="minorHAnsi"/>
        </w:rPr>
      </w:pPr>
      <w:r w:rsidRPr="00223CF4">
        <w:rPr>
          <w:rFonts w:cstheme="minorHAnsi"/>
        </w:rPr>
        <w:t>Kód látky a číslo CAS</w:t>
      </w:r>
    </w:p>
    <w:p w14:paraId="4822740B" w14:textId="2D8C244B" w:rsidR="00223CF4" w:rsidRPr="00223CF4" w:rsidRDefault="00223CF4" w:rsidP="00223CF4">
      <w:pPr>
        <w:pStyle w:val="Odstavecseseznamem"/>
        <w:numPr>
          <w:ilvl w:val="1"/>
          <w:numId w:val="23"/>
        </w:numPr>
        <w:rPr>
          <w:rFonts w:cstheme="minorHAnsi"/>
        </w:rPr>
      </w:pPr>
      <w:r w:rsidRPr="00223CF4">
        <w:rPr>
          <w:rFonts w:cstheme="minorHAnsi"/>
        </w:rPr>
        <w:t>Fyzikální stav, těkavost, bod varu, bod tání, hustotu, tlak par, rozpustnost ve vodě a v jiných látkách</w:t>
      </w:r>
    </w:p>
    <w:p w14:paraId="6CCA9453" w14:textId="0BA32173" w:rsidR="00223CF4" w:rsidRPr="00223CF4" w:rsidRDefault="00223CF4" w:rsidP="00223CF4">
      <w:pPr>
        <w:pStyle w:val="Odstavecseseznamem"/>
        <w:numPr>
          <w:ilvl w:val="1"/>
          <w:numId w:val="23"/>
        </w:numPr>
        <w:rPr>
          <w:rFonts w:cstheme="minorHAnsi"/>
        </w:rPr>
      </w:pPr>
      <w:r w:rsidRPr="00223CF4">
        <w:rPr>
          <w:rFonts w:cstheme="minorHAnsi"/>
        </w:rPr>
        <w:t>Mechanismus účinku na organismus, působení látky a příznaky otravy</w:t>
      </w:r>
    </w:p>
    <w:p w14:paraId="32A91530" w14:textId="3C95CB17" w:rsidR="00223CF4" w:rsidRPr="00223CF4" w:rsidRDefault="00223CF4" w:rsidP="00223CF4">
      <w:pPr>
        <w:pStyle w:val="Odstavecseseznamem"/>
        <w:numPr>
          <w:ilvl w:val="1"/>
          <w:numId w:val="23"/>
        </w:numPr>
        <w:rPr>
          <w:rFonts w:cstheme="minorHAnsi"/>
        </w:rPr>
      </w:pPr>
      <w:r w:rsidRPr="00223CF4">
        <w:rPr>
          <w:rFonts w:cstheme="minorHAnsi"/>
        </w:rPr>
        <w:t>Možnosti dekontaminace a bezpečnostní opatření</w:t>
      </w:r>
    </w:p>
    <w:p w14:paraId="1B9E8E9C" w14:textId="0D42A649" w:rsidR="00223CF4" w:rsidRPr="00223CF4" w:rsidRDefault="00223CF4" w:rsidP="00223CF4">
      <w:pPr>
        <w:pStyle w:val="Odstavecseseznamem"/>
        <w:numPr>
          <w:ilvl w:val="1"/>
          <w:numId w:val="23"/>
        </w:numPr>
        <w:rPr>
          <w:rFonts w:cstheme="minorHAnsi"/>
        </w:rPr>
      </w:pPr>
      <w:r w:rsidRPr="00223CF4">
        <w:rPr>
          <w:rFonts w:cstheme="minorHAnsi"/>
        </w:rPr>
        <w:t>Stabilita látky a doporučení pro skladování</w:t>
      </w:r>
    </w:p>
    <w:p w14:paraId="2CD1A4AE" w14:textId="77777777" w:rsidR="00223CF4" w:rsidRPr="00223CF4" w:rsidRDefault="00223CF4" w:rsidP="00223CF4">
      <w:pPr>
        <w:rPr>
          <w:rFonts w:cstheme="minorHAnsi"/>
        </w:rPr>
      </w:pPr>
      <w:r w:rsidRPr="00223CF4">
        <w:rPr>
          <w:rFonts w:cstheme="minorHAnsi"/>
        </w:rPr>
        <w:t xml:space="preserve">Databáze byla implementována do webového prostředí s interaktivním rozhraním, které uživatelům umožňuje snadné vyhledávání a filtrování informací podle různých kritérií. Vytvoření webové aplikace probíhalo s využitím moderních webových technologií, jako jsou HTML, CSS, JavaScript, a databázových systémů, jako je </w:t>
      </w:r>
      <w:proofErr w:type="spellStart"/>
      <w:r w:rsidRPr="00223CF4">
        <w:rPr>
          <w:rFonts w:cstheme="minorHAnsi"/>
        </w:rPr>
        <w:t>MySQL</w:t>
      </w:r>
      <w:proofErr w:type="spellEnd"/>
      <w:r w:rsidRPr="00223CF4">
        <w:rPr>
          <w:rFonts w:cstheme="minorHAnsi"/>
        </w:rPr>
        <w:t>. Vývoj byl zaměřen na rychlost a spolehlivost, aby aplikace poskytovala uživatelům komfortní a bezpečný přístup k informacím.</w:t>
      </w:r>
    </w:p>
    <w:p w14:paraId="01A76EEC" w14:textId="77777777" w:rsidR="00223CF4" w:rsidRPr="00223CF4" w:rsidRDefault="00223CF4" w:rsidP="00223CF4">
      <w:pPr>
        <w:rPr>
          <w:rFonts w:cstheme="minorHAnsi"/>
        </w:rPr>
      </w:pPr>
      <w:r w:rsidRPr="00223CF4">
        <w:rPr>
          <w:rFonts w:cstheme="minorHAnsi"/>
        </w:rPr>
        <w:lastRenderedPageBreak/>
        <w:t>V rámci práce byly analyzovány etické a právní otázky související s vývojem a používáním bojových chemických látek. Úmluva o chemických zbraních (CWC) z roku 1993 zakazuje jejich výrobu, skladování a použití. Tato legislativa tvoří zásadní právní rámec pro kontrolu a regulaci BCHL na mezinárodní úrovni. Práce reflektuje význam těchto právních závazků, které mají za cíl ochranu lidských práv a bezpečnosti, a podporuje širší diskusi o odpovědném nakládání s těmito látkami.</w:t>
      </w:r>
    </w:p>
    <w:p w14:paraId="0F5700B2" w14:textId="77777777" w:rsidR="00223CF4" w:rsidRPr="00223CF4" w:rsidRDefault="00223CF4" w:rsidP="00223CF4">
      <w:pPr>
        <w:rPr>
          <w:rFonts w:cstheme="minorHAnsi"/>
        </w:rPr>
      </w:pPr>
      <w:r w:rsidRPr="00223CF4">
        <w:rPr>
          <w:rFonts w:cstheme="minorHAnsi"/>
        </w:rPr>
        <w:t>Tato databáze je přínosná jak pro odborníky zabývající se bezpečností a prevencí v oblasti chemických látek, tak i pro širší veřejnost, která tak získává přístup k faktickým a strukturovaným informacím o nebezpečných látkách. Díky integraci databáze do online prostředí lze snadno a rychle vyhledávat informace o jednotlivých BCHL a prohlubovat tak znalosti uživatelů o těchto látkách.</w:t>
      </w:r>
    </w:p>
    <w:p w14:paraId="17C25F8B" w14:textId="77777777" w:rsidR="00223CF4" w:rsidRPr="00223CF4" w:rsidRDefault="00223CF4" w:rsidP="00223CF4">
      <w:pPr>
        <w:rPr>
          <w:rFonts w:cstheme="minorHAnsi"/>
        </w:rPr>
      </w:pPr>
      <w:r w:rsidRPr="00223CF4">
        <w:rPr>
          <w:rFonts w:cstheme="minorHAnsi"/>
        </w:rPr>
        <w:t>Práce je koncipována jako nástroj, který je možné v budoucnu aktualizovat a rozšiřovat. To zahrnuje přidávání nových bojových chemických látek a aktualizace údajů o toxicitě a metodách dekontaminace v návaznosti na nové vědecké poznatky a legislativní změny. Vize budoucího rozvoje zahrnuje i možnost zahrnout interaktivní grafiku a multimediální obsah, což by zlepšilo možnosti vzdělávání a usnadnilo pochopení složité problematiky.</w:t>
      </w:r>
    </w:p>
    <w:p w14:paraId="16D8234A" w14:textId="77777777" w:rsidR="00223CF4" w:rsidRPr="00223CF4" w:rsidRDefault="00223CF4" w:rsidP="00223CF4">
      <w:pPr>
        <w:rPr>
          <w:rFonts w:cstheme="minorHAnsi"/>
        </w:rPr>
      </w:pPr>
    </w:p>
    <w:p w14:paraId="7CCE8A29" w14:textId="77777777" w:rsidR="00223CF4" w:rsidRPr="00223CF4" w:rsidRDefault="00223CF4" w:rsidP="00223CF4">
      <w:pPr>
        <w:rPr>
          <w:rFonts w:cstheme="minorHAnsi"/>
        </w:rPr>
      </w:pPr>
    </w:p>
    <w:p w14:paraId="1A9738E7" w14:textId="77777777" w:rsidR="00223CF4" w:rsidRPr="00223CF4" w:rsidRDefault="00223CF4" w:rsidP="00223CF4">
      <w:pPr>
        <w:rPr>
          <w:rFonts w:cstheme="minorHAnsi"/>
        </w:rPr>
      </w:pPr>
    </w:p>
    <w:p w14:paraId="366EA44D" w14:textId="77777777" w:rsidR="00223CF4" w:rsidRPr="00223CF4" w:rsidRDefault="00223CF4" w:rsidP="00223CF4">
      <w:pPr>
        <w:rPr>
          <w:rFonts w:cstheme="minorHAnsi"/>
        </w:rPr>
      </w:pPr>
    </w:p>
    <w:p w14:paraId="4DA1E228" w14:textId="77777777" w:rsidR="00223CF4" w:rsidRPr="00223CF4" w:rsidRDefault="00223CF4" w:rsidP="00223CF4">
      <w:pPr>
        <w:rPr>
          <w:rFonts w:cstheme="minorHAnsi"/>
        </w:rPr>
      </w:pPr>
    </w:p>
    <w:p w14:paraId="566DFD9C" w14:textId="77777777" w:rsidR="00223CF4" w:rsidRPr="00223CF4" w:rsidRDefault="00223CF4" w:rsidP="00223CF4">
      <w:pPr>
        <w:rPr>
          <w:rFonts w:cstheme="minorHAnsi"/>
        </w:rPr>
      </w:pPr>
    </w:p>
    <w:p w14:paraId="54A724C9" w14:textId="77777777" w:rsidR="00223CF4" w:rsidRPr="00223CF4" w:rsidRDefault="00223CF4" w:rsidP="00223CF4">
      <w:pPr>
        <w:rPr>
          <w:rFonts w:cstheme="minorHAnsi"/>
        </w:rPr>
      </w:pPr>
    </w:p>
    <w:p w14:paraId="2B3B0811" w14:textId="77777777" w:rsidR="00223CF4" w:rsidRPr="00223CF4" w:rsidRDefault="00223CF4" w:rsidP="00223CF4">
      <w:pPr>
        <w:rPr>
          <w:rFonts w:cstheme="minorHAnsi"/>
        </w:rPr>
      </w:pPr>
    </w:p>
    <w:p w14:paraId="12B12DE0" w14:textId="77777777" w:rsidR="00223CF4" w:rsidRPr="00223CF4" w:rsidRDefault="00223CF4" w:rsidP="00223CF4">
      <w:pPr>
        <w:rPr>
          <w:rFonts w:cstheme="minorHAnsi"/>
        </w:rPr>
      </w:pPr>
      <w:r w:rsidRPr="00223CF4">
        <w:rPr>
          <w:rFonts w:cstheme="minorHAnsi"/>
        </w:rPr>
        <w:t> </w:t>
      </w:r>
    </w:p>
    <w:p w14:paraId="3239989B" w14:textId="14DE91E1" w:rsidR="00223CF4" w:rsidRPr="00223CF4" w:rsidRDefault="00223CF4" w:rsidP="00940997">
      <w:pPr>
        <w:pStyle w:val="Nadpis1"/>
      </w:pPr>
      <w:bookmarkStart w:id="108" w:name="_Toc183029583"/>
      <w:r w:rsidRPr="00223CF4">
        <w:lastRenderedPageBreak/>
        <w:t>Summary</w:t>
      </w:r>
      <w:bookmarkEnd w:id="108"/>
    </w:p>
    <w:p w14:paraId="66A04EEB" w14:textId="19287185" w:rsidR="00223CF4" w:rsidRPr="00223CF4" w:rsidRDefault="00223CF4" w:rsidP="00223CF4">
      <w:pPr>
        <w:rPr>
          <w:rFonts w:cstheme="minorHAnsi"/>
        </w:rPr>
      </w:pPr>
      <w:proofErr w:type="spellStart"/>
      <w:r w:rsidRPr="00223CF4">
        <w:rPr>
          <w:rFonts w:cstheme="minorHAnsi"/>
        </w:rPr>
        <w:t>The</w:t>
      </w:r>
      <w:proofErr w:type="spellEnd"/>
      <w:r w:rsidRPr="00223CF4">
        <w:rPr>
          <w:rFonts w:cstheme="minorHAnsi"/>
        </w:rPr>
        <w:t xml:space="preserve"> thesis "</w:t>
      </w:r>
      <w:r w:rsidR="00BB798C" w:rsidRPr="00BB798C">
        <w:rPr>
          <w:rFonts w:cstheme="minorHAnsi"/>
        </w:rPr>
        <w:t xml:space="preserve">Database </w:t>
      </w:r>
      <w:proofErr w:type="spellStart"/>
      <w:r w:rsidR="00BB798C" w:rsidRPr="00BB798C">
        <w:rPr>
          <w:rFonts w:cstheme="minorHAnsi"/>
        </w:rPr>
        <w:t>of</w:t>
      </w:r>
      <w:proofErr w:type="spellEnd"/>
      <w:r w:rsidR="00BB798C" w:rsidRPr="00BB798C">
        <w:rPr>
          <w:rFonts w:cstheme="minorHAnsi"/>
        </w:rPr>
        <w:t xml:space="preserve"> </w:t>
      </w:r>
      <w:proofErr w:type="spellStart"/>
      <w:r w:rsidR="00BB798C" w:rsidRPr="00BB798C">
        <w:rPr>
          <w:rFonts w:cstheme="minorHAnsi"/>
        </w:rPr>
        <w:t>chemical</w:t>
      </w:r>
      <w:proofErr w:type="spellEnd"/>
      <w:r w:rsidR="00BB798C" w:rsidRPr="00BB798C">
        <w:rPr>
          <w:rFonts w:cstheme="minorHAnsi"/>
        </w:rPr>
        <w:t xml:space="preserve"> </w:t>
      </w:r>
      <w:proofErr w:type="spellStart"/>
      <w:r w:rsidR="00BB798C" w:rsidRPr="00BB798C">
        <w:rPr>
          <w:rFonts w:cstheme="minorHAnsi"/>
        </w:rPr>
        <w:t>warfare</w:t>
      </w:r>
      <w:proofErr w:type="spellEnd"/>
      <w:r w:rsidR="00BB798C" w:rsidRPr="00BB798C">
        <w:rPr>
          <w:rFonts w:cstheme="minorHAnsi"/>
        </w:rPr>
        <w:t xml:space="preserve"> </w:t>
      </w:r>
      <w:proofErr w:type="spellStart"/>
      <w:r w:rsidR="00BB798C" w:rsidRPr="00BB798C">
        <w:rPr>
          <w:rFonts w:cstheme="minorHAnsi"/>
        </w:rPr>
        <w:t>agents</w:t>
      </w:r>
      <w:proofErr w:type="spellEnd"/>
      <w:r w:rsidRPr="00223CF4">
        <w:rPr>
          <w:rFonts w:cstheme="minorHAnsi"/>
        </w:rPr>
        <w:t xml:space="preserve">" </w:t>
      </w:r>
      <w:proofErr w:type="spellStart"/>
      <w:r w:rsidRPr="00223CF4">
        <w:rPr>
          <w:rFonts w:cstheme="minorHAnsi"/>
        </w:rPr>
        <w:t>focuses</w:t>
      </w:r>
      <w:proofErr w:type="spellEnd"/>
      <w:r w:rsidRPr="00223CF4">
        <w:rPr>
          <w:rFonts w:cstheme="minorHAnsi"/>
        </w:rPr>
        <w:t xml:space="preserve"> on </w:t>
      </w:r>
      <w:proofErr w:type="spellStart"/>
      <w:r w:rsidRPr="00223CF4">
        <w:rPr>
          <w:rFonts w:cstheme="minorHAnsi"/>
        </w:rPr>
        <w:t>creating</w:t>
      </w:r>
      <w:proofErr w:type="spellEnd"/>
      <w:r w:rsidRPr="00223CF4">
        <w:rPr>
          <w:rFonts w:cstheme="minorHAnsi"/>
        </w:rPr>
        <w:t xml:space="preserve"> a </w:t>
      </w:r>
      <w:proofErr w:type="spellStart"/>
      <w:r w:rsidRPr="00223CF4">
        <w:rPr>
          <w:rFonts w:cstheme="minorHAnsi"/>
        </w:rPr>
        <w:t>comprehensive</w:t>
      </w:r>
      <w:proofErr w:type="spellEnd"/>
      <w:r w:rsidRPr="00223CF4">
        <w:rPr>
          <w:rFonts w:cstheme="minorHAnsi"/>
        </w:rPr>
        <w:t xml:space="preserve"> and </w:t>
      </w:r>
      <w:proofErr w:type="spellStart"/>
      <w:r w:rsidRPr="00223CF4">
        <w:rPr>
          <w:rFonts w:cstheme="minorHAnsi"/>
        </w:rPr>
        <w:t>structured</w:t>
      </w:r>
      <w:proofErr w:type="spellEnd"/>
      <w:r w:rsidRPr="00223CF4">
        <w:rPr>
          <w:rFonts w:cstheme="minorHAnsi"/>
        </w:rPr>
        <w:t xml:space="preserve"> database </w:t>
      </w:r>
      <w:proofErr w:type="spellStart"/>
      <w:r w:rsidRPr="00223CF4">
        <w:rPr>
          <w:rFonts w:cstheme="minorHAnsi"/>
        </w:rPr>
        <w:t>providing</w:t>
      </w:r>
      <w:proofErr w:type="spellEnd"/>
      <w:r w:rsidRPr="00223CF4">
        <w:rPr>
          <w:rFonts w:cstheme="minorHAnsi"/>
        </w:rPr>
        <w:t xml:space="preserve"> </w:t>
      </w:r>
      <w:proofErr w:type="spellStart"/>
      <w:r w:rsidRPr="00223CF4">
        <w:rPr>
          <w:rFonts w:cstheme="minorHAnsi"/>
        </w:rPr>
        <w:t>detailed</w:t>
      </w:r>
      <w:proofErr w:type="spellEnd"/>
      <w:r w:rsidRPr="00223CF4">
        <w:rPr>
          <w:rFonts w:cstheme="minorHAnsi"/>
        </w:rPr>
        <w:t xml:space="preserve"> </w:t>
      </w:r>
      <w:proofErr w:type="spellStart"/>
      <w:r w:rsidRPr="00223CF4">
        <w:rPr>
          <w:rFonts w:cstheme="minorHAnsi"/>
        </w:rPr>
        <w:t>information</w:t>
      </w:r>
      <w:proofErr w:type="spellEnd"/>
      <w:r w:rsidRPr="00223CF4">
        <w:rPr>
          <w:rFonts w:cstheme="minorHAnsi"/>
        </w:rPr>
        <w:t xml:space="preserve"> on </w:t>
      </w:r>
      <w:proofErr w:type="spellStart"/>
      <w:r w:rsidRPr="00223CF4">
        <w:rPr>
          <w:rFonts w:cstheme="minorHAnsi"/>
        </w:rPr>
        <w:t>chemical</w:t>
      </w:r>
      <w:proofErr w:type="spellEnd"/>
      <w:r w:rsidRPr="00223CF4">
        <w:rPr>
          <w:rFonts w:cstheme="minorHAnsi"/>
        </w:rPr>
        <w:t xml:space="preserve"> </w:t>
      </w:r>
      <w:proofErr w:type="spellStart"/>
      <w:r w:rsidRPr="00223CF4">
        <w:rPr>
          <w:rFonts w:cstheme="minorHAnsi"/>
        </w:rPr>
        <w:t>warfare</w:t>
      </w:r>
      <w:proofErr w:type="spellEnd"/>
      <w:r w:rsidRPr="00223CF4">
        <w:rPr>
          <w:rFonts w:cstheme="minorHAnsi"/>
        </w:rPr>
        <w:t xml:space="preserve"> </w:t>
      </w:r>
      <w:proofErr w:type="spellStart"/>
      <w:r w:rsidRPr="00223CF4">
        <w:rPr>
          <w:rFonts w:cstheme="minorHAnsi"/>
        </w:rPr>
        <w:t>agents</w:t>
      </w:r>
      <w:proofErr w:type="spellEnd"/>
      <w:r w:rsidRPr="00223CF4">
        <w:rPr>
          <w:rFonts w:cstheme="minorHAnsi"/>
        </w:rPr>
        <w:t xml:space="preserve"> (CWA) – </w:t>
      </w:r>
      <w:proofErr w:type="spellStart"/>
      <w:r w:rsidRPr="00223CF4">
        <w:rPr>
          <w:rFonts w:cstheme="minorHAnsi"/>
        </w:rPr>
        <w:t>their</w:t>
      </w:r>
      <w:proofErr w:type="spellEnd"/>
      <w:r w:rsidRPr="00223CF4">
        <w:rPr>
          <w:rFonts w:cstheme="minorHAnsi"/>
        </w:rPr>
        <w:t xml:space="preserve"> </w:t>
      </w:r>
      <w:proofErr w:type="spellStart"/>
      <w:r w:rsidRPr="00223CF4">
        <w:rPr>
          <w:rFonts w:cstheme="minorHAnsi"/>
        </w:rPr>
        <w:t>chemical</w:t>
      </w:r>
      <w:proofErr w:type="spellEnd"/>
      <w:r w:rsidRPr="00223CF4">
        <w:rPr>
          <w:rFonts w:cstheme="minorHAnsi"/>
        </w:rPr>
        <w:t xml:space="preserve"> </w:t>
      </w:r>
      <w:proofErr w:type="spellStart"/>
      <w:r w:rsidRPr="00223CF4">
        <w:rPr>
          <w:rFonts w:cstheme="minorHAnsi"/>
        </w:rPr>
        <w:t>properties</w:t>
      </w:r>
      <w:proofErr w:type="spellEnd"/>
      <w:r w:rsidRPr="00223CF4">
        <w:rPr>
          <w:rFonts w:cstheme="minorHAnsi"/>
        </w:rPr>
        <w:t xml:space="preserve">, </w:t>
      </w:r>
      <w:proofErr w:type="spellStart"/>
      <w:r w:rsidRPr="00223CF4">
        <w:rPr>
          <w:rFonts w:cstheme="minorHAnsi"/>
        </w:rPr>
        <w:t>mechanisms</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action</w:t>
      </w:r>
      <w:proofErr w:type="spellEnd"/>
      <w:r w:rsidRPr="00223CF4">
        <w:rPr>
          <w:rFonts w:cstheme="minorHAnsi"/>
        </w:rPr>
        <w:t xml:space="preserve">, </w:t>
      </w:r>
      <w:proofErr w:type="spellStart"/>
      <w:r w:rsidRPr="00223CF4">
        <w:rPr>
          <w:rFonts w:cstheme="minorHAnsi"/>
        </w:rPr>
        <w:t>effects</w:t>
      </w:r>
      <w:proofErr w:type="spellEnd"/>
      <w:r w:rsidRPr="00223CF4">
        <w:rPr>
          <w:rFonts w:cstheme="minorHAnsi"/>
        </w:rPr>
        <w:t xml:space="preserve"> on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human</w:t>
      </w:r>
      <w:proofErr w:type="spellEnd"/>
      <w:r w:rsidRPr="00223CF4">
        <w:rPr>
          <w:rFonts w:cstheme="minorHAnsi"/>
        </w:rPr>
        <w:t xml:space="preserve"> body, </w:t>
      </w:r>
      <w:proofErr w:type="spellStart"/>
      <w:r w:rsidRPr="00223CF4">
        <w:rPr>
          <w:rFonts w:cstheme="minorHAnsi"/>
        </w:rPr>
        <w:t>principles</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safe</w:t>
      </w:r>
      <w:proofErr w:type="spellEnd"/>
      <w:r w:rsidRPr="00223CF4">
        <w:rPr>
          <w:rFonts w:cstheme="minorHAnsi"/>
        </w:rPr>
        <w:t xml:space="preserve"> </w:t>
      </w:r>
      <w:proofErr w:type="spellStart"/>
      <w:r w:rsidRPr="00223CF4">
        <w:rPr>
          <w:rFonts w:cstheme="minorHAnsi"/>
        </w:rPr>
        <w:t>handling</w:t>
      </w:r>
      <w:proofErr w:type="spellEnd"/>
      <w:r w:rsidRPr="00223CF4">
        <w:rPr>
          <w:rFonts w:cstheme="minorHAnsi"/>
        </w:rPr>
        <w:t xml:space="preserve">, and </w:t>
      </w:r>
      <w:proofErr w:type="spellStart"/>
      <w:r w:rsidRPr="00223CF4">
        <w:rPr>
          <w:rFonts w:cstheme="minorHAnsi"/>
        </w:rPr>
        <w:t>decontamination</w:t>
      </w:r>
      <w:proofErr w:type="spellEnd"/>
      <w:r w:rsidRPr="00223CF4">
        <w:rPr>
          <w:rFonts w:cstheme="minorHAnsi"/>
        </w:rPr>
        <w:t xml:space="preserve"> </w:t>
      </w:r>
      <w:proofErr w:type="spellStart"/>
      <w:r w:rsidRPr="00223CF4">
        <w:rPr>
          <w:rFonts w:cstheme="minorHAnsi"/>
        </w:rPr>
        <w:t>options</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goal</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this</w:t>
      </w:r>
      <w:proofErr w:type="spellEnd"/>
      <w:r w:rsidRPr="00223CF4">
        <w:rPr>
          <w:rFonts w:cstheme="minorHAnsi"/>
        </w:rPr>
        <w:t xml:space="preserve"> </w:t>
      </w:r>
      <w:proofErr w:type="spellStart"/>
      <w:r w:rsidRPr="00223CF4">
        <w:rPr>
          <w:rFonts w:cstheme="minorHAnsi"/>
        </w:rPr>
        <w:t>work</w:t>
      </w:r>
      <w:proofErr w:type="spellEnd"/>
      <w:r w:rsidRPr="00223CF4">
        <w:rPr>
          <w:rFonts w:cstheme="minorHAnsi"/>
        </w:rPr>
        <w:t xml:space="preserve"> </w:t>
      </w:r>
      <w:proofErr w:type="spellStart"/>
      <w:r w:rsidRPr="00223CF4">
        <w:rPr>
          <w:rFonts w:cstheme="minorHAnsi"/>
        </w:rPr>
        <w:t>was</w:t>
      </w:r>
      <w:proofErr w:type="spellEnd"/>
      <w:r w:rsidRPr="00223CF4">
        <w:rPr>
          <w:rFonts w:cstheme="minorHAnsi"/>
        </w:rPr>
        <w:t xml:space="preserve"> to </w:t>
      </w:r>
      <w:proofErr w:type="spellStart"/>
      <w:r w:rsidRPr="00223CF4">
        <w:rPr>
          <w:rFonts w:cstheme="minorHAnsi"/>
        </w:rPr>
        <w:t>establish</w:t>
      </w:r>
      <w:proofErr w:type="spellEnd"/>
      <w:r w:rsidRPr="00223CF4">
        <w:rPr>
          <w:rFonts w:cstheme="minorHAnsi"/>
        </w:rPr>
        <w:t xml:space="preserve"> a </w:t>
      </w:r>
      <w:proofErr w:type="spellStart"/>
      <w:r w:rsidRPr="00223CF4">
        <w:rPr>
          <w:rFonts w:cstheme="minorHAnsi"/>
        </w:rPr>
        <w:t>centralized</w:t>
      </w:r>
      <w:proofErr w:type="spellEnd"/>
      <w:r w:rsidRPr="00223CF4">
        <w:rPr>
          <w:rFonts w:cstheme="minorHAnsi"/>
        </w:rPr>
        <w:t xml:space="preserve"> and </w:t>
      </w:r>
      <w:proofErr w:type="spellStart"/>
      <w:r w:rsidRPr="00223CF4">
        <w:rPr>
          <w:rFonts w:cstheme="minorHAnsi"/>
        </w:rPr>
        <w:t>accessible</w:t>
      </w:r>
      <w:proofErr w:type="spellEnd"/>
      <w:r w:rsidRPr="00223CF4">
        <w:rPr>
          <w:rFonts w:cstheme="minorHAnsi"/>
        </w:rPr>
        <w:t xml:space="preserve"> source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information</w:t>
      </w:r>
      <w:proofErr w:type="spellEnd"/>
      <w:r w:rsidRPr="00223CF4">
        <w:rPr>
          <w:rFonts w:cstheme="minorHAnsi"/>
        </w:rPr>
        <w:t xml:space="preserve"> </w:t>
      </w:r>
      <w:proofErr w:type="spellStart"/>
      <w:r w:rsidRPr="00223CF4">
        <w:rPr>
          <w:rFonts w:cstheme="minorHAnsi"/>
        </w:rPr>
        <w:t>that</w:t>
      </w:r>
      <w:proofErr w:type="spellEnd"/>
      <w:r w:rsidRPr="00223CF4">
        <w:rPr>
          <w:rFonts w:cstheme="minorHAnsi"/>
        </w:rPr>
        <w:t xml:space="preserve"> </w:t>
      </w:r>
      <w:proofErr w:type="spellStart"/>
      <w:r w:rsidRPr="00223CF4">
        <w:rPr>
          <w:rFonts w:cstheme="minorHAnsi"/>
        </w:rPr>
        <w:t>would</w:t>
      </w:r>
      <w:proofErr w:type="spellEnd"/>
      <w:r w:rsidRPr="00223CF4">
        <w:rPr>
          <w:rFonts w:cstheme="minorHAnsi"/>
        </w:rPr>
        <w:t xml:space="preserve"> serve </w:t>
      </w:r>
      <w:proofErr w:type="spellStart"/>
      <w:r w:rsidRPr="00223CF4">
        <w:rPr>
          <w:rFonts w:cstheme="minorHAnsi"/>
        </w:rPr>
        <w:t>both</w:t>
      </w:r>
      <w:proofErr w:type="spellEnd"/>
      <w:r w:rsidRPr="00223CF4">
        <w:rPr>
          <w:rFonts w:cstheme="minorHAnsi"/>
        </w:rPr>
        <w:t xml:space="preserve"> </w:t>
      </w:r>
      <w:proofErr w:type="spellStart"/>
      <w:r w:rsidRPr="00223CF4">
        <w:rPr>
          <w:rFonts w:cstheme="minorHAnsi"/>
        </w:rPr>
        <w:t>experts</w:t>
      </w:r>
      <w:proofErr w:type="spellEnd"/>
      <w:r w:rsidRPr="00223CF4">
        <w:rPr>
          <w:rFonts w:cstheme="minorHAnsi"/>
        </w:rPr>
        <w:t xml:space="preserve"> (</w:t>
      </w:r>
      <w:proofErr w:type="spellStart"/>
      <w:r w:rsidRPr="00223CF4">
        <w:rPr>
          <w:rFonts w:cstheme="minorHAnsi"/>
        </w:rPr>
        <w:t>e.g</w:t>
      </w:r>
      <w:proofErr w:type="spellEnd"/>
      <w:r w:rsidRPr="00223CF4">
        <w:rPr>
          <w:rFonts w:cstheme="minorHAnsi"/>
        </w:rPr>
        <w:t xml:space="preserve">., </w:t>
      </w:r>
      <w:proofErr w:type="spellStart"/>
      <w:r w:rsidRPr="00223CF4">
        <w:rPr>
          <w:rFonts w:cstheme="minorHAnsi"/>
        </w:rPr>
        <w:t>chemists</w:t>
      </w:r>
      <w:proofErr w:type="spellEnd"/>
      <w:r w:rsidRPr="00223CF4">
        <w:rPr>
          <w:rFonts w:cstheme="minorHAnsi"/>
        </w:rPr>
        <w:t xml:space="preserve">, </w:t>
      </w:r>
      <w:proofErr w:type="spellStart"/>
      <w:r w:rsidRPr="00223CF4">
        <w:rPr>
          <w:rFonts w:cstheme="minorHAnsi"/>
        </w:rPr>
        <w:t>toxicologists</w:t>
      </w:r>
      <w:proofErr w:type="spellEnd"/>
      <w:r w:rsidRPr="00223CF4">
        <w:rPr>
          <w:rFonts w:cstheme="minorHAnsi"/>
        </w:rPr>
        <w:t xml:space="preserve">, and </w:t>
      </w:r>
      <w:proofErr w:type="spellStart"/>
      <w:r w:rsidRPr="00223CF4">
        <w:rPr>
          <w:rFonts w:cstheme="minorHAnsi"/>
        </w:rPr>
        <w:t>security</w:t>
      </w:r>
      <w:proofErr w:type="spellEnd"/>
      <w:r w:rsidRPr="00223CF4">
        <w:rPr>
          <w:rFonts w:cstheme="minorHAnsi"/>
        </w:rPr>
        <w:t xml:space="preserve"> </w:t>
      </w:r>
      <w:proofErr w:type="spellStart"/>
      <w:r w:rsidRPr="00223CF4">
        <w:rPr>
          <w:rFonts w:cstheme="minorHAnsi"/>
        </w:rPr>
        <w:t>personnel</w:t>
      </w:r>
      <w:proofErr w:type="spellEnd"/>
      <w:r w:rsidRPr="00223CF4">
        <w:rPr>
          <w:rFonts w:cstheme="minorHAnsi"/>
        </w:rPr>
        <w:t xml:space="preserve">) and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broader</w:t>
      </w:r>
      <w:proofErr w:type="spellEnd"/>
      <w:r w:rsidRPr="00223CF4">
        <w:rPr>
          <w:rFonts w:cstheme="minorHAnsi"/>
        </w:rPr>
        <w:t xml:space="preserve"> public, </w:t>
      </w:r>
      <w:proofErr w:type="spellStart"/>
      <w:r w:rsidRPr="00223CF4">
        <w:rPr>
          <w:rFonts w:cstheme="minorHAnsi"/>
        </w:rPr>
        <w:t>thereby</w:t>
      </w:r>
      <w:proofErr w:type="spellEnd"/>
      <w:r w:rsidRPr="00223CF4">
        <w:rPr>
          <w:rFonts w:cstheme="minorHAnsi"/>
        </w:rPr>
        <w:t xml:space="preserve"> </w:t>
      </w:r>
      <w:proofErr w:type="spellStart"/>
      <w:r w:rsidRPr="00223CF4">
        <w:rPr>
          <w:rFonts w:cstheme="minorHAnsi"/>
        </w:rPr>
        <w:t>supporting</w:t>
      </w:r>
      <w:proofErr w:type="spellEnd"/>
      <w:r w:rsidRPr="00223CF4">
        <w:rPr>
          <w:rFonts w:cstheme="minorHAnsi"/>
        </w:rPr>
        <w:t xml:space="preserve"> </w:t>
      </w:r>
      <w:proofErr w:type="spellStart"/>
      <w:r w:rsidRPr="00223CF4">
        <w:rPr>
          <w:rFonts w:cstheme="minorHAnsi"/>
        </w:rPr>
        <w:t>prevention</w:t>
      </w:r>
      <w:proofErr w:type="spellEnd"/>
      <w:r w:rsidRPr="00223CF4">
        <w:rPr>
          <w:rFonts w:cstheme="minorHAnsi"/>
        </w:rPr>
        <w:t xml:space="preserve"> and </w:t>
      </w:r>
      <w:proofErr w:type="spellStart"/>
      <w:r w:rsidRPr="00223CF4">
        <w:rPr>
          <w:rFonts w:cstheme="minorHAnsi"/>
        </w:rPr>
        <w:t>awareness</w:t>
      </w:r>
      <w:proofErr w:type="spellEnd"/>
      <w:r w:rsidRPr="00223CF4">
        <w:rPr>
          <w:rFonts w:cstheme="minorHAnsi"/>
        </w:rPr>
        <w:t xml:space="preserve"> in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field</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chemical</w:t>
      </w:r>
      <w:proofErr w:type="spellEnd"/>
      <w:r w:rsidRPr="00223CF4">
        <w:rPr>
          <w:rFonts w:cstheme="minorHAnsi"/>
        </w:rPr>
        <w:t xml:space="preserve"> </w:t>
      </w:r>
      <w:proofErr w:type="spellStart"/>
      <w:r w:rsidRPr="00223CF4">
        <w:rPr>
          <w:rFonts w:cstheme="minorHAnsi"/>
        </w:rPr>
        <w:t>safety</w:t>
      </w:r>
      <w:proofErr w:type="spellEnd"/>
      <w:r w:rsidRPr="00223CF4">
        <w:rPr>
          <w:rFonts w:cstheme="minorHAnsi"/>
        </w:rPr>
        <w:t>.</w:t>
      </w:r>
    </w:p>
    <w:p w14:paraId="2F007AB1" w14:textId="77777777" w:rsidR="00223CF4" w:rsidRPr="00223CF4" w:rsidRDefault="00223CF4" w:rsidP="00223CF4">
      <w:pPr>
        <w:rPr>
          <w:rFonts w:cstheme="minorHAnsi"/>
        </w:rPr>
      </w:pP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work</w:t>
      </w:r>
      <w:proofErr w:type="spellEnd"/>
      <w:r w:rsidRPr="00223CF4">
        <w:rPr>
          <w:rFonts w:cstheme="minorHAnsi"/>
        </w:rPr>
        <w:t xml:space="preserve"> </w:t>
      </w:r>
      <w:proofErr w:type="spellStart"/>
      <w:r w:rsidRPr="00223CF4">
        <w:rPr>
          <w:rFonts w:cstheme="minorHAnsi"/>
        </w:rPr>
        <w:t>was</w:t>
      </w:r>
      <w:proofErr w:type="spellEnd"/>
      <w:r w:rsidRPr="00223CF4">
        <w:rPr>
          <w:rFonts w:cstheme="minorHAnsi"/>
        </w:rPr>
        <w:t xml:space="preserve"> </w:t>
      </w:r>
      <w:proofErr w:type="spellStart"/>
      <w:r w:rsidRPr="00223CF4">
        <w:rPr>
          <w:rFonts w:cstheme="minorHAnsi"/>
        </w:rPr>
        <w:t>divided</w:t>
      </w:r>
      <w:proofErr w:type="spellEnd"/>
      <w:r w:rsidRPr="00223CF4">
        <w:rPr>
          <w:rFonts w:cstheme="minorHAnsi"/>
        </w:rPr>
        <w:t xml:space="preserve"> </w:t>
      </w:r>
      <w:proofErr w:type="spellStart"/>
      <w:r w:rsidRPr="00223CF4">
        <w:rPr>
          <w:rFonts w:cstheme="minorHAnsi"/>
        </w:rPr>
        <w:t>into</w:t>
      </w:r>
      <w:proofErr w:type="spellEnd"/>
      <w:r w:rsidRPr="00223CF4">
        <w:rPr>
          <w:rFonts w:cstheme="minorHAnsi"/>
        </w:rPr>
        <w:t xml:space="preserve"> </w:t>
      </w:r>
      <w:proofErr w:type="spellStart"/>
      <w:r w:rsidRPr="00223CF4">
        <w:rPr>
          <w:rFonts w:cstheme="minorHAnsi"/>
        </w:rPr>
        <w:t>several</w:t>
      </w:r>
      <w:proofErr w:type="spellEnd"/>
      <w:r w:rsidRPr="00223CF4">
        <w:rPr>
          <w:rFonts w:cstheme="minorHAnsi"/>
        </w:rPr>
        <w:t xml:space="preserve"> </w:t>
      </w:r>
      <w:proofErr w:type="spellStart"/>
      <w:r w:rsidRPr="00223CF4">
        <w:rPr>
          <w:rFonts w:cstheme="minorHAnsi"/>
        </w:rPr>
        <w:t>key</w:t>
      </w:r>
      <w:proofErr w:type="spellEnd"/>
      <w:r w:rsidRPr="00223CF4">
        <w:rPr>
          <w:rFonts w:cstheme="minorHAnsi"/>
        </w:rPr>
        <w:t xml:space="preserve"> </w:t>
      </w:r>
      <w:proofErr w:type="spellStart"/>
      <w:r w:rsidRPr="00223CF4">
        <w:rPr>
          <w:rFonts w:cstheme="minorHAnsi"/>
        </w:rPr>
        <w:t>phases</w:t>
      </w:r>
      <w:proofErr w:type="spellEnd"/>
      <w:r w:rsidRPr="00223CF4">
        <w:rPr>
          <w:rFonts w:cstheme="minorHAnsi"/>
        </w:rPr>
        <w:t xml:space="preserve">, </w:t>
      </w:r>
      <w:proofErr w:type="spellStart"/>
      <w:r w:rsidRPr="00223CF4">
        <w:rPr>
          <w:rFonts w:cstheme="minorHAnsi"/>
        </w:rPr>
        <w:t>beginning</w:t>
      </w:r>
      <w:proofErr w:type="spellEnd"/>
      <w:r w:rsidRPr="00223CF4">
        <w:rPr>
          <w:rFonts w:cstheme="minorHAnsi"/>
        </w:rPr>
        <w:t xml:space="preserve"> </w:t>
      </w:r>
      <w:proofErr w:type="spellStart"/>
      <w:r w:rsidRPr="00223CF4">
        <w:rPr>
          <w:rFonts w:cstheme="minorHAnsi"/>
        </w:rPr>
        <w:t>with</w:t>
      </w:r>
      <w:proofErr w:type="spellEnd"/>
      <w:r w:rsidRPr="00223CF4">
        <w:rPr>
          <w:rFonts w:cstheme="minorHAnsi"/>
        </w:rPr>
        <w:t xml:space="preserve"> data </w:t>
      </w:r>
      <w:proofErr w:type="spellStart"/>
      <w:r w:rsidRPr="00223CF4">
        <w:rPr>
          <w:rFonts w:cstheme="minorHAnsi"/>
        </w:rPr>
        <w:t>collection</w:t>
      </w:r>
      <w:proofErr w:type="spellEnd"/>
      <w:r w:rsidRPr="00223CF4">
        <w:rPr>
          <w:rFonts w:cstheme="minorHAnsi"/>
        </w:rPr>
        <w:t xml:space="preserve"> and </w:t>
      </w:r>
      <w:proofErr w:type="spellStart"/>
      <w:r w:rsidRPr="00223CF4">
        <w:rPr>
          <w:rFonts w:cstheme="minorHAnsi"/>
        </w:rPr>
        <w:t>analysis</w:t>
      </w:r>
      <w:proofErr w:type="spellEnd"/>
      <w:r w:rsidRPr="00223CF4">
        <w:rPr>
          <w:rFonts w:cstheme="minorHAnsi"/>
        </w:rPr>
        <w:t xml:space="preserve"> on CWA. </w:t>
      </w:r>
      <w:proofErr w:type="spellStart"/>
      <w:r w:rsidRPr="00223CF4">
        <w:rPr>
          <w:rFonts w:cstheme="minorHAnsi"/>
        </w:rPr>
        <w:t>Information</w:t>
      </w:r>
      <w:proofErr w:type="spellEnd"/>
      <w:r w:rsidRPr="00223CF4">
        <w:rPr>
          <w:rFonts w:cstheme="minorHAnsi"/>
        </w:rPr>
        <w:t xml:space="preserve"> </w:t>
      </w:r>
      <w:proofErr w:type="spellStart"/>
      <w:r w:rsidRPr="00223CF4">
        <w:rPr>
          <w:rFonts w:cstheme="minorHAnsi"/>
        </w:rPr>
        <w:t>was</w:t>
      </w:r>
      <w:proofErr w:type="spellEnd"/>
      <w:r w:rsidRPr="00223CF4">
        <w:rPr>
          <w:rFonts w:cstheme="minorHAnsi"/>
        </w:rPr>
        <w:t xml:space="preserve"> </w:t>
      </w:r>
      <w:proofErr w:type="spellStart"/>
      <w:r w:rsidRPr="00223CF4">
        <w:rPr>
          <w:rFonts w:cstheme="minorHAnsi"/>
        </w:rPr>
        <w:t>gathered</w:t>
      </w:r>
      <w:proofErr w:type="spellEnd"/>
      <w:r w:rsidRPr="00223CF4">
        <w:rPr>
          <w:rFonts w:cstheme="minorHAnsi"/>
        </w:rPr>
        <w:t xml:space="preserve"> </w:t>
      </w:r>
      <w:proofErr w:type="spellStart"/>
      <w:r w:rsidRPr="00223CF4">
        <w:rPr>
          <w:rFonts w:cstheme="minorHAnsi"/>
        </w:rPr>
        <w:t>from</w:t>
      </w:r>
      <w:proofErr w:type="spellEnd"/>
      <w:r w:rsidRPr="00223CF4">
        <w:rPr>
          <w:rFonts w:cstheme="minorHAnsi"/>
        </w:rPr>
        <w:t xml:space="preserve"> </w:t>
      </w:r>
      <w:proofErr w:type="spellStart"/>
      <w:r w:rsidRPr="00223CF4">
        <w:rPr>
          <w:rFonts w:cstheme="minorHAnsi"/>
        </w:rPr>
        <w:t>primary</w:t>
      </w:r>
      <w:proofErr w:type="spellEnd"/>
      <w:r w:rsidRPr="00223CF4">
        <w:rPr>
          <w:rFonts w:cstheme="minorHAnsi"/>
        </w:rPr>
        <w:t xml:space="preserve"> and </w:t>
      </w:r>
      <w:proofErr w:type="spellStart"/>
      <w:r w:rsidRPr="00223CF4">
        <w:rPr>
          <w:rFonts w:cstheme="minorHAnsi"/>
        </w:rPr>
        <w:t>secondary</w:t>
      </w:r>
      <w:proofErr w:type="spellEnd"/>
      <w:r w:rsidRPr="00223CF4">
        <w:rPr>
          <w:rFonts w:cstheme="minorHAnsi"/>
        </w:rPr>
        <w:t xml:space="preserve"> </w:t>
      </w:r>
      <w:proofErr w:type="spellStart"/>
      <w:r w:rsidRPr="00223CF4">
        <w:rPr>
          <w:rFonts w:cstheme="minorHAnsi"/>
        </w:rPr>
        <w:t>sources</w:t>
      </w:r>
      <w:proofErr w:type="spellEnd"/>
      <w:r w:rsidRPr="00223CF4">
        <w:rPr>
          <w:rFonts w:cstheme="minorHAnsi"/>
        </w:rPr>
        <w:t xml:space="preserve">, </w:t>
      </w:r>
      <w:proofErr w:type="spellStart"/>
      <w:r w:rsidRPr="00223CF4">
        <w:rPr>
          <w:rFonts w:cstheme="minorHAnsi"/>
        </w:rPr>
        <w:t>including</w:t>
      </w:r>
      <w:proofErr w:type="spellEnd"/>
      <w:r w:rsidRPr="00223CF4">
        <w:rPr>
          <w:rFonts w:cstheme="minorHAnsi"/>
        </w:rPr>
        <w:t xml:space="preserve"> </w:t>
      </w:r>
      <w:proofErr w:type="spellStart"/>
      <w:r w:rsidRPr="00223CF4">
        <w:rPr>
          <w:rFonts w:cstheme="minorHAnsi"/>
        </w:rPr>
        <w:t>scientific</w:t>
      </w:r>
      <w:proofErr w:type="spellEnd"/>
      <w:r w:rsidRPr="00223CF4">
        <w:rPr>
          <w:rFonts w:cstheme="minorHAnsi"/>
        </w:rPr>
        <w:t xml:space="preserve"> </w:t>
      </w:r>
      <w:proofErr w:type="spellStart"/>
      <w:r w:rsidRPr="00223CF4">
        <w:rPr>
          <w:rFonts w:cstheme="minorHAnsi"/>
        </w:rPr>
        <w:t>publications</w:t>
      </w:r>
      <w:proofErr w:type="spellEnd"/>
      <w:r w:rsidRPr="00223CF4">
        <w:rPr>
          <w:rFonts w:cstheme="minorHAnsi"/>
        </w:rPr>
        <w:t xml:space="preserve">, </w:t>
      </w:r>
      <w:proofErr w:type="spellStart"/>
      <w:r w:rsidRPr="00223CF4">
        <w:rPr>
          <w:rFonts w:cstheme="minorHAnsi"/>
        </w:rPr>
        <w:t>toxicological</w:t>
      </w:r>
      <w:proofErr w:type="spellEnd"/>
      <w:r w:rsidRPr="00223CF4">
        <w:rPr>
          <w:rFonts w:cstheme="minorHAnsi"/>
        </w:rPr>
        <w:t xml:space="preserve"> </w:t>
      </w:r>
      <w:proofErr w:type="spellStart"/>
      <w:r w:rsidRPr="00223CF4">
        <w:rPr>
          <w:rFonts w:cstheme="minorHAnsi"/>
        </w:rPr>
        <w:t>databases</w:t>
      </w:r>
      <w:proofErr w:type="spellEnd"/>
      <w:r w:rsidRPr="00223CF4">
        <w:rPr>
          <w:rFonts w:cstheme="minorHAnsi"/>
        </w:rPr>
        <w:t xml:space="preserve">, </w:t>
      </w:r>
      <w:proofErr w:type="spellStart"/>
      <w:r w:rsidRPr="00223CF4">
        <w:rPr>
          <w:rFonts w:cstheme="minorHAnsi"/>
        </w:rPr>
        <w:t>military</w:t>
      </w:r>
      <w:proofErr w:type="spellEnd"/>
      <w:r w:rsidRPr="00223CF4">
        <w:rPr>
          <w:rFonts w:cstheme="minorHAnsi"/>
        </w:rPr>
        <w:t xml:space="preserve"> and </w:t>
      </w:r>
      <w:proofErr w:type="spellStart"/>
      <w:r w:rsidRPr="00223CF4">
        <w:rPr>
          <w:rFonts w:cstheme="minorHAnsi"/>
        </w:rPr>
        <w:t>security</w:t>
      </w:r>
      <w:proofErr w:type="spellEnd"/>
      <w:r w:rsidRPr="00223CF4">
        <w:rPr>
          <w:rFonts w:cstheme="minorHAnsi"/>
        </w:rPr>
        <w:t xml:space="preserve"> </w:t>
      </w:r>
      <w:proofErr w:type="spellStart"/>
      <w:r w:rsidRPr="00223CF4">
        <w:rPr>
          <w:rFonts w:cstheme="minorHAnsi"/>
        </w:rPr>
        <w:t>studies</w:t>
      </w:r>
      <w:proofErr w:type="spellEnd"/>
      <w:r w:rsidRPr="00223CF4">
        <w:rPr>
          <w:rFonts w:cstheme="minorHAnsi"/>
        </w:rPr>
        <w:t xml:space="preserve">, </w:t>
      </w:r>
      <w:proofErr w:type="spellStart"/>
      <w:r w:rsidRPr="00223CF4">
        <w:rPr>
          <w:rFonts w:cstheme="minorHAnsi"/>
        </w:rPr>
        <w:t>professional</w:t>
      </w:r>
      <w:proofErr w:type="spellEnd"/>
      <w:r w:rsidRPr="00223CF4">
        <w:rPr>
          <w:rFonts w:cstheme="minorHAnsi"/>
        </w:rPr>
        <w:t xml:space="preserve"> </w:t>
      </w:r>
      <w:proofErr w:type="spellStart"/>
      <w:r w:rsidRPr="00223CF4">
        <w:rPr>
          <w:rFonts w:cstheme="minorHAnsi"/>
        </w:rPr>
        <w:t>journals</w:t>
      </w:r>
      <w:proofErr w:type="spellEnd"/>
      <w:r w:rsidRPr="00223CF4">
        <w:rPr>
          <w:rFonts w:cstheme="minorHAnsi"/>
        </w:rPr>
        <w:t xml:space="preserve">, and </w:t>
      </w:r>
      <w:proofErr w:type="spellStart"/>
      <w:r w:rsidRPr="00223CF4">
        <w:rPr>
          <w:rFonts w:cstheme="minorHAnsi"/>
        </w:rPr>
        <w:t>legislative</w:t>
      </w:r>
      <w:proofErr w:type="spellEnd"/>
      <w:r w:rsidRPr="00223CF4">
        <w:rPr>
          <w:rFonts w:cstheme="minorHAnsi"/>
        </w:rPr>
        <w:t xml:space="preserve"> </w:t>
      </w:r>
      <w:proofErr w:type="spellStart"/>
      <w:r w:rsidRPr="00223CF4">
        <w:rPr>
          <w:rFonts w:cstheme="minorHAnsi"/>
        </w:rPr>
        <w:t>documents</w:t>
      </w:r>
      <w:proofErr w:type="spellEnd"/>
      <w:r w:rsidRPr="00223CF4">
        <w:rPr>
          <w:rFonts w:cstheme="minorHAnsi"/>
        </w:rPr>
        <w:t xml:space="preserve">. </w:t>
      </w:r>
      <w:proofErr w:type="spellStart"/>
      <w:r w:rsidRPr="00223CF4">
        <w:rPr>
          <w:rFonts w:cstheme="minorHAnsi"/>
        </w:rPr>
        <w:t>This</w:t>
      </w:r>
      <w:proofErr w:type="spellEnd"/>
      <w:r w:rsidRPr="00223CF4">
        <w:rPr>
          <w:rFonts w:cstheme="minorHAnsi"/>
        </w:rPr>
        <w:t xml:space="preserve"> </w:t>
      </w:r>
      <w:proofErr w:type="spellStart"/>
      <w:r w:rsidRPr="00223CF4">
        <w:rPr>
          <w:rFonts w:cstheme="minorHAnsi"/>
        </w:rPr>
        <w:t>careful</w:t>
      </w:r>
      <w:proofErr w:type="spellEnd"/>
      <w:r w:rsidRPr="00223CF4">
        <w:rPr>
          <w:rFonts w:cstheme="minorHAnsi"/>
        </w:rPr>
        <w:t xml:space="preserve"> </w:t>
      </w:r>
      <w:proofErr w:type="spellStart"/>
      <w:r w:rsidRPr="00223CF4">
        <w:rPr>
          <w:rFonts w:cstheme="minorHAnsi"/>
        </w:rPr>
        <w:t>research</w:t>
      </w:r>
      <w:proofErr w:type="spellEnd"/>
      <w:r w:rsidRPr="00223CF4">
        <w:rPr>
          <w:rFonts w:cstheme="minorHAnsi"/>
        </w:rPr>
        <w:t xml:space="preserve"> </w:t>
      </w:r>
      <w:proofErr w:type="spellStart"/>
      <w:r w:rsidRPr="00223CF4">
        <w:rPr>
          <w:rFonts w:cstheme="minorHAnsi"/>
        </w:rPr>
        <w:t>ensured</w:t>
      </w:r>
      <w:proofErr w:type="spellEnd"/>
      <w:r w:rsidRPr="00223CF4">
        <w:rPr>
          <w:rFonts w:cstheme="minorHAnsi"/>
        </w:rPr>
        <w:t xml:space="preserve"> </w:t>
      </w:r>
      <w:proofErr w:type="spellStart"/>
      <w:r w:rsidRPr="00223CF4">
        <w:rPr>
          <w:rFonts w:cstheme="minorHAnsi"/>
        </w:rPr>
        <w:t>that</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information</w:t>
      </w:r>
      <w:proofErr w:type="spellEnd"/>
      <w:r w:rsidRPr="00223CF4">
        <w:rPr>
          <w:rFonts w:cstheme="minorHAnsi"/>
        </w:rPr>
        <w:t xml:space="preserve"> in </w:t>
      </w:r>
      <w:proofErr w:type="spellStart"/>
      <w:r w:rsidRPr="00223CF4">
        <w:rPr>
          <w:rFonts w:cstheme="minorHAnsi"/>
        </w:rPr>
        <w:t>the</w:t>
      </w:r>
      <w:proofErr w:type="spellEnd"/>
      <w:r w:rsidRPr="00223CF4">
        <w:rPr>
          <w:rFonts w:cstheme="minorHAnsi"/>
        </w:rPr>
        <w:t xml:space="preserve"> database </w:t>
      </w:r>
      <w:proofErr w:type="spellStart"/>
      <w:r w:rsidRPr="00223CF4">
        <w:rPr>
          <w:rFonts w:cstheme="minorHAnsi"/>
        </w:rPr>
        <w:t>is</w:t>
      </w:r>
      <w:proofErr w:type="spellEnd"/>
      <w:r w:rsidRPr="00223CF4">
        <w:rPr>
          <w:rFonts w:cstheme="minorHAnsi"/>
        </w:rPr>
        <w:t xml:space="preserve"> </w:t>
      </w:r>
      <w:proofErr w:type="spellStart"/>
      <w:r w:rsidRPr="00223CF4">
        <w:rPr>
          <w:rFonts w:cstheme="minorHAnsi"/>
        </w:rPr>
        <w:t>accurate</w:t>
      </w:r>
      <w:proofErr w:type="spellEnd"/>
      <w:r w:rsidRPr="00223CF4">
        <w:rPr>
          <w:rFonts w:cstheme="minorHAnsi"/>
        </w:rPr>
        <w:t xml:space="preserve">, </w:t>
      </w:r>
      <w:proofErr w:type="spellStart"/>
      <w:r w:rsidRPr="00223CF4">
        <w:rPr>
          <w:rFonts w:cstheme="minorHAnsi"/>
        </w:rPr>
        <w:t>verified</w:t>
      </w:r>
      <w:proofErr w:type="spellEnd"/>
      <w:r w:rsidRPr="00223CF4">
        <w:rPr>
          <w:rFonts w:cstheme="minorHAnsi"/>
        </w:rPr>
        <w:t xml:space="preserve">, and </w:t>
      </w:r>
      <w:proofErr w:type="spellStart"/>
      <w:r w:rsidRPr="00223CF4">
        <w:rPr>
          <w:rFonts w:cstheme="minorHAnsi"/>
        </w:rPr>
        <w:t>reflects</w:t>
      </w:r>
      <w:proofErr w:type="spellEnd"/>
      <w:r w:rsidRPr="00223CF4">
        <w:rPr>
          <w:rFonts w:cstheme="minorHAnsi"/>
        </w:rPr>
        <w:t xml:space="preserve"> </w:t>
      </w:r>
      <w:proofErr w:type="spellStart"/>
      <w:r w:rsidRPr="00223CF4">
        <w:rPr>
          <w:rFonts w:cstheme="minorHAnsi"/>
        </w:rPr>
        <w:t>current</w:t>
      </w:r>
      <w:proofErr w:type="spellEnd"/>
      <w:r w:rsidRPr="00223CF4">
        <w:rPr>
          <w:rFonts w:cstheme="minorHAnsi"/>
        </w:rPr>
        <w:t xml:space="preserve"> </w:t>
      </w:r>
      <w:proofErr w:type="spellStart"/>
      <w:r w:rsidRPr="00223CF4">
        <w:rPr>
          <w:rFonts w:cstheme="minorHAnsi"/>
        </w:rPr>
        <w:t>knowledge</w:t>
      </w:r>
      <w:proofErr w:type="spellEnd"/>
      <w:r w:rsidRPr="00223CF4">
        <w:rPr>
          <w:rFonts w:cstheme="minorHAnsi"/>
        </w:rPr>
        <w:t xml:space="preserve"> in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field</w:t>
      </w:r>
      <w:proofErr w:type="spellEnd"/>
      <w:r w:rsidRPr="00223CF4">
        <w:rPr>
          <w:rFonts w:cstheme="minorHAnsi"/>
        </w:rPr>
        <w:t>.</w:t>
      </w:r>
    </w:p>
    <w:p w14:paraId="406FB2AA" w14:textId="77777777" w:rsidR="00223CF4" w:rsidRPr="00223CF4" w:rsidRDefault="00223CF4" w:rsidP="00223CF4">
      <w:pPr>
        <w:rPr>
          <w:rFonts w:cstheme="minorHAnsi"/>
        </w:rPr>
      </w:pPr>
      <w:proofErr w:type="spellStart"/>
      <w:r w:rsidRPr="00223CF4">
        <w:rPr>
          <w:rFonts w:cstheme="minorHAnsi"/>
        </w:rPr>
        <w:t>Based</w:t>
      </w:r>
      <w:proofErr w:type="spellEnd"/>
      <w:r w:rsidRPr="00223CF4">
        <w:rPr>
          <w:rFonts w:cstheme="minorHAnsi"/>
        </w:rPr>
        <w:t xml:space="preserve"> on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collected</w:t>
      </w:r>
      <w:proofErr w:type="spellEnd"/>
      <w:r w:rsidRPr="00223CF4">
        <w:rPr>
          <w:rFonts w:cstheme="minorHAnsi"/>
        </w:rPr>
        <w:t xml:space="preserve"> data, </w:t>
      </w:r>
      <w:proofErr w:type="spellStart"/>
      <w:r w:rsidRPr="00223CF4">
        <w:rPr>
          <w:rFonts w:cstheme="minorHAnsi"/>
        </w:rPr>
        <w:t>CWAs</w:t>
      </w:r>
      <w:proofErr w:type="spellEnd"/>
      <w:r w:rsidRPr="00223CF4">
        <w:rPr>
          <w:rFonts w:cstheme="minorHAnsi"/>
        </w:rPr>
        <w:t xml:space="preserve"> </w:t>
      </w:r>
      <w:proofErr w:type="spellStart"/>
      <w:r w:rsidRPr="00223CF4">
        <w:rPr>
          <w:rFonts w:cstheme="minorHAnsi"/>
        </w:rPr>
        <w:t>were</w:t>
      </w:r>
      <w:proofErr w:type="spellEnd"/>
      <w:r w:rsidRPr="00223CF4">
        <w:rPr>
          <w:rFonts w:cstheme="minorHAnsi"/>
        </w:rPr>
        <w:t xml:space="preserve"> </w:t>
      </w:r>
      <w:proofErr w:type="spellStart"/>
      <w:r w:rsidRPr="00223CF4">
        <w:rPr>
          <w:rFonts w:cstheme="minorHAnsi"/>
        </w:rPr>
        <w:t>classified</w:t>
      </w:r>
      <w:proofErr w:type="spellEnd"/>
      <w:r w:rsidRPr="00223CF4">
        <w:rPr>
          <w:rFonts w:cstheme="minorHAnsi"/>
        </w:rPr>
        <w:t xml:space="preserve"> </w:t>
      </w:r>
      <w:proofErr w:type="spellStart"/>
      <w:r w:rsidRPr="00223CF4">
        <w:rPr>
          <w:rFonts w:cstheme="minorHAnsi"/>
        </w:rPr>
        <w:t>according</w:t>
      </w:r>
      <w:proofErr w:type="spellEnd"/>
      <w:r w:rsidRPr="00223CF4">
        <w:rPr>
          <w:rFonts w:cstheme="minorHAnsi"/>
        </w:rPr>
        <w:t xml:space="preserve"> to </w:t>
      </w:r>
      <w:proofErr w:type="spellStart"/>
      <w:r w:rsidRPr="00223CF4">
        <w:rPr>
          <w:rFonts w:cstheme="minorHAnsi"/>
        </w:rPr>
        <w:t>their</w:t>
      </w:r>
      <w:proofErr w:type="spellEnd"/>
      <w:r w:rsidRPr="00223CF4">
        <w:rPr>
          <w:rFonts w:cstheme="minorHAnsi"/>
        </w:rPr>
        <w:t xml:space="preserve"> </w:t>
      </w:r>
      <w:proofErr w:type="spellStart"/>
      <w:r w:rsidRPr="00223CF4">
        <w:rPr>
          <w:rFonts w:cstheme="minorHAnsi"/>
        </w:rPr>
        <w:t>chemical</w:t>
      </w:r>
      <w:proofErr w:type="spellEnd"/>
      <w:r w:rsidRPr="00223CF4">
        <w:rPr>
          <w:rFonts w:cstheme="minorHAnsi"/>
        </w:rPr>
        <w:t xml:space="preserve"> </w:t>
      </w:r>
      <w:proofErr w:type="spellStart"/>
      <w:r w:rsidRPr="00223CF4">
        <w:rPr>
          <w:rFonts w:cstheme="minorHAnsi"/>
        </w:rPr>
        <w:t>composition</w:t>
      </w:r>
      <w:proofErr w:type="spellEnd"/>
      <w:r w:rsidRPr="00223CF4">
        <w:rPr>
          <w:rFonts w:cstheme="minorHAnsi"/>
        </w:rPr>
        <w:t xml:space="preserve">, </w:t>
      </w:r>
      <w:proofErr w:type="spellStart"/>
      <w:r w:rsidRPr="00223CF4">
        <w:rPr>
          <w:rFonts w:cstheme="minorHAnsi"/>
        </w:rPr>
        <w:t>physical</w:t>
      </w:r>
      <w:proofErr w:type="spellEnd"/>
      <w:r w:rsidRPr="00223CF4">
        <w:rPr>
          <w:rFonts w:cstheme="minorHAnsi"/>
        </w:rPr>
        <w:t xml:space="preserve"> </w:t>
      </w:r>
      <w:proofErr w:type="spellStart"/>
      <w:r w:rsidRPr="00223CF4">
        <w:rPr>
          <w:rFonts w:cstheme="minorHAnsi"/>
        </w:rPr>
        <w:t>properties</w:t>
      </w:r>
      <w:proofErr w:type="spellEnd"/>
      <w:r w:rsidRPr="00223CF4">
        <w:rPr>
          <w:rFonts w:cstheme="minorHAnsi"/>
        </w:rPr>
        <w:t xml:space="preserve">, </w:t>
      </w:r>
      <w:proofErr w:type="spellStart"/>
      <w:r w:rsidRPr="00223CF4">
        <w:rPr>
          <w:rFonts w:cstheme="minorHAnsi"/>
        </w:rPr>
        <w:t>effects</w:t>
      </w:r>
      <w:proofErr w:type="spellEnd"/>
      <w:r w:rsidRPr="00223CF4">
        <w:rPr>
          <w:rFonts w:cstheme="minorHAnsi"/>
        </w:rPr>
        <w:t xml:space="preserve"> on </w:t>
      </w:r>
      <w:proofErr w:type="spellStart"/>
      <w:r w:rsidRPr="00223CF4">
        <w:rPr>
          <w:rFonts w:cstheme="minorHAnsi"/>
        </w:rPr>
        <w:t>humans</w:t>
      </w:r>
      <w:proofErr w:type="spellEnd"/>
      <w:r w:rsidRPr="00223CF4">
        <w:rPr>
          <w:rFonts w:cstheme="minorHAnsi"/>
        </w:rPr>
        <w:t xml:space="preserve">, and </w:t>
      </w:r>
      <w:proofErr w:type="spellStart"/>
      <w:r w:rsidRPr="00223CF4">
        <w:rPr>
          <w:rFonts w:cstheme="minorHAnsi"/>
        </w:rPr>
        <w:t>safety</w:t>
      </w:r>
      <w:proofErr w:type="spellEnd"/>
      <w:r w:rsidRPr="00223CF4">
        <w:rPr>
          <w:rFonts w:cstheme="minorHAnsi"/>
        </w:rPr>
        <w:t xml:space="preserve"> </w:t>
      </w:r>
      <w:proofErr w:type="spellStart"/>
      <w:r w:rsidRPr="00223CF4">
        <w:rPr>
          <w:rFonts w:cstheme="minorHAnsi"/>
        </w:rPr>
        <w:t>measures</w:t>
      </w:r>
      <w:proofErr w:type="spellEnd"/>
      <w:r w:rsidRPr="00223CF4">
        <w:rPr>
          <w:rFonts w:cstheme="minorHAnsi"/>
        </w:rPr>
        <w:t xml:space="preserve"> </w:t>
      </w:r>
      <w:proofErr w:type="spellStart"/>
      <w:r w:rsidRPr="00223CF4">
        <w:rPr>
          <w:rFonts w:cstheme="minorHAnsi"/>
        </w:rPr>
        <w:t>for</w:t>
      </w:r>
      <w:proofErr w:type="spellEnd"/>
      <w:r w:rsidRPr="00223CF4">
        <w:rPr>
          <w:rFonts w:cstheme="minorHAnsi"/>
        </w:rPr>
        <w:t xml:space="preserve"> </w:t>
      </w:r>
      <w:proofErr w:type="spellStart"/>
      <w:r w:rsidRPr="00223CF4">
        <w:rPr>
          <w:rFonts w:cstheme="minorHAnsi"/>
        </w:rPr>
        <w:t>protection</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classification</w:t>
      </w:r>
      <w:proofErr w:type="spellEnd"/>
      <w:r w:rsidRPr="00223CF4">
        <w:rPr>
          <w:rFonts w:cstheme="minorHAnsi"/>
        </w:rPr>
        <w:t xml:space="preserve"> </w:t>
      </w:r>
      <w:proofErr w:type="spellStart"/>
      <w:r w:rsidRPr="00223CF4">
        <w:rPr>
          <w:rFonts w:cstheme="minorHAnsi"/>
        </w:rPr>
        <w:t>included</w:t>
      </w:r>
      <w:proofErr w:type="spellEnd"/>
      <w:r w:rsidRPr="00223CF4">
        <w:rPr>
          <w:rFonts w:cstheme="minorHAnsi"/>
        </w:rPr>
        <w:t xml:space="preserve"> </w:t>
      </w:r>
      <w:proofErr w:type="spellStart"/>
      <w:r w:rsidRPr="00223CF4">
        <w:rPr>
          <w:rFonts w:cstheme="minorHAnsi"/>
        </w:rPr>
        <w:t>factors</w:t>
      </w:r>
      <w:proofErr w:type="spellEnd"/>
      <w:r w:rsidRPr="00223CF4">
        <w:rPr>
          <w:rFonts w:cstheme="minorHAnsi"/>
        </w:rPr>
        <w:t xml:space="preserve"> such as type </w:t>
      </w:r>
      <w:proofErr w:type="spellStart"/>
      <w:r w:rsidRPr="00223CF4">
        <w:rPr>
          <w:rFonts w:cstheme="minorHAnsi"/>
        </w:rPr>
        <w:t>of</w:t>
      </w:r>
      <w:proofErr w:type="spellEnd"/>
      <w:r w:rsidRPr="00223CF4">
        <w:rPr>
          <w:rFonts w:cstheme="minorHAnsi"/>
        </w:rPr>
        <w:t xml:space="preserve"> substance (</w:t>
      </w:r>
      <w:proofErr w:type="spellStart"/>
      <w:r w:rsidRPr="00223CF4">
        <w:rPr>
          <w:rFonts w:cstheme="minorHAnsi"/>
        </w:rPr>
        <w:t>e.g</w:t>
      </w:r>
      <w:proofErr w:type="spellEnd"/>
      <w:r w:rsidRPr="00223CF4">
        <w:rPr>
          <w:rFonts w:cstheme="minorHAnsi"/>
        </w:rPr>
        <w:t xml:space="preserve">., nerve </w:t>
      </w:r>
      <w:proofErr w:type="spellStart"/>
      <w:r w:rsidRPr="00223CF4">
        <w:rPr>
          <w:rFonts w:cstheme="minorHAnsi"/>
        </w:rPr>
        <w:t>agents</w:t>
      </w:r>
      <w:proofErr w:type="spellEnd"/>
      <w:r w:rsidRPr="00223CF4">
        <w:rPr>
          <w:rFonts w:cstheme="minorHAnsi"/>
        </w:rPr>
        <w:t xml:space="preserve">, </w:t>
      </w:r>
      <w:proofErr w:type="spellStart"/>
      <w:r w:rsidRPr="00223CF4">
        <w:rPr>
          <w:rFonts w:cstheme="minorHAnsi"/>
        </w:rPr>
        <w:t>blister</w:t>
      </w:r>
      <w:proofErr w:type="spellEnd"/>
      <w:r w:rsidRPr="00223CF4">
        <w:rPr>
          <w:rFonts w:cstheme="minorHAnsi"/>
        </w:rPr>
        <w:t xml:space="preserve"> </w:t>
      </w:r>
      <w:proofErr w:type="spellStart"/>
      <w:r w:rsidRPr="00223CF4">
        <w:rPr>
          <w:rFonts w:cstheme="minorHAnsi"/>
        </w:rPr>
        <w:t>agents</w:t>
      </w:r>
      <w:proofErr w:type="spellEnd"/>
      <w:r w:rsidRPr="00223CF4">
        <w:rPr>
          <w:rFonts w:cstheme="minorHAnsi"/>
        </w:rPr>
        <w:t xml:space="preserve">, </w:t>
      </w:r>
      <w:proofErr w:type="spellStart"/>
      <w:r w:rsidRPr="00223CF4">
        <w:rPr>
          <w:rFonts w:cstheme="minorHAnsi"/>
        </w:rPr>
        <w:t>choking</w:t>
      </w:r>
      <w:proofErr w:type="spellEnd"/>
      <w:r w:rsidRPr="00223CF4">
        <w:rPr>
          <w:rFonts w:cstheme="minorHAnsi"/>
        </w:rPr>
        <w:t xml:space="preserve"> </w:t>
      </w:r>
      <w:proofErr w:type="spellStart"/>
      <w:r w:rsidRPr="00223CF4">
        <w:rPr>
          <w:rFonts w:cstheme="minorHAnsi"/>
        </w:rPr>
        <w:t>agents</w:t>
      </w:r>
      <w:proofErr w:type="spellEnd"/>
      <w:r w:rsidRPr="00223CF4">
        <w:rPr>
          <w:rFonts w:cstheme="minorHAnsi"/>
        </w:rPr>
        <w:t xml:space="preserve">), toxicity (LD50, LC50), </w:t>
      </w:r>
      <w:proofErr w:type="spellStart"/>
      <w:r w:rsidRPr="00223CF4">
        <w:rPr>
          <w:rFonts w:cstheme="minorHAnsi"/>
        </w:rPr>
        <w:t>deployment</w:t>
      </w:r>
      <w:proofErr w:type="spellEnd"/>
      <w:r w:rsidRPr="00223CF4">
        <w:rPr>
          <w:rFonts w:cstheme="minorHAnsi"/>
        </w:rPr>
        <w:t xml:space="preserve"> </w:t>
      </w:r>
      <w:proofErr w:type="spellStart"/>
      <w:r w:rsidRPr="00223CF4">
        <w:rPr>
          <w:rFonts w:cstheme="minorHAnsi"/>
        </w:rPr>
        <w:t>method</w:t>
      </w:r>
      <w:proofErr w:type="spellEnd"/>
      <w:r w:rsidRPr="00223CF4">
        <w:rPr>
          <w:rFonts w:cstheme="minorHAnsi"/>
        </w:rPr>
        <w:t xml:space="preserve"> (aerosol, </w:t>
      </w:r>
      <w:proofErr w:type="spellStart"/>
      <w:r w:rsidRPr="00223CF4">
        <w:rPr>
          <w:rFonts w:cstheme="minorHAnsi"/>
        </w:rPr>
        <w:t>gas</w:t>
      </w:r>
      <w:proofErr w:type="spellEnd"/>
      <w:r w:rsidRPr="00223CF4">
        <w:rPr>
          <w:rFonts w:cstheme="minorHAnsi"/>
        </w:rPr>
        <w:t xml:space="preserve">, </w:t>
      </w:r>
      <w:proofErr w:type="spellStart"/>
      <w:r w:rsidRPr="00223CF4">
        <w:rPr>
          <w:rFonts w:cstheme="minorHAnsi"/>
        </w:rPr>
        <w:t>liquid</w:t>
      </w:r>
      <w:proofErr w:type="spellEnd"/>
      <w:r w:rsidRPr="00223CF4">
        <w:rPr>
          <w:rFonts w:cstheme="minorHAnsi"/>
        </w:rPr>
        <w:t xml:space="preserve">), and </w:t>
      </w:r>
      <w:proofErr w:type="spellStart"/>
      <w:r w:rsidRPr="00223CF4">
        <w:rPr>
          <w:rFonts w:cstheme="minorHAnsi"/>
        </w:rPr>
        <w:t>mechanism</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action</w:t>
      </w:r>
      <w:proofErr w:type="spellEnd"/>
      <w:r w:rsidRPr="00223CF4">
        <w:rPr>
          <w:rFonts w:cstheme="minorHAnsi"/>
        </w:rPr>
        <w:t xml:space="preserve"> (</w:t>
      </w:r>
      <w:proofErr w:type="spellStart"/>
      <w:r w:rsidRPr="00223CF4">
        <w:rPr>
          <w:rFonts w:cstheme="minorHAnsi"/>
        </w:rPr>
        <w:t>e.g</w:t>
      </w:r>
      <w:proofErr w:type="spellEnd"/>
      <w:r w:rsidRPr="00223CF4">
        <w:rPr>
          <w:rFonts w:cstheme="minorHAnsi"/>
        </w:rPr>
        <w:t xml:space="preserve">., </w:t>
      </w:r>
      <w:proofErr w:type="spellStart"/>
      <w:r w:rsidRPr="00223CF4">
        <w:rPr>
          <w:rFonts w:cstheme="minorHAnsi"/>
        </w:rPr>
        <w:t>inhibition</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acetylcholinesterase</w:t>
      </w:r>
      <w:proofErr w:type="spellEnd"/>
      <w:r w:rsidRPr="00223CF4">
        <w:rPr>
          <w:rFonts w:cstheme="minorHAnsi"/>
        </w:rPr>
        <w:t xml:space="preserve"> in nerve </w:t>
      </w:r>
      <w:proofErr w:type="spellStart"/>
      <w:r w:rsidRPr="00223CF4">
        <w:rPr>
          <w:rFonts w:cstheme="minorHAnsi"/>
        </w:rPr>
        <w:t>agents</w:t>
      </w:r>
      <w:proofErr w:type="spellEnd"/>
      <w:r w:rsidRPr="00223CF4">
        <w:rPr>
          <w:rFonts w:cstheme="minorHAnsi"/>
        </w:rPr>
        <w:t>).</w:t>
      </w:r>
    </w:p>
    <w:p w14:paraId="1825FFD9" w14:textId="77777777" w:rsidR="00223CF4" w:rsidRPr="00223CF4" w:rsidRDefault="00223CF4" w:rsidP="00223CF4">
      <w:pPr>
        <w:rPr>
          <w:rFonts w:cstheme="minorHAnsi"/>
        </w:rPr>
      </w:pPr>
      <w:proofErr w:type="spellStart"/>
      <w:r w:rsidRPr="00223CF4">
        <w:rPr>
          <w:rFonts w:cstheme="minorHAnsi"/>
        </w:rPr>
        <w:t>The</w:t>
      </w:r>
      <w:proofErr w:type="spellEnd"/>
      <w:r w:rsidRPr="00223CF4">
        <w:rPr>
          <w:rFonts w:cstheme="minorHAnsi"/>
        </w:rPr>
        <w:t xml:space="preserve"> database </w:t>
      </w:r>
      <w:proofErr w:type="spellStart"/>
      <w:r w:rsidRPr="00223CF4">
        <w:rPr>
          <w:rFonts w:cstheme="minorHAnsi"/>
        </w:rPr>
        <w:t>was</w:t>
      </w:r>
      <w:proofErr w:type="spellEnd"/>
      <w:r w:rsidRPr="00223CF4">
        <w:rPr>
          <w:rFonts w:cstheme="minorHAnsi"/>
        </w:rPr>
        <w:t xml:space="preserve"> </w:t>
      </w:r>
      <w:proofErr w:type="spellStart"/>
      <w:r w:rsidRPr="00223CF4">
        <w:rPr>
          <w:rFonts w:cstheme="minorHAnsi"/>
        </w:rPr>
        <w:t>designed</w:t>
      </w:r>
      <w:proofErr w:type="spellEnd"/>
      <w:r w:rsidRPr="00223CF4">
        <w:rPr>
          <w:rFonts w:cstheme="minorHAnsi"/>
        </w:rPr>
        <w:t xml:space="preserve"> </w:t>
      </w:r>
      <w:proofErr w:type="spellStart"/>
      <w:r w:rsidRPr="00223CF4">
        <w:rPr>
          <w:rFonts w:cstheme="minorHAnsi"/>
        </w:rPr>
        <w:t>with</w:t>
      </w:r>
      <w:proofErr w:type="spellEnd"/>
      <w:r w:rsidRPr="00223CF4">
        <w:rPr>
          <w:rFonts w:cstheme="minorHAnsi"/>
        </w:rPr>
        <w:t xml:space="preserve"> </w:t>
      </w:r>
      <w:proofErr w:type="spellStart"/>
      <w:r w:rsidRPr="00223CF4">
        <w:rPr>
          <w:rFonts w:cstheme="minorHAnsi"/>
        </w:rPr>
        <w:t>clarity</w:t>
      </w:r>
      <w:proofErr w:type="spellEnd"/>
      <w:r w:rsidRPr="00223CF4">
        <w:rPr>
          <w:rFonts w:cstheme="minorHAnsi"/>
        </w:rPr>
        <w:t xml:space="preserve"> and user-</w:t>
      </w:r>
      <w:proofErr w:type="spellStart"/>
      <w:r w:rsidRPr="00223CF4">
        <w:rPr>
          <w:rFonts w:cstheme="minorHAnsi"/>
        </w:rPr>
        <w:t>friendliness</w:t>
      </w:r>
      <w:proofErr w:type="spellEnd"/>
      <w:r w:rsidRPr="00223CF4">
        <w:rPr>
          <w:rFonts w:cstheme="minorHAnsi"/>
        </w:rPr>
        <w:t xml:space="preserve"> in mind. </w:t>
      </w:r>
      <w:proofErr w:type="spellStart"/>
      <w:r w:rsidRPr="00223CF4">
        <w:rPr>
          <w:rFonts w:cstheme="minorHAnsi"/>
        </w:rPr>
        <w:t>Each</w:t>
      </w:r>
      <w:proofErr w:type="spellEnd"/>
      <w:r w:rsidRPr="00223CF4">
        <w:rPr>
          <w:rFonts w:cstheme="minorHAnsi"/>
        </w:rPr>
        <w:t xml:space="preserve"> </w:t>
      </w:r>
      <w:proofErr w:type="spellStart"/>
      <w:r w:rsidRPr="00223CF4">
        <w:rPr>
          <w:rFonts w:cstheme="minorHAnsi"/>
        </w:rPr>
        <w:t>entry</w:t>
      </w:r>
      <w:proofErr w:type="spellEnd"/>
      <w:r w:rsidRPr="00223CF4">
        <w:rPr>
          <w:rFonts w:cstheme="minorHAnsi"/>
        </w:rPr>
        <w:t xml:space="preserve"> </w:t>
      </w:r>
      <w:proofErr w:type="spellStart"/>
      <w:r w:rsidRPr="00223CF4">
        <w:rPr>
          <w:rFonts w:cstheme="minorHAnsi"/>
        </w:rPr>
        <w:t>includes</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following</w:t>
      </w:r>
      <w:proofErr w:type="spellEnd"/>
      <w:r w:rsidRPr="00223CF4">
        <w:rPr>
          <w:rFonts w:cstheme="minorHAnsi"/>
        </w:rPr>
        <w:t xml:space="preserve"> </w:t>
      </w:r>
      <w:proofErr w:type="spellStart"/>
      <w:r w:rsidRPr="00223CF4">
        <w:rPr>
          <w:rFonts w:cstheme="minorHAnsi"/>
        </w:rPr>
        <w:t>information</w:t>
      </w:r>
      <w:proofErr w:type="spellEnd"/>
      <w:r w:rsidRPr="00223CF4">
        <w:rPr>
          <w:rFonts w:cstheme="minorHAnsi"/>
        </w:rPr>
        <w:t xml:space="preserve"> on </w:t>
      </w:r>
      <w:proofErr w:type="spellStart"/>
      <w:r w:rsidRPr="00223CF4">
        <w:rPr>
          <w:rFonts w:cstheme="minorHAnsi"/>
        </w:rPr>
        <w:t>each</w:t>
      </w:r>
      <w:proofErr w:type="spellEnd"/>
      <w:r w:rsidRPr="00223CF4">
        <w:rPr>
          <w:rFonts w:cstheme="minorHAnsi"/>
        </w:rPr>
        <w:t xml:space="preserve"> substance:</w:t>
      </w:r>
    </w:p>
    <w:p w14:paraId="04D4E461" w14:textId="3FD53B6F" w:rsidR="00223CF4" w:rsidRPr="006F5B6E" w:rsidRDefault="00223CF4" w:rsidP="006F5B6E">
      <w:pPr>
        <w:pStyle w:val="Odstavecseseznamem"/>
        <w:numPr>
          <w:ilvl w:val="0"/>
          <w:numId w:val="30"/>
        </w:numPr>
        <w:rPr>
          <w:rFonts w:cstheme="minorHAnsi"/>
        </w:rPr>
      </w:pPr>
      <w:proofErr w:type="spellStart"/>
      <w:r w:rsidRPr="006F5B6E">
        <w:rPr>
          <w:rFonts w:cstheme="minorHAnsi"/>
        </w:rPr>
        <w:t>Chemical</w:t>
      </w:r>
      <w:proofErr w:type="spellEnd"/>
      <w:r w:rsidRPr="006F5B6E">
        <w:rPr>
          <w:rFonts w:cstheme="minorHAnsi"/>
        </w:rPr>
        <w:t xml:space="preserve"> </w:t>
      </w:r>
      <w:proofErr w:type="spellStart"/>
      <w:r w:rsidRPr="006F5B6E">
        <w:rPr>
          <w:rFonts w:cstheme="minorHAnsi"/>
        </w:rPr>
        <w:t>name</w:t>
      </w:r>
      <w:proofErr w:type="spellEnd"/>
      <w:r w:rsidRPr="006F5B6E">
        <w:rPr>
          <w:rFonts w:cstheme="minorHAnsi"/>
        </w:rPr>
        <w:t xml:space="preserve"> and </w:t>
      </w:r>
      <w:proofErr w:type="spellStart"/>
      <w:r w:rsidRPr="006F5B6E">
        <w:rPr>
          <w:rFonts w:cstheme="minorHAnsi"/>
        </w:rPr>
        <w:t>molecular</w:t>
      </w:r>
      <w:proofErr w:type="spellEnd"/>
      <w:r w:rsidRPr="006F5B6E">
        <w:rPr>
          <w:rFonts w:cstheme="minorHAnsi"/>
        </w:rPr>
        <w:t xml:space="preserve"> </w:t>
      </w:r>
      <w:proofErr w:type="spellStart"/>
      <w:r w:rsidRPr="006F5B6E">
        <w:rPr>
          <w:rFonts w:cstheme="minorHAnsi"/>
        </w:rPr>
        <w:t>formula</w:t>
      </w:r>
      <w:proofErr w:type="spellEnd"/>
    </w:p>
    <w:p w14:paraId="0EA6BBE3" w14:textId="77777777" w:rsidR="006F5B6E" w:rsidRPr="006F5B6E" w:rsidRDefault="00223CF4" w:rsidP="006F5B6E">
      <w:pPr>
        <w:pStyle w:val="Odstavecseseznamem"/>
        <w:numPr>
          <w:ilvl w:val="0"/>
          <w:numId w:val="30"/>
        </w:numPr>
        <w:rPr>
          <w:rFonts w:cstheme="minorHAnsi"/>
        </w:rPr>
      </w:pPr>
      <w:r w:rsidRPr="006F5B6E">
        <w:rPr>
          <w:rFonts w:cstheme="minorHAnsi"/>
        </w:rPr>
        <w:t xml:space="preserve">Substance </w:t>
      </w:r>
      <w:proofErr w:type="spellStart"/>
      <w:r w:rsidRPr="006F5B6E">
        <w:rPr>
          <w:rFonts w:cstheme="minorHAnsi"/>
        </w:rPr>
        <w:t>code</w:t>
      </w:r>
      <w:proofErr w:type="spellEnd"/>
      <w:r w:rsidRPr="006F5B6E">
        <w:rPr>
          <w:rFonts w:cstheme="minorHAnsi"/>
        </w:rPr>
        <w:t xml:space="preserve"> and CAS </w:t>
      </w:r>
      <w:proofErr w:type="spellStart"/>
      <w:r w:rsidRPr="006F5B6E">
        <w:rPr>
          <w:rFonts w:cstheme="minorHAnsi"/>
        </w:rPr>
        <w:t>number</w:t>
      </w:r>
      <w:proofErr w:type="spellEnd"/>
    </w:p>
    <w:p w14:paraId="11171DAD" w14:textId="6AB075DE" w:rsidR="00223CF4" w:rsidRPr="006F5B6E" w:rsidRDefault="00223CF4" w:rsidP="006F5B6E">
      <w:pPr>
        <w:pStyle w:val="Odstavecseseznamem"/>
        <w:numPr>
          <w:ilvl w:val="0"/>
          <w:numId w:val="30"/>
        </w:numPr>
        <w:rPr>
          <w:rFonts w:cstheme="minorHAnsi"/>
        </w:rPr>
      </w:pPr>
      <w:proofErr w:type="spellStart"/>
      <w:r w:rsidRPr="006F5B6E">
        <w:rPr>
          <w:rFonts w:cstheme="minorHAnsi"/>
        </w:rPr>
        <w:t>Physical</w:t>
      </w:r>
      <w:proofErr w:type="spellEnd"/>
      <w:r w:rsidRPr="006F5B6E">
        <w:rPr>
          <w:rFonts w:cstheme="minorHAnsi"/>
        </w:rPr>
        <w:t xml:space="preserve"> </w:t>
      </w:r>
      <w:proofErr w:type="spellStart"/>
      <w:r w:rsidRPr="006F5B6E">
        <w:rPr>
          <w:rFonts w:cstheme="minorHAnsi"/>
        </w:rPr>
        <w:t>state</w:t>
      </w:r>
      <w:proofErr w:type="spellEnd"/>
      <w:r w:rsidRPr="006F5B6E">
        <w:rPr>
          <w:rFonts w:cstheme="minorHAnsi"/>
        </w:rPr>
        <w:t xml:space="preserve">, volatility, </w:t>
      </w:r>
      <w:proofErr w:type="spellStart"/>
      <w:r w:rsidRPr="006F5B6E">
        <w:rPr>
          <w:rFonts w:cstheme="minorHAnsi"/>
        </w:rPr>
        <w:t>boiling</w:t>
      </w:r>
      <w:proofErr w:type="spellEnd"/>
      <w:r w:rsidRPr="006F5B6E">
        <w:rPr>
          <w:rFonts w:cstheme="minorHAnsi"/>
        </w:rPr>
        <w:t xml:space="preserve"> point, </w:t>
      </w:r>
      <w:proofErr w:type="spellStart"/>
      <w:r w:rsidRPr="006F5B6E">
        <w:rPr>
          <w:rFonts w:cstheme="minorHAnsi"/>
        </w:rPr>
        <w:t>melting</w:t>
      </w:r>
      <w:proofErr w:type="spellEnd"/>
      <w:r w:rsidRPr="006F5B6E">
        <w:rPr>
          <w:rFonts w:cstheme="minorHAnsi"/>
        </w:rPr>
        <w:t xml:space="preserve"> point, </w:t>
      </w:r>
      <w:proofErr w:type="spellStart"/>
      <w:r w:rsidRPr="006F5B6E">
        <w:rPr>
          <w:rFonts w:cstheme="minorHAnsi"/>
        </w:rPr>
        <w:t>density</w:t>
      </w:r>
      <w:proofErr w:type="spellEnd"/>
      <w:r w:rsidRPr="006F5B6E">
        <w:rPr>
          <w:rFonts w:cstheme="minorHAnsi"/>
        </w:rPr>
        <w:t xml:space="preserve">, </w:t>
      </w:r>
      <w:proofErr w:type="spellStart"/>
      <w:r w:rsidRPr="006F5B6E">
        <w:rPr>
          <w:rFonts w:cstheme="minorHAnsi"/>
        </w:rPr>
        <w:t>vapor</w:t>
      </w:r>
      <w:proofErr w:type="spellEnd"/>
      <w:r w:rsidRPr="006F5B6E">
        <w:rPr>
          <w:rFonts w:cstheme="minorHAnsi"/>
        </w:rPr>
        <w:t xml:space="preserve"> </w:t>
      </w:r>
      <w:proofErr w:type="spellStart"/>
      <w:r w:rsidRPr="006F5B6E">
        <w:rPr>
          <w:rFonts w:cstheme="minorHAnsi"/>
        </w:rPr>
        <w:t>pressure</w:t>
      </w:r>
      <w:proofErr w:type="spellEnd"/>
      <w:r w:rsidRPr="006F5B6E">
        <w:rPr>
          <w:rFonts w:cstheme="minorHAnsi"/>
        </w:rPr>
        <w:t xml:space="preserve">, </w:t>
      </w:r>
      <w:proofErr w:type="spellStart"/>
      <w:r w:rsidRPr="006F5B6E">
        <w:rPr>
          <w:rFonts w:cstheme="minorHAnsi"/>
        </w:rPr>
        <w:t>solubility</w:t>
      </w:r>
      <w:proofErr w:type="spellEnd"/>
      <w:r w:rsidRPr="006F5B6E">
        <w:rPr>
          <w:rFonts w:cstheme="minorHAnsi"/>
        </w:rPr>
        <w:t xml:space="preserve"> in </w:t>
      </w:r>
      <w:proofErr w:type="spellStart"/>
      <w:r w:rsidRPr="006F5B6E">
        <w:rPr>
          <w:rFonts w:cstheme="minorHAnsi"/>
        </w:rPr>
        <w:t>water</w:t>
      </w:r>
      <w:proofErr w:type="spellEnd"/>
      <w:r w:rsidRPr="006F5B6E">
        <w:rPr>
          <w:rFonts w:cstheme="minorHAnsi"/>
        </w:rPr>
        <w:t xml:space="preserve"> and </w:t>
      </w:r>
      <w:proofErr w:type="spellStart"/>
      <w:r w:rsidRPr="006F5B6E">
        <w:rPr>
          <w:rFonts w:cstheme="minorHAnsi"/>
        </w:rPr>
        <w:t>other</w:t>
      </w:r>
      <w:proofErr w:type="spellEnd"/>
      <w:r w:rsidRPr="006F5B6E">
        <w:rPr>
          <w:rFonts w:cstheme="minorHAnsi"/>
        </w:rPr>
        <w:t xml:space="preserve"> </w:t>
      </w:r>
      <w:proofErr w:type="spellStart"/>
      <w:r w:rsidRPr="006F5B6E">
        <w:rPr>
          <w:rFonts w:cstheme="minorHAnsi"/>
        </w:rPr>
        <w:t>substances</w:t>
      </w:r>
      <w:proofErr w:type="spellEnd"/>
    </w:p>
    <w:p w14:paraId="33B3C544" w14:textId="77777777" w:rsidR="006F5B6E" w:rsidRDefault="00223CF4" w:rsidP="006F5B6E">
      <w:pPr>
        <w:pStyle w:val="Odstavecseseznamem"/>
        <w:numPr>
          <w:ilvl w:val="0"/>
          <w:numId w:val="30"/>
        </w:numPr>
        <w:rPr>
          <w:rFonts w:cstheme="minorHAnsi"/>
        </w:rPr>
      </w:pPr>
      <w:proofErr w:type="spellStart"/>
      <w:r w:rsidRPr="006F5B6E">
        <w:rPr>
          <w:rFonts w:cstheme="minorHAnsi"/>
        </w:rPr>
        <w:t>Mechanism</w:t>
      </w:r>
      <w:proofErr w:type="spellEnd"/>
      <w:r w:rsidRPr="006F5B6E">
        <w:rPr>
          <w:rFonts w:cstheme="minorHAnsi"/>
        </w:rPr>
        <w:t xml:space="preserve"> </w:t>
      </w:r>
      <w:proofErr w:type="spellStart"/>
      <w:r w:rsidRPr="006F5B6E">
        <w:rPr>
          <w:rFonts w:cstheme="minorHAnsi"/>
        </w:rPr>
        <w:t>of</w:t>
      </w:r>
      <w:proofErr w:type="spellEnd"/>
      <w:r w:rsidRPr="006F5B6E">
        <w:rPr>
          <w:rFonts w:cstheme="minorHAnsi"/>
        </w:rPr>
        <w:t xml:space="preserve"> </w:t>
      </w:r>
      <w:proofErr w:type="spellStart"/>
      <w:r w:rsidRPr="006F5B6E">
        <w:rPr>
          <w:rFonts w:cstheme="minorHAnsi"/>
        </w:rPr>
        <w:t>action</w:t>
      </w:r>
      <w:proofErr w:type="spellEnd"/>
      <w:r w:rsidRPr="006F5B6E">
        <w:rPr>
          <w:rFonts w:cstheme="minorHAnsi"/>
        </w:rPr>
        <w:t xml:space="preserve"> on </w:t>
      </w:r>
      <w:proofErr w:type="spellStart"/>
      <w:r w:rsidRPr="006F5B6E">
        <w:rPr>
          <w:rFonts w:cstheme="minorHAnsi"/>
        </w:rPr>
        <w:t>the</w:t>
      </w:r>
      <w:proofErr w:type="spellEnd"/>
      <w:r w:rsidRPr="006F5B6E">
        <w:rPr>
          <w:rFonts w:cstheme="minorHAnsi"/>
        </w:rPr>
        <w:t xml:space="preserve"> body, </w:t>
      </w:r>
      <w:proofErr w:type="spellStart"/>
      <w:r w:rsidRPr="006F5B6E">
        <w:rPr>
          <w:rFonts w:cstheme="minorHAnsi"/>
        </w:rPr>
        <w:t>effects</w:t>
      </w:r>
      <w:proofErr w:type="spellEnd"/>
      <w:r w:rsidRPr="006F5B6E">
        <w:rPr>
          <w:rFonts w:cstheme="minorHAnsi"/>
        </w:rPr>
        <w:t xml:space="preserve">, and </w:t>
      </w:r>
      <w:proofErr w:type="spellStart"/>
      <w:r w:rsidRPr="006F5B6E">
        <w:rPr>
          <w:rFonts w:cstheme="minorHAnsi"/>
        </w:rPr>
        <w:t>symptoms</w:t>
      </w:r>
      <w:proofErr w:type="spellEnd"/>
      <w:r w:rsidRPr="006F5B6E">
        <w:rPr>
          <w:rFonts w:cstheme="minorHAnsi"/>
        </w:rPr>
        <w:t xml:space="preserve"> </w:t>
      </w:r>
      <w:proofErr w:type="spellStart"/>
      <w:r w:rsidRPr="006F5B6E">
        <w:rPr>
          <w:rFonts w:cstheme="minorHAnsi"/>
        </w:rPr>
        <w:t>of</w:t>
      </w:r>
      <w:proofErr w:type="spellEnd"/>
      <w:r w:rsidRPr="006F5B6E">
        <w:rPr>
          <w:rFonts w:cstheme="minorHAnsi"/>
        </w:rPr>
        <w:t xml:space="preserve"> </w:t>
      </w:r>
      <w:proofErr w:type="spellStart"/>
      <w:r w:rsidRPr="006F5B6E">
        <w:rPr>
          <w:rFonts w:cstheme="minorHAnsi"/>
        </w:rPr>
        <w:t>poisoning</w:t>
      </w:r>
      <w:proofErr w:type="spellEnd"/>
      <w:r w:rsidR="006F5B6E" w:rsidRPr="006F5B6E">
        <w:rPr>
          <w:rFonts w:cstheme="minorHAnsi"/>
        </w:rPr>
        <w:t xml:space="preserve"> </w:t>
      </w:r>
    </w:p>
    <w:p w14:paraId="7B2DB935" w14:textId="67AB5A4A" w:rsidR="006F5B6E" w:rsidRPr="006F5B6E" w:rsidRDefault="00223CF4" w:rsidP="006F5B6E">
      <w:pPr>
        <w:pStyle w:val="Odstavecseseznamem"/>
        <w:numPr>
          <w:ilvl w:val="0"/>
          <w:numId w:val="30"/>
        </w:numPr>
        <w:rPr>
          <w:rFonts w:cstheme="minorHAnsi"/>
        </w:rPr>
      </w:pPr>
      <w:proofErr w:type="spellStart"/>
      <w:r w:rsidRPr="006F5B6E">
        <w:rPr>
          <w:rFonts w:cstheme="minorHAnsi"/>
        </w:rPr>
        <w:t>Decontamination</w:t>
      </w:r>
      <w:proofErr w:type="spellEnd"/>
      <w:r w:rsidRPr="006F5B6E">
        <w:rPr>
          <w:rFonts w:cstheme="minorHAnsi"/>
        </w:rPr>
        <w:t xml:space="preserve"> </w:t>
      </w:r>
      <w:proofErr w:type="spellStart"/>
      <w:r w:rsidRPr="006F5B6E">
        <w:rPr>
          <w:rFonts w:cstheme="minorHAnsi"/>
        </w:rPr>
        <w:t>methods</w:t>
      </w:r>
      <w:proofErr w:type="spellEnd"/>
      <w:r w:rsidRPr="006F5B6E">
        <w:rPr>
          <w:rFonts w:cstheme="minorHAnsi"/>
        </w:rPr>
        <w:t xml:space="preserve"> and </w:t>
      </w:r>
      <w:proofErr w:type="spellStart"/>
      <w:r w:rsidRPr="006F5B6E">
        <w:rPr>
          <w:rFonts w:cstheme="minorHAnsi"/>
        </w:rPr>
        <w:t>safety</w:t>
      </w:r>
      <w:proofErr w:type="spellEnd"/>
      <w:r w:rsidRPr="006F5B6E">
        <w:rPr>
          <w:rFonts w:cstheme="minorHAnsi"/>
        </w:rPr>
        <w:t xml:space="preserve"> </w:t>
      </w:r>
      <w:proofErr w:type="spellStart"/>
      <w:r w:rsidRPr="006F5B6E">
        <w:rPr>
          <w:rFonts w:cstheme="minorHAnsi"/>
        </w:rPr>
        <w:t>precautions</w:t>
      </w:r>
      <w:proofErr w:type="spellEnd"/>
      <w:r w:rsidR="006F5B6E" w:rsidRPr="006F5B6E">
        <w:rPr>
          <w:rFonts w:cstheme="minorHAnsi"/>
        </w:rPr>
        <w:t xml:space="preserve"> </w:t>
      </w:r>
    </w:p>
    <w:p w14:paraId="5B0D749A" w14:textId="354D8D2D" w:rsidR="00223CF4" w:rsidRPr="006F5B6E" w:rsidRDefault="00223CF4" w:rsidP="006F5B6E">
      <w:pPr>
        <w:pStyle w:val="Odstavecseseznamem"/>
        <w:numPr>
          <w:ilvl w:val="0"/>
          <w:numId w:val="30"/>
        </w:numPr>
        <w:rPr>
          <w:rFonts w:cstheme="minorHAnsi"/>
        </w:rPr>
      </w:pPr>
      <w:r w:rsidRPr="006F5B6E">
        <w:rPr>
          <w:rFonts w:cstheme="minorHAnsi"/>
        </w:rPr>
        <w:t xml:space="preserve">Stability </w:t>
      </w:r>
      <w:proofErr w:type="spellStart"/>
      <w:r w:rsidRPr="006F5B6E">
        <w:rPr>
          <w:rFonts w:cstheme="minorHAnsi"/>
        </w:rPr>
        <w:t>of</w:t>
      </w:r>
      <w:proofErr w:type="spellEnd"/>
      <w:r w:rsidRPr="006F5B6E">
        <w:rPr>
          <w:rFonts w:cstheme="minorHAnsi"/>
        </w:rPr>
        <w:t xml:space="preserve"> </w:t>
      </w:r>
      <w:proofErr w:type="spellStart"/>
      <w:r w:rsidRPr="006F5B6E">
        <w:rPr>
          <w:rFonts w:cstheme="minorHAnsi"/>
        </w:rPr>
        <w:t>the</w:t>
      </w:r>
      <w:proofErr w:type="spellEnd"/>
      <w:r w:rsidRPr="006F5B6E">
        <w:rPr>
          <w:rFonts w:cstheme="minorHAnsi"/>
        </w:rPr>
        <w:t xml:space="preserve"> substance and </w:t>
      </w:r>
      <w:proofErr w:type="spellStart"/>
      <w:r w:rsidRPr="006F5B6E">
        <w:rPr>
          <w:rFonts w:cstheme="minorHAnsi"/>
        </w:rPr>
        <w:t>storage</w:t>
      </w:r>
      <w:proofErr w:type="spellEnd"/>
      <w:r w:rsidRPr="006F5B6E">
        <w:rPr>
          <w:rFonts w:cstheme="minorHAnsi"/>
        </w:rPr>
        <w:t xml:space="preserve"> </w:t>
      </w:r>
      <w:proofErr w:type="spellStart"/>
      <w:r w:rsidRPr="006F5B6E">
        <w:rPr>
          <w:rFonts w:cstheme="minorHAnsi"/>
        </w:rPr>
        <w:t>recommendations</w:t>
      </w:r>
      <w:proofErr w:type="spellEnd"/>
    </w:p>
    <w:p w14:paraId="2E3F160F" w14:textId="77777777" w:rsidR="00223CF4" w:rsidRPr="00223CF4" w:rsidRDefault="00223CF4" w:rsidP="00223CF4">
      <w:pPr>
        <w:rPr>
          <w:rFonts w:cstheme="minorHAnsi"/>
        </w:rPr>
      </w:pPr>
      <w:proofErr w:type="spellStart"/>
      <w:r w:rsidRPr="00223CF4">
        <w:rPr>
          <w:rFonts w:cstheme="minorHAnsi"/>
        </w:rPr>
        <w:t>The</w:t>
      </w:r>
      <w:proofErr w:type="spellEnd"/>
      <w:r w:rsidRPr="00223CF4">
        <w:rPr>
          <w:rFonts w:cstheme="minorHAnsi"/>
        </w:rPr>
        <w:t xml:space="preserve"> database </w:t>
      </w:r>
      <w:proofErr w:type="spellStart"/>
      <w:r w:rsidRPr="00223CF4">
        <w:rPr>
          <w:rFonts w:cstheme="minorHAnsi"/>
        </w:rPr>
        <w:t>was</w:t>
      </w:r>
      <w:proofErr w:type="spellEnd"/>
      <w:r w:rsidRPr="00223CF4">
        <w:rPr>
          <w:rFonts w:cstheme="minorHAnsi"/>
        </w:rPr>
        <w:t xml:space="preserve"> </w:t>
      </w:r>
      <w:proofErr w:type="spellStart"/>
      <w:r w:rsidRPr="00223CF4">
        <w:rPr>
          <w:rFonts w:cstheme="minorHAnsi"/>
        </w:rPr>
        <w:t>implemented</w:t>
      </w:r>
      <w:proofErr w:type="spellEnd"/>
      <w:r w:rsidRPr="00223CF4">
        <w:rPr>
          <w:rFonts w:cstheme="minorHAnsi"/>
        </w:rPr>
        <w:t xml:space="preserve"> in a web environment </w:t>
      </w:r>
      <w:proofErr w:type="spellStart"/>
      <w:r w:rsidRPr="00223CF4">
        <w:rPr>
          <w:rFonts w:cstheme="minorHAnsi"/>
        </w:rPr>
        <w:t>with</w:t>
      </w:r>
      <w:proofErr w:type="spellEnd"/>
      <w:r w:rsidRPr="00223CF4">
        <w:rPr>
          <w:rFonts w:cstheme="minorHAnsi"/>
        </w:rPr>
        <w:t xml:space="preserve"> </w:t>
      </w:r>
      <w:proofErr w:type="spellStart"/>
      <w:r w:rsidRPr="00223CF4">
        <w:rPr>
          <w:rFonts w:cstheme="minorHAnsi"/>
        </w:rPr>
        <w:t>an</w:t>
      </w:r>
      <w:proofErr w:type="spellEnd"/>
      <w:r w:rsidRPr="00223CF4">
        <w:rPr>
          <w:rFonts w:cstheme="minorHAnsi"/>
        </w:rPr>
        <w:t xml:space="preserve"> </w:t>
      </w:r>
      <w:proofErr w:type="spellStart"/>
      <w:r w:rsidRPr="00223CF4">
        <w:rPr>
          <w:rFonts w:cstheme="minorHAnsi"/>
        </w:rPr>
        <w:t>interactive</w:t>
      </w:r>
      <w:proofErr w:type="spellEnd"/>
      <w:r w:rsidRPr="00223CF4">
        <w:rPr>
          <w:rFonts w:cstheme="minorHAnsi"/>
        </w:rPr>
        <w:t xml:space="preserve"> interface, </w:t>
      </w:r>
      <w:proofErr w:type="spellStart"/>
      <w:r w:rsidRPr="00223CF4">
        <w:rPr>
          <w:rFonts w:cstheme="minorHAnsi"/>
        </w:rPr>
        <w:t>enabling</w:t>
      </w:r>
      <w:proofErr w:type="spellEnd"/>
      <w:r w:rsidRPr="00223CF4">
        <w:rPr>
          <w:rFonts w:cstheme="minorHAnsi"/>
        </w:rPr>
        <w:t xml:space="preserve"> </w:t>
      </w:r>
      <w:proofErr w:type="spellStart"/>
      <w:r w:rsidRPr="00223CF4">
        <w:rPr>
          <w:rFonts w:cstheme="minorHAnsi"/>
        </w:rPr>
        <w:t>users</w:t>
      </w:r>
      <w:proofErr w:type="spellEnd"/>
      <w:r w:rsidRPr="00223CF4">
        <w:rPr>
          <w:rFonts w:cstheme="minorHAnsi"/>
        </w:rPr>
        <w:t xml:space="preserve"> to </w:t>
      </w:r>
      <w:proofErr w:type="spellStart"/>
      <w:r w:rsidRPr="00223CF4">
        <w:rPr>
          <w:rFonts w:cstheme="minorHAnsi"/>
        </w:rPr>
        <w:t>search</w:t>
      </w:r>
      <w:proofErr w:type="spellEnd"/>
      <w:r w:rsidRPr="00223CF4">
        <w:rPr>
          <w:rFonts w:cstheme="minorHAnsi"/>
        </w:rPr>
        <w:t xml:space="preserve"> and </w:t>
      </w:r>
      <w:proofErr w:type="spellStart"/>
      <w:r w:rsidRPr="00223CF4">
        <w:rPr>
          <w:rFonts w:cstheme="minorHAnsi"/>
        </w:rPr>
        <w:t>filter</w:t>
      </w:r>
      <w:proofErr w:type="spellEnd"/>
      <w:r w:rsidRPr="00223CF4">
        <w:rPr>
          <w:rFonts w:cstheme="minorHAnsi"/>
        </w:rPr>
        <w:t xml:space="preserve"> </w:t>
      </w:r>
      <w:proofErr w:type="spellStart"/>
      <w:r w:rsidRPr="00223CF4">
        <w:rPr>
          <w:rFonts w:cstheme="minorHAnsi"/>
        </w:rPr>
        <w:t>information</w:t>
      </w:r>
      <w:proofErr w:type="spellEnd"/>
      <w:r w:rsidRPr="00223CF4">
        <w:rPr>
          <w:rFonts w:cstheme="minorHAnsi"/>
        </w:rPr>
        <w:t xml:space="preserve"> </w:t>
      </w:r>
      <w:proofErr w:type="spellStart"/>
      <w:r w:rsidRPr="00223CF4">
        <w:rPr>
          <w:rFonts w:cstheme="minorHAnsi"/>
        </w:rPr>
        <w:t>according</w:t>
      </w:r>
      <w:proofErr w:type="spellEnd"/>
      <w:r w:rsidRPr="00223CF4">
        <w:rPr>
          <w:rFonts w:cstheme="minorHAnsi"/>
        </w:rPr>
        <w:t xml:space="preserve"> to </w:t>
      </w:r>
      <w:proofErr w:type="spellStart"/>
      <w:r w:rsidRPr="00223CF4">
        <w:rPr>
          <w:rFonts w:cstheme="minorHAnsi"/>
        </w:rPr>
        <w:t>various</w:t>
      </w:r>
      <w:proofErr w:type="spellEnd"/>
      <w:r w:rsidRPr="00223CF4">
        <w:rPr>
          <w:rFonts w:cstheme="minorHAnsi"/>
        </w:rPr>
        <w:t xml:space="preserve"> </w:t>
      </w:r>
      <w:proofErr w:type="spellStart"/>
      <w:r w:rsidRPr="00223CF4">
        <w:rPr>
          <w:rFonts w:cstheme="minorHAnsi"/>
        </w:rPr>
        <w:t>criteria</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development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web </w:t>
      </w:r>
      <w:proofErr w:type="spellStart"/>
      <w:r w:rsidRPr="00223CF4">
        <w:rPr>
          <w:rFonts w:cstheme="minorHAnsi"/>
        </w:rPr>
        <w:t>application</w:t>
      </w:r>
      <w:proofErr w:type="spellEnd"/>
      <w:r w:rsidRPr="00223CF4">
        <w:rPr>
          <w:rFonts w:cstheme="minorHAnsi"/>
        </w:rPr>
        <w:t xml:space="preserve"> </w:t>
      </w:r>
      <w:proofErr w:type="spellStart"/>
      <w:r w:rsidRPr="00223CF4">
        <w:rPr>
          <w:rFonts w:cstheme="minorHAnsi"/>
        </w:rPr>
        <w:t>utilized</w:t>
      </w:r>
      <w:proofErr w:type="spellEnd"/>
      <w:r w:rsidRPr="00223CF4">
        <w:rPr>
          <w:rFonts w:cstheme="minorHAnsi"/>
        </w:rPr>
        <w:t xml:space="preserve"> </w:t>
      </w:r>
      <w:proofErr w:type="spellStart"/>
      <w:r w:rsidRPr="00223CF4">
        <w:rPr>
          <w:rFonts w:cstheme="minorHAnsi"/>
        </w:rPr>
        <w:t>modern</w:t>
      </w:r>
      <w:proofErr w:type="spellEnd"/>
      <w:r w:rsidRPr="00223CF4">
        <w:rPr>
          <w:rFonts w:cstheme="minorHAnsi"/>
        </w:rPr>
        <w:t xml:space="preserve"> web </w:t>
      </w:r>
      <w:proofErr w:type="spellStart"/>
      <w:r w:rsidRPr="00223CF4">
        <w:rPr>
          <w:rFonts w:cstheme="minorHAnsi"/>
        </w:rPr>
        <w:t>technologies</w:t>
      </w:r>
      <w:proofErr w:type="spellEnd"/>
      <w:r w:rsidRPr="00223CF4">
        <w:rPr>
          <w:rFonts w:cstheme="minorHAnsi"/>
        </w:rPr>
        <w:t xml:space="preserve"> such as HTML, CSS, JavaScript, and database </w:t>
      </w:r>
      <w:proofErr w:type="spellStart"/>
      <w:r w:rsidRPr="00223CF4">
        <w:rPr>
          <w:rFonts w:cstheme="minorHAnsi"/>
        </w:rPr>
        <w:t>systems</w:t>
      </w:r>
      <w:proofErr w:type="spellEnd"/>
      <w:r w:rsidRPr="00223CF4">
        <w:rPr>
          <w:rFonts w:cstheme="minorHAnsi"/>
        </w:rPr>
        <w:t xml:space="preserve"> </w:t>
      </w:r>
      <w:proofErr w:type="spellStart"/>
      <w:r w:rsidRPr="00223CF4">
        <w:rPr>
          <w:rFonts w:cstheme="minorHAnsi"/>
        </w:rPr>
        <w:t>like</w:t>
      </w:r>
      <w:proofErr w:type="spellEnd"/>
      <w:r w:rsidRPr="00223CF4">
        <w:rPr>
          <w:rFonts w:cstheme="minorHAnsi"/>
        </w:rPr>
        <w:t xml:space="preserve"> </w:t>
      </w:r>
      <w:proofErr w:type="spellStart"/>
      <w:r w:rsidRPr="00223CF4">
        <w:rPr>
          <w:rFonts w:cstheme="minorHAnsi"/>
        </w:rPr>
        <w:t>MySQL</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focus</w:t>
      </w:r>
      <w:proofErr w:type="spellEnd"/>
      <w:r w:rsidRPr="00223CF4">
        <w:rPr>
          <w:rFonts w:cstheme="minorHAnsi"/>
        </w:rPr>
        <w:t xml:space="preserve"> </w:t>
      </w:r>
      <w:proofErr w:type="spellStart"/>
      <w:r w:rsidRPr="00223CF4">
        <w:rPr>
          <w:rFonts w:cstheme="minorHAnsi"/>
        </w:rPr>
        <w:t>was</w:t>
      </w:r>
      <w:proofErr w:type="spellEnd"/>
      <w:r w:rsidRPr="00223CF4">
        <w:rPr>
          <w:rFonts w:cstheme="minorHAnsi"/>
        </w:rPr>
        <w:t xml:space="preserve"> on speed and reliability to </w:t>
      </w:r>
      <w:proofErr w:type="spellStart"/>
      <w:r w:rsidRPr="00223CF4">
        <w:rPr>
          <w:rFonts w:cstheme="minorHAnsi"/>
        </w:rPr>
        <w:t>ensure</w:t>
      </w:r>
      <w:proofErr w:type="spellEnd"/>
      <w:r w:rsidRPr="00223CF4">
        <w:rPr>
          <w:rFonts w:cstheme="minorHAnsi"/>
        </w:rPr>
        <w:t xml:space="preserve"> </w:t>
      </w:r>
      <w:proofErr w:type="spellStart"/>
      <w:r w:rsidRPr="00223CF4">
        <w:rPr>
          <w:rFonts w:cstheme="minorHAnsi"/>
        </w:rPr>
        <w:t>comfortable</w:t>
      </w:r>
      <w:proofErr w:type="spellEnd"/>
      <w:r w:rsidRPr="00223CF4">
        <w:rPr>
          <w:rFonts w:cstheme="minorHAnsi"/>
        </w:rPr>
        <w:t xml:space="preserve"> and </w:t>
      </w:r>
      <w:proofErr w:type="spellStart"/>
      <w:r w:rsidRPr="00223CF4">
        <w:rPr>
          <w:rFonts w:cstheme="minorHAnsi"/>
        </w:rPr>
        <w:t>secure</w:t>
      </w:r>
      <w:proofErr w:type="spellEnd"/>
      <w:r w:rsidRPr="00223CF4">
        <w:rPr>
          <w:rFonts w:cstheme="minorHAnsi"/>
        </w:rPr>
        <w:t xml:space="preserve"> </w:t>
      </w:r>
      <w:proofErr w:type="spellStart"/>
      <w:r w:rsidRPr="00223CF4">
        <w:rPr>
          <w:rFonts w:cstheme="minorHAnsi"/>
        </w:rPr>
        <w:t>access</w:t>
      </w:r>
      <w:proofErr w:type="spellEnd"/>
      <w:r w:rsidRPr="00223CF4">
        <w:rPr>
          <w:rFonts w:cstheme="minorHAnsi"/>
        </w:rPr>
        <w:t xml:space="preserve"> to </w:t>
      </w:r>
      <w:proofErr w:type="spellStart"/>
      <w:r w:rsidRPr="00223CF4">
        <w:rPr>
          <w:rFonts w:cstheme="minorHAnsi"/>
        </w:rPr>
        <w:t>information</w:t>
      </w:r>
      <w:proofErr w:type="spellEnd"/>
      <w:r w:rsidRPr="00223CF4">
        <w:rPr>
          <w:rFonts w:cstheme="minorHAnsi"/>
        </w:rPr>
        <w:t>.</w:t>
      </w:r>
    </w:p>
    <w:p w14:paraId="453DF652" w14:textId="77777777" w:rsidR="00223CF4" w:rsidRPr="00223CF4" w:rsidRDefault="00223CF4" w:rsidP="00223CF4">
      <w:pPr>
        <w:rPr>
          <w:rFonts w:cstheme="minorHAnsi"/>
        </w:rPr>
      </w:pPr>
      <w:proofErr w:type="spellStart"/>
      <w:r w:rsidRPr="00223CF4">
        <w:rPr>
          <w:rFonts w:cstheme="minorHAnsi"/>
        </w:rPr>
        <w:lastRenderedPageBreak/>
        <w:t>The</w:t>
      </w:r>
      <w:proofErr w:type="spellEnd"/>
      <w:r w:rsidRPr="00223CF4">
        <w:rPr>
          <w:rFonts w:cstheme="minorHAnsi"/>
        </w:rPr>
        <w:t xml:space="preserve"> thesis </w:t>
      </w:r>
      <w:proofErr w:type="spellStart"/>
      <w:r w:rsidRPr="00223CF4">
        <w:rPr>
          <w:rFonts w:cstheme="minorHAnsi"/>
        </w:rPr>
        <w:t>includes</w:t>
      </w:r>
      <w:proofErr w:type="spellEnd"/>
      <w:r w:rsidRPr="00223CF4">
        <w:rPr>
          <w:rFonts w:cstheme="minorHAnsi"/>
        </w:rPr>
        <w:t xml:space="preserve"> </w:t>
      </w:r>
      <w:proofErr w:type="spellStart"/>
      <w:r w:rsidRPr="00223CF4">
        <w:rPr>
          <w:rFonts w:cstheme="minorHAnsi"/>
        </w:rPr>
        <w:t>an</w:t>
      </w:r>
      <w:proofErr w:type="spellEnd"/>
      <w:r w:rsidRPr="00223CF4">
        <w:rPr>
          <w:rFonts w:cstheme="minorHAnsi"/>
        </w:rPr>
        <w:t xml:space="preserve"> </w:t>
      </w:r>
      <w:proofErr w:type="spellStart"/>
      <w:r w:rsidRPr="00223CF4">
        <w:rPr>
          <w:rFonts w:cstheme="minorHAnsi"/>
        </w:rPr>
        <w:t>analysis</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ethical</w:t>
      </w:r>
      <w:proofErr w:type="spellEnd"/>
      <w:r w:rsidRPr="00223CF4">
        <w:rPr>
          <w:rFonts w:cstheme="minorHAnsi"/>
        </w:rPr>
        <w:t xml:space="preserve"> and </w:t>
      </w:r>
      <w:proofErr w:type="spellStart"/>
      <w:r w:rsidRPr="00223CF4">
        <w:rPr>
          <w:rFonts w:cstheme="minorHAnsi"/>
        </w:rPr>
        <w:t>legal</w:t>
      </w:r>
      <w:proofErr w:type="spellEnd"/>
      <w:r w:rsidRPr="00223CF4">
        <w:rPr>
          <w:rFonts w:cstheme="minorHAnsi"/>
        </w:rPr>
        <w:t xml:space="preserve"> </w:t>
      </w:r>
      <w:proofErr w:type="spellStart"/>
      <w:r w:rsidRPr="00223CF4">
        <w:rPr>
          <w:rFonts w:cstheme="minorHAnsi"/>
        </w:rPr>
        <w:t>questions</w:t>
      </w:r>
      <w:proofErr w:type="spellEnd"/>
      <w:r w:rsidRPr="00223CF4">
        <w:rPr>
          <w:rFonts w:cstheme="minorHAnsi"/>
        </w:rPr>
        <w:t xml:space="preserve"> </w:t>
      </w:r>
      <w:proofErr w:type="spellStart"/>
      <w:r w:rsidRPr="00223CF4">
        <w:rPr>
          <w:rFonts w:cstheme="minorHAnsi"/>
        </w:rPr>
        <w:t>related</w:t>
      </w:r>
      <w:proofErr w:type="spellEnd"/>
      <w:r w:rsidRPr="00223CF4">
        <w:rPr>
          <w:rFonts w:cstheme="minorHAnsi"/>
        </w:rPr>
        <w:t xml:space="preserve"> to </w:t>
      </w:r>
      <w:proofErr w:type="spellStart"/>
      <w:r w:rsidRPr="00223CF4">
        <w:rPr>
          <w:rFonts w:cstheme="minorHAnsi"/>
        </w:rPr>
        <w:t>the</w:t>
      </w:r>
      <w:proofErr w:type="spellEnd"/>
      <w:r w:rsidRPr="00223CF4">
        <w:rPr>
          <w:rFonts w:cstheme="minorHAnsi"/>
        </w:rPr>
        <w:t xml:space="preserve"> development and use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chemical</w:t>
      </w:r>
      <w:proofErr w:type="spellEnd"/>
      <w:r w:rsidRPr="00223CF4">
        <w:rPr>
          <w:rFonts w:cstheme="minorHAnsi"/>
        </w:rPr>
        <w:t xml:space="preserve"> </w:t>
      </w:r>
      <w:proofErr w:type="spellStart"/>
      <w:r w:rsidRPr="00223CF4">
        <w:rPr>
          <w:rFonts w:cstheme="minorHAnsi"/>
        </w:rPr>
        <w:t>warfare</w:t>
      </w:r>
      <w:proofErr w:type="spellEnd"/>
      <w:r w:rsidRPr="00223CF4">
        <w:rPr>
          <w:rFonts w:cstheme="minorHAnsi"/>
        </w:rPr>
        <w:t xml:space="preserve"> </w:t>
      </w:r>
      <w:proofErr w:type="spellStart"/>
      <w:r w:rsidRPr="00223CF4">
        <w:rPr>
          <w:rFonts w:cstheme="minorHAnsi"/>
        </w:rPr>
        <w:t>agents</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1993 </w:t>
      </w:r>
      <w:proofErr w:type="spellStart"/>
      <w:r w:rsidRPr="00223CF4">
        <w:rPr>
          <w:rFonts w:cstheme="minorHAnsi"/>
        </w:rPr>
        <w:t>Chemical</w:t>
      </w:r>
      <w:proofErr w:type="spellEnd"/>
      <w:r w:rsidRPr="00223CF4">
        <w:rPr>
          <w:rFonts w:cstheme="minorHAnsi"/>
        </w:rPr>
        <w:t xml:space="preserve"> </w:t>
      </w:r>
      <w:proofErr w:type="spellStart"/>
      <w:r w:rsidRPr="00223CF4">
        <w:rPr>
          <w:rFonts w:cstheme="minorHAnsi"/>
        </w:rPr>
        <w:t>Weapons</w:t>
      </w:r>
      <w:proofErr w:type="spellEnd"/>
      <w:r w:rsidRPr="00223CF4">
        <w:rPr>
          <w:rFonts w:cstheme="minorHAnsi"/>
        </w:rPr>
        <w:t xml:space="preserve"> </w:t>
      </w:r>
      <w:proofErr w:type="spellStart"/>
      <w:r w:rsidRPr="00223CF4">
        <w:rPr>
          <w:rFonts w:cstheme="minorHAnsi"/>
        </w:rPr>
        <w:t>Convention</w:t>
      </w:r>
      <w:proofErr w:type="spellEnd"/>
      <w:r w:rsidRPr="00223CF4">
        <w:rPr>
          <w:rFonts w:cstheme="minorHAnsi"/>
        </w:rPr>
        <w:t xml:space="preserve"> (CWC) </w:t>
      </w:r>
      <w:proofErr w:type="spellStart"/>
      <w:r w:rsidRPr="00223CF4">
        <w:rPr>
          <w:rFonts w:cstheme="minorHAnsi"/>
        </w:rPr>
        <w:t>prohibits</w:t>
      </w:r>
      <w:proofErr w:type="spellEnd"/>
      <w:r w:rsidRPr="00223CF4">
        <w:rPr>
          <w:rFonts w:cstheme="minorHAnsi"/>
        </w:rPr>
        <w:t xml:space="preserve"> </w:t>
      </w:r>
      <w:proofErr w:type="spellStart"/>
      <w:r w:rsidRPr="00223CF4">
        <w:rPr>
          <w:rFonts w:cstheme="minorHAnsi"/>
        </w:rPr>
        <w:t>their</w:t>
      </w:r>
      <w:proofErr w:type="spellEnd"/>
      <w:r w:rsidRPr="00223CF4">
        <w:rPr>
          <w:rFonts w:cstheme="minorHAnsi"/>
        </w:rPr>
        <w:t xml:space="preserve"> </w:t>
      </w:r>
      <w:proofErr w:type="spellStart"/>
      <w:r w:rsidRPr="00223CF4">
        <w:rPr>
          <w:rFonts w:cstheme="minorHAnsi"/>
        </w:rPr>
        <w:t>production</w:t>
      </w:r>
      <w:proofErr w:type="spellEnd"/>
      <w:r w:rsidRPr="00223CF4">
        <w:rPr>
          <w:rFonts w:cstheme="minorHAnsi"/>
        </w:rPr>
        <w:t xml:space="preserve">, </w:t>
      </w:r>
      <w:proofErr w:type="spellStart"/>
      <w:r w:rsidRPr="00223CF4">
        <w:rPr>
          <w:rFonts w:cstheme="minorHAnsi"/>
        </w:rPr>
        <w:t>storage</w:t>
      </w:r>
      <w:proofErr w:type="spellEnd"/>
      <w:r w:rsidRPr="00223CF4">
        <w:rPr>
          <w:rFonts w:cstheme="minorHAnsi"/>
        </w:rPr>
        <w:t xml:space="preserve">, and use. </w:t>
      </w:r>
      <w:proofErr w:type="spellStart"/>
      <w:r w:rsidRPr="00223CF4">
        <w:rPr>
          <w:rFonts w:cstheme="minorHAnsi"/>
        </w:rPr>
        <w:t>This</w:t>
      </w:r>
      <w:proofErr w:type="spellEnd"/>
      <w:r w:rsidRPr="00223CF4">
        <w:rPr>
          <w:rFonts w:cstheme="minorHAnsi"/>
        </w:rPr>
        <w:t xml:space="preserve"> </w:t>
      </w:r>
      <w:proofErr w:type="spellStart"/>
      <w:r w:rsidRPr="00223CF4">
        <w:rPr>
          <w:rFonts w:cstheme="minorHAnsi"/>
        </w:rPr>
        <w:t>legislation</w:t>
      </w:r>
      <w:proofErr w:type="spellEnd"/>
      <w:r w:rsidRPr="00223CF4">
        <w:rPr>
          <w:rFonts w:cstheme="minorHAnsi"/>
        </w:rPr>
        <w:t xml:space="preserve"> </w:t>
      </w:r>
      <w:proofErr w:type="spellStart"/>
      <w:r w:rsidRPr="00223CF4">
        <w:rPr>
          <w:rFonts w:cstheme="minorHAnsi"/>
        </w:rPr>
        <w:t>provides</w:t>
      </w:r>
      <w:proofErr w:type="spellEnd"/>
      <w:r w:rsidRPr="00223CF4">
        <w:rPr>
          <w:rFonts w:cstheme="minorHAnsi"/>
        </w:rPr>
        <w:t xml:space="preserve"> </w:t>
      </w:r>
      <w:proofErr w:type="spellStart"/>
      <w:r w:rsidRPr="00223CF4">
        <w:rPr>
          <w:rFonts w:cstheme="minorHAnsi"/>
        </w:rPr>
        <w:t>an</w:t>
      </w:r>
      <w:proofErr w:type="spellEnd"/>
      <w:r w:rsidRPr="00223CF4">
        <w:rPr>
          <w:rFonts w:cstheme="minorHAnsi"/>
        </w:rPr>
        <w:t xml:space="preserve"> </w:t>
      </w:r>
      <w:proofErr w:type="spellStart"/>
      <w:r w:rsidRPr="00223CF4">
        <w:rPr>
          <w:rFonts w:cstheme="minorHAnsi"/>
        </w:rPr>
        <w:t>essential</w:t>
      </w:r>
      <w:proofErr w:type="spellEnd"/>
      <w:r w:rsidRPr="00223CF4">
        <w:rPr>
          <w:rFonts w:cstheme="minorHAnsi"/>
        </w:rPr>
        <w:t xml:space="preserve"> </w:t>
      </w:r>
      <w:proofErr w:type="spellStart"/>
      <w:r w:rsidRPr="00223CF4">
        <w:rPr>
          <w:rFonts w:cstheme="minorHAnsi"/>
        </w:rPr>
        <w:t>legal</w:t>
      </w:r>
      <w:proofErr w:type="spellEnd"/>
      <w:r w:rsidRPr="00223CF4">
        <w:rPr>
          <w:rFonts w:cstheme="minorHAnsi"/>
        </w:rPr>
        <w:t xml:space="preserve"> framework </w:t>
      </w:r>
      <w:proofErr w:type="spellStart"/>
      <w:r w:rsidRPr="00223CF4">
        <w:rPr>
          <w:rFonts w:cstheme="minorHAnsi"/>
        </w:rPr>
        <w:t>for</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control</w:t>
      </w:r>
      <w:proofErr w:type="spellEnd"/>
      <w:r w:rsidRPr="00223CF4">
        <w:rPr>
          <w:rFonts w:cstheme="minorHAnsi"/>
        </w:rPr>
        <w:t xml:space="preserve"> and </w:t>
      </w:r>
      <w:proofErr w:type="spellStart"/>
      <w:r w:rsidRPr="00223CF4">
        <w:rPr>
          <w:rFonts w:cstheme="minorHAnsi"/>
        </w:rPr>
        <w:t>regulation</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CWAs</w:t>
      </w:r>
      <w:proofErr w:type="spellEnd"/>
      <w:r w:rsidRPr="00223CF4">
        <w:rPr>
          <w:rFonts w:cstheme="minorHAnsi"/>
        </w:rPr>
        <w:t xml:space="preserve"> </w:t>
      </w:r>
      <w:proofErr w:type="spellStart"/>
      <w:r w:rsidRPr="00223CF4">
        <w:rPr>
          <w:rFonts w:cstheme="minorHAnsi"/>
        </w:rPr>
        <w:t>at</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international</w:t>
      </w:r>
      <w:proofErr w:type="spellEnd"/>
      <w:r w:rsidRPr="00223CF4">
        <w:rPr>
          <w:rFonts w:cstheme="minorHAnsi"/>
        </w:rPr>
        <w:t xml:space="preserve"> level.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work</w:t>
      </w:r>
      <w:proofErr w:type="spellEnd"/>
      <w:r w:rsidRPr="00223CF4">
        <w:rPr>
          <w:rFonts w:cstheme="minorHAnsi"/>
        </w:rPr>
        <w:t xml:space="preserve"> </w:t>
      </w:r>
      <w:proofErr w:type="spellStart"/>
      <w:r w:rsidRPr="00223CF4">
        <w:rPr>
          <w:rFonts w:cstheme="minorHAnsi"/>
        </w:rPr>
        <w:t>reflects</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importance</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these </w:t>
      </w:r>
      <w:proofErr w:type="spellStart"/>
      <w:r w:rsidRPr="00223CF4">
        <w:rPr>
          <w:rFonts w:cstheme="minorHAnsi"/>
        </w:rPr>
        <w:t>legal</w:t>
      </w:r>
      <w:proofErr w:type="spellEnd"/>
      <w:r w:rsidRPr="00223CF4">
        <w:rPr>
          <w:rFonts w:cstheme="minorHAnsi"/>
        </w:rPr>
        <w:t xml:space="preserve"> </w:t>
      </w:r>
      <w:proofErr w:type="spellStart"/>
      <w:r w:rsidRPr="00223CF4">
        <w:rPr>
          <w:rFonts w:cstheme="minorHAnsi"/>
        </w:rPr>
        <w:t>commitments</w:t>
      </w:r>
      <w:proofErr w:type="spellEnd"/>
      <w:r w:rsidRPr="00223CF4">
        <w:rPr>
          <w:rFonts w:cstheme="minorHAnsi"/>
        </w:rPr>
        <w:t xml:space="preserve">, </w:t>
      </w:r>
      <w:proofErr w:type="spellStart"/>
      <w:r w:rsidRPr="00223CF4">
        <w:rPr>
          <w:rFonts w:cstheme="minorHAnsi"/>
        </w:rPr>
        <w:t>which</w:t>
      </w:r>
      <w:proofErr w:type="spellEnd"/>
      <w:r w:rsidRPr="00223CF4">
        <w:rPr>
          <w:rFonts w:cstheme="minorHAnsi"/>
        </w:rPr>
        <w:t xml:space="preserve"> </w:t>
      </w:r>
      <w:proofErr w:type="spellStart"/>
      <w:r w:rsidRPr="00223CF4">
        <w:rPr>
          <w:rFonts w:cstheme="minorHAnsi"/>
        </w:rPr>
        <w:t>aim</w:t>
      </w:r>
      <w:proofErr w:type="spellEnd"/>
      <w:r w:rsidRPr="00223CF4">
        <w:rPr>
          <w:rFonts w:cstheme="minorHAnsi"/>
        </w:rPr>
        <w:t xml:space="preserve"> to </w:t>
      </w:r>
      <w:proofErr w:type="spellStart"/>
      <w:r w:rsidRPr="00223CF4">
        <w:rPr>
          <w:rFonts w:cstheme="minorHAnsi"/>
        </w:rPr>
        <w:t>protect</w:t>
      </w:r>
      <w:proofErr w:type="spellEnd"/>
      <w:r w:rsidRPr="00223CF4">
        <w:rPr>
          <w:rFonts w:cstheme="minorHAnsi"/>
        </w:rPr>
        <w:t xml:space="preserve"> </w:t>
      </w:r>
      <w:proofErr w:type="spellStart"/>
      <w:r w:rsidRPr="00223CF4">
        <w:rPr>
          <w:rFonts w:cstheme="minorHAnsi"/>
        </w:rPr>
        <w:t>human</w:t>
      </w:r>
      <w:proofErr w:type="spellEnd"/>
      <w:r w:rsidRPr="00223CF4">
        <w:rPr>
          <w:rFonts w:cstheme="minorHAnsi"/>
        </w:rPr>
        <w:t xml:space="preserve"> </w:t>
      </w:r>
      <w:proofErr w:type="spellStart"/>
      <w:r w:rsidRPr="00223CF4">
        <w:rPr>
          <w:rFonts w:cstheme="minorHAnsi"/>
        </w:rPr>
        <w:t>rights</w:t>
      </w:r>
      <w:proofErr w:type="spellEnd"/>
      <w:r w:rsidRPr="00223CF4">
        <w:rPr>
          <w:rFonts w:cstheme="minorHAnsi"/>
        </w:rPr>
        <w:t xml:space="preserve"> and </w:t>
      </w:r>
      <w:proofErr w:type="spellStart"/>
      <w:r w:rsidRPr="00223CF4">
        <w:rPr>
          <w:rFonts w:cstheme="minorHAnsi"/>
        </w:rPr>
        <w:t>safety</w:t>
      </w:r>
      <w:proofErr w:type="spellEnd"/>
      <w:r w:rsidRPr="00223CF4">
        <w:rPr>
          <w:rFonts w:cstheme="minorHAnsi"/>
        </w:rPr>
        <w:t xml:space="preserve">, and </w:t>
      </w:r>
      <w:proofErr w:type="spellStart"/>
      <w:r w:rsidRPr="00223CF4">
        <w:rPr>
          <w:rFonts w:cstheme="minorHAnsi"/>
        </w:rPr>
        <w:t>supports</w:t>
      </w:r>
      <w:proofErr w:type="spellEnd"/>
      <w:r w:rsidRPr="00223CF4">
        <w:rPr>
          <w:rFonts w:cstheme="minorHAnsi"/>
        </w:rPr>
        <w:t xml:space="preserve"> </w:t>
      </w:r>
      <w:proofErr w:type="spellStart"/>
      <w:r w:rsidRPr="00223CF4">
        <w:rPr>
          <w:rFonts w:cstheme="minorHAnsi"/>
        </w:rPr>
        <w:t>broader</w:t>
      </w:r>
      <w:proofErr w:type="spellEnd"/>
      <w:r w:rsidRPr="00223CF4">
        <w:rPr>
          <w:rFonts w:cstheme="minorHAnsi"/>
        </w:rPr>
        <w:t xml:space="preserve"> </w:t>
      </w:r>
      <w:proofErr w:type="spellStart"/>
      <w:r w:rsidRPr="00223CF4">
        <w:rPr>
          <w:rFonts w:cstheme="minorHAnsi"/>
        </w:rPr>
        <w:t>discussions</w:t>
      </w:r>
      <w:proofErr w:type="spellEnd"/>
      <w:r w:rsidRPr="00223CF4">
        <w:rPr>
          <w:rFonts w:cstheme="minorHAnsi"/>
        </w:rPr>
        <w:t xml:space="preserve"> on </w:t>
      </w:r>
      <w:proofErr w:type="spellStart"/>
      <w:r w:rsidRPr="00223CF4">
        <w:rPr>
          <w:rFonts w:cstheme="minorHAnsi"/>
        </w:rPr>
        <w:t>responsible</w:t>
      </w:r>
      <w:proofErr w:type="spellEnd"/>
      <w:r w:rsidRPr="00223CF4">
        <w:rPr>
          <w:rFonts w:cstheme="minorHAnsi"/>
        </w:rPr>
        <w:t xml:space="preserve"> </w:t>
      </w:r>
      <w:proofErr w:type="spellStart"/>
      <w:r w:rsidRPr="00223CF4">
        <w:rPr>
          <w:rFonts w:cstheme="minorHAnsi"/>
        </w:rPr>
        <w:t>handling</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these </w:t>
      </w:r>
      <w:proofErr w:type="spellStart"/>
      <w:r w:rsidRPr="00223CF4">
        <w:rPr>
          <w:rFonts w:cstheme="minorHAnsi"/>
        </w:rPr>
        <w:t>substances</w:t>
      </w:r>
      <w:proofErr w:type="spellEnd"/>
      <w:r w:rsidRPr="00223CF4">
        <w:rPr>
          <w:rFonts w:cstheme="minorHAnsi"/>
        </w:rPr>
        <w:t>.</w:t>
      </w:r>
    </w:p>
    <w:p w14:paraId="751F7C75" w14:textId="77777777" w:rsidR="00223CF4" w:rsidRPr="00223CF4" w:rsidRDefault="00223CF4" w:rsidP="00223CF4">
      <w:pPr>
        <w:rPr>
          <w:rFonts w:cstheme="minorHAnsi"/>
        </w:rPr>
      </w:pPr>
      <w:proofErr w:type="spellStart"/>
      <w:r w:rsidRPr="00223CF4">
        <w:rPr>
          <w:rFonts w:cstheme="minorHAnsi"/>
        </w:rPr>
        <w:t>This</w:t>
      </w:r>
      <w:proofErr w:type="spellEnd"/>
      <w:r w:rsidRPr="00223CF4">
        <w:rPr>
          <w:rFonts w:cstheme="minorHAnsi"/>
        </w:rPr>
        <w:t xml:space="preserve"> database </w:t>
      </w:r>
      <w:proofErr w:type="spellStart"/>
      <w:r w:rsidRPr="00223CF4">
        <w:rPr>
          <w:rFonts w:cstheme="minorHAnsi"/>
        </w:rPr>
        <w:t>is</w:t>
      </w:r>
      <w:proofErr w:type="spellEnd"/>
      <w:r w:rsidRPr="00223CF4">
        <w:rPr>
          <w:rFonts w:cstheme="minorHAnsi"/>
        </w:rPr>
        <w:t xml:space="preserve"> </w:t>
      </w:r>
      <w:proofErr w:type="spellStart"/>
      <w:r w:rsidRPr="00223CF4">
        <w:rPr>
          <w:rFonts w:cstheme="minorHAnsi"/>
        </w:rPr>
        <w:t>valuable</w:t>
      </w:r>
      <w:proofErr w:type="spellEnd"/>
      <w:r w:rsidRPr="00223CF4">
        <w:rPr>
          <w:rFonts w:cstheme="minorHAnsi"/>
        </w:rPr>
        <w:t xml:space="preserve"> </w:t>
      </w:r>
      <w:proofErr w:type="spellStart"/>
      <w:r w:rsidRPr="00223CF4">
        <w:rPr>
          <w:rFonts w:cstheme="minorHAnsi"/>
        </w:rPr>
        <w:t>both</w:t>
      </w:r>
      <w:proofErr w:type="spellEnd"/>
      <w:r w:rsidRPr="00223CF4">
        <w:rPr>
          <w:rFonts w:cstheme="minorHAnsi"/>
        </w:rPr>
        <w:t xml:space="preserve"> </w:t>
      </w:r>
      <w:proofErr w:type="spellStart"/>
      <w:r w:rsidRPr="00223CF4">
        <w:rPr>
          <w:rFonts w:cstheme="minorHAnsi"/>
        </w:rPr>
        <w:t>for</w:t>
      </w:r>
      <w:proofErr w:type="spellEnd"/>
      <w:r w:rsidRPr="00223CF4">
        <w:rPr>
          <w:rFonts w:cstheme="minorHAnsi"/>
        </w:rPr>
        <w:t xml:space="preserve"> </w:t>
      </w:r>
      <w:proofErr w:type="spellStart"/>
      <w:r w:rsidRPr="00223CF4">
        <w:rPr>
          <w:rFonts w:cstheme="minorHAnsi"/>
        </w:rPr>
        <w:t>experts</w:t>
      </w:r>
      <w:proofErr w:type="spellEnd"/>
      <w:r w:rsidRPr="00223CF4">
        <w:rPr>
          <w:rFonts w:cstheme="minorHAnsi"/>
        </w:rPr>
        <w:t xml:space="preserve"> </w:t>
      </w:r>
      <w:proofErr w:type="spellStart"/>
      <w:r w:rsidRPr="00223CF4">
        <w:rPr>
          <w:rFonts w:cstheme="minorHAnsi"/>
        </w:rPr>
        <w:t>focused</w:t>
      </w:r>
      <w:proofErr w:type="spellEnd"/>
      <w:r w:rsidRPr="00223CF4">
        <w:rPr>
          <w:rFonts w:cstheme="minorHAnsi"/>
        </w:rPr>
        <w:t xml:space="preserve"> on </w:t>
      </w:r>
      <w:proofErr w:type="spellStart"/>
      <w:r w:rsidRPr="00223CF4">
        <w:rPr>
          <w:rFonts w:cstheme="minorHAnsi"/>
        </w:rPr>
        <w:t>chemical</w:t>
      </w:r>
      <w:proofErr w:type="spellEnd"/>
      <w:r w:rsidRPr="00223CF4">
        <w:rPr>
          <w:rFonts w:cstheme="minorHAnsi"/>
        </w:rPr>
        <w:t xml:space="preserve"> </w:t>
      </w:r>
      <w:proofErr w:type="spellStart"/>
      <w:r w:rsidRPr="00223CF4">
        <w:rPr>
          <w:rFonts w:cstheme="minorHAnsi"/>
        </w:rPr>
        <w:t>safety</w:t>
      </w:r>
      <w:proofErr w:type="spellEnd"/>
      <w:r w:rsidRPr="00223CF4">
        <w:rPr>
          <w:rFonts w:cstheme="minorHAnsi"/>
        </w:rPr>
        <w:t xml:space="preserve"> and </w:t>
      </w:r>
      <w:proofErr w:type="spellStart"/>
      <w:r w:rsidRPr="00223CF4">
        <w:rPr>
          <w:rFonts w:cstheme="minorHAnsi"/>
        </w:rPr>
        <w:t>prevention</w:t>
      </w:r>
      <w:proofErr w:type="spellEnd"/>
      <w:r w:rsidRPr="00223CF4">
        <w:rPr>
          <w:rFonts w:cstheme="minorHAnsi"/>
        </w:rPr>
        <w:t xml:space="preserve"> and </w:t>
      </w:r>
      <w:proofErr w:type="spellStart"/>
      <w:r w:rsidRPr="00223CF4">
        <w:rPr>
          <w:rFonts w:cstheme="minorHAnsi"/>
        </w:rPr>
        <w:t>for</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broader</w:t>
      </w:r>
      <w:proofErr w:type="spellEnd"/>
      <w:r w:rsidRPr="00223CF4">
        <w:rPr>
          <w:rFonts w:cstheme="minorHAnsi"/>
        </w:rPr>
        <w:t xml:space="preserve"> public, </w:t>
      </w:r>
      <w:proofErr w:type="spellStart"/>
      <w:r w:rsidRPr="00223CF4">
        <w:rPr>
          <w:rFonts w:cstheme="minorHAnsi"/>
        </w:rPr>
        <w:t>who</w:t>
      </w:r>
      <w:proofErr w:type="spellEnd"/>
      <w:r w:rsidRPr="00223CF4">
        <w:rPr>
          <w:rFonts w:cstheme="minorHAnsi"/>
        </w:rPr>
        <w:t xml:space="preserve"> </w:t>
      </w:r>
      <w:proofErr w:type="spellStart"/>
      <w:r w:rsidRPr="00223CF4">
        <w:rPr>
          <w:rFonts w:cstheme="minorHAnsi"/>
        </w:rPr>
        <w:t>gain</w:t>
      </w:r>
      <w:proofErr w:type="spellEnd"/>
      <w:r w:rsidRPr="00223CF4">
        <w:rPr>
          <w:rFonts w:cstheme="minorHAnsi"/>
        </w:rPr>
        <w:t xml:space="preserve"> </w:t>
      </w:r>
      <w:proofErr w:type="spellStart"/>
      <w:r w:rsidRPr="00223CF4">
        <w:rPr>
          <w:rFonts w:cstheme="minorHAnsi"/>
        </w:rPr>
        <w:t>access</w:t>
      </w:r>
      <w:proofErr w:type="spellEnd"/>
      <w:r w:rsidRPr="00223CF4">
        <w:rPr>
          <w:rFonts w:cstheme="minorHAnsi"/>
        </w:rPr>
        <w:t xml:space="preserve"> to </w:t>
      </w:r>
      <w:proofErr w:type="spellStart"/>
      <w:r w:rsidRPr="00223CF4">
        <w:rPr>
          <w:rFonts w:cstheme="minorHAnsi"/>
        </w:rPr>
        <w:t>factual</w:t>
      </w:r>
      <w:proofErr w:type="spellEnd"/>
      <w:r w:rsidRPr="00223CF4">
        <w:rPr>
          <w:rFonts w:cstheme="minorHAnsi"/>
        </w:rPr>
        <w:t xml:space="preserve"> and </w:t>
      </w:r>
      <w:proofErr w:type="spellStart"/>
      <w:r w:rsidRPr="00223CF4">
        <w:rPr>
          <w:rFonts w:cstheme="minorHAnsi"/>
        </w:rPr>
        <w:t>structured</w:t>
      </w:r>
      <w:proofErr w:type="spellEnd"/>
      <w:r w:rsidRPr="00223CF4">
        <w:rPr>
          <w:rFonts w:cstheme="minorHAnsi"/>
        </w:rPr>
        <w:t xml:space="preserve"> </w:t>
      </w:r>
      <w:proofErr w:type="spellStart"/>
      <w:r w:rsidRPr="00223CF4">
        <w:rPr>
          <w:rFonts w:cstheme="minorHAnsi"/>
        </w:rPr>
        <w:t>information</w:t>
      </w:r>
      <w:proofErr w:type="spellEnd"/>
      <w:r w:rsidRPr="00223CF4">
        <w:rPr>
          <w:rFonts w:cstheme="minorHAnsi"/>
        </w:rPr>
        <w:t xml:space="preserve"> </w:t>
      </w:r>
      <w:proofErr w:type="spellStart"/>
      <w:r w:rsidRPr="00223CF4">
        <w:rPr>
          <w:rFonts w:cstheme="minorHAnsi"/>
        </w:rPr>
        <w:t>about</w:t>
      </w:r>
      <w:proofErr w:type="spellEnd"/>
      <w:r w:rsidRPr="00223CF4">
        <w:rPr>
          <w:rFonts w:cstheme="minorHAnsi"/>
        </w:rPr>
        <w:t xml:space="preserve"> </w:t>
      </w:r>
      <w:proofErr w:type="spellStart"/>
      <w:r w:rsidRPr="00223CF4">
        <w:rPr>
          <w:rFonts w:cstheme="minorHAnsi"/>
        </w:rPr>
        <w:t>hazardous</w:t>
      </w:r>
      <w:proofErr w:type="spellEnd"/>
      <w:r w:rsidRPr="00223CF4">
        <w:rPr>
          <w:rFonts w:cstheme="minorHAnsi"/>
        </w:rPr>
        <w:t xml:space="preserve"> </w:t>
      </w:r>
      <w:proofErr w:type="spellStart"/>
      <w:r w:rsidRPr="00223CF4">
        <w:rPr>
          <w:rFonts w:cstheme="minorHAnsi"/>
        </w:rPr>
        <w:t>substances</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online </w:t>
      </w:r>
      <w:proofErr w:type="spellStart"/>
      <w:r w:rsidRPr="00223CF4">
        <w:rPr>
          <w:rFonts w:cstheme="minorHAnsi"/>
        </w:rPr>
        <w:t>integration</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database </w:t>
      </w:r>
      <w:proofErr w:type="spellStart"/>
      <w:r w:rsidRPr="00223CF4">
        <w:rPr>
          <w:rFonts w:cstheme="minorHAnsi"/>
        </w:rPr>
        <w:t>allows</w:t>
      </w:r>
      <w:proofErr w:type="spellEnd"/>
      <w:r w:rsidRPr="00223CF4">
        <w:rPr>
          <w:rFonts w:cstheme="minorHAnsi"/>
        </w:rPr>
        <w:t xml:space="preserve"> </w:t>
      </w:r>
      <w:proofErr w:type="spellStart"/>
      <w:r w:rsidRPr="00223CF4">
        <w:rPr>
          <w:rFonts w:cstheme="minorHAnsi"/>
        </w:rPr>
        <w:t>quick</w:t>
      </w:r>
      <w:proofErr w:type="spellEnd"/>
      <w:r w:rsidRPr="00223CF4">
        <w:rPr>
          <w:rFonts w:cstheme="minorHAnsi"/>
        </w:rPr>
        <w:t xml:space="preserve"> and </w:t>
      </w:r>
      <w:proofErr w:type="spellStart"/>
      <w:r w:rsidRPr="00223CF4">
        <w:rPr>
          <w:rFonts w:cstheme="minorHAnsi"/>
        </w:rPr>
        <w:t>easy</w:t>
      </w:r>
      <w:proofErr w:type="spellEnd"/>
      <w:r w:rsidRPr="00223CF4">
        <w:rPr>
          <w:rFonts w:cstheme="minorHAnsi"/>
        </w:rPr>
        <w:t xml:space="preserve"> </w:t>
      </w:r>
      <w:proofErr w:type="spellStart"/>
      <w:r w:rsidRPr="00223CF4">
        <w:rPr>
          <w:rFonts w:cstheme="minorHAnsi"/>
        </w:rPr>
        <w:t>access</w:t>
      </w:r>
      <w:proofErr w:type="spellEnd"/>
      <w:r w:rsidRPr="00223CF4">
        <w:rPr>
          <w:rFonts w:cstheme="minorHAnsi"/>
        </w:rPr>
        <w:t xml:space="preserve"> to </w:t>
      </w:r>
      <w:proofErr w:type="spellStart"/>
      <w:r w:rsidRPr="00223CF4">
        <w:rPr>
          <w:rFonts w:cstheme="minorHAnsi"/>
        </w:rPr>
        <w:t>information</w:t>
      </w:r>
      <w:proofErr w:type="spellEnd"/>
      <w:r w:rsidRPr="00223CF4">
        <w:rPr>
          <w:rFonts w:cstheme="minorHAnsi"/>
        </w:rPr>
        <w:t xml:space="preserve"> </w:t>
      </w:r>
      <w:proofErr w:type="spellStart"/>
      <w:r w:rsidRPr="00223CF4">
        <w:rPr>
          <w:rFonts w:cstheme="minorHAnsi"/>
        </w:rPr>
        <w:t>about</w:t>
      </w:r>
      <w:proofErr w:type="spellEnd"/>
      <w:r w:rsidRPr="00223CF4">
        <w:rPr>
          <w:rFonts w:cstheme="minorHAnsi"/>
        </w:rPr>
        <w:t xml:space="preserve"> </w:t>
      </w:r>
      <w:proofErr w:type="spellStart"/>
      <w:r w:rsidRPr="00223CF4">
        <w:rPr>
          <w:rFonts w:cstheme="minorHAnsi"/>
        </w:rPr>
        <w:t>individual</w:t>
      </w:r>
      <w:proofErr w:type="spellEnd"/>
      <w:r w:rsidRPr="00223CF4">
        <w:rPr>
          <w:rFonts w:cstheme="minorHAnsi"/>
        </w:rPr>
        <w:t xml:space="preserve"> </w:t>
      </w:r>
      <w:proofErr w:type="spellStart"/>
      <w:r w:rsidRPr="00223CF4">
        <w:rPr>
          <w:rFonts w:cstheme="minorHAnsi"/>
        </w:rPr>
        <w:t>CWAs</w:t>
      </w:r>
      <w:proofErr w:type="spellEnd"/>
      <w:r w:rsidRPr="00223CF4">
        <w:rPr>
          <w:rFonts w:cstheme="minorHAnsi"/>
        </w:rPr>
        <w:t xml:space="preserve">, </w:t>
      </w:r>
      <w:proofErr w:type="spellStart"/>
      <w:r w:rsidRPr="00223CF4">
        <w:rPr>
          <w:rFonts w:cstheme="minorHAnsi"/>
        </w:rPr>
        <w:t>enhancing</w:t>
      </w:r>
      <w:proofErr w:type="spellEnd"/>
      <w:r w:rsidRPr="00223CF4">
        <w:rPr>
          <w:rFonts w:cstheme="minorHAnsi"/>
        </w:rPr>
        <w:t xml:space="preserve"> </w:t>
      </w:r>
      <w:proofErr w:type="spellStart"/>
      <w:r w:rsidRPr="00223CF4">
        <w:rPr>
          <w:rFonts w:cstheme="minorHAnsi"/>
        </w:rPr>
        <w:t>users</w:t>
      </w:r>
      <w:proofErr w:type="spellEnd"/>
      <w:r w:rsidRPr="00223CF4">
        <w:rPr>
          <w:rFonts w:cstheme="minorHAnsi"/>
        </w:rPr>
        <w:t xml:space="preserve">' </w:t>
      </w:r>
      <w:proofErr w:type="spellStart"/>
      <w:r w:rsidRPr="00223CF4">
        <w:rPr>
          <w:rFonts w:cstheme="minorHAnsi"/>
        </w:rPr>
        <w:t>understanding</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these </w:t>
      </w:r>
      <w:proofErr w:type="spellStart"/>
      <w:r w:rsidRPr="00223CF4">
        <w:rPr>
          <w:rFonts w:cstheme="minorHAnsi"/>
        </w:rPr>
        <w:t>substances</w:t>
      </w:r>
      <w:proofErr w:type="spellEnd"/>
      <w:r w:rsidRPr="00223CF4">
        <w:rPr>
          <w:rFonts w:cstheme="minorHAnsi"/>
        </w:rPr>
        <w:t>.</w:t>
      </w:r>
    </w:p>
    <w:p w14:paraId="6AE37AB6" w14:textId="0D3CCCA0" w:rsidR="00223CF4" w:rsidRPr="00223CF4" w:rsidRDefault="00223CF4" w:rsidP="00940997">
      <w:pPr>
        <w:rPr>
          <w:rFonts w:cstheme="minorHAnsi"/>
        </w:rPr>
      </w:pPr>
      <w:proofErr w:type="spellStart"/>
      <w:r w:rsidRPr="00223CF4">
        <w:rPr>
          <w:rFonts w:cstheme="minorHAnsi"/>
        </w:rPr>
        <w:t>The</w:t>
      </w:r>
      <w:proofErr w:type="spellEnd"/>
      <w:r w:rsidRPr="00223CF4">
        <w:rPr>
          <w:rFonts w:cstheme="minorHAnsi"/>
        </w:rPr>
        <w:t xml:space="preserve"> database </w:t>
      </w:r>
      <w:proofErr w:type="spellStart"/>
      <w:r w:rsidRPr="00223CF4">
        <w:rPr>
          <w:rFonts w:cstheme="minorHAnsi"/>
        </w:rPr>
        <w:t>is</w:t>
      </w:r>
      <w:proofErr w:type="spellEnd"/>
      <w:r w:rsidRPr="00223CF4">
        <w:rPr>
          <w:rFonts w:cstheme="minorHAnsi"/>
        </w:rPr>
        <w:t xml:space="preserve"> </w:t>
      </w:r>
      <w:proofErr w:type="spellStart"/>
      <w:r w:rsidRPr="00223CF4">
        <w:rPr>
          <w:rFonts w:cstheme="minorHAnsi"/>
        </w:rPr>
        <w:t>designed</w:t>
      </w:r>
      <w:proofErr w:type="spellEnd"/>
      <w:r w:rsidRPr="00223CF4">
        <w:rPr>
          <w:rFonts w:cstheme="minorHAnsi"/>
        </w:rPr>
        <w:t xml:space="preserve"> as a </w:t>
      </w:r>
      <w:proofErr w:type="spellStart"/>
      <w:r w:rsidRPr="00223CF4">
        <w:rPr>
          <w:rFonts w:cstheme="minorHAnsi"/>
        </w:rPr>
        <w:t>tool</w:t>
      </w:r>
      <w:proofErr w:type="spellEnd"/>
      <w:r w:rsidRPr="00223CF4">
        <w:rPr>
          <w:rFonts w:cstheme="minorHAnsi"/>
        </w:rPr>
        <w:t xml:space="preserve"> </w:t>
      </w:r>
      <w:proofErr w:type="spellStart"/>
      <w:r w:rsidRPr="00223CF4">
        <w:rPr>
          <w:rFonts w:cstheme="minorHAnsi"/>
        </w:rPr>
        <w:t>that</w:t>
      </w:r>
      <w:proofErr w:type="spellEnd"/>
      <w:r w:rsidRPr="00223CF4">
        <w:rPr>
          <w:rFonts w:cstheme="minorHAnsi"/>
        </w:rPr>
        <w:t xml:space="preserve"> </w:t>
      </w:r>
      <w:proofErr w:type="spellStart"/>
      <w:r w:rsidRPr="00223CF4">
        <w:rPr>
          <w:rFonts w:cstheme="minorHAnsi"/>
        </w:rPr>
        <w:t>can</w:t>
      </w:r>
      <w:proofErr w:type="spellEnd"/>
      <w:r w:rsidRPr="00223CF4">
        <w:rPr>
          <w:rFonts w:cstheme="minorHAnsi"/>
        </w:rPr>
        <w:t xml:space="preserve"> </w:t>
      </w:r>
      <w:proofErr w:type="spellStart"/>
      <w:r w:rsidRPr="00223CF4">
        <w:rPr>
          <w:rFonts w:cstheme="minorHAnsi"/>
        </w:rPr>
        <w:t>be</w:t>
      </w:r>
      <w:proofErr w:type="spellEnd"/>
      <w:r w:rsidRPr="00223CF4">
        <w:rPr>
          <w:rFonts w:cstheme="minorHAnsi"/>
        </w:rPr>
        <w:t xml:space="preserve"> </w:t>
      </w:r>
      <w:proofErr w:type="spellStart"/>
      <w:r w:rsidRPr="00223CF4">
        <w:rPr>
          <w:rFonts w:cstheme="minorHAnsi"/>
        </w:rPr>
        <w:t>updated</w:t>
      </w:r>
      <w:proofErr w:type="spellEnd"/>
      <w:r w:rsidRPr="00223CF4">
        <w:rPr>
          <w:rFonts w:cstheme="minorHAnsi"/>
        </w:rPr>
        <w:t xml:space="preserve"> and </w:t>
      </w:r>
      <w:proofErr w:type="spellStart"/>
      <w:r w:rsidRPr="00223CF4">
        <w:rPr>
          <w:rFonts w:cstheme="minorHAnsi"/>
        </w:rPr>
        <w:t>expanded</w:t>
      </w:r>
      <w:proofErr w:type="spellEnd"/>
      <w:r w:rsidRPr="00223CF4">
        <w:rPr>
          <w:rFonts w:cstheme="minorHAnsi"/>
        </w:rPr>
        <w:t xml:space="preserve"> in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future</w:t>
      </w:r>
      <w:proofErr w:type="spellEnd"/>
      <w:r w:rsidRPr="00223CF4">
        <w:rPr>
          <w:rFonts w:cstheme="minorHAnsi"/>
        </w:rPr>
        <w:t xml:space="preserve">. </w:t>
      </w:r>
      <w:proofErr w:type="spellStart"/>
      <w:r w:rsidRPr="00223CF4">
        <w:rPr>
          <w:rFonts w:cstheme="minorHAnsi"/>
        </w:rPr>
        <w:t>This</w:t>
      </w:r>
      <w:proofErr w:type="spellEnd"/>
      <w:r w:rsidRPr="00223CF4">
        <w:rPr>
          <w:rFonts w:cstheme="minorHAnsi"/>
        </w:rPr>
        <w:t xml:space="preserve"> </w:t>
      </w:r>
      <w:proofErr w:type="spellStart"/>
      <w:r w:rsidRPr="00223CF4">
        <w:rPr>
          <w:rFonts w:cstheme="minorHAnsi"/>
        </w:rPr>
        <w:t>includes</w:t>
      </w:r>
      <w:proofErr w:type="spellEnd"/>
      <w:r w:rsidRPr="00223CF4">
        <w:rPr>
          <w:rFonts w:cstheme="minorHAnsi"/>
        </w:rPr>
        <w:t xml:space="preserve"> </w:t>
      </w:r>
      <w:proofErr w:type="spellStart"/>
      <w:r w:rsidRPr="00223CF4">
        <w:rPr>
          <w:rFonts w:cstheme="minorHAnsi"/>
        </w:rPr>
        <w:t>adding</w:t>
      </w:r>
      <w:proofErr w:type="spellEnd"/>
      <w:r w:rsidRPr="00223CF4">
        <w:rPr>
          <w:rFonts w:cstheme="minorHAnsi"/>
        </w:rPr>
        <w:t xml:space="preserve"> </w:t>
      </w:r>
      <w:proofErr w:type="spellStart"/>
      <w:r w:rsidRPr="00223CF4">
        <w:rPr>
          <w:rFonts w:cstheme="minorHAnsi"/>
        </w:rPr>
        <w:t>new</w:t>
      </w:r>
      <w:proofErr w:type="spellEnd"/>
      <w:r w:rsidRPr="00223CF4">
        <w:rPr>
          <w:rFonts w:cstheme="minorHAnsi"/>
        </w:rPr>
        <w:t xml:space="preserve"> </w:t>
      </w:r>
      <w:proofErr w:type="spellStart"/>
      <w:r w:rsidRPr="00223CF4">
        <w:rPr>
          <w:rFonts w:cstheme="minorHAnsi"/>
        </w:rPr>
        <w:t>chemical</w:t>
      </w:r>
      <w:proofErr w:type="spellEnd"/>
      <w:r w:rsidRPr="00223CF4">
        <w:rPr>
          <w:rFonts w:cstheme="minorHAnsi"/>
        </w:rPr>
        <w:t xml:space="preserve"> </w:t>
      </w:r>
      <w:proofErr w:type="spellStart"/>
      <w:r w:rsidRPr="00223CF4">
        <w:rPr>
          <w:rFonts w:cstheme="minorHAnsi"/>
        </w:rPr>
        <w:t>warfare</w:t>
      </w:r>
      <w:proofErr w:type="spellEnd"/>
      <w:r w:rsidRPr="00223CF4">
        <w:rPr>
          <w:rFonts w:cstheme="minorHAnsi"/>
        </w:rPr>
        <w:t xml:space="preserve"> </w:t>
      </w:r>
      <w:proofErr w:type="spellStart"/>
      <w:r w:rsidRPr="00223CF4">
        <w:rPr>
          <w:rFonts w:cstheme="minorHAnsi"/>
        </w:rPr>
        <w:t>agents</w:t>
      </w:r>
      <w:proofErr w:type="spellEnd"/>
      <w:r w:rsidRPr="00223CF4">
        <w:rPr>
          <w:rFonts w:cstheme="minorHAnsi"/>
        </w:rPr>
        <w:t xml:space="preserve"> and </w:t>
      </w:r>
      <w:proofErr w:type="spellStart"/>
      <w:r w:rsidRPr="00223CF4">
        <w:rPr>
          <w:rFonts w:cstheme="minorHAnsi"/>
        </w:rPr>
        <w:t>updating</w:t>
      </w:r>
      <w:proofErr w:type="spellEnd"/>
      <w:r w:rsidRPr="00223CF4">
        <w:rPr>
          <w:rFonts w:cstheme="minorHAnsi"/>
        </w:rPr>
        <w:t xml:space="preserve"> toxicity and </w:t>
      </w:r>
      <w:proofErr w:type="spellStart"/>
      <w:r w:rsidRPr="00223CF4">
        <w:rPr>
          <w:rFonts w:cstheme="minorHAnsi"/>
        </w:rPr>
        <w:t>decontamination</w:t>
      </w:r>
      <w:proofErr w:type="spellEnd"/>
      <w:r w:rsidRPr="00223CF4">
        <w:rPr>
          <w:rFonts w:cstheme="minorHAnsi"/>
        </w:rPr>
        <w:t xml:space="preserve"> data in line </w:t>
      </w:r>
      <w:proofErr w:type="spellStart"/>
      <w:r w:rsidRPr="00223CF4">
        <w:rPr>
          <w:rFonts w:cstheme="minorHAnsi"/>
        </w:rPr>
        <w:t>with</w:t>
      </w:r>
      <w:proofErr w:type="spellEnd"/>
      <w:r w:rsidRPr="00223CF4">
        <w:rPr>
          <w:rFonts w:cstheme="minorHAnsi"/>
        </w:rPr>
        <w:t xml:space="preserve"> </w:t>
      </w:r>
      <w:proofErr w:type="spellStart"/>
      <w:r w:rsidRPr="00223CF4">
        <w:rPr>
          <w:rFonts w:cstheme="minorHAnsi"/>
        </w:rPr>
        <w:t>new</w:t>
      </w:r>
      <w:proofErr w:type="spellEnd"/>
      <w:r w:rsidRPr="00223CF4">
        <w:rPr>
          <w:rFonts w:cstheme="minorHAnsi"/>
        </w:rPr>
        <w:t xml:space="preserve"> </w:t>
      </w:r>
      <w:proofErr w:type="spellStart"/>
      <w:r w:rsidRPr="00223CF4">
        <w:rPr>
          <w:rFonts w:cstheme="minorHAnsi"/>
        </w:rPr>
        <w:t>scientific</w:t>
      </w:r>
      <w:proofErr w:type="spellEnd"/>
      <w:r w:rsidRPr="00223CF4">
        <w:rPr>
          <w:rFonts w:cstheme="minorHAnsi"/>
        </w:rPr>
        <w:t xml:space="preserve"> </w:t>
      </w:r>
      <w:proofErr w:type="spellStart"/>
      <w:r w:rsidRPr="00223CF4">
        <w:rPr>
          <w:rFonts w:cstheme="minorHAnsi"/>
        </w:rPr>
        <w:t>findings</w:t>
      </w:r>
      <w:proofErr w:type="spellEnd"/>
      <w:r w:rsidRPr="00223CF4">
        <w:rPr>
          <w:rFonts w:cstheme="minorHAnsi"/>
        </w:rPr>
        <w:t xml:space="preserve"> and </w:t>
      </w:r>
      <w:proofErr w:type="spellStart"/>
      <w:r w:rsidRPr="00223CF4">
        <w:rPr>
          <w:rFonts w:cstheme="minorHAnsi"/>
        </w:rPr>
        <w:t>legislative</w:t>
      </w:r>
      <w:proofErr w:type="spellEnd"/>
      <w:r w:rsidRPr="00223CF4">
        <w:rPr>
          <w:rFonts w:cstheme="minorHAnsi"/>
        </w:rPr>
        <w:t xml:space="preserve"> </w:t>
      </w:r>
      <w:proofErr w:type="spellStart"/>
      <w:r w:rsidRPr="00223CF4">
        <w:rPr>
          <w:rFonts w:cstheme="minorHAnsi"/>
        </w:rPr>
        <w:t>changes</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vision </w:t>
      </w:r>
      <w:proofErr w:type="spellStart"/>
      <w:r w:rsidRPr="00223CF4">
        <w:rPr>
          <w:rFonts w:cstheme="minorHAnsi"/>
        </w:rPr>
        <w:t>for</w:t>
      </w:r>
      <w:proofErr w:type="spellEnd"/>
      <w:r w:rsidRPr="00223CF4">
        <w:rPr>
          <w:rFonts w:cstheme="minorHAnsi"/>
        </w:rPr>
        <w:t xml:space="preserve"> </w:t>
      </w:r>
      <w:proofErr w:type="spellStart"/>
      <w:r w:rsidRPr="00223CF4">
        <w:rPr>
          <w:rFonts w:cstheme="minorHAnsi"/>
        </w:rPr>
        <w:t>future</w:t>
      </w:r>
      <w:proofErr w:type="spellEnd"/>
      <w:r w:rsidRPr="00223CF4">
        <w:rPr>
          <w:rFonts w:cstheme="minorHAnsi"/>
        </w:rPr>
        <w:t xml:space="preserve"> development </w:t>
      </w:r>
      <w:proofErr w:type="spellStart"/>
      <w:r w:rsidRPr="00223CF4">
        <w:rPr>
          <w:rFonts w:cstheme="minorHAnsi"/>
        </w:rPr>
        <w:t>also</w:t>
      </w:r>
      <w:proofErr w:type="spellEnd"/>
      <w:r w:rsidRPr="00223CF4">
        <w:rPr>
          <w:rFonts w:cstheme="minorHAnsi"/>
        </w:rPr>
        <w:t xml:space="preserve"> </w:t>
      </w:r>
      <w:proofErr w:type="spellStart"/>
      <w:r w:rsidRPr="00223CF4">
        <w:rPr>
          <w:rFonts w:cstheme="minorHAnsi"/>
        </w:rPr>
        <w:t>includes</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possibility</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incorporating</w:t>
      </w:r>
      <w:proofErr w:type="spellEnd"/>
      <w:r w:rsidRPr="00223CF4">
        <w:rPr>
          <w:rFonts w:cstheme="minorHAnsi"/>
        </w:rPr>
        <w:t xml:space="preserve"> </w:t>
      </w:r>
      <w:proofErr w:type="spellStart"/>
      <w:r w:rsidRPr="00223CF4">
        <w:rPr>
          <w:rFonts w:cstheme="minorHAnsi"/>
        </w:rPr>
        <w:t>interactive</w:t>
      </w:r>
      <w:proofErr w:type="spellEnd"/>
      <w:r w:rsidRPr="00223CF4">
        <w:rPr>
          <w:rFonts w:cstheme="minorHAnsi"/>
        </w:rPr>
        <w:t xml:space="preserve"> </w:t>
      </w:r>
      <w:proofErr w:type="spellStart"/>
      <w:r w:rsidRPr="00223CF4">
        <w:rPr>
          <w:rFonts w:cstheme="minorHAnsi"/>
        </w:rPr>
        <w:t>graphics</w:t>
      </w:r>
      <w:proofErr w:type="spellEnd"/>
      <w:r w:rsidRPr="00223CF4">
        <w:rPr>
          <w:rFonts w:cstheme="minorHAnsi"/>
        </w:rPr>
        <w:t xml:space="preserve"> and </w:t>
      </w:r>
      <w:proofErr w:type="spellStart"/>
      <w:r w:rsidRPr="00223CF4">
        <w:rPr>
          <w:rFonts w:cstheme="minorHAnsi"/>
        </w:rPr>
        <w:t>multimedia</w:t>
      </w:r>
      <w:proofErr w:type="spellEnd"/>
      <w:r w:rsidRPr="00223CF4">
        <w:rPr>
          <w:rFonts w:cstheme="minorHAnsi"/>
        </w:rPr>
        <w:t xml:space="preserve"> </w:t>
      </w:r>
      <w:proofErr w:type="spellStart"/>
      <w:r w:rsidRPr="00223CF4">
        <w:rPr>
          <w:rFonts w:cstheme="minorHAnsi"/>
        </w:rPr>
        <w:t>content</w:t>
      </w:r>
      <w:proofErr w:type="spellEnd"/>
      <w:r w:rsidRPr="00223CF4">
        <w:rPr>
          <w:rFonts w:cstheme="minorHAnsi"/>
        </w:rPr>
        <w:t xml:space="preserve">, </w:t>
      </w:r>
      <w:proofErr w:type="spellStart"/>
      <w:r w:rsidRPr="00223CF4">
        <w:rPr>
          <w:rFonts w:cstheme="minorHAnsi"/>
        </w:rPr>
        <w:t>which</w:t>
      </w:r>
      <w:proofErr w:type="spellEnd"/>
      <w:r w:rsidRPr="00223CF4">
        <w:rPr>
          <w:rFonts w:cstheme="minorHAnsi"/>
        </w:rPr>
        <w:t xml:space="preserve"> </w:t>
      </w:r>
      <w:proofErr w:type="spellStart"/>
      <w:r w:rsidRPr="00223CF4">
        <w:rPr>
          <w:rFonts w:cstheme="minorHAnsi"/>
        </w:rPr>
        <w:t>would</w:t>
      </w:r>
      <w:proofErr w:type="spellEnd"/>
      <w:r w:rsidRPr="00223CF4">
        <w:rPr>
          <w:rFonts w:cstheme="minorHAnsi"/>
        </w:rPr>
        <w:t xml:space="preserve"> </w:t>
      </w:r>
      <w:proofErr w:type="spellStart"/>
      <w:r w:rsidRPr="00223CF4">
        <w:rPr>
          <w:rFonts w:cstheme="minorHAnsi"/>
        </w:rPr>
        <w:t>improve</w:t>
      </w:r>
      <w:proofErr w:type="spellEnd"/>
      <w:r w:rsidRPr="00223CF4">
        <w:rPr>
          <w:rFonts w:cstheme="minorHAnsi"/>
        </w:rPr>
        <w:t xml:space="preserve"> </w:t>
      </w:r>
      <w:proofErr w:type="spellStart"/>
      <w:r w:rsidRPr="00223CF4">
        <w:rPr>
          <w:rFonts w:cstheme="minorHAnsi"/>
        </w:rPr>
        <w:t>educational</w:t>
      </w:r>
      <w:proofErr w:type="spellEnd"/>
      <w:r w:rsidRPr="00223CF4">
        <w:rPr>
          <w:rFonts w:cstheme="minorHAnsi"/>
        </w:rPr>
        <w:t xml:space="preserve"> </w:t>
      </w:r>
      <w:proofErr w:type="spellStart"/>
      <w:r w:rsidRPr="00223CF4">
        <w:rPr>
          <w:rFonts w:cstheme="minorHAnsi"/>
        </w:rPr>
        <w:t>opportunities</w:t>
      </w:r>
      <w:proofErr w:type="spellEnd"/>
      <w:r w:rsidRPr="00223CF4">
        <w:rPr>
          <w:rFonts w:cstheme="minorHAnsi"/>
        </w:rPr>
        <w:t xml:space="preserve"> and </w:t>
      </w:r>
      <w:proofErr w:type="spellStart"/>
      <w:r w:rsidRPr="00223CF4">
        <w:rPr>
          <w:rFonts w:cstheme="minorHAnsi"/>
        </w:rPr>
        <w:t>facilitate</w:t>
      </w:r>
      <w:proofErr w:type="spellEnd"/>
      <w:r w:rsidRPr="00223CF4">
        <w:rPr>
          <w:rFonts w:cstheme="minorHAnsi"/>
        </w:rPr>
        <w:t xml:space="preserve"> </w:t>
      </w:r>
      <w:proofErr w:type="spellStart"/>
      <w:r w:rsidRPr="00223CF4">
        <w:rPr>
          <w:rFonts w:cstheme="minorHAnsi"/>
        </w:rPr>
        <w:t>the</w:t>
      </w:r>
      <w:proofErr w:type="spellEnd"/>
      <w:r w:rsidRPr="00223CF4">
        <w:rPr>
          <w:rFonts w:cstheme="minorHAnsi"/>
        </w:rPr>
        <w:t xml:space="preserve"> </w:t>
      </w:r>
      <w:proofErr w:type="spellStart"/>
      <w:r w:rsidRPr="00223CF4">
        <w:rPr>
          <w:rFonts w:cstheme="minorHAnsi"/>
        </w:rPr>
        <w:t>understanding</w:t>
      </w:r>
      <w:proofErr w:type="spellEnd"/>
      <w:r w:rsidRPr="00223CF4">
        <w:rPr>
          <w:rFonts w:cstheme="minorHAnsi"/>
        </w:rPr>
        <w:t xml:space="preserve"> </w:t>
      </w:r>
      <w:proofErr w:type="spellStart"/>
      <w:r w:rsidRPr="00223CF4">
        <w:rPr>
          <w:rFonts w:cstheme="minorHAnsi"/>
        </w:rPr>
        <w:t>of</w:t>
      </w:r>
      <w:proofErr w:type="spellEnd"/>
      <w:r w:rsidRPr="00223CF4">
        <w:rPr>
          <w:rFonts w:cstheme="minorHAnsi"/>
        </w:rPr>
        <w:t xml:space="preserve"> </w:t>
      </w:r>
      <w:proofErr w:type="spellStart"/>
      <w:r w:rsidRPr="00223CF4">
        <w:rPr>
          <w:rFonts w:cstheme="minorHAnsi"/>
        </w:rPr>
        <w:t>complex</w:t>
      </w:r>
      <w:proofErr w:type="spellEnd"/>
      <w:r w:rsidRPr="00223CF4">
        <w:rPr>
          <w:rFonts w:cstheme="minorHAnsi"/>
        </w:rPr>
        <w:t xml:space="preserve"> </w:t>
      </w:r>
      <w:proofErr w:type="spellStart"/>
      <w:r w:rsidRPr="00223CF4">
        <w:rPr>
          <w:rFonts w:cstheme="minorHAnsi"/>
        </w:rPr>
        <w:t>issues</w:t>
      </w:r>
      <w:proofErr w:type="spellEnd"/>
      <w:r w:rsidRPr="00223CF4">
        <w:rPr>
          <w:rFonts w:cstheme="minorHAnsi"/>
        </w:rPr>
        <w:t>.</w:t>
      </w:r>
    </w:p>
    <w:p w14:paraId="33E78DAE" w14:textId="77777777" w:rsidR="00223CF4" w:rsidRPr="00223CF4" w:rsidRDefault="00223CF4" w:rsidP="00223CF4">
      <w:pPr>
        <w:rPr>
          <w:rFonts w:cstheme="minorHAnsi"/>
        </w:rPr>
      </w:pPr>
    </w:p>
    <w:p w14:paraId="553325E6" w14:textId="77777777" w:rsidR="00223CF4" w:rsidRPr="00223CF4" w:rsidRDefault="00223CF4" w:rsidP="00223CF4">
      <w:pPr>
        <w:rPr>
          <w:rFonts w:cstheme="minorHAnsi"/>
        </w:rPr>
      </w:pPr>
    </w:p>
    <w:p w14:paraId="2641D2A8" w14:textId="77777777" w:rsidR="00223CF4" w:rsidRPr="00223CF4" w:rsidRDefault="00223CF4" w:rsidP="00223CF4">
      <w:pPr>
        <w:rPr>
          <w:rFonts w:cstheme="minorHAnsi"/>
        </w:rPr>
      </w:pPr>
    </w:p>
    <w:p w14:paraId="463B324D" w14:textId="77777777" w:rsidR="00223CF4" w:rsidRPr="00223CF4" w:rsidRDefault="00223CF4" w:rsidP="00223CF4">
      <w:pPr>
        <w:rPr>
          <w:rFonts w:cstheme="minorHAnsi"/>
        </w:rPr>
      </w:pPr>
    </w:p>
    <w:p w14:paraId="68058172" w14:textId="77777777" w:rsidR="00223CF4" w:rsidRPr="00223CF4" w:rsidRDefault="00223CF4" w:rsidP="00223CF4">
      <w:pPr>
        <w:rPr>
          <w:rFonts w:cstheme="minorHAnsi"/>
        </w:rPr>
      </w:pPr>
    </w:p>
    <w:p w14:paraId="3643EB93" w14:textId="77777777" w:rsidR="00223CF4" w:rsidRPr="00223CF4" w:rsidRDefault="00223CF4" w:rsidP="00223CF4">
      <w:pPr>
        <w:rPr>
          <w:rFonts w:cstheme="minorHAnsi"/>
        </w:rPr>
      </w:pPr>
    </w:p>
    <w:p w14:paraId="66B1353A" w14:textId="77777777" w:rsidR="00223CF4" w:rsidRPr="00223CF4" w:rsidRDefault="00223CF4" w:rsidP="00223CF4">
      <w:pPr>
        <w:rPr>
          <w:rFonts w:cstheme="minorHAnsi"/>
        </w:rPr>
      </w:pPr>
    </w:p>
    <w:p w14:paraId="3753CF35" w14:textId="77777777" w:rsidR="00223CF4" w:rsidRPr="00223CF4" w:rsidRDefault="00223CF4" w:rsidP="00223CF4">
      <w:pPr>
        <w:rPr>
          <w:rFonts w:cstheme="minorHAnsi"/>
        </w:rPr>
      </w:pPr>
    </w:p>
    <w:p w14:paraId="2540F5A1" w14:textId="77777777" w:rsidR="00223CF4" w:rsidRPr="00223CF4" w:rsidRDefault="00223CF4" w:rsidP="00223CF4">
      <w:pPr>
        <w:rPr>
          <w:rFonts w:cstheme="minorHAnsi"/>
        </w:rPr>
      </w:pPr>
    </w:p>
    <w:p w14:paraId="481BDF01" w14:textId="77777777" w:rsidR="00223CF4" w:rsidRPr="00223CF4" w:rsidRDefault="00223CF4" w:rsidP="00223CF4">
      <w:pPr>
        <w:rPr>
          <w:rFonts w:cstheme="minorHAnsi"/>
        </w:rPr>
      </w:pPr>
    </w:p>
    <w:p w14:paraId="70470812" w14:textId="77777777" w:rsidR="00223CF4" w:rsidRPr="00223CF4" w:rsidRDefault="00223CF4" w:rsidP="00223CF4">
      <w:pPr>
        <w:rPr>
          <w:rFonts w:cstheme="minorHAnsi"/>
        </w:rPr>
      </w:pPr>
    </w:p>
    <w:p w14:paraId="700D8B27" w14:textId="77777777" w:rsidR="00223CF4" w:rsidRPr="00223CF4" w:rsidRDefault="00223CF4" w:rsidP="00223CF4">
      <w:pPr>
        <w:rPr>
          <w:rFonts w:cstheme="minorHAnsi"/>
        </w:rPr>
      </w:pPr>
    </w:p>
    <w:p w14:paraId="52A057AB" w14:textId="77777777" w:rsidR="00223CF4" w:rsidRPr="00223CF4" w:rsidRDefault="00223CF4" w:rsidP="00223CF4">
      <w:pPr>
        <w:rPr>
          <w:rFonts w:cstheme="minorHAnsi"/>
        </w:rPr>
      </w:pPr>
    </w:p>
    <w:p w14:paraId="6C5028BD" w14:textId="77777777" w:rsidR="00223CF4" w:rsidRPr="00223CF4" w:rsidRDefault="00223CF4" w:rsidP="00223CF4">
      <w:pPr>
        <w:rPr>
          <w:rFonts w:cstheme="minorHAnsi"/>
        </w:rPr>
      </w:pPr>
    </w:p>
    <w:p w14:paraId="5A37D0E5" w14:textId="77777777" w:rsidR="00223CF4" w:rsidRPr="00223CF4" w:rsidRDefault="00223CF4" w:rsidP="00223CF4">
      <w:pPr>
        <w:rPr>
          <w:rFonts w:cstheme="minorHAnsi"/>
        </w:rPr>
      </w:pPr>
    </w:p>
    <w:p w14:paraId="2A55D34F" w14:textId="77777777" w:rsidR="00223CF4" w:rsidRPr="00223CF4" w:rsidRDefault="00223CF4" w:rsidP="00223CF4">
      <w:pPr>
        <w:rPr>
          <w:rFonts w:cstheme="minorHAnsi"/>
        </w:rPr>
      </w:pPr>
    </w:p>
    <w:p w14:paraId="399849AD" w14:textId="4AB097D8" w:rsidR="00223CF4" w:rsidRDefault="00223CF4" w:rsidP="00055893">
      <w:pPr>
        <w:pStyle w:val="Nadpis1"/>
      </w:pPr>
      <w:bookmarkStart w:id="109" w:name="_Toc183029584"/>
      <w:r w:rsidRPr="00223CF4">
        <w:lastRenderedPageBreak/>
        <w:t>Referenční seznam</w:t>
      </w:r>
      <w:bookmarkEnd w:id="109"/>
    </w:p>
    <w:p w14:paraId="3969E42C" w14:textId="07E1E3D2" w:rsidR="00F029A4" w:rsidRPr="00022508" w:rsidRDefault="00F029A4" w:rsidP="00F029A4">
      <w:r w:rsidRPr="00022508">
        <w:t xml:space="preserve">Arnika. </w:t>
      </w:r>
      <w:r w:rsidRPr="00022508">
        <w:rPr>
          <w:i/>
          <w:iCs/>
        </w:rPr>
        <w:t>Databáze toxických látek</w:t>
      </w:r>
      <w:r w:rsidRPr="00022508">
        <w:t xml:space="preserve">. Arnika. Získáno z </w:t>
      </w:r>
      <w:hyperlink r:id="rId24" w:tgtFrame="_new" w:history="1">
        <w:r w:rsidRPr="00022508">
          <w:rPr>
            <w:rStyle w:val="Hypertextovodkaz"/>
            <w:color w:val="auto"/>
          </w:rPr>
          <w:t>https://arnika.org/toxicke-latky/databaze-latek</w:t>
        </w:r>
      </w:hyperlink>
    </w:p>
    <w:p w14:paraId="69778E25" w14:textId="77777777" w:rsidR="00F029A4" w:rsidRPr="00022508" w:rsidRDefault="00450B79" w:rsidP="00F029A4">
      <w:pPr>
        <w:rPr>
          <w:rFonts w:cstheme="minorHAnsi"/>
        </w:rPr>
      </w:pPr>
      <w:r w:rsidRPr="00022508">
        <w:rPr>
          <w:rFonts w:cstheme="minorHAnsi"/>
        </w:rPr>
        <w:t xml:space="preserve">Bajgar, J. (1997). Historické aspekty použití chemických látek ve válkách. Olomouc: DEF </w:t>
      </w:r>
      <w:proofErr w:type="spellStart"/>
      <w:r w:rsidRPr="00022508">
        <w:rPr>
          <w:rFonts w:cstheme="minorHAnsi"/>
        </w:rPr>
        <w:t>Press</w:t>
      </w:r>
      <w:proofErr w:type="spellEnd"/>
      <w:r w:rsidRPr="00022508">
        <w:rPr>
          <w:rFonts w:cstheme="minorHAnsi"/>
        </w:rPr>
        <w:t>.</w:t>
      </w:r>
    </w:p>
    <w:p w14:paraId="36A47969" w14:textId="77777777" w:rsidR="00F029A4" w:rsidRPr="00022508" w:rsidRDefault="00522DD1" w:rsidP="00F029A4">
      <w:pPr>
        <w:rPr>
          <w:rFonts w:eastAsia="Times New Roman" w:cstheme="minorHAnsi"/>
          <w:lang w:val="cs-CZ"/>
        </w:rPr>
      </w:pPr>
      <w:r w:rsidRPr="00522DD1">
        <w:rPr>
          <w:rFonts w:eastAsia="Times New Roman" w:cstheme="minorHAnsi"/>
          <w:lang w:val="cs-CZ"/>
        </w:rPr>
        <w:t xml:space="preserve">Bajgar, J. (1997). Ochrana proti bojovým chemickým látkám. </w:t>
      </w:r>
      <w:r w:rsidRPr="00522DD1">
        <w:rPr>
          <w:rFonts w:eastAsia="Times New Roman" w:cstheme="minorHAnsi"/>
          <w:i/>
          <w:iCs/>
          <w:lang w:val="cs-CZ"/>
        </w:rPr>
        <w:t>Chemické listy</w:t>
      </w:r>
      <w:r w:rsidRPr="00522DD1">
        <w:rPr>
          <w:rFonts w:eastAsia="Times New Roman" w:cstheme="minorHAnsi"/>
          <w:lang w:val="cs-CZ"/>
        </w:rPr>
        <w:t>, roč. 91, č. 5.</w:t>
      </w:r>
    </w:p>
    <w:p w14:paraId="5E5230AC" w14:textId="77777777" w:rsidR="00F029A4" w:rsidRPr="00022508" w:rsidRDefault="00450B79" w:rsidP="00F029A4">
      <w:pPr>
        <w:rPr>
          <w:rFonts w:cstheme="minorHAnsi"/>
        </w:rPr>
      </w:pPr>
      <w:r w:rsidRPr="00022508">
        <w:rPr>
          <w:rFonts w:cstheme="minorHAnsi"/>
        </w:rPr>
        <w:t xml:space="preserve">Bajgar, J. (1997). Toxicita nervově paralytických látek: Mechanismy a léčebné přístupy. Olomouc: DEF </w:t>
      </w:r>
      <w:proofErr w:type="spellStart"/>
      <w:r w:rsidRPr="00022508">
        <w:rPr>
          <w:rFonts w:cstheme="minorHAnsi"/>
        </w:rPr>
        <w:t>Press</w:t>
      </w:r>
      <w:proofErr w:type="spellEnd"/>
      <w:r w:rsidRPr="00022508">
        <w:rPr>
          <w:rFonts w:cstheme="minorHAnsi"/>
        </w:rPr>
        <w:t>.</w:t>
      </w:r>
    </w:p>
    <w:p w14:paraId="1502FFC5" w14:textId="77777777" w:rsidR="00F029A4" w:rsidRPr="00022508" w:rsidRDefault="007B1A5C" w:rsidP="00F029A4">
      <w:pPr>
        <w:rPr>
          <w:rFonts w:eastAsia="Times New Roman" w:cstheme="minorHAnsi"/>
          <w:lang w:val="cs-CZ"/>
        </w:rPr>
      </w:pPr>
      <w:r w:rsidRPr="007B1A5C">
        <w:rPr>
          <w:rFonts w:eastAsia="Times New Roman" w:cstheme="minorHAnsi"/>
          <w:lang w:val="cs-CZ"/>
        </w:rPr>
        <w:t xml:space="preserve">Bajgar, J. (1997). Rizika spojená s toxickými kontaminanty ve výrobě herbicidů. </w:t>
      </w:r>
      <w:r w:rsidRPr="007B1A5C">
        <w:rPr>
          <w:rFonts w:eastAsia="Times New Roman" w:cstheme="minorHAnsi"/>
          <w:i/>
          <w:iCs/>
          <w:lang w:val="cs-CZ"/>
        </w:rPr>
        <w:t>Chemické listy</w:t>
      </w:r>
      <w:r w:rsidRPr="007B1A5C">
        <w:rPr>
          <w:rFonts w:eastAsia="Times New Roman" w:cstheme="minorHAnsi"/>
          <w:lang w:val="cs-CZ"/>
        </w:rPr>
        <w:t>, roč. 91, č. 4.</w:t>
      </w:r>
    </w:p>
    <w:p w14:paraId="05695111" w14:textId="77777777" w:rsidR="00F029A4" w:rsidRPr="00022508" w:rsidRDefault="00450B79" w:rsidP="00F029A4">
      <w:pPr>
        <w:rPr>
          <w:rFonts w:cstheme="minorHAnsi"/>
        </w:rPr>
      </w:pPr>
      <w:r w:rsidRPr="00022508">
        <w:rPr>
          <w:rFonts w:cstheme="minorHAnsi"/>
        </w:rPr>
        <w:t>Bajgar, J. (2007). Mechanismus účinku dusivých látek na organismus. In Patočka, J., Fusek, J. (</w:t>
      </w:r>
      <w:proofErr w:type="spellStart"/>
      <w:r w:rsidRPr="00022508">
        <w:rPr>
          <w:rFonts w:cstheme="minorHAnsi"/>
        </w:rPr>
        <w:t>Eds</w:t>
      </w:r>
      <w:proofErr w:type="spellEnd"/>
      <w:r w:rsidRPr="00022508">
        <w:rPr>
          <w:rFonts w:cstheme="minorHAnsi"/>
        </w:rPr>
        <w:t xml:space="preserve">.), Toxikologie bojových chemických látek. Praha: Grada </w:t>
      </w:r>
      <w:proofErr w:type="spellStart"/>
      <w:r w:rsidRPr="00022508">
        <w:rPr>
          <w:rFonts w:cstheme="minorHAnsi"/>
        </w:rPr>
        <w:t>Publishing</w:t>
      </w:r>
      <w:proofErr w:type="spellEnd"/>
      <w:r w:rsidRPr="00022508">
        <w:rPr>
          <w:rFonts w:cstheme="minorHAnsi"/>
        </w:rPr>
        <w:t>.</w:t>
      </w:r>
    </w:p>
    <w:p w14:paraId="566DE4AE" w14:textId="77777777" w:rsidR="00F029A4" w:rsidRDefault="007B1A5C" w:rsidP="00F029A4">
      <w:pPr>
        <w:rPr>
          <w:rFonts w:cstheme="minorHAnsi"/>
        </w:rPr>
      </w:pPr>
      <w:r w:rsidRPr="007B1A5C">
        <w:rPr>
          <w:rFonts w:eastAsia="Times New Roman" w:cstheme="minorHAnsi"/>
          <w:lang w:val="cs-CZ"/>
        </w:rPr>
        <w:t xml:space="preserve">Bajgar, J. (2007). Mechanismy účinku psychotropních látek a jejich účinky na nervový systém. </w:t>
      </w:r>
      <w:r w:rsidRPr="007B1A5C">
        <w:rPr>
          <w:rFonts w:eastAsia="Times New Roman" w:cstheme="minorHAnsi"/>
          <w:i/>
          <w:iCs/>
          <w:lang w:val="cs-CZ"/>
        </w:rPr>
        <w:t>Toxikologické přehledy</w:t>
      </w:r>
      <w:r w:rsidRPr="007B1A5C">
        <w:rPr>
          <w:rFonts w:eastAsia="Times New Roman" w:cstheme="minorHAnsi"/>
          <w:lang w:val="cs-CZ"/>
        </w:rPr>
        <w:t>, roč. 12, č. 3</w:t>
      </w:r>
      <w:r w:rsidRPr="0014798D">
        <w:rPr>
          <w:rFonts w:cstheme="minorHAnsi"/>
        </w:rPr>
        <w:t>.</w:t>
      </w:r>
    </w:p>
    <w:p w14:paraId="410DD87A" w14:textId="77777777" w:rsidR="00F029A4" w:rsidRDefault="00450B79" w:rsidP="00F029A4">
      <w:pPr>
        <w:rPr>
          <w:rFonts w:cstheme="minorHAnsi"/>
          <w:color w:val="000000"/>
        </w:rPr>
      </w:pPr>
      <w:r w:rsidRPr="0014798D">
        <w:rPr>
          <w:rFonts w:cstheme="minorHAnsi"/>
          <w:color w:val="000000"/>
        </w:rPr>
        <w:t xml:space="preserve">Bajgar, J. (2007). Organofosfáty a jejich toxikologie. Praha: Grada </w:t>
      </w:r>
      <w:proofErr w:type="spellStart"/>
      <w:r w:rsidRPr="0014798D">
        <w:rPr>
          <w:rFonts w:cstheme="minorHAnsi"/>
          <w:color w:val="000000"/>
        </w:rPr>
        <w:t>Publishing</w:t>
      </w:r>
      <w:proofErr w:type="spellEnd"/>
      <w:r w:rsidRPr="0014798D">
        <w:rPr>
          <w:rFonts w:cstheme="minorHAnsi"/>
          <w:color w:val="000000"/>
        </w:rPr>
        <w:t>.</w:t>
      </w:r>
    </w:p>
    <w:p w14:paraId="1F0B93F8" w14:textId="77777777" w:rsidR="00F029A4" w:rsidRDefault="00450B79" w:rsidP="00F029A4">
      <w:pPr>
        <w:rPr>
          <w:rFonts w:ascii="Arial" w:eastAsia="Times New Roman" w:hAnsi="Arial" w:cs="Arial"/>
          <w:color w:val="000000"/>
          <w:lang w:val="cs-CZ"/>
        </w:rPr>
      </w:pPr>
      <w:r w:rsidRPr="0014798D">
        <w:rPr>
          <w:rFonts w:cstheme="minorHAnsi"/>
          <w:color w:val="000000"/>
        </w:rPr>
        <w:t xml:space="preserve">Bajgar, J. (2007). Organofosfáty a nervově paralytické látky: Mechanismy účinku a léčba intoxikací. Praha: Grada </w:t>
      </w:r>
      <w:proofErr w:type="spellStart"/>
      <w:r w:rsidRPr="0014798D">
        <w:rPr>
          <w:rFonts w:cstheme="minorHAnsi"/>
          <w:color w:val="000000"/>
        </w:rPr>
        <w:t>Publishing</w:t>
      </w:r>
      <w:proofErr w:type="spellEnd"/>
      <w:r w:rsidRPr="0014798D">
        <w:rPr>
          <w:rFonts w:cstheme="minorHAnsi"/>
          <w:color w:val="000000"/>
        </w:rPr>
        <w:t>.</w:t>
      </w:r>
      <w:r w:rsidR="003D0AFE" w:rsidRPr="003D0AFE">
        <w:rPr>
          <w:rFonts w:ascii="Arial" w:eastAsia="Times New Roman" w:hAnsi="Arial" w:cs="Arial"/>
          <w:color w:val="000000"/>
          <w:lang w:val="cs-CZ"/>
        </w:rPr>
        <w:t xml:space="preserve"> </w:t>
      </w:r>
    </w:p>
    <w:p w14:paraId="504937FD" w14:textId="77777777" w:rsidR="00F029A4" w:rsidRDefault="003D0AFE" w:rsidP="00F029A4">
      <w:pPr>
        <w:rPr>
          <w:rFonts w:cstheme="minorHAnsi"/>
          <w:color w:val="000000"/>
        </w:rPr>
      </w:pPr>
      <w:r w:rsidRPr="0014798D">
        <w:rPr>
          <w:rFonts w:cstheme="minorHAnsi"/>
          <w:color w:val="000000"/>
        </w:rPr>
        <w:t>Bajgar, J. (2007). Mechanismus účinku dusivých látek na organismus. In Patočka, J., Fusek, J. (</w:t>
      </w:r>
      <w:proofErr w:type="spellStart"/>
      <w:r w:rsidRPr="0014798D">
        <w:rPr>
          <w:rFonts w:cstheme="minorHAnsi"/>
          <w:color w:val="000000"/>
        </w:rPr>
        <w:t>Eds</w:t>
      </w:r>
      <w:proofErr w:type="spellEnd"/>
      <w:r w:rsidRPr="0014798D">
        <w:rPr>
          <w:rFonts w:cstheme="minorHAnsi"/>
          <w:color w:val="000000"/>
        </w:rPr>
        <w:t xml:space="preserve">.), </w:t>
      </w:r>
      <w:r w:rsidRPr="0014798D">
        <w:rPr>
          <w:rFonts w:cstheme="minorHAnsi"/>
          <w:i/>
          <w:iCs/>
          <w:color w:val="000000"/>
        </w:rPr>
        <w:t>Toxikologie bojových chemických látek</w:t>
      </w:r>
      <w:r w:rsidRPr="0014798D">
        <w:rPr>
          <w:rFonts w:cstheme="minorHAnsi"/>
          <w:color w:val="000000"/>
        </w:rPr>
        <w:t xml:space="preserve">. Praha: Grada </w:t>
      </w:r>
      <w:proofErr w:type="spellStart"/>
      <w:r w:rsidRPr="0014798D">
        <w:rPr>
          <w:rFonts w:cstheme="minorHAnsi"/>
          <w:color w:val="000000"/>
        </w:rPr>
        <w:t>Publishing</w:t>
      </w:r>
      <w:proofErr w:type="spellEnd"/>
      <w:r w:rsidRPr="0014798D">
        <w:rPr>
          <w:rFonts w:cstheme="minorHAnsi"/>
          <w:color w:val="000000"/>
        </w:rPr>
        <w:t>.</w:t>
      </w:r>
    </w:p>
    <w:p w14:paraId="0AA9F102" w14:textId="77777777" w:rsidR="00F029A4" w:rsidRDefault="003D0AFE" w:rsidP="00F029A4">
      <w:pPr>
        <w:rPr>
          <w:rFonts w:cstheme="minorHAnsi"/>
          <w:color w:val="000000"/>
        </w:rPr>
      </w:pPr>
      <w:r w:rsidRPr="003D0AFE">
        <w:rPr>
          <w:rFonts w:cstheme="minorHAnsi"/>
          <w:color w:val="000000"/>
        </w:rPr>
        <w:t xml:space="preserve">Bajgar, J. (2007). Mechanismy účinku psychotropních látek a jejich účinky na nervový systém. </w:t>
      </w:r>
      <w:r w:rsidRPr="003D0AFE">
        <w:rPr>
          <w:rFonts w:cstheme="minorHAnsi"/>
          <w:i/>
          <w:iCs/>
          <w:color w:val="000000"/>
        </w:rPr>
        <w:t>Toxikologické přehledy</w:t>
      </w:r>
      <w:r w:rsidRPr="003D0AFE">
        <w:rPr>
          <w:rFonts w:cstheme="minorHAnsi"/>
          <w:color w:val="000000"/>
        </w:rPr>
        <w:t>, roč. 12, č. 3.</w:t>
      </w:r>
    </w:p>
    <w:p w14:paraId="032A468A" w14:textId="77777777" w:rsidR="00F029A4" w:rsidRDefault="00450B79" w:rsidP="00F029A4">
      <w:pPr>
        <w:rPr>
          <w:rFonts w:cstheme="minorHAnsi"/>
          <w:color w:val="000000"/>
        </w:rPr>
      </w:pPr>
      <w:r w:rsidRPr="0014798D">
        <w:rPr>
          <w:rFonts w:cstheme="minorHAnsi"/>
          <w:color w:val="000000"/>
        </w:rPr>
        <w:t xml:space="preserve">Bajgar, J. (2007). </w:t>
      </w:r>
      <w:proofErr w:type="spellStart"/>
      <w:r w:rsidRPr="0014798D">
        <w:rPr>
          <w:rFonts w:cstheme="minorHAnsi"/>
          <w:color w:val="000000"/>
        </w:rPr>
        <w:t>Toxicology</w:t>
      </w:r>
      <w:proofErr w:type="spellEnd"/>
      <w:r w:rsidRPr="0014798D">
        <w:rPr>
          <w:rFonts w:cstheme="minorHAnsi"/>
          <w:color w:val="000000"/>
        </w:rPr>
        <w:t xml:space="preserve"> and </w:t>
      </w:r>
      <w:proofErr w:type="spellStart"/>
      <w:r w:rsidRPr="0014798D">
        <w:rPr>
          <w:rFonts w:cstheme="minorHAnsi"/>
          <w:color w:val="000000"/>
        </w:rPr>
        <w:t>classification</w:t>
      </w:r>
      <w:proofErr w:type="spellEnd"/>
      <w:r w:rsidRPr="0014798D">
        <w:rPr>
          <w:rFonts w:cstheme="minorHAnsi"/>
          <w:color w:val="000000"/>
        </w:rPr>
        <w:t xml:space="preserve"> </w:t>
      </w:r>
      <w:proofErr w:type="spellStart"/>
      <w:r w:rsidRPr="0014798D">
        <w:rPr>
          <w:rFonts w:cstheme="minorHAnsi"/>
          <w:color w:val="000000"/>
        </w:rPr>
        <w:t>of</w:t>
      </w:r>
      <w:proofErr w:type="spellEnd"/>
      <w:r w:rsidRPr="0014798D">
        <w:rPr>
          <w:rFonts w:cstheme="minorHAnsi"/>
          <w:color w:val="000000"/>
        </w:rPr>
        <w:t xml:space="preserve"> </w:t>
      </w:r>
      <w:proofErr w:type="spellStart"/>
      <w:r w:rsidRPr="0014798D">
        <w:rPr>
          <w:rFonts w:cstheme="minorHAnsi"/>
          <w:color w:val="000000"/>
        </w:rPr>
        <w:t>chemical</w:t>
      </w:r>
      <w:proofErr w:type="spellEnd"/>
      <w:r w:rsidRPr="0014798D">
        <w:rPr>
          <w:rFonts w:cstheme="minorHAnsi"/>
          <w:color w:val="000000"/>
        </w:rPr>
        <w:t xml:space="preserve"> </w:t>
      </w:r>
      <w:proofErr w:type="spellStart"/>
      <w:r w:rsidRPr="0014798D">
        <w:rPr>
          <w:rFonts w:cstheme="minorHAnsi"/>
          <w:color w:val="000000"/>
        </w:rPr>
        <w:t>warfare</w:t>
      </w:r>
      <w:proofErr w:type="spellEnd"/>
      <w:r w:rsidRPr="0014798D">
        <w:rPr>
          <w:rFonts w:cstheme="minorHAnsi"/>
          <w:color w:val="000000"/>
        </w:rPr>
        <w:t xml:space="preserve"> </w:t>
      </w:r>
      <w:proofErr w:type="spellStart"/>
      <w:r w:rsidRPr="0014798D">
        <w:rPr>
          <w:rFonts w:cstheme="minorHAnsi"/>
          <w:color w:val="000000"/>
        </w:rPr>
        <w:t>agents</w:t>
      </w:r>
      <w:proofErr w:type="spellEnd"/>
      <w:r w:rsidRPr="0014798D">
        <w:rPr>
          <w:rFonts w:cstheme="minorHAnsi"/>
          <w:color w:val="000000"/>
        </w:rPr>
        <w:t xml:space="preserve">. Praha: XYZ </w:t>
      </w:r>
      <w:proofErr w:type="spellStart"/>
      <w:r w:rsidRPr="0014798D">
        <w:rPr>
          <w:rFonts w:cstheme="minorHAnsi"/>
          <w:color w:val="000000"/>
        </w:rPr>
        <w:t>Press</w:t>
      </w:r>
      <w:proofErr w:type="spellEnd"/>
      <w:r w:rsidRPr="0014798D">
        <w:rPr>
          <w:rFonts w:cstheme="minorHAnsi"/>
          <w:color w:val="000000"/>
        </w:rPr>
        <w:t>.</w:t>
      </w:r>
    </w:p>
    <w:p w14:paraId="6FE476C0" w14:textId="77777777" w:rsidR="00F029A4" w:rsidRDefault="00450B79" w:rsidP="00F029A4">
      <w:pPr>
        <w:rPr>
          <w:rFonts w:cstheme="minorHAnsi"/>
          <w:color w:val="000000"/>
        </w:rPr>
      </w:pPr>
      <w:r w:rsidRPr="0014798D">
        <w:rPr>
          <w:rFonts w:cstheme="minorHAnsi"/>
          <w:color w:val="000000"/>
        </w:rPr>
        <w:t xml:space="preserve">Bajgar, J. (2007). Základy toxikologie bojových chemických látek. Praha: Grada </w:t>
      </w:r>
      <w:proofErr w:type="spellStart"/>
      <w:r w:rsidRPr="0014798D">
        <w:rPr>
          <w:rFonts w:cstheme="minorHAnsi"/>
          <w:color w:val="000000"/>
        </w:rPr>
        <w:t>Publishing</w:t>
      </w:r>
      <w:proofErr w:type="spellEnd"/>
      <w:r w:rsidRPr="0014798D">
        <w:rPr>
          <w:rFonts w:cstheme="minorHAnsi"/>
          <w:color w:val="000000"/>
        </w:rPr>
        <w:t>.</w:t>
      </w:r>
    </w:p>
    <w:p w14:paraId="676B106D" w14:textId="77777777" w:rsidR="00F029A4" w:rsidRDefault="00450B79" w:rsidP="00F029A4">
      <w:pPr>
        <w:rPr>
          <w:rFonts w:cstheme="minorHAnsi"/>
          <w:color w:val="000000"/>
        </w:rPr>
      </w:pPr>
      <w:r w:rsidRPr="0014798D">
        <w:rPr>
          <w:rFonts w:cstheme="minorHAnsi"/>
          <w:color w:val="000000"/>
        </w:rPr>
        <w:t xml:space="preserve">Bajgar, J. (2008). Chemické látky a jejich toxikologické vlastnosti. Praha: XYZ </w:t>
      </w:r>
      <w:proofErr w:type="spellStart"/>
      <w:r w:rsidRPr="0014798D">
        <w:rPr>
          <w:rFonts w:cstheme="minorHAnsi"/>
          <w:color w:val="000000"/>
        </w:rPr>
        <w:t>Publishing</w:t>
      </w:r>
      <w:proofErr w:type="spellEnd"/>
      <w:r w:rsidRPr="0014798D">
        <w:rPr>
          <w:rFonts w:cstheme="minorHAnsi"/>
          <w:color w:val="000000"/>
        </w:rPr>
        <w:t>.</w:t>
      </w:r>
    </w:p>
    <w:p w14:paraId="137C70FB" w14:textId="77777777" w:rsidR="00F029A4" w:rsidRDefault="007B1A5C" w:rsidP="00F029A4">
      <w:pPr>
        <w:rPr>
          <w:rFonts w:eastAsia="Times New Roman" w:cstheme="minorHAnsi"/>
          <w:lang w:val="cs-CZ"/>
        </w:rPr>
      </w:pPr>
      <w:r w:rsidRPr="007B1A5C">
        <w:rPr>
          <w:rFonts w:eastAsia="Times New Roman" w:cstheme="minorHAnsi"/>
          <w:lang w:val="cs-CZ"/>
        </w:rPr>
        <w:t xml:space="preserve">Bajgar, J. (2008). Nervově paralytické látky: Toxikologické vlastnosti a vojenské využití. </w:t>
      </w:r>
      <w:r w:rsidRPr="007B1A5C">
        <w:rPr>
          <w:rFonts w:eastAsia="Times New Roman" w:cstheme="minorHAnsi"/>
          <w:i/>
          <w:iCs/>
          <w:lang w:val="cs-CZ"/>
        </w:rPr>
        <w:t>Chemické listy</w:t>
      </w:r>
      <w:r w:rsidRPr="007B1A5C">
        <w:rPr>
          <w:rFonts w:eastAsia="Times New Roman" w:cstheme="minorHAnsi"/>
          <w:lang w:val="cs-CZ"/>
        </w:rPr>
        <w:t>, roč. 102, č. 5.</w:t>
      </w:r>
    </w:p>
    <w:p w14:paraId="29B7CD33" w14:textId="77777777" w:rsidR="00F029A4" w:rsidRDefault="00450B79" w:rsidP="00F029A4">
      <w:pPr>
        <w:rPr>
          <w:rFonts w:cstheme="minorHAnsi"/>
          <w:color w:val="000000"/>
        </w:rPr>
      </w:pPr>
      <w:r w:rsidRPr="0014798D">
        <w:rPr>
          <w:rFonts w:cstheme="minorHAnsi"/>
          <w:color w:val="000000"/>
        </w:rPr>
        <w:t xml:space="preserve">Bajgar, J. (2020). Chemické látky ve válečných konfliktech: od historie po současnost. Praha: XYZ </w:t>
      </w:r>
      <w:proofErr w:type="spellStart"/>
      <w:r w:rsidRPr="0014798D">
        <w:rPr>
          <w:rFonts w:cstheme="minorHAnsi"/>
          <w:color w:val="000000"/>
        </w:rPr>
        <w:t>Publishing</w:t>
      </w:r>
      <w:proofErr w:type="spellEnd"/>
      <w:r w:rsidRPr="0014798D">
        <w:rPr>
          <w:rFonts w:cstheme="minorHAnsi"/>
          <w:color w:val="000000"/>
        </w:rPr>
        <w:t>.</w:t>
      </w:r>
    </w:p>
    <w:p w14:paraId="08DE4FC2" w14:textId="77777777" w:rsidR="00F029A4" w:rsidRDefault="007B1A5C" w:rsidP="00F029A4">
      <w:pPr>
        <w:rPr>
          <w:rFonts w:eastAsia="Times New Roman" w:cstheme="minorHAnsi"/>
          <w:lang w:val="cs-CZ"/>
        </w:rPr>
      </w:pPr>
      <w:r w:rsidRPr="007B1A5C">
        <w:rPr>
          <w:rFonts w:eastAsia="Times New Roman" w:cstheme="minorHAnsi"/>
          <w:lang w:val="cs-CZ"/>
        </w:rPr>
        <w:t xml:space="preserve">Bajgar, J. (2020). Mechanismy toxického působení bojových chemických látek. </w:t>
      </w:r>
      <w:r w:rsidRPr="007B1A5C">
        <w:rPr>
          <w:rFonts w:eastAsia="Times New Roman" w:cstheme="minorHAnsi"/>
          <w:i/>
          <w:iCs/>
          <w:lang w:val="cs-CZ"/>
        </w:rPr>
        <w:t>Chemické listy</w:t>
      </w:r>
      <w:r w:rsidRPr="007B1A5C">
        <w:rPr>
          <w:rFonts w:eastAsia="Times New Roman" w:cstheme="minorHAnsi"/>
          <w:lang w:val="cs-CZ"/>
        </w:rPr>
        <w:t>, roč. 114, č. 2.</w:t>
      </w:r>
    </w:p>
    <w:p w14:paraId="48F207CE" w14:textId="77777777" w:rsidR="00F029A4" w:rsidRDefault="007B1A5C" w:rsidP="00F029A4">
      <w:pPr>
        <w:rPr>
          <w:rFonts w:eastAsia="Times New Roman" w:cstheme="minorHAnsi"/>
          <w:color w:val="000000"/>
          <w:lang w:val="cs-CZ"/>
        </w:rPr>
      </w:pPr>
      <w:r w:rsidRPr="007B1A5C">
        <w:rPr>
          <w:rFonts w:eastAsia="Times New Roman" w:cstheme="minorHAnsi"/>
          <w:color w:val="000000"/>
          <w:lang w:val="cs-CZ"/>
        </w:rPr>
        <w:t xml:space="preserve">Bajgar, J. a Patočka, J. et al. (2008). Mechanismy účinku a toxicita nervově paralytických látek. </w:t>
      </w:r>
      <w:r w:rsidRPr="007B1A5C">
        <w:rPr>
          <w:rFonts w:eastAsia="Times New Roman" w:cstheme="minorHAnsi"/>
          <w:i/>
          <w:iCs/>
          <w:color w:val="000000"/>
          <w:lang w:val="cs-CZ"/>
        </w:rPr>
        <w:t>Vojenské zdravotnické listy</w:t>
      </w:r>
      <w:r w:rsidRPr="007B1A5C">
        <w:rPr>
          <w:rFonts w:eastAsia="Times New Roman" w:cstheme="minorHAnsi"/>
          <w:color w:val="000000"/>
          <w:lang w:val="cs-CZ"/>
        </w:rPr>
        <w:t>, roč. 77, č. 3.</w:t>
      </w:r>
    </w:p>
    <w:p w14:paraId="51CD9862" w14:textId="77777777" w:rsidR="00F029A4" w:rsidRPr="00022508" w:rsidRDefault="00450B79" w:rsidP="00F029A4">
      <w:pPr>
        <w:rPr>
          <w:rFonts w:cstheme="minorHAnsi"/>
        </w:rPr>
      </w:pPr>
      <w:r w:rsidRPr="00022508">
        <w:rPr>
          <w:rFonts w:cstheme="minorHAnsi"/>
        </w:rPr>
        <w:lastRenderedPageBreak/>
        <w:t xml:space="preserve">Brown, T. (2018). Atmosférická kontaminace a přenos chemických látek. Cambridge: Cambridge University </w:t>
      </w:r>
      <w:proofErr w:type="spellStart"/>
      <w:r w:rsidRPr="00022508">
        <w:rPr>
          <w:rFonts w:cstheme="minorHAnsi"/>
        </w:rPr>
        <w:t>Press</w:t>
      </w:r>
      <w:proofErr w:type="spellEnd"/>
      <w:r w:rsidRPr="00022508">
        <w:rPr>
          <w:rFonts w:cstheme="minorHAnsi"/>
        </w:rPr>
        <w:t>.</w:t>
      </w:r>
    </w:p>
    <w:p w14:paraId="07B1E4EA" w14:textId="77777777" w:rsidR="00F029A4" w:rsidRPr="00022508" w:rsidRDefault="00450B79" w:rsidP="00F029A4">
      <w:pPr>
        <w:rPr>
          <w:rFonts w:cstheme="minorHAnsi"/>
        </w:rPr>
      </w:pPr>
      <w:proofErr w:type="spellStart"/>
      <w:r w:rsidRPr="00022508">
        <w:rPr>
          <w:rFonts w:cstheme="minorHAnsi"/>
        </w:rPr>
        <w:t>Bratová</w:t>
      </w:r>
      <w:proofErr w:type="spellEnd"/>
      <w:r w:rsidRPr="00022508">
        <w:rPr>
          <w:rFonts w:cstheme="minorHAnsi"/>
        </w:rPr>
        <w:t>, M. (2015). První pomoc při otravách. Ostrava: Ostravská univerzita.</w:t>
      </w:r>
    </w:p>
    <w:p w14:paraId="54A64DA1" w14:textId="77777777" w:rsidR="00F029A4" w:rsidRPr="00022508" w:rsidRDefault="003D0AFE" w:rsidP="00F029A4">
      <w:pPr>
        <w:rPr>
          <w:rFonts w:cstheme="minorHAnsi"/>
        </w:rPr>
      </w:pPr>
      <w:r w:rsidRPr="00022508">
        <w:rPr>
          <w:rFonts w:cstheme="minorHAnsi"/>
        </w:rPr>
        <w:t xml:space="preserve">Brown, T. (2018). Atmosférická kontaminace a přenos chemických látek. Cambridge: Cambridge University </w:t>
      </w:r>
      <w:proofErr w:type="spellStart"/>
      <w:r w:rsidRPr="00022508">
        <w:rPr>
          <w:rFonts w:cstheme="minorHAnsi"/>
        </w:rPr>
        <w:t>Press</w:t>
      </w:r>
      <w:proofErr w:type="spellEnd"/>
      <w:r w:rsidRPr="00022508">
        <w:rPr>
          <w:rFonts w:cstheme="minorHAnsi"/>
        </w:rPr>
        <w:t>.</w:t>
      </w:r>
    </w:p>
    <w:p w14:paraId="5D4B41D2" w14:textId="77777777" w:rsidR="00F029A4" w:rsidRPr="00022508" w:rsidRDefault="00450B79" w:rsidP="00F029A4">
      <w:pPr>
        <w:rPr>
          <w:rFonts w:cstheme="minorHAnsi"/>
        </w:rPr>
      </w:pPr>
      <w:proofErr w:type="spellStart"/>
      <w:r w:rsidRPr="00022508">
        <w:rPr>
          <w:rFonts w:cstheme="minorHAnsi"/>
        </w:rPr>
        <w:t>Brzybohatý</w:t>
      </w:r>
      <w:proofErr w:type="spellEnd"/>
      <w:r w:rsidRPr="00022508">
        <w:rPr>
          <w:rFonts w:cstheme="minorHAnsi"/>
        </w:rPr>
        <w:t xml:space="preserve">, B., &amp; Mika, P. (2007). Bojové chemické látky: Historie, vývoj a současnost. Praha: ABC </w:t>
      </w:r>
      <w:proofErr w:type="spellStart"/>
      <w:r w:rsidRPr="00022508">
        <w:rPr>
          <w:rFonts w:cstheme="minorHAnsi"/>
        </w:rPr>
        <w:t>Publishing</w:t>
      </w:r>
      <w:proofErr w:type="spellEnd"/>
      <w:r w:rsidRPr="00022508">
        <w:rPr>
          <w:rFonts w:cstheme="minorHAnsi"/>
        </w:rPr>
        <w:t>.</w:t>
      </w:r>
    </w:p>
    <w:p w14:paraId="778E31AC" w14:textId="77777777" w:rsidR="00F029A4" w:rsidRPr="00022508" w:rsidRDefault="00450B79" w:rsidP="00F029A4">
      <w:pPr>
        <w:rPr>
          <w:rFonts w:cstheme="minorHAnsi"/>
        </w:rPr>
      </w:pPr>
      <w:proofErr w:type="spellStart"/>
      <w:r w:rsidRPr="00022508">
        <w:rPr>
          <w:rFonts w:cstheme="minorHAnsi"/>
        </w:rPr>
        <w:t>Brzybohatý</w:t>
      </w:r>
      <w:proofErr w:type="spellEnd"/>
      <w:r w:rsidRPr="00022508">
        <w:rPr>
          <w:rFonts w:cstheme="minorHAnsi"/>
        </w:rPr>
        <w:t>, B., &amp; Mika, V. (2007). Chemické zbraně a ochrana proti nim. Brno: Univerzita obrany.</w:t>
      </w:r>
    </w:p>
    <w:p w14:paraId="217DD761" w14:textId="77777777" w:rsidR="00F029A4" w:rsidRPr="00022508" w:rsidRDefault="00450B79" w:rsidP="00F029A4">
      <w:pPr>
        <w:rPr>
          <w:rFonts w:cstheme="minorHAnsi"/>
        </w:rPr>
      </w:pPr>
      <w:proofErr w:type="spellStart"/>
      <w:r w:rsidRPr="00022508">
        <w:rPr>
          <w:rFonts w:cstheme="minorHAnsi"/>
        </w:rPr>
        <w:t>Brzybohatý</w:t>
      </w:r>
      <w:proofErr w:type="spellEnd"/>
      <w:r w:rsidRPr="00022508">
        <w:rPr>
          <w:rFonts w:cstheme="minorHAnsi"/>
        </w:rPr>
        <w:t>, M., &amp; Mika, O. J. (2007). Ochrana před chemickým a biologickým terorismem. Praha: Vydavatelství Policejní akademie České republiky.</w:t>
      </w:r>
    </w:p>
    <w:p w14:paraId="0677842A" w14:textId="77777777" w:rsidR="00F029A4" w:rsidRPr="00022508" w:rsidRDefault="00450B79" w:rsidP="00F029A4">
      <w:pPr>
        <w:rPr>
          <w:rFonts w:cstheme="minorHAnsi"/>
        </w:rPr>
      </w:pPr>
      <w:r w:rsidRPr="00022508">
        <w:rPr>
          <w:rFonts w:cstheme="minorHAnsi"/>
        </w:rPr>
        <w:t>Červenková, D., et al. (2017). Botulismus: diagnostika a léčba. Brno: Masarykova univerzita.</w:t>
      </w:r>
    </w:p>
    <w:p w14:paraId="0792356B" w14:textId="77777777" w:rsidR="00F029A4" w:rsidRPr="00022508" w:rsidRDefault="00BC04E7" w:rsidP="00F029A4">
      <w:pPr>
        <w:rPr>
          <w:rFonts w:cstheme="minorHAnsi"/>
        </w:rPr>
      </w:pPr>
      <w:r w:rsidRPr="00022508">
        <w:rPr>
          <w:rFonts w:cstheme="minorHAnsi"/>
        </w:rPr>
        <w:t xml:space="preserve">ECHA. (2020). Report on </w:t>
      </w:r>
      <w:proofErr w:type="spellStart"/>
      <w:r w:rsidRPr="00022508">
        <w:rPr>
          <w:rFonts w:cstheme="minorHAnsi"/>
        </w:rPr>
        <w:t>the</w:t>
      </w:r>
      <w:proofErr w:type="spellEnd"/>
      <w:r w:rsidRPr="00022508">
        <w:rPr>
          <w:rFonts w:cstheme="minorHAnsi"/>
        </w:rPr>
        <w:t xml:space="preserve"> </w:t>
      </w:r>
      <w:proofErr w:type="spellStart"/>
      <w:r w:rsidRPr="00022508">
        <w:rPr>
          <w:rFonts w:cstheme="minorHAnsi"/>
        </w:rPr>
        <w:t>Impact</w:t>
      </w:r>
      <w:proofErr w:type="spellEnd"/>
      <w:r w:rsidRPr="00022508">
        <w:rPr>
          <w:rFonts w:cstheme="minorHAnsi"/>
        </w:rPr>
        <w:t xml:space="preserve"> </w:t>
      </w:r>
      <w:proofErr w:type="spellStart"/>
      <w:r w:rsidRPr="00022508">
        <w:rPr>
          <w:rFonts w:cstheme="minorHAnsi"/>
        </w:rPr>
        <w:t>of</w:t>
      </w:r>
      <w:proofErr w:type="spellEnd"/>
      <w:r w:rsidRPr="00022508">
        <w:rPr>
          <w:rFonts w:cstheme="minorHAnsi"/>
        </w:rPr>
        <w:t xml:space="preserve"> REACH </w:t>
      </w:r>
      <w:proofErr w:type="spellStart"/>
      <w:r w:rsidRPr="00022508">
        <w:rPr>
          <w:rFonts w:cstheme="minorHAnsi"/>
        </w:rPr>
        <w:t>Regulation</w:t>
      </w:r>
      <w:proofErr w:type="spellEnd"/>
      <w:r w:rsidRPr="00022508">
        <w:rPr>
          <w:rFonts w:cstheme="minorHAnsi"/>
        </w:rPr>
        <w:t xml:space="preserve"> on </w:t>
      </w:r>
      <w:proofErr w:type="spellStart"/>
      <w:r w:rsidRPr="00022508">
        <w:rPr>
          <w:rFonts w:cstheme="minorHAnsi"/>
        </w:rPr>
        <w:t>Hazardous</w:t>
      </w:r>
      <w:proofErr w:type="spellEnd"/>
      <w:r w:rsidRPr="00022508">
        <w:rPr>
          <w:rFonts w:cstheme="minorHAnsi"/>
        </w:rPr>
        <w:t xml:space="preserve"> </w:t>
      </w:r>
      <w:proofErr w:type="spellStart"/>
      <w:r w:rsidRPr="00022508">
        <w:rPr>
          <w:rFonts w:cstheme="minorHAnsi"/>
        </w:rPr>
        <w:t>Chemicals</w:t>
      </w:r>
      <w:proofErr w:type="spellEnd"/>
      <w:r w:rsidRPr="00022508">
        <w:rPr>
          <w:rFonts w:cstheme="minorHAnsi"/>
        </w:rPr>
        <w:t xml:space="preserve">. </w:t>
      </w:r>
      <w:proofErr w:type="spellStart"/>
      <w:r w:rsidRPr="00022508">
        <w:rPr>
          <w:rFonts w:cstheme="minorHAnsi"/>
        </w:rPr>
        <w:t>European</w:t>
      </w:r>
      <w:proofErr w:type="spellEnd"/>
      <w:r w:rsidRPr="00022508">
        <w:rPr>
          <w:rFonts w:cstheme="minorHAnsi"/>
        </w:rPr>
        <w:t xml:space="preserve"> </w:t>
      </w:r>
      <w:proofErr w:type="spellStart"/>
      <w:r w:rsidRPr="00022508">
        <w:rPr>
          <w:rFonts w:cstheme="minorHAnsi"/>
        </w:rPr>
        <w:t>Chemicals</w:t>
      </w:r>
      <w:proofErr w:type="spellEnd"/>
      <w:r w:rsidRPr="00022508">
        <w:rPr>
          <w:rFonts w:cstheme="minorHAnsi"/>
        </w:rPr>
        <w:t xml:space="preserve"> </w:t>
      </w:r>
      <w:proofErr w:type="spellStart"/>
      <w:r w:rsidRPr="00022508">
        <w:rPr>
          <w:rFonts w:cstheme="minorHAnsi"/>
        </w:rPr>
        <w:t>Agency</w:t>
      </w:r>
      <w:proofErr w:type="spellEnd"/>
      <w:r w:rsidRPr="00022508">
        <w:rPr>
          <w:rFonts w:cstheme="minorHAnsi"/>
        </w:rPr>
        <w:t>. [Online]. Dostupné z:</w:t>
      </w:r>
      <w:hyperlink r:id="rId25" w:history="1">
        <w:r w:rsidRPr="00022508">
          <w:rPr>
            <w:rStyle w:val="Hypertextovodkaz"/>
            <w:rFonts w:cstheme="minorHAnsi"/>
            <w:color w:val="auto"/>
          </w:rPr>
          <w:t xml:space="preserve"> https://echa.europa.eu</w:t>
        </w:r>
      </w:hyperlink>
    </w:p>
    <w:p w14:paraId="3E00E250" w14:textId="77777777" w:rsidR="00F029A4" w:rsidRPr="00022508" w:rsidRDefault="00450B79" w:rsidP="00F029A4">
      <w:pPr>
        <w:rPr>
          <w:rFonts w:cstheme="minorHAnsi"/>
        </w:rPr>
      </w:pPr>
      <w:r w:rsidRPr="00022508">
        <w:rPr>
          <w:rFonts w:cstheme="minorHAnsi"/>
        </w:rPr>
        <w:t xml:space="preserve">Fusek, J. (2004). Morální dilemata použití chemických zbraní. Brno: DEF </w:t>
      </w:r>
      <w:proofErr w:type="spellStart"/>
      <w:r w:rsidRPr="00022508">
        <w:rPr>
          <w:rFonts w:cstheme="minorHAnsi"/>
        </w:rPr>
        <w:t>Press</w:t>
      </w:r>
      <w:proofErr w:type="spellEnd"/>
      <w:r w:rsidRPr="00022508">
        <w:rPr>
          <w:rFonts w:cstheme="minorHAnsi"/>
        </w:rPr>
        <w:t>.</w:t>
      </w:r>
    </w:p>
    <w:p w14:paraId="2E947400" w14:textId="77777777" w:rsidR="00F029A4" w:rsidRPr="00022508" w:rsidRDefault="007B1A5C" w:rsidP="00F029A4">
      <w:pPr>
        <w:rPr>
          <w:rFonts w:eastAsia="Times New Roman" w:cstheme="minorHAnsi"/>
          <w:lang w:val="cs-CZ"/>
        </w:rPr>
      </w:pPr>
      <w:r w:rsidRPr="007B1A5C">
        <w:rPr>
          <w:rFonts w:eastAsia="Times New Roman" w:cstheme="minorHAnsi"/>
          <w:lang w:val="cs-CZ"/>
        </w:rPr>
        <w:t xml:space="preserve">Fusek, J. a Patočka, J. (2004). Látky zaměřené na vegetaci a jejich využití. </w:t>
      </w:r>
      <w:r w:rsidRPr="007B1A5C">
        <w:rPr>
          <w:rFonts w:eastAsia="Times New Roman" w:cstheme="minorHAnsi"/>
          <w:i/>
          <w:iCs/>
          <w:lang w:val="cs-CZ"/>
        </w:rPr>
        <w:t>Vojenské zdravotnické listy</w:t>
      </w:r>
      <w:r w:rsidRPr="007B1A5C">
        <w:rPr>
          <w:rFonts w:eastAsia="Times New Roman" w:cstheme="minorHAnsi"/>
          <w:lang w:val="cs-CZ"/>
        </w:rPr>
        <w:t>, roč. 73, č. 2.</w:t>
      </w:r>
    </w:p>
    <w:p w14:paraId="37D5E278" w14:textId="77777777" w:rsidR="00F029A4" w:rsidRPr="00022508" w:rsidRDefault="00522DD1" w:rsidP="00F029A4">
      <w:pPr>
        <w:rPr>
          <w:rFonts w:eastAsia="Times New Roman" w:cstheme="minorHAnsi"/>
          <w:lang w:val="cs-CZ"/>
        </w:rPr>
      </w:pPr>
      <w:r w:rsidRPr="00522DD1">
        <w:rPr>
          <w:rFonts w:eastAsia="Times New Roman" w:cstheme="minorHAnsi"/>
          <w:lang w:val="cs-CZ"/>
        </w:rPr>
        <w:t xml:space="preserve">Fusek, J. a Patočka, J. (2004). Mechanismy působení bojových chemických látek a jejich klasifikace. </w:t>
      </w:r>
      <w:r w:rsidRPr="00522DD1">
        <w:rPr>
          <w:rFonts w:eastAsia="Times New Roman" w:cstheme="minorHAnsi"/>
          <w:i/>
          <w:iCs/>
          <w:lang w:val="cs-CZ"/>
        </w:rPr>
        <w:t>Vojenské zdravotnické listy</w:t>
      </w:r>
      <w:r w:rsidRPr="00522DD1">
        <w:rPr>
          <w:rFonts w:eastAsia="Times New Roman" w:cstheme="minorHAnsi"/>
          <w:lang w:val="cs-CZ"/>
        </w:rPr>
        <w:t>, roč. 73, č. 2.</w:t>
      </w:r>
    </w:p>
    <w:p w14:paraId="187A18E0" w14:textId="77777777" w:rsidR="00F029A4" w:rsidRPr="00022508" w:rsidRDefault="0014798D" w:rsidP="00F029A4">
      <w:pPr>
        <w:rPr>
          <w:rFonts w:eastAsia="Times New Roman" w:cstheme="minorHAnsi"/>
          <w:lang w:val="cs-CZ"/>
        </w:rPr>
      </w:pPr>
      <w:r w:rsidRPr="0014798D">
        <w:rPr>
          <w:rFonts w:eastAsia="Times New Roman" w:cstheme="minorHAnsi"/>
          <w:lang w:val="cs-CZ"/>
        </w:rPr>
        <w:t xml:space="preserve">Fusek, J., Patočka, J. et al. (2004). Rizika organofosfátových sloučenin: Využití a zdravotní dopady. </w:t>
      </w:r>
      <w:r w:rsidRPr="0014798D">
        <w:rPr>
          <w:rFonts w:eastAsia="Times New Roman" w:cstheme="minorHAnsi"/>
          <w:i/>
          <w:iCs/>
          <w:lang w:val="cs-CZ"/>
        </w:rPr>
        <w:t>Vojenské zdravotnické listy</w:t>
      </w:r>
      <w:r w:rsidRPr="0014798D">
        <w:rPr>
          <w:rFonts w:eastAsia="Times New Roman" w:cstheme="minorHAnsi"/>
          <w:lang w:val="cs-CZ"/>
        </w:rPr>
        <w:t>, roč. 73, č. 2.</w:t>
      </w:r>
    </w:p>
    <w:p w14:paraId="34FC0F4C" w14:textId="77777777" w:rsidR="00F029A4" w:rsidRPr="00022508" w:rsidRDefault="00450B79" w:rsidP="00F029A4">
      <w:pPr>
        <w:rPr>
          <w:rFonts w:cstheme="minorHAnsi"/>
        </w:rPr>
      </w:pPr>
      <w:r w:rsidRPr="00022508">
        <w:rPr>
          <w:rFonts w:cstheme="minorHAnsi"/>
        </w:rPr>
        <w:t xml:space="preserve">Fusek, J. (2004). Vojenská toxikologie. In Patočka, J. et al. Praha: Grada </w:t>
      </w:r>
      <w:proofErr w:type="spellStart"/>
      <w:r w:rsidRPr="00022508">
        <w:rPr>
          <w:rFonts w:cstheme="minorHAnsi"/>
        </w:rPr>
        <w:t>Publishing</w:t>
      </w:r>
      <w:proofErr w:type="spellEnd"/>
      <w:r w:rsidRPr="00022508">
        <w:rPr>
          <w:rFonts w:cstheme="minorHAnsi"/>
        </w:rPr>
        <w:t>.</w:t>
      </w:r>
    </w:p>
    <w:p w14:paraId="0A707F5E" w14:textId="77777777" w:rsidR="00F029A4" w:rsidRPr="00022508" w:rsidRDefault="00450B79" w:rsidP="00F029A4">
      <w:pPr>
        <w:rPr>
          <w:rFonts w:cstheme="minorHAnsi"/>
        </w:rPr>
      </w:pPr>
      <w:r w:rsidRPr="00022508">
        <w:rPr>
          <w:rFonts w:cstheme="minorHAnsi"/>
        </w:rPr>
        <w:t>Fusek, J. (2007). Psychotropní látky a jejich zneužívání. Olomouc: Univerzita Palackého.</w:t>
      </w:r>
    </w:p>
    <w:p w14:paraId="07EB4342" w14:textId="77777777" w:rsidR="00F029A4" w:rsidRPr="00022508" w:rsidRDefault="00450B79" w:rsidP="00F029A4">
      <w:pPr>
        <w:rPr>
          <w:rFonts w:cstheme="minorHAnsi"/>
        </w:rPr>
      </w:pPr>
      <w:r w:rsidRPr="00022508">
        <w:rPr>
          <w:rFonts w:cstheme="minorHAnsi"/>
        </w:rPr>
        <w:t xml:space="preserve">Fusek, J. (2008). Chemické zbraně a terorismus: Hrozby a strategie kontroly. Praha: XYZ </w:t>
      </w:r>
      <w:proofErr w:type="spellStart"/>
      <w:r w:rsidRPr="00022508">
        <w:rPr>
          <w:rFonts w:cstheme="minorHAnsi"/>
        </w:rPr>
        <w:t>Publishing</w:t>
      </w:r>
      <w:proofErr w:type="spellEnd"/>
      <w:r w:rsidRPr="00022508">
        <w:rPr>
          <w:rFonts w:cstheme="minorHAnsi"/>
        </w:rPr>
        <w:t>.</w:t>
      </w:r>
    </w:p>
    <w:p w14:paraId="67BAEE8D" w14:textId="77777777" w:rsidR="00F029A4" w:rsidRPr="00022508" w:rsidRDefault="00BC04E7" w:rsidP="00F029A4">
      <w:pPr>
        <w:rPr>
          <w:rFonts w:cstheme="minorHAnsi"/>
        </w:rPr>
      </w:pPr>
      <w:r w:rsidRPr="00022508">
        <w:rPr>
          <w:rFonts w:cstheme="minorHAnsi"/>
        </w:rPr>
        <w:t xml:space="preserve">Green, L., Miller, S., &amp; Taylor, J. (2019). </w:t>
      </w:r>
      <w:proofErr w:type="spellStart"/>
      <w:r w:rsidRPr="00022508">
        <w:rPr>
          <w:rFonts w:cstheme="minorHAnsi"/>
        </w:rPr>
        <w:t>Advanced</w:t>
      </w:r>
      <w:proofErr w:type="spellEnd"/>
      <w:r w:rsidRPr="00022508">
        <w:rPr>
          <w:rFonts w:cstheme="minorHAnsi"/>
        </w:rPr>
        <w:t xml:space="preserve"> </w:t>
      </w:r>
      <w:proofErr w:type="spellStart"/>
      <w:r w:rsidRPr="00022508">
        <w:rPr>
          <w:rFonts w:cstheme="minorHAnsi"/>
        </w:rPr>
        <w:t>technologies</w:t>
      </w:r>
      <w:proofErr w:type="spellEnd"/>
      <w:r w:rsidRPr="00022508">
        <w:rPr>
          <w:rFonts w:cstheme="minorHAnsi"/>
        </w:rPr>
        <w:t xml:space="preserve"> </w:t>
      </w:r>
      <w:proofErr w:type="spellStart"/>
      <w:r w:rsidRPr="00022508">
        <w:rPr>
          <w:rFonts w:cstheme="minorHAnsi"/>
        </w:rPr>
        <w:t>for</w:t>
      </w:r>
      <w:proofErr w:type="spellEnd"/>
      <w:r w:rsidRPr="00022508">
        <w:rPr>
          <w:rFonts w:cstheme="minorHAnsi"/>
        </w:rPr>
        <w:t xml:space="preserve"> </w:t>
      </w:r>
      <w:proofErr w:type="spellStart"/>
      <w:r w:rsidRPr="00022508">
        <w:rPr>
          <w:rFonts w:cstheme="minorHAnsi"/>
        </w:rPr>
        <w:t>environmental</w:t>
      </w:r>
      <w:proofErr w:type="spellEnd"/>
      <w:r w:rsidRPr="00022508">
        <w:rPr>
          <w:rFonts w:cstheme="minorHAnsi"/>
        </w:rPr>
        <w:t xml:space="preserve"> </w:t>
      </w:r>
      <w:proofErr w:type="spellStart"/>
      <w:r w:rsidRPr="00022508">
        <w:rPr>
          <w:rFonts w:cstheme="minorHAnsi"/>
        </w:rPr>
        <w:t>remediation</w:t>
      </w:r>
      <w:proofErr w:type="spellEnd"/>
      <w:r w:rsidRPr="00022508">
        <w:rPr>
          <w:rFonts w:cstheme="minorHAnsi"/>
        </w:rPr>
        <w:t xml:space="preserve"> </w:t>
      </w:r>
      <w:proofErr w:type="spellStart"/>
      <w:r w:rsidRPr="00022508">
        <w:rPr>
          <w:rFonts w:cstheme="minorHAnsi"/>
        </w:rPr>
        <w:t>of</w:t>
      </w:r>
      <w:proofErr w:type="spellEnd"/>
      <w:r w:rsidRPr="00022508">
        <w:rPr>
          <w:rFonts w:cstheme="minorHAnsi"/>
        </w:rPr>
        <w:t xml:space="preserve"> </w:t>
      </w:r>
      <w:proofErr w:type="spellStart"/>
      <w:r w:rsidRPr="00022508">
        <w:rPr>
          <w:rFonts w:cstheme="minorHAnsi"/>
        </w:rPr>
        <w:t>chemical</w:t>
      </w:r>
      <w:proofErr w:type="spellEnd"/>
      <w:r w:rsidRPr="00022508">
        <w:rPr>
          <w:rFonts w:cstheme="minorHAnsi"/>
        </w:rPr>
        <w:t xml:space="preserve"> </w:t>
      </w:r>
      <w:proofErr w:type="spellStart"/>
      <w:r w:rsidRPr="00022508">
        <w:rPr>
          <w:rFonts w:cstheme="minorHAnsi"/>
        </w:rPr>
        <w:t>warfare</w:t>
      </w:r>
      <w:proofErr w:type="spellEnd"/>
      <w:r w:rsidRPr="00022508">
        <w:rPr>
          <w:rFonts w:cstheme="minorHAnsi"/>
        </w:rPr>
        <w:t xml:space="preserve"> </w:t>
      </w:r>
      <w:proofErr w:type="spellStart"/>
      <w:r w:rsidRPr="00022508">
        <w:rPr>
          <w:rFonts w:cstheme="minorHAnsi"/>
        </w:rPr>
        <w:t>agents</w:t>
      </w:r>
      <w:proofErr w:type="spellEnd"/>
      <w:r w:rsidRPr="00022508">
        <w:rPr>
          <w:rFonts w:cstheme="minorHAnsi"/>
        </w:rPr>
        <w:t xml:space="preserve">. </w:t>
      </w:r>
      <w:proofErr w:type="spellStart"/>
      <w:r w:rsidRPr="00022508">
        <w:rPr>
          <w:rFonts w:cstheme="minorHAnsi"/>
          <w:i/>
          <w:iCs/>
        </w:rPr>
        <w:t>Journal</w:t>
      </w:r>
      <w:proofErr w:type="spellEnd"/>
      <w:r w:rsidRPr="00022508">
        <w:rPr>
          <w:rFonts w:cstheme="minorHAnsi"/>
          <w:i/>
          <w:iCs/>
        </w:rPr>
        <w:t xml:space="preserve"> </w:t>
      </w:r>
      <w:proofErr w:type="spellStart"/>
      <w:r w:rsidRPr="00022508">
        <w:rPr>
          <w:rFonts w:cstheme="minorHAnsi"/>
          <w:i/>
          <w:iCs/>
        </w:rPr>
        <w:t>of</w:t>
      </w:r>
      <w:proofErr w:type="spellEnd"/>
      <w:r w:rsidRPr="00022508">
        <w:rPr>
          <w:rFonts w:cstheme="minorHAnsi"/>
          <w:i/>
          <w:iCs/>
        </w:rPr>
        <w:t xml:space="preserve"> </w:t>
      </w:r>
      <w:proofErr w:type="spellStart"/>
      <w:r w:rsidRPr="00022508">
        <w:rPr>
          <w:rFonts w:cstheme="minorHAnsi"/>
          <w:i/>
          <w:iCs/>
        </w:rPr>
        <w:t>Environmental</w:t>
      </w:r>
      <w:proofErr w:type="spellEnd"/>
      <w:r w:rsidRPr="00022508">
        <w:rPr>
          <w:rFonts w:cstheme="minorHAnsi"/>
          <w:i/>
          <w:iCs/>
        </w:rPr>
        <w:t xml:space="preserve"> Management</w:t>
      </w:r>
      <w:r w:rsidRPr="00022508">
        <w:rPr>
          <w:rFonts w:cstheme="minorHAnsi"/>
        </w:rPr>
        <w:t>, 234, 56–68. DOI: 10.1016/j.jenvman.2019.01.003</w:t>
      </w:r>
    </w:p>
    <w:p w14:paraId="2E3CD460" w14:textId="77777777" w:rsidR="00F029A4" w:rsidRPr="00022508" w:rsidRDefault="00450B79" w:rsidP="00F029A4">
      <w:pPr>
        <w:rPr>
          <w:rFonts w:cstheme="minorHAnsi"/>
        </w:rPr>
      </w:pPr>
      <w:r w:rsidRPr="00022508">
        <w:rPr>
          <w:rFonts w:cstheme="minorHAnsi"/>
        </w:rPr>
        <w:t xml:space="preserve">Green, L. (2020). Ekosystémy v ohrožení: Důsledky chemických konfliktů. Oxford: Oxford University </w:t>
      </w:r>
      <w:proofErr w:type="spellStart"/>
      <w:r w:rsidRPr="00022508">
        <w:rPr>
          <w:rFonts w:cstheme="minorHAnsi"/>
        </w:rPr>
        <w:t>Press</w:t>
      </w:r>
      <w:proofErr w:type="spellEnd"/>
      <w:r w:rsidRPr="00022508">
        <w:rPr>
          <w:rFonts w:cstheme="minorHAnsi"/>
        </w:rPr>
        <w:t>.</w:t>
      </w:r>
    </w:p>
    <w:p w14:paraId="31423E18" w14:textId="6A0F75E2" w:rsidR="00297C67" w:rsidRPr="00022508" w:rsidRDefault="00297C67" w:rsidP="00F029A4">
      <w:pPr>
        <w:rPr>
          <w:rFonts w:cstheme="minorHAnsi"/>
        </w:rPr>
      </w:pPr>
      <w:r w:rsidRPr="00022508">
        <w:rPr>
          <w:rFonts w:cstheme="minorHAnsi"/>
        </w:rPr>
        <w:t xml:space="preserve">HARRIS, Sheldon H. </w:t>
      </w:r>
      <w:r w:rsidRPr="00022508">
        <w:rPr>
          <w:rFonts w:cstheme="minorHAnsi"/>
          <w:i/>
          <w:iCs/>
        </w:rPr>
        <w:t>Japonské továrny na smrt: japonská biologická válka 1932–1945 a její americké utajení.</w:t>
      </w:r>
      <w:r w:rsidRPr="00022508">
        <w:rPr>
          <w:rFonts w:cstheme="minorHAnsi"/>
        </w:rPr>
        <w:t xml:space="preserve"> Praha: Goldstein &amp; Goldstein</w:t>
      </w:r>
    </w:p>
    <w:p w14:paraId="6287C287" w14:textId="0BAAB05F" w:rsidR="00450B79" w:rsidRPr="00F029A4" w:rsidRDefault="00450B79" w:rsidP="00F029A4">
      <w:r w:rsidRPr="00022508">
        <w:rPr>
          <w:rFonts w:cstheme="minorHAnsi"/>
        </w:rPr>
        <w:t xml:space="preserve">Halámek, E., &amp; Kobliha, Z. (2002). Kontrola a regulace </w:t>
      </w:r>
      <w:r w:rsidRPr="0014798D">
        <w:rPr>
          <w:rFonts w:cstheme="minorHAnsi"/>
          <w:color w:val="000000"/>
        </w:rPr>
        <w:t xml:space="preserve">chemických zbraní: Historické a současné přístupy. Praha: ABC </w:t>
      </w:r>
      <w:proofErr w:type="spellStart"/>
      <w:r w:rsidRPr="0014798D">
        <w:rPr>
          <w:rFonts w:cstheme="minorHAnsi"/>
          <w:color w:val="000000"/>
        </w:rPr>
        <w:t>Press</w:t>
      </w:r>
      <w:proofErr w:type="spellEnd"/>
      <w:r w:rsidRPr="0014798D">
        <w:rPr>
          <w:rFonts w:cstheme="minorHAnsi"/>
          <w:color w:val="000000"/>
        </w:rPr>
        <w:t>.</w:t>
      </w:r>
    </w:p>
    <w:p w14:paraId="5B693E95" w14:textId="4482C783" w:rsidR="003D0AFE" w:rsidRPr="003D0AFE" w:rsidRDefault="003D0AFE" w:rsidP="006819DF">
      <w:pPr>
        <w:pStyle w:val="Normlnweb"/>
        <w:spacing w:before="0" w:beforeAutospacing="0" w:after="0" w:afterAutospacing="0" w:line="360" w:lineRule="auto"/>
        <w:ind w:firstLine="432"/>
        <w:jc w:val="both"/>
        <w:rPr>
          <w:rFonts w:asciiTheme="minorHAnsi" w:hAnsiTheme="minorHAnsi" w:cstheme="minorHAnsi"/>
          <w:color w:val="000000"/>
          <w:sz w:val="22"/>
          <w:szCs w:val="22"/>
        </w:rPr>
      </w:pPr>
      <w:r w:rsidRPr="003D0AFE">
        <w:rPr>
          <w:rFonts w:asciiTheme="minorHAnsi" w:hAnsiTheme="minorHAnsi" w:cstheme="minorHAnsi"/>
          <w:sz w:val="22"/>
          <w:szCs w:val="22"/>
        </w:rPr>
        <w:lastRenderedPageBreak/>
        <w:t>Herink, J. (2007). Mechanismy účinku všeobecně jedovatých látek. Toxikologické přehledy, roč. 12, č. 3.</w:t>
      </w:r>
    </w:p>
    <w:p w14:paraId="1E7A301A" w14:textId="6F92D2E9" w:rsidR="003D0AFE" w:rsidRDefault="003D0AFE" w:rsidP="006819DF">
      <w:pPr>
        <w:pStyle w:val="Normlnweb"/>
        <w:spacing w:before="0" w:beforeAutospacing="0" w:after="0" w:afterAutospacing="0" w:line="360" w:lineRule="auto"/>
        <w:ind w:firstLine="432"/>
        <w:jc w:val="both"/>
        <w:rPr>
          <w:rFonts w:asciiTheme="minorHAnsi" w:hAnsiTheme="minorHAnsi" w:cstheme="minorHAnsi"/>
          <w:sz w:val="22"/>
          <w:szCs w:val="22"/>
        </w:rPr>
      </w:pPr>
      <w:r w:rsidRPr="003D0AFE">
        <w:rPr>
          <w:rFonts w:asciiTheme="minorHAnsi" w:hAnsiTheme="minorHAnsi" w:cstheme="minorHAnsi"/>
          <w:sz w:val="22"/>
          <w:szCs w:val="22"/>
        </w:rPr>
        <w:t>Herink, J. (2007). Mechanismy toxického působení kyanovodíku a jeho derivátů. Toxikologické přehledy, roč. 12, č. 3.</w:t>
      </w:r>
    </w:p>
    <w:p w14:paraId="7D9F42D3" w14:textId="0BB8F109" w:rsidR="003D0AFE" w:rsidRPr="003D0AFE" w:rsidRDefault="003D0AFE" w:rsidP="006819DF">
      <w:pPr>
        <w:pStyle w:val="Normlnweb"/>
        <w:spacing w:before="0" w:beforeAutospacing="0" w:after="0" w:afterAutospacing="0" w:line="360" w:lineRule="auto"/>
        <w:ind w:firstLine="432"/>
        <w:jc w:val="both"/>
        <w:rPr>
          <w:rFonts w:asciiTheme="minorHAnsi" w:hAnsiTheme="minorHAnsi" w:cstheme="minorHAnsi"/>
          <w:color w:val="000000"/>
          <w:sz w:val="22"/>
          <w:szCs w:val="22"/>
        </w:rPr>
      </w:pPr>
      <w:r w:rsidRPr="0014798D">
        <w:rPr>
          <w:rFonts w:asciiTheme="minorHAnsi" w:hAnsiTheme="minorHAnsi" w:cstheme="minorHAnsi"/>
          <w:color w:val="000000"/>
          <w:sz w:val="22"/>
          <w:szCs w:val="22"/>
        </w:rPr>
        <w:t xml:space="preserve">Herink, J. (2007). Toxikologie pro zdravotníky. Praha: Grada </w:t>
      </w:r>
      <w:proofErr w:type="spellStart"/>
      <w:r w:rsidRPr="0014798D">
        <w:rPr>
          <w:rFonts w:asciiTheme="minorHAnsi" w:hAnsiTheme="minorHAnsi" w:cstheme="minorHAnsi"/>
          <w:color w:val="000000"/>
          <w:sz w:val="22"/>
          <w:szCs w:val="22"/>
        </w:rPr>
        <w:t>Publishing</w:t>
      </w:r>
      <w:proofErr w:type="spellEnd"/>
      <w:r w:rsidRPr="0014798D">
        <w:rPr>
          <w:rFonts w:asciiTheme="minorHAnsi" w:hAnsiTheme="minorHAnsi" w:cstheme="minorHAnsi"/>
          <w:color w:val="000000"/>
          <w:sz w:val="22"/>
          <w:szCs w:val="22"/>
        </w:rPr>
        <w:t>.</w:t>
      </w:r>
    </w:p>
    <w:p w14:paraId="38351526" w14:textId="77777777" w:rsidR="00450B79" w:rsidRPr="0014798D" w:rsidRDefault="00450B79" w:rsidP="006819DF">
      <w:pPr>
        <w:pStyle w:val="Normlnweb"/>
        <w:spacing w:before="0" w:beforeAutospacing="0" w:after="0" w:afterAutospacing="0" w:line="360" w:lineRule="auto"/>
        <w:ind w:firstLine="432"/>
        <w:jc w:val="both"/>
        <w:rPr>
          <w:rFonts w:asciiTheme="minorHAnsi" w:hAnsiTheme="minorHAnsi" w:cstheme="minorHAnsi"/>
          <w:color w:val="000000"/>
          <w:sz w:val="22"/>
          <w:szCs w:val="22"/>
        </w:rPr>
      </w:pPr>
      <w:proofErr w:type="spellStart"/>
      <w:r w:rsidRPr="0014798D">
        <w:rPr>
          <w:rFonts w:asciiTheme="minorHAnsi" w:hAnsiTheme="minorHAnsi" w:cstheme="minorHAnsi"/>
          <w:color w:val="000000"/>
          <w:sz w:val="22"/>
          <w:szCs w:val="22"/>
        </w:rPr>
        <w:t>Jenkins</w:t>
      </w:r>
      <w:proofErr w:type="spellEnd"/>
      <w:r w:rsidRPr="0014798D">
        <w:rPr>
          <w:rFonts w:asciiTheme="minorHAnsi" w:hAnsiTheme="minorHAnsi" w:cstheme="minorHAnsi"/>
          <w:color w:val="000000"/>
          <w:sz w:val="22"/>
          <w:szCs w:val="22"/>
        </w:rPr>
        <w:t xml:space="preserve">, R. (2014). První světová válka: Chemické zbraně a jejich důsledky. Londýn: </w:t>
      </w:r>
      <w:proofErr w:type="spellStart"/>
      <w:r w:rsidRPr="0014798D">
        <w:rPr>
          <w:rFonts w:asciiTheme="minorHAnsi" w:hAnsiTheme="minorHAnsi" w:cstheme="minorHAnsi"/>
          <w:color w:val="000000"/>
          <w:sz w:val="22"/>
          <w:szCs w:val="22"/>
        </w:rPr>
        <w:t>Routledge</w:t>
      </w:r>
      <w:proofErr w:type="spellEnd"/>
      <w:r w:rsidRPr="0014798D">
        <w:rPr>
          <w:rFonts w:asciiTheme="minorHAnsi" w:hAnsiTheme="minorHAnsi" w:cstheme="minorHAnsi"/>
          <w:color w:val="000000"/>
          <w:sz w:val="22"/>
          <w:szCs w:val="22"/>
        </w:rPr>
        <w:t>.</w:t>
      </w:r>
    </w:p>
    <w:p w14:paraId="67791D35" w14:textId="77777777" w:rsidR="00450B79" w:rsidRPr="0014798D" w:rsidRDefault="00450B79" w:rsidP="006819DF">
      <w:pPr>
        <w:pStyle w:val="Normlnweb"/>
        <w:spacing w:before="0" w:beforeAutospacing="0" w:after="0" w:afterAutospacing="0" w:line="360" w:lineRule="auto"/>
        <w:ind w:firstLine="432"/>
        <w:jc w:val="both"/>
        <w:rPr>
          <w:rFonts w:asciiTheme="minorHAnsi" w:hAnsiTheme="minorHAnsi" w:cstheme="minorHAnsi"/>
          <w:sz w:val="22"/>
          <w:szCs w:val="22"/>
        </w:rPr>
      </w:pPr>
      <w:proofErr w:type="spellStart"/>
      <w:r w:rsidRPr="0014798D">
        <w:rPr>
          <w:rFonts w:asciiTheme="minorHAnsi" w:hAnsiTheme="minorHAnsi" w:cstheme="minorHAnsi"/>
          <w:color w:val="000000"/>
          <w:sz w:val="22"/>
          <w:szCs w:val="22"/>
        </w:rPr>
        <w:t>Kassa</w:t>
      </w:r>
      <w:proofErr w:type="spellEnd"/>
      <w:r w:rsidRPr="0014798D">
        <w:rPr>
          <w:rFonts w:asciiTheme="minorHAnsi" w:hAnsiTheme="minorHAnsi" w:cstheme="minorHAnsi"/>
          <w:color w:val="000000"/>
          <w:sz w:val="22"/>
          <w:szCs w:val="22"/>
        </w:rPr>
        <w:t>, J. (2006). Toxikologie bojových chemických látek. Brno: Univerzita obrany.</w:t>
      </w:r>
    </w:p>
    <w:p w14:paraId="2C626242" w14:textId="77777777" w:rsidR="00450B79" w:rsidRPr="0014798D" w:rsidRDefault="00450B79" w:rsidP="006819DF">
      <w:pPr>
        <w:pStyle w:val="Normlnweb"/>
        <w:spacing w:before="0" w:beforeAutospacing="0" w:after="0" w:afterAutospacing="0" w:line="360" w:lineRule="auto"/>
        <w:ind w:firstLine="432"/>
        <w:jc w:val="both"/>
        <w:rPr>
          <w:rFonts w:asciiTheme="minorHAnsi" w:hAnsiTheme="minorHAnsi" w:cstheme="minorHAnsi"/>
          <w:color w:val="000000"/>
          <w:sz w:val="22"/>
          <w:szCs w:val="22"/>
        </w:rPr>
      </w:pPr>
      <w:proofErr w:type="spellStart"/>
      <w:r w:rsidRPr="0014798D">
        <w:rPr>
          <w:rFonts w:asciiTheme="minorHAnsi" w:hAnsiTheme="minorHAnsi" w:cstheme="minorHAnsi"/>
          <w:color w:val="000000"/>
          <w:sz w:val="22"/>
          <w:szCs w:val="22"/>
        </w:rPr>
        <w:t>Kassa</w:t>
      </w:r>
      <w:proofErr w:type="spellEnd"/>
      <w:r w:rsidRPr="0014798D">
        <w:rPr>
          <w:rFonts w:asciiTheme="minorHAnsi" w:hAnsiTheme="minorHAnsi" w:cstheme="minorHAnsi"/>
          <w:color w:val="000000"/>
          <w:sz w:val="22"/>
          <w:szCs w:val="22"/>
        </w:rPr>
        <w:t>, J. (2006). Toxikologie a léčba otrav bojovými chemickými látkami. Brno: Univerzita obrany.</w:t>
      </w:r>
    </w:p>
    <w:p w14:paraId="0C580F89" w14:textId="77777777" w:rsidR="0014798D" w:rsidRPr="0014798D" w:rsidRDefault="0014798D" w:rsidP="006819DF">
      <w:pPr>
        <w:pStyle w:val="Normlnweb"/>
        <w:spacing w:before="0" w:beforeAutospacing="0" w:after="0" w:afterAutospacing="0" w:line="360" w:lineRule="auto"/>
        <w:ind w:firstLine="432"/>
        <w:jc w:val="both"/>
        <w:rPr>
          <w:rFonts w:asciiTheme="minorHAnsi" w:hAnsiTheme="minorHAnsi" w:cstheme="minorHAnsi"/>
          <w:sz w:val="22"/>
          <w:szCs w:val="22"/>
        </w:rPr>
      </w:pPr>
      <w:proofErr w:type="spellStart"/>
      <w:r w:rsidRPr="0014798D">
        <w:rPr>
          <w:rFonts w:asciiTheme="minorHAnsi" w:hAnsiTheme="minorHAnsi" w:cstheme="minorHAnsi"/>
          <w:sz w:val="22"/>
          <w:szCs w:val="22"/>
        </w:rPr>
        <w:t>Kassa</w:t>
      </w:r>
      <w:proofErr w:type="spellEnd"/>
      <w:r w:rsidRPr="0014798D">
        <w:rPr>
          <w:rFonts w:asciiTheme="minorHAnsi" w:hAnsiTheme="minorHAnsi" w:cstheme="minorHAnsi"/>
          <w:sz w:val="22"/>
          <w:szCs w:val="22"/>
        </w:rPr>
        <w:t xml:space="preserve">, J. (2006). Toxikologie všeobecně jedovatých látek. </w:t>
      </w:r>
      <w:r w:rsidRPr="0014798D">
        <w:rPr>
          <w:rFonts w:asciiTheme="minorHAnsi" w:hAnsiTheme="minorHAnsi" w:cstheme="minorHAnsi"/>
          <w:i/>
          <w:iCs/>
          <w:sz w:val="22"/>
          <w:szCs w:val="22"/>
        </w:rPr>
        <w:t>Chemické listy</w:t>
      </w:r>
      <w:r w:rsidRPr="0014798D">
        <w:rPr>
          <w:rFonts w:asciiTheme="minorHAnsi" w:hAnsiTheme="minorHAnsi" w:cstheme="minorHAnsi"/>
          <w:sz w:val="22"/>
          <w:szCs w:val="22"/>
        </w:rPr>
        <w:t>, roč. 100, č. 6.</w:t>
      </w:r>
    </w:p>
    <w:p w14:paraId="71775F5F" w14:textId="77777777" w:rsidR="003D0AFE" w:rsidRDefault="00450B79" w:rsidP="006819DF">
      <w:pPr>
        <w:pStyle w:val="Normlnweb"/>
        <w:spacing w:before="0" w:beforeAutospacing="0" w:after="0" w:afterAutospacing="0" w:line="360" w:lineRule="auto"/>
        <w:ind w:firstLine="432"/>
        <w:jc w:val="both"/>
        <w:rPr>
          <w:rFonts w:ascii="Arial" w:hAnsi="Arial" w:cs="Arial"/>
          <w:color w:val="000000"/>
        </w:rPr>
      </w:pPr>
      <w:proofErr w:type="spellStart"/>
      <w:r w:rsidRPr="0014798D">
        <w:rPr>
          <w:rFonts w:asciiTheme="minorHAnsi" w:hAnsiTheme="minorHAnsi" w:cstheme="minorHAnsi"/>
          <w:color w:val="000000"/>
          <w:sz w:val="22"/>
          <w:szCs w:val="22"/>
        </w:rPr>
        <w:t>Kassa</w:t>
      </w:r>
      <w:proofErr w:type="spellEnd"/>
      <w:r w:rsidRPr="0014798D">
        <w:rPr>
          <w:rFonts w:asciiTheme="minorHAnsi" w:hAnsiTheme="minorHAnsi" w:cstheme="minorHAnsi"/>
          <w:color w:val="000000"/>
          <w:sz w:val="22"/>
          <w:szCs w:val="22"/>
        </w:rPr>
        <w:t>, J. (2007). Chemické zbraně a ochrana proti nim. Brno: Univerzita obrany.</w:t>
      </w:r>
      <w:r w:rsidR="003D0AFE" w:rsidRPr="003D0AFE">
        <w:rPr>
          <w:rFonts w:ascii="Arial" w:hAnsi="Arial" w:cs="Arial"/>
          <w:color w:val="000000"/>
        </w:rPr>
        <w:t xml:space="preserve"> </w:t>
      </w:r>
    </w:p>
    <w:p w14:paraId="556035F2" w14:textId="0B92BA9F" w:rsidR="00450B79" w:rsidRPr="003D0AFE" w:rsidRDefault="003D0AFE" w:rsidP="006819DF">
      <w:pPr>
        <w:pStyle w:val="Normlnweb"/>
        <w:spacing w:before="0" w:beforeAutospacing="0" w:after="0" w:afterAutospacing="0" w:line="360" w:lineRule="auto"/>
        <w:ind w:firstLine="432"/>
        <w:jc w:val="both"/>
        <w:rPr>
          <w:rFonts w:asciiTheme="minorHAnsi" w:hAnsiTheme="minorHAnsi" w:cstheme="minorHAnsi"/>
          <w:color w:val="000000"/>
          <w:sz w:val="22"/>
          <w:szCs w:val="22"/>
        </w:rPr>
      </w:pPr>
      <w:proofErr w:type="spellStart"/>
      <w:r w:rsidRPr="003D0AFE">
        <w:rPr>
          <w:rFonts w:asciiTheme="minorHAnsi" w:hAnsiTheme="minorHAnsi" w:cstheme="minorHAnsi"/>
          <w:color w:val="000000"/>
          <w:sz w:val="22"/>
          <w:szCs w:val="22"/>
        </w:rPr>
        <w:t>Kassa</w:t>
      </w:r>
      <w:proofErr w:type="spellEnd"/>
      <w:r w:rsidRPr="003D0AFE">
        <w:rPr>
          <w:rFonts w:asciiTheme="minorHAnsi" w:hAnsiTheme="minorHAnsi" w:cstheme="minorHAnsi"/>
          <w:color w:val="000000"/>
          <w:sz w:val="22"/>
          <w:szCs w:val="22"/>
        </w:rPr>
        <w:t xml:space="preserve">, J. (2007). Chemické a fyzikální vlastnosti dráždivých látek. </w:t>
      </w:r>
      <w:r w:rsidRPr="003D0AFE">
        <w:rPr>
          <w:rFonts w:asciiTheme="minorHAnsi" w:hAnsiTheme="minorHAnsi" w:cstheme="minorHAnsi"/>
          <w:i/>
          <w:iCs/>
          <w:color w:val="000000"/>
          <w:sz w:val="22"/>
          <w:szCs w:val="22"/>
        </w:rPr>
        <w:t>Vojenské zdravotnické listy</w:t>
      </w:r>
      <w:r w:rsidRPr="003D0AFE">
        <w:rPr>
          <w:rFonts w:asciiTheme="minorHAnsi" w:hAnsiTheme="minorHAnsi" w:cstheme="minorHAnsi"/>
          <w:color w:val="000000"/>
          <w:sz w:val="22"/>
          <w:szCs w:val="22"/>
        </w:rPr>
        <w:t>, roč. 76, č. 4.</w:t>
      </w:r>
    </w:p>
    <w:p w14:paraId="6702790D" w14:textId="77777777" w:rsidR="00450B79" w:rsidRPr="0014798D" w:rsidRDefault="00450B79" w:rsidP="006819DF">
      <w:pPr>
        <w:pStyle w:val="Normlnweb"/>
        <w:spacing w:before="0" w:beforeAutospacing="0" w:after="0" w:afterAutospacing="0" w:line="360" w:lineRule="auto"/>
        <w:ind w:firstLine="432"/>
        <w:jc w:val="both"/>
        <w:rPr>
          <w:rFonts w:asciiTheme="minorHAnsi" w:hAnsiTheme="minorHAnsi" w:cstheme="minorHAnsi"/>
          <w:color w:val="000000"/>
          <w:sz w:val="22"/>
          <w:szCs w:val="22"/>
        </w:rPr>
      </w:pPr>
      <w:proofErr w:type="spellStart"/>
      <w:r w:rsidRPr="0014798D">
        <w:rPr>
          <w:rFonts w:asciiTheme="minorHAnsi" w:hAnsiTheme="minorHAnsi" w:cstheme="minorHAnsi"/>
          <w:color w:val="000000"/>
          <w:sz w:val="22"/>
          <w:szCs w:val="22"/>
        </w:rPr>
        <w:t>Kassa</w:t>
      </w:r>
      <w:proofErr w:type="spellEnd"/>
      <w:r w:rsidRPr="0014798D">
        <w:rPr>
          <w:rFonts w:asciiTheme="minorHAnsi" w:hAnsiTheme="minorHAnsi" w:cstheme="minorHAnsi"/>
          <w:color w:val="000000"/>
          <w:sz w:val="22"/>
          <w:szCs w:val="22"/>
        </w:rPr>
        <w:t xml:space="preserve">, J. (2008). Toxické účinky bojových chemických látek na životní prostředí a člověka. Olomouc: GHI </w:t>
      </w:r>
      <w:proofErr w:type="spellStart"/>
      <w:r w:rsidRPr="0014798D">
        <w:rPr>
          <w:rFonts w:asciiTheme="minorHAnsi" w:hAnsiTheme="minorHAnsi" w:cstheme="minorHAnsi"/>
          <w:color w:val="000000"/>
          <w:sz w:val="22"/>
          <w:szCs w:val="22"/>
        </w:rPr>
        <w:t>Books</w:t>
      </w:r>
      <w:proofErr w:type="spellEnd"/>
      <w:r w:rsidRPr="0014798D">
        <w:rPr>
          <w:rFonts w:asciiTheme="minorHAnsi" w:hAnsiTheme="minorHAnsi" w:cstheme="minorHAnsi"/>
          <w:color w:val="000000"/>
          <w:sz w:val="22"/>
          <w:szCs w:val="22"/>
        </w:rPr>
        <w:t>.</w:t>
      </w:r>
    </w:p>
    <w:p w14:paraId="7B606232" w14:textId="3BEB897B" w:rsidR="0014798D" w:rsidRPr="0014798D" w:rsidRDefault="0014798D" w:rsidP="006819DF">
      <w:pPr>
        <w:pStyle w:val="Normlnweb"/>
        <w:spacing w:before="0" w:beforeAutospacing="0" w:after="0" w:afterAutospacing="0" w:line="360" w:lineRule="auto"/>
        <w:ind w:firstLine="432"/>
        <w:jc w:val="both"/>
        <w:rPr>
          <w:rFonts w:asciiTheme="minorHAnsi" w:hAnsiTheme="minorHAnsi" w:cstheme="minorHAnsi"/>
          <w:sz w:val="22"/>
          <w:szCs w:val="22"/>
        </w:rPr>
      </w:pPr>
      <w:proofErr w:type="spellStart"/>
      <w:r w:rsidRPr="0014798D">
        <w:rPr>
          <w:rFonts w:asciiTheme="minorHAnsi" w:hAnsiTheme="minorHAnsi" w:cstheme="minorHAnsi"/>
          <w:sz w:val="22"/>
          <w:szCs w:val="22"/>
        </w:rPr>
        <w:t>Kassa</w:t>
      </w:r>
      <w:proofErr w:type="spellEnd"/>
      <w:r w:rsidRPr="0014798D">
        <w:rPr>
          <w:rFonts w:asciiTheme="minorHAnsi" w:hAnsiTheme="minorHAnsi" w:cstheme="minorHAnsi"/>
          <w:sz w:val="22"/>
          <w:szCs w:val="22"/>
        </w:rPr>
        <w:t xml:space="preserve">, J. (2018). </w:t>
      </w:r>
      <w:proofErr w:type="spellStart"/>
      <w:r w:rsidRPr="0014798D">
        <w:rPr>
          <w:rFonts w:asciiTheme="minorHAnsi" w:hAnsiTheme="minorHAnsi" w:cstheme="minorHAnsi"/>
          <w:sz w:val="22"/>
          <w:szCs w:val="22"/>
        </w:rPr>
        <w:t>Antidota</w:t>
      </w:r>
      <w:proofErr w:type="spellEnd"/>
      <w:r w:rsidRPr="0014798D">
        <w:rPr>
          <w:rFonts w:asciiTheme="minorHAnsi" w:hAnsiTheme="minorHAnsi" w:cstheme="minorHAnsi"/>
          <w:sz w:val="22"/>
          <w:szCs w:val="22"/>
        </w:rPr>
        <w:t xml:space="preserve"> proti nervově paralytickým látkám: Mechanismy a účinnost. </w:t>
      </w:r>
      <w:r w:rsidRPr="0014798D">
        <w:rPr>
          <w:rFonts w:asciiTheme="minorHAnsi" w:hAnsiTheme="minorHAnsi" w:cstheme="minorHAnsi"/>
          <w:i/>
          <w:iCs/>
          <w:sz w:val="22"/>
          <w:szCs w:val="22"/>
        </w:rPr>
        <w:t>Vojenské zdravotnické listy</w:t>
      </w:r>
      <w:r w:rsidRPr="0014798D">
        <w:rPr>
          <w:rFonts w:asciiTheme="minorHAnsi" w:hAnsiTheme="minorHAnsi" w:cstheme="minorHAnsi"/>
          <w:sz w:val="22"/>
          <w:szCs w:val="22"/>
        </w:rPr>
        <w:t>, roč. 81, č. 2.</w:t>
      </w:r>
    </w:p>
    <w:p w14:paraId="202F9F09" w14:textId="05831A7A" w:rsidR="00450B79" w:rsidRPr="0014798D" w:rsidRDefault="00450B79" w:rsidP="00A01F70">
      <w:pPr>
        <w:pStyle w:val="Normlnweb"/>
        <w:spacing w:before="0" w:beforeAutospacing="0" w:after="0" w:afterAutospacing="0" w:line="360" w:lineRule="auto"/>
        <w:ind w:firstLine="432"/>
        <w:jc w:val="both"/>
        <w:rPr>
          <w:rFonts w:asciiTheme="minorHAnsi" w:hAnsiTheme="minorHAnsi" w:cstheme="minorHAnsi"/>
          <w:color w:val="000000"/>
          <w:sz w:val="22"/>
          <w:szCs w:val="22"/>
        </w:rPr>
      </w:pPr>
      <w:proofErr w:type="spellStart"/>
      <w:r w:rsidRPr="0014798D">
        <w:rPr>
          <w:rFonts w:asciiTheme="minorHAnsi" w:hAnsiTheme="minorHAnsi" w:cstheme="minorHAnsi"/>
          <w:color w:val="000000"/>
          <w:sz w:val="22"/>
          <w:szCs w:val="22"/>
        </w:rPr>
        <w:t>Kassa</w:t>
      </w:r>
      <w:proofErr w:type="spellEnd"/>
      <w:r w:rsidRPr="0014798D">
        <w:rPr>
          <w:rFonts w:asciiTheme="minorHAnsi" w:hAnsiTheme="minorHAnsi" w:cstheme="minorHAnsi"/>
          <w:color w:val="000000"/>
          <w:sz w:val="22"/>
          <w:szCs w:val="22"/>
        </w:rPr>
        <w:t xml:space="preserve">, J. (2018). Dusivé a systémově toxické látky: Účinky a léčba. Olomouc: GHI </w:t>
      </w:r>
      <w:proofErr w:type="spellStart"/>
      <w:r w:rsidRPr="0014798D">
        <w:rPr>
          <w:rFonts w:asciiTheme="minorHAnsi" w:hAnsiTheme="minorHAnsi" w:cstheme="minorHAnsi"/>
          <w:color w:val="000000"/>
          <w:sz w:val="22"/>
          <w:szCs w:val="22"/>
        </w:rPr>
        <w:t>Books</w:t>
      </w:r>
      <w:proofErr w:type="spellEnd"/>
      <w:r w:rsidRPr="0014798D">
        <w:rPr>
          <w:rFonts w:asciiTheme="minorHAnsi" w:hAnsiTheme="minorHAnsi" w:cstheme="minorHAnsi"/>
          <w:color w:val="000000"/>
          <w:sz w:val="22"/>
          <w:szCs w:val="22"/>
        </w:rPr>
        <w:t>.</w:t>
      </w:r>
    </w:p>
    <w:p w14:paraId="1FC7BE5D" w14:textId="77777777" w:rsidR="0014798D" w:rsidRPr="0014798D" w:rsidRDefault="0014798D" w:rsidP="00A01F70">
      <w:pPr>
        <w:pStyle w:val="Normlnweb"/>
        <w:spacing w:before="0" w:beforeAutospacing="0" w:after="0" w:afterAutospacing="0" w:line="360" w:lineRule="auto"/>
        <w:ind w:firstLine="432"/>
        <w:jc w:val="both"/>
        <w:rPr>
          <w:rFonts w:asciiTheme="minorHAnsi" w:hAnsiTheme="minorHAnsi" w:cstheme="minorHAnsi"/>
          <w:sz w:val="22"/>
          <w:szCs w:val="22"/>
        </w:rPr>
      </w:pPr>
      <w:proofErr w:type="spellStart"/>
      <w:r w:rsidRPr="0014798D">
        <w:rPr>
          <w:rFonts w:asciiTheme="minorHAnsi" w:hAnsiTheme="minorHAnsi" w:cstheme="minorHAnsi"/>
          <w:sz w:val="22"/>
          <w:szCs w:val="22"/>
        </w:rPr>
        <w:t>Kassa</w:t>
      </w:r>
      <w:proofErr w:type="spellEnd"/>
      <w:r w:rsidRPr="0014798D">
        <w:rPr>
          <w:rFonts w:asciiTheme="minorHAnsi" w:hAnsiTheme="minorHAnsi" w:cstheme="minorHAnsi"/>
          <w:sz w:val="22"/>
          <w:szCs w:val="22"/>
        </w:rPr>
        <w:t xml:space="preserve">, J. (2018). Účinky dráždivých bojových chemických látek na lidský organismus. </w:t>
      </w:r>
      <w:r w:rsidRPr="0014798D">
        <w:rPr>
          <w:rFonts w:asciiTheme="minorHAnsi" w:hAnsiTheme="minorHAnsi" w:cstheme="minorHAnsi"/>
          <w:i/>
          <w:iCs/>
          <w:sz w:val="22"/>
          <w:szCs w:val="22"/>
        </w:rPr>
        <w:t>Vojenské zdravotnické listy</w:t>
      </w:r>
      <w:r w:rsidRPr="0014798D">
        <w:rPr>
          <w:rFonts w:asciiTheme="minorHAnsi" w:hAnsiTheme="minorHAnsi" w:cstheme="minorHAnsi"/>
          <w:sz w:val="22"/>
          <w:szCs w:val="22"/>
        </w:rPr>
        <w:t>, roč. 81, č. 4.</w:t>
      </w:r>
    </w:p>
    <w:p w14:paraId="7273EC0D" w14:textId="5F7A56F2" w:rsidR="0014798D" w:rsidRPr="0014798D" w:rsidRDefault="0014798D" w:rsidP="00A01F70">
      <w:pPr>
        <w:pStyle w:val="Normlnweb"/>
        <w:spacing w:before="0" w:beforeAutospacing="0" w:after="0" w:afterAutospacing="0" w:line="360" w:lineRule="auto"/>
        <w:ind w:firstLine="708"/>
        <w:jc w:val="both"/>
        <w:rPr>
          <w:rFonts w:asciiTheme="minorHAnsi" w:hAnsiTheme="minorHAnsi" w:cstheme="minorHAnsi"/>
          <w:sz w:val="22"/>
          <w:szCs w:val="22"/>
        </w:rPr>
      </w:pPr>
      <w:proofErr w:type="spellStart"/>
      <w:r w:rsidRPr="0014798D">
        <w:rPr>
          <w:rFonts w:asciiTheme="minorHAnsi" w:hAnsiTheme="minorHAnsi" w:cstheme="minorHAnsi"/>
          <w:sz w:val="22"/>
          <w:szCs w:val="22"/>
        </w:rPr>
        <w:t>Kassa</w:t>
      </w:r>
      <w:proofErr w:type="spellEnd"/>
      <w:r w:rsidRPr="0014798D">
        <w:rPr>
          <w:rFonts w:asciiTheme="minorHAnsi" w:hAnsiTheme="minorHAnsi" w:cstheme="minorHAnsi"/>
          <w:sz w:val="22"/>
          <w:szCs w:val="22"/>
        </w:rPr>
        <w:t xml:space="preserve">, J. v Patočka, J. et al. (2004). Toxicita a zdravotní dopady zpuchýřujících látek. </w:t>
      </w:r>
      <w:r w:rsidRPr="0014798D">
        <w:rPr>
          <w:rFonts w:asciiTheme="minorHAnsi" w:hAnsiTheme="minorHAnsi" w:cstheme="minorHAnsi"/>
          <w:i/>
          <w:iCs/>
          <w:sz w:val="22"/>
          <w:szCs w:val="22"/>
        </w:rPr>
        <w:t>Vojenské zdravotnické listy</w:t>
      </w:r>
      <w:r w:rsidRPr="0014798D">
        <w:rPr>
          <w:rFonts w:asciiTheme="minorHAnsi" w:hAnsiTheme="minorHAnsi" w:cstheme="minorHAnsi"/>
          <w:sz w:val="22"/>
          <w:szCs w:val="22"/>
        </w:rPr>
        <w:t>, roč. 73, č. 4.</w:t>
      </w:r>
    </w:p>
    <w:p w14:paraId="1F7B23CB" w14:textId="77777777" w:rsidR="0014798D" w:rsidRPr="0014798D" w:rsidRDefault="0014798D" w:rsidP="00A01F70">
      <w:pPr>
        <w:pStyle w:val="Normlnweb"/>
        <w:spacing w:before="0" w:beforeAutospacing="0" w:after="0" w:afterAutospacing="0" w:line="360" w:lineRule="auto"/>
        <w:ind w:firstLine="708"/>
        <w:jc w:val="both"/>
        <w:rPr>
          <w:rFonts w:asciiTheme="minorHAnsi" w:hAnsiTheme="minorHAnsi" w:cstheme="minorHAnsi"/>
          <w:sz w:val="22"/>
          <w:szCs w:val="22"/>
        </w:rPr>
      </w:pPr>
      <w:proofErr w:type="spellStart"/>
      <w:r w:rsidRPr="0014798D">
        <w:rPr>
          <w:rFonts w:asciiTheme="minorHAnsi" w:hAnsiTheme="minorHAnsi" w:cstheme="minorHAnsi"/>
          <w:sz w:val="22"/>
          <w:szCs w:val="22"/>
        </w:rPr>
        <w:t>Kassa</w:t>
      </w:r>
      <w:proofErr w:type="spellEnd"/>
      <w:r w:rsidRPr="0014798D">
        <w:rPr>
          <w:rFonts w:asciiTheme="minorHAnsi" w:hAnsiTheme="minorHAnsi" w:cstheme="minorHAnsi"/>
          <w:sz w:val="22"/>
          <w:szCs w:val="22"/>
        </w:rPr>
        <w:t xml:space="preserve">, J. </w:t>
      </w:r>
      <w:proofErr w:type="gramStart"/>
      <w:r w:rsidRPr="0014798D">
        <w:rPr>
          <w:rFonts w:asciiTheme="minorHAnsi" w:hAnsiTheme="minorHAnsi" w:cstheme="minorHAnsi"/>
          <w:sz w:val="22"/>
          <w:szCs w:val="22"/>
        </w:rPr>
        <w:t>v</w:t>
      </w:r>
      <w:proofErr w:type="gramEnd"/>
      <w:r w:rsidRPr="0014798D">
        <w:rPr>
          <w:rFonts w:asciiTheme="minorHAnsi" w:hAnsiTheme="minorHAnsi" w:cstheme="minorHAnsi"/>
          <w:sz w:val="22"/>
          <w:szCs w:val="22"/>
        </w:rPr>
        <w:t xml:space="preserve"> Fusek, J. et al. (2004). Mechanismy působení zpuchýřujících látek na organismus. </w:t>
      </w:r>
      <w:r w:rsidRPr="0014798D">
        <w:rPr>
          <w:rFonts w:asciiTheme="minorHAnsi" w:hAnsiTheme="minorHAnsi" w:cstheme="minorHAnsi"/>
          <w:i/>
          <w:iCs/>
          <w:sz w:val="22"/>
          <w:szCs w:val="22"/>
        </w:rPr>
        <w:t>Vojenské zdravotnické listy</w:t>
      </w:r>
      <w:r w:rsidRPr="0014798D">
        <w:rPr>
          <w:rFonts w:asciiTheme="minorHAnsi" w:hAnsiTheme="minorHAnsi" w:cstheme="minorHAnsi"/>
          <w:sz w:val="22"/>
          <w:szCs w:val="22"/>
        </w:rPr>
        <w:t>, roč. 73, č. 4.</w:t>
      </w:r>
    </w:p>
    <w:p w14:paraId="26A96258" w14:textId="4EC67E57" w:rsidR="0014798D" w:rsidRPr="0014798D" w:rsidRDefault="0014798D" w:rsidP="00A01F70">
      <w:pPr>
        <w:pStyle w:val="Normlnweb"/>
        <w:spacing w:before="0" w:beforeAutospacing="0" w:after="0" w:afterAutospacing="0" w:line="360" w:lineRule="auto"/>
        <w:ind w:firstLine="708"/>
        <w:jc w:val="both"/>
        <w:rPr>
          <w:rFonts w:asciiTheme="minorHAnsi" w:hAnsiTheme="minorHAnsi" w:cstheme="minorHAnsi"/>
          <w:sz w:val="22"/>
          <w:szCs w:val="22"/>
        </w:rPr>
      </w:pPr>
      <w:proofErr w:type="spellStart"/>
      <w:r w:rsidRPr="0014798D">
        <w:rPr>
          <w:rFonts w:asciiTheme="minorHAnsi" w:hAnsiTheme="minorHAnsi" w:cstheme="minorHAnsi"/>
          <w:sz w:val="22"/>
          <w:szCs w:val="22"/>
        </w:rPr>
        <w:t>Kassa</w:t>
      </w:r>
      <w:proofErr w:type="spellEnd"/>
      <w:r w:rsidRPr="0014798D">
        <w:rPr>
          <w:rFonts w:asciiTheme="minorHAnsi" w:hAnsiTheme="minorHAnsi" w:cstheme="minorHAnsi"/>
          <w:sz w:val="22"/>
          <w:szCs w:val="22"/>
        </w:rPr>
        <w:t xml:space="preserve">, J. </w:t>
      </w:r>
      <w:proofErr w:type="gramStart"/>
      <w:r w:rsidRPr="0014798D">
        <w:rPr>
          <w:rFonts w:asciiTheme="minorHAnsi" w:hAnsiTheme="minorHAnsi" w:cstheme="minorHAnsi"/>
          <w:sz w:val="22"/>
          <w:szCs w:val="22"/>
        </w:rPr>
        <w:t>v</w:t>
      </w:r>
      <w:proofErr w:type="gramEnd"/>
      <w:r w:rsidRPr="0014798D">
        <w:rPr>
          <w:rFonts w:asciiTheme="minorHAnsi" w:hAnsiTheme="minorHAnsi" w:cstheme="minorHAnsi"/>
          <w:sz w:val="22"/>
          <w:szCs w:val="22"/>
        </w:rPr>
        <w:t xml:space="preserve"> Fusek, J. et al. (2004). Intoxikace zpuchýřujícími látkami a jejich léčba. </w:t>
      </w:r>
      <w:r w:rsidRPr="0014798D">
        <w:rPr>
          <w:rFonts w:asciiTheme="minorHAnsi" w:hAnsiTheme="minorHAnsi" w:cstheme="minorHAnsi"/>
          <w:i/>
          <w:iCs/>
          <w:sz w:val="22"/>
          <w:szCs w:val="22"/>
        </w:rPr>
        <w:t>Vojenské zdravotnické listy</w:t>
      </w:r>
      <w:r w:rsidRPr="0014798D">
        <w:rPr>
          <w:rFonts w:asciiTheme="minorHAnsi" w:hAnsiTheme="minorHAnsi" w:cstheme="minorHAnsi"/>
          <w:sz w:val="22"/>
          <w:szCs w:val="22"/>
        </w:rPr>
        <w:t>, roč. 73, č. 4.</w:t>
      </w:r>
    </w:p>
    <w:p w14:paraId="3B0554AF" w14:textId="170E2A06" w:rsidR="003D0AFE" w:rsidRDefault="0014798D" w:rsidP="00A01F70">
      <w:pPr>
        <w:pStyle w:val="Normlnweb"/>
        <w:spacing w:before="0" w:beforeAutospacing="0" w:after="0" w:afterAutospacing="0" w:line="360" w:lineRule="auto"/>
        <w:ind w:firstLine="708"/>
        <w:jc w:val="both"/>
        <w:rPr>
          <w:rFonts w:asciiTheme="minorHAnsi" w:hAnsiTheme="minorHAnsi" w:cstheme="minorHAnsi"/>
          <w:sz w:val="22"/>
          <w:szCs w:val="22"/>
        </w:rPr>
      </w:pPr>
      <w:proofErr w:type="spellStart"/>
      <w:r w:rsidRPr="0014798D">
        <w:rPr>
          <w:rFonts w:asciiTheme="minorHAnsi" w:hAnsiTheme="minorHAnsi" w:cstheme="minorHAnsi"/>
          <w:sz w:val="22"/>
          <w:szCs w:val="22"/>
        </w:rPr>
        <w:t>Kassa</w:t>
      </w:r>
      <w:proofErr w:type="spellEnd"/>
      <w:r w:rsidRPr="0014798D">
        <w:rPr>
          <w:rFonts w:asciiTheme="minorHAnsi" w:hAnsiTheme="minorHAnsi" w:cstheme="minorHAnsi"/>
          <w:sz w:val="22"/>
          <w:szCs w:val="22"/>
        </w:rPr>
        <w:t xml:space="preserve">, J. </w:t>
      </w:r>
      <w:proofErr w:type="gramStart"/>
      <w:r w:rsidRPr="0014798D">
        <w:rPr>
          <w:rFonts w:asciiTheme="minorHAnsi" w:hAnsiTheme="minorHAnsi" w:cstheme="minorHAnsi"/>
          <w:sz w:val="22"/>
          <w:szCs w:val="22"/>
        </w:rPr>
        <w:t>v</w:t>
      </w:r>
      <w:proofErr w:type="gramEnd"/>
      <w:r w:rsidRPr="0014798D">
        <w:rPr>
          <w:rFonts w:asciiTheme="minorHAnsi" w:hAnsiTheme="minorHAnsi" w:cstheme="minorHAnsi"/>
          <w:sz w:val="22"/>
          <w:szCs w:val="22"/>
        </w:rPr>
        <w:t xml:space="preserve"> Fusek, J. et al. (2004). Zpuchýřující látky a jejich účinky. </w:t>
      </w:r>
      <w:r w:rsidRPr="0014798D">
        <w:rPr>
          <w:rFonts w:asciiTheme="minorHAnsi" w:hAnsiTheme="minorHAnsi" w:cstheme="minorHAnsi"/>
          <w:i/>
          <w:iCs/>
          <w:sz w:val="22"/>
          <w:szCs w:val="22"/>
        </w:rPr>
        <w:t>Vojenské zdravotnické listy</w:t>
      </w:r>
      <w:r w:rsidRPr="0014798D">
        <w:rPr>
          <w:rFonts w:asciiTheme="minorHAnsi" w:hAnsiTheme="minorHAnsi" w:cstheme="minorHAnsi"/>
          <w:sz w:val="22"/>
          <w:szCs w:val="22"/>
        </w:rPr>
        <w:t>, roč. 73, č. 4.</w:t>
      </w:r>
    </w:p>
    <w:p w14:paraId="08DA9FE8" w14:textId="46354ACB" w:rsidR="00A01F70" w:rsidRPr="0014798D" w:rsidRDefault="00A01F70"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14798D">
        <w:rPr>
          <w:rFonts w:asciiTheme="minorHAnsi" w:hAnsiTheme="minorHAnsi" w:cstheme="minorHAnsi"/>
          <w:color w:val="000000"/>
          <w:sz w:val="22"/>
          <w:szCs w:val="22"/>
        </w:rPr>
        <w:t>Kohout, P. (2018). Toxiny a jejich vliv na lidský organismus. Olomouc: Univerzita Palackého</w:t>
      </w:r>
    </w:p>
    <w:p w14:paraId="5DF4D48A" w14:textId="77777777" w:rsidR="00450B79" w:rsidRPr="0014798D" w:rsidRDefault="00450B79" w:rsidP="00A01F70">
      <w:pPr>
        <w:pStyle w:val="Normlnweb"/>
        <w:spacing w:before="0" w:beforeAutospacing="0" w:after="0" w:afterAutospacing="0" w:line="360" w:lineRule="auto"/>
        <w:ind w:firstLine="708"/>
        <w:jc w:val="both"/>
        <w:rPr>
          <w:rFonts w:asciiTheme="minorHAnsi" w:hAnsiTheme="minorHAnsi" w:cstheme="minorHAnsi"/>
          <w:color w:val="000000"/>
          <w:sz w:val="22"/>
          <w:szCs w:val="22"/>
        </w:rPr>
      </w:pPr>
      <w:r w:rsidRPr="0014798D">
        <w:rPr>
          <w:rFonts w:asciiTheme="minorHAnsi" w:hAnsiTheme="minorHAnsi" w:cstheme="minorHAnsi"/>
          <w:color w:val="000000"/>
          <w:sz w:val="22"/>
          <w:szCs w:val="22"/>
        </w:rPr>
        <w:t xml:space="preserve">Kučera, J. (2018). Nervově paralytické látky: Vývoj, použití a terapeutické možnosti. Praha: ABC </w:t>
      </w:r>
      <w:proofErr w:type="spellStart"/>
      <w:r w:rsidRPr="0014798D">
        <w:rPr>
          <w:rFonts w:asciiTheme="minorHAnsi" w:hAnsiTheme="minorHAnsi" w:cstheme="minorHAnsi"/>
          <w:color w:val="000000"/>
          <w:sz w:val="22"/>
          <w:szCs w:val="22"/>
        </w:rPr>
        <w:t>Publishing</w:t>
      </w:r>
      <w:proofErr w:type="spellEnd"/>
      <w:r w:rsidRPr="0014798D">
        <w:rPr>
          <w:rFonts w:asciiTheme="minorHAnsi" w:hAnsiTheme="minorHAnsi" w:cstheme="minorHAnsi"/>
          <w:color w:val="000000"/>
          <w:sz w:val="22"/>
          <w:szCs w:val="22"/>
        </w:rPr>
        <w:t>.</w:t>
      </w:r>
    </w:p>
    <w:p w14:paraId="3CE44673" w14:textId="30198E71" w:rsidR="00522DD1" w:rsidRPr="0014798D" w:rsidRDefault="00522DD1"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522DD1">
        <w:rPr>
          <w:rFonts w:asciiTheme="minorHAnsi" w:hAnsiTheme="minorHAnsi" w:cstheme="minorHAnsi"/>
          <w:sz w:val="22"/>
          <w:szCs w:val="22"/>
        </w:rPr>
        <w:t xml:space="preserve">Matoušek, F. a Linhart, J. (2005). Vývoj a využití bojových chemických látek v první světové válce. </w:t>
      </w:r>
      <w:r w:rsidRPr="00522DD1">
        <w:rPr>
          <w:rFonts w:asciiTheme="minorHAnsi" w:hAnsiTheme="minorHAnsi" w:cstheme="minorHAnsi"/>
          <w:i/>
          <w:iCs/>
          <w:sz w:val="22"/>
          <w:szCs w:val="22"/>
        </w:rPr>
        <w:t>Vojenský historický sborník</w:t>
      </w:r>
      <w:r w:rsidRPr="00522DD1">
        <w:rPr>
          <w:rFonts w:asciiTheme="minorHAnsi" w:hAnsiTheme="minorHAnsi" w:cstheme="minorHAnsi"/>
          <w:sz w:val="22"/>
          <w:szCs w:val="22"/>
        </w:rPr>
        <w:t>, roč. 41, č. 3.</w:t>
      </w:r>
    </w:p>
    <w:p w14:paraId="148A9BC9" w14:textId="77777777" w:rsidR="00450B79" w:rsidRPr="0014798D" w:rsidRDefault="00450B79"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14798D">
        <w:rPr>
          <w:rFonts w:asciiTheme="minorHAnsi" w:hAnsiTheme="minorHAnsi" w:cstheme="minorHAnsi"/>
          <w:color w:val="000000"/>
          <w:sz w:val="22"/>
          <w:szCs w:val="22"/>
        </w:rPr>
        <w:lastRenderedPageBreak/>
        <w:t xml:space="preserve">Miller, S. (2016). Defolianty ve Vietnamu: Ztráta biodiverzity a dlouhodobé dopady. Washington, D.C.: </w:t>
      </w:r>
      <w:proofErr w:type="spellStart"/>
      <w:r w:rsidRPr="0014798D">
        <w:rPr>
          <w:rFonts w:asciiTheme="minorHAnsi" w:hAnsiTheme="minorHAnsi" w:cstheme="minorHAnsi"/>
          <w:color w:val="000000"/>
          <w:sz w:val="22"/>
          <w:szCs w:val="22"/>
        </w:rPr>
        <w:t>Environmental</w:t>
      </w:r>
      <w:proofErr w:type="spellEnd"/>
      <w:r w:rsidRPr="0014798D">
        <w:rPr>
          <w:rFonts w:asciiTheme="minorHAnsi" w:hAnsiTheme="minorHAnsi" w:cstheme="minorHAnsi"/>
          <w:color w:val="000000"/>
          <w:sz w:val="22"/>
          <w:szCs w:val="22"/>
        </w:rPr>
        <w:t xml:space="preserve"> </w:t>
      </w:r>
      <w:proofErr w:type="spellStart"/>
      <w:r w:rsidRPr="0014798D">
        <w:rPr>
          <w:rFonts w:asciiTheme="minorHAnsi" w:hAnsiTheme="minorHAnsi" w:cstheme="minorHAnsi"/>
          <w:color w:val="000000"/>
          <w:sz w:val="22"/>
          <w:szCs w:val="22"/>
        </w:rPr>
        <w:t>Studies</w:t>
      </w:r>
      <w:proofErr w:type="spellEnd"/>
      <w:r w:rsidRPr="0014798D">
        <w:rPr>
          <w:rFonts w:asciiTheme="minorHAnsi" w:hAnsiTheme="minorHAnsi" w:cstheme="minorHAnsi"/>
          <w:color w:val="000000"/>
          <w:sz w:val="22"/>
          <w:szCs w:val="22"/>
        </w:rPr>
        <w:t xml:space="preserve"> </w:t>
      </w:r>
      <w:proofErr w:type="spellStart"/>
      <w:r w:rsidRPr="0014798D">
        <w:rPr>
          <w:rFonts w:asciiTheme="minorHAnsi" w:hAnsiTheme="minorHAnsi" w:cstheme="minorHAnsi"/>
          <w:color w:val="000000"/>
          <w:sz w:val="22"/>
          <w:szCs w:val="22"/>
        </w:rPr>
        <w:t>Press</w:t>
      </w:r>
      <w:proofErr w:type="spellEnd"/>
      <w:r w:rsidRPr="0014798D">
        <w:rPr>
          <w:rFonts w:asciiTheme="minorHAnsi" w:hAnsiTheme="minorHAnsi" w:cstheme="minorHAnsi"/>
          <w:color w:val="000000"/>
          <w:sz w:val="22"/>
          <w:szCs w:val="22"/>
        </w:rPr>
        <w:t>.</w:t>
      </w:r>
    </w:p>
    <w:p w14:paraId="248725D8" w14:textId="77777777" w:rsidR="00450B79" w:rsidRPr="0014798D" w:rsidRDefault="00450B79" w:rsidP="00A01F70">
      <w:pPr>
        <w:pStyle w:val="Normlnweb"/>
        <w:spacing w:before="0" w:beforeAutospacing="0" w:after="0" w:afterAutospacing="0" w:line="360" w:lineRule="auto"/>
        <w:ind w:firstLine="708"/>
        <w:jc w:val="both"/>
        <w:rPr>
          <w:rFonts w:asciiTheme="minorHAnsi" w:hAnsiTheme="minorHAnsi" w:cstheme="minorHAnsi"/>
          <w:color w:val="000000"/>
          <w:sz w:val="22"/>
          <w:szCs w:val="22"/>
        </w:rPr>
      </w:pPr>
      <w:r w:rsidRPr="0014798D">
        <w:rPr>
          <w:rFonts w:asciiTheme="minorHAnsi" w:hAnsiTheme="minorHAnsi" w:cstheme="minorHAnsi"/>
          <w:color w:val="000000"/>
          <w:sz w:val="22"/>
          <w:szCs w:val="22"/>
        </w:rPr>
        <w:t xml:space="preserve">Mika, P., &amp; Patočka, J. (2007). Chemické zbraně a ochrana proti nim. Praha: Grada </w:t>
      </w:r>
      <w:proofErr w:type="spellStart"/>
      <w:r w:rsidRPr="0014798D">
        <w:rPr>
          <w:rFonts w:asciiTheme="minorHAnsi" w:hAnsiTheme="minorHAnsi" w:cstheme="minorHAnsi"/>
          <w:color w:val="000000"/>
          <w:sz w:val="22"/>
          <w:szCs w:val="22"/>
        </w:rPr>
        <w:t>Publishing</w:t>
      </w:r>
      <w:proofErr w:type="spellEnd"/>
      <w:r w:rsidRPr="0014798D">
        <w:rPr>
          <w:rFonts w:asciiTheme="minorHAnsi" w:hAnsiTheme="minorHAnsi" w:cstheme="minorHAnsi"/>
          <w:color w:val="000000"/>
          <w:sz w:val="22"/>
          <w:szCs w:val="22"/>
        </w:rPr>
        <w:t>.</w:t>
      </w:r>
    </w:p>
    <w:p w14:paraId="5663EE7A" w14:textId="77777777" w:rsidR="0014798D" w:rsidRPr="0014798D" w:rsidRDefault="0014798D" w:rsidP="00A01F70">
      <w:pPr>
        <w:pStyle w:val="Normlnweb"/>
        <w:spacing w:before="0" w:beforeAutospacing="0" w:after="0" w:afterAutospacing="0" w:line="360" w:lineRule="auto"/>
        <w:ind w:firstLine="708"/>
        <w:jc w:val="both"/>
        <w:rPr>
          <w:rFonts w:asciiTheme="minorHAnsi" w:hAnsiTheme="minorHAnsi" w:cstheme="minorHAnsi"/>
          <w:color w:val="000000"/>
          <w:sz w:val="22"/>
          <w:szCs w:val="22"/>
        </w:rPr>
      </w:pPr>
      <w:r w:rsidRPr="0014798D">
        <w:rPr>
          <w:rFonts w:asciiTheme="minorHAnsi" w:hAnsiTheme="minorHAnsi" w:cstheme="minorHAnsi"/>
          <w:color w:val="000000"/>
          <w:sz w:val="22"/>
          <w:szCs w:val="22"/>
        </w:rPr>
        <w:t xml:space="preserve">Mika, V. a Patočka, J. (2007). Klasifikace a fyzikálně-chemické vlastnosti nervově paralytických látek. </w:t>
      </w:r>
      <w:r w:rsidRPr="0014798D">
        <w:rPr>
          <w:rFonts w:asciiTheme="minorHAnsi" w:hAnsiTheme="minorHAnsi" w:cstheme="minorHAnsi"/>
          <w:i/>
          <w:iCs/>
          <w:color w:val="000000"/>
          <w:sz w:val="22"/>
          <w:szCs w:val="22"/>
        </w:rPr>
        <w:t>Vojenské zdravotnické listy</w:t>
      </w:r>
      <w:r w:rsidRPr="0014798D">
        <w:rPr>
          <w:rFonts w:asciiTheme="minorHAnsi" w:hAnsiTheme="minorHAnsi" w:cstheme="minorHAnsi"/>
          <w:color w:val="000000"/>
          <w:sz w:val="22"/>
          <w:szCs w:val="22"/>
        </w:rPr>
        <w:t>, roč. 76, č. 3.</w:t>
      </w:r>
    </w:p>
    <w:p w14:paraId="1CA112AE" w14:textId="07F80C8D" w:rsidR="0014798D" w:rsidRPr="003D0AFE" w:rsidRDefault="003D0AFE" w:rsidP="00A01F70">
      <w:pPr>
        <w:pStyle w:val="Normlnweb"/>
        <w:spacing w:before="0" w:beforeAutospacing="0" w:after="0" w:afterAutospacing="0" w:line="360" w:lineRule="auto"/>
        <w:ind w:firstLine="708"/>
        <w:jc w:val="both"/>
        <w:rPr>
          <w:rFonts w:asciiTheme="minorHAnsi" w:hAnsiTheme="minorHAnsi" w:cstheme="minorHAnsi"/>
          <w:color w:val="000000"/>
          <w:sz w:val="22"/>
          <w:szCs w:val="22"/>
        </w:rPr>
      </w:pPr>
      <w:r w:rsidRPr="003D0AFE">
        <w:rPr>
          <w:rFonts w:asciiTheme="minorHAnsi" w:hAnsiTheme="minorHAnsi" w:cstheme="minorHAnsi"/>
          <w:color w:val="000000"/>
          <w:sz w:val="22"/>
          <w:szCs w:val="22"/>
        </w:rPr>
        <w:t xml:space="preserve">Mika, V. a Patočka, J. (2007). </w:t>
      </w:r>
      <w:proofErr w:type="spellStart"/>
      <w:r w:rsidRPr="003D0AFE">
        <w:rPr>
          <w:rFonts w:asciiTheme="minorHAnsi" w:hAnsiTheme="minorHAnsi" w:cstheme="minorHAnsi"/>
          <w:color w:val="000000"/>
          <w:sz w:val="22"/>
          <w:szCs w:val="22"/>
        </w:rPr>
        <w:t>Chlorkyan</w:t>
      </w:r>
      <w:proofErr w:type="spellEnd"/>
      <w:r w:rsidRPr="003D0AFE">
        <w:rPr>
          <w:rFonts w:asciiTheme="minorHAnsi" w:hAnsiTheme="minorHAnsi" w:cstheme="minorHAnsi"/>
          <w:color w:val="000000"/>
          <w:sz w:val="22"/>
          <w:szCs w:val="22"/>
        </w:rPr>
        <w:t xml:space="preserve"> a jeho účinky na dýchací cesty. </w:t>
      </w:r>
      <w:r w:rsidRPr="003D0AFE">
        <w:rPr>
          <w:rFonts w:asciiTheme="minorHAnsi" w:hAnsiTheme="minorHAnsi" w:cstheme="minorHAnsi"/>
          <w:i/>
          <w:iCs/>
          <w:color w:val="000000"/>
          <w:sz w:val="22"/>
          <w:szCs w:val="22"/>
        </w:rPr>
        <w:t>Vojenské zdravotnické listy</w:t>
      </w:r>
      <w:r w:rsidRPr="003D0AFE">
        <w:rPr>
          <w:rFonts w:asciiTheme="minorHAnsi" w:hAnsiTheme="minorHAnsi" w:cstheme="minorHAnsi"/>
          <w:color w:val="000000"/>
          <w:sz w:val="22"/>
          <w:szCs w:val="22"/>
        </w:rPr>
        <w:t>, roč. 76, č. 3.</w:t>
      </w:r>
    </w:p>
    <w:p w14:paraId="7E48F646" w14:textId="77777777" w:rsidR="00522DD1" w:rsidRPr="00022508" w:rsidRDefault="00522DD1"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522DD1">
        <w:rPr>
          <w:rFonts w:asciiTheme="minorHAnsi" w:hAnsiTheme="minorHAnsi" w:cstheme="minorHAnsi"/>
          <w:sz w:val="22"/>
          <w:szCs w:val="22"/>
        </w:rPr>
        <w:t xml:space="preserve">Mika, V. a Patočka, J. (2007). Toxikologické vlastnosti dusivých látek. </w:t>
      </w:r>
      <w:r w:rsidRPr="00522DD1">
        <w:rPr>
          <w:rFonts w:asciiTheme="minorHAnsi" w:hAnsiTheme="minorHAnsi" w:cstheme="minorHAnsi"/>
          <w:i/>
          <w:iCs/>
          <w:sz w:val="22"/>
          <w:szCs w:val="22"/>
        </w:rPr>
        <w:t>Vojenské zdravotnické listy</w:t>
      </w:r>
      <w:r w:rsidRPr="00522DD1">
        <w:rPr>
          <w:rFonts w:asciiTheme="minorHAnsi" w:hAnsiTheme="minorHAnsi" w:cstheme="minorHAnsi"/>
          <w:sz w:val="22"/>
          <w:szCs w:val="22"/>
        </w:rPr>
        <w:t>, roč. 76, č. 3.</w:t>
      </w:r>
    </w:p>
    <w:p w14:paraId="2AAE9C51" w14:textId="5206235C" w:rsidR="003D0AFE" w:rsidRDefault="00522DD1"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522DD1">
        <w:rPr>
          <w:rFonts w:asciiTheme="minorHAnsi" w:hAnsiTheme="minorHAnsi" w:cstheme="minorHAnsi"/>
          <w:sz w:val="22"/>
          <w:szCs w:val="22"/>
        </w:rPr>
        <w:t xml:space="preserve">Mika, V. a Patočka, J. (2007). Toxikologické vlastnosti bojových chemických látek. </w:t>
      </w:r>
      <w:r w:rsidRPr="00522DD1">
        <w:rPr>
          <w:rFonts w:asciiTheme="minorHAnsi" w:hAnsiTheme="minorHAnsi" w:cstheme="minorHAnsi"/>
          <w:i/>
          <w:iCs/>
          <w:sz w:val="22"/>
          <w:szCs w:val="22"/>
        </w:rPr>
        <w:t>Vojenské zdravotnické listy</w:t>
      </w:r>
      <w:r w:rsidRPr="00522DD1">
        <w:rPr>
          <w:rFonts w:asciiTheme="minorHAnsi" w:hAnsiTheme="minorHAnsi" w:cstheme="minorHAnsi"/>
          <w:sz w:val="22"/>
          <w:szCs w:val="22"/>
        </w:rPr>
        <w:t>, roč. 76, č. 3.</w:t>
      </w:r>
    </w:p>
    <w:p w14:paraId="488339D5" w14:textId="52AB61CE" w:rsidR="00CA009D" w:rsidRPr="00CA009D" w:rsidRDefault="00CA009D" w:rsidP="00A01F70">
      <w:pPr>
        <w:pStyle w:val="Normlnweb"/>
        <w:spacing w:before="0" w:beforeAutospacing="0" w:after="0" w:afterAutospacing="0" w:line="360" w:lineRule="auto"/>
        <w:ind w:firstLine="708"/>
        <w:jc w:val="both"/>
        <w:rPr>
          <w:rFonts w:asciiTheme="minorHAnsi" w:hAnsiTheme="minorHAnsi" w:cstheme="minorHAnsi"/>
          <w:sz w:val="22"/>
          <w:szCs w:val="22"/>
        </w:rPr>
      </w:pPr>
      <w:proofErr w:type="spellStart"/>
      <w:r w:rsidRPr="00CA009D">
        <w:rPr>
          <w:rFonts w:asciiTheme="minorHAnsi" w:hAnsiTheme="minorHAnsi" w:cstheme="minorHAnsi"/>
          <w:sz w:val="22"/>
          <w:szCs w:val="22"/>
          <w:lang w:val="cs"/>
        </w:rPr>
        <w:t>National</w:t>
      </w:r>
      <w:proofErr w:type="spellEnd"/>
      <w:r w:rsidRPr="00CA009D">
        <w:rPr>
          <w:rFonts w:asciiTheme="minorHAnsi" w:hAnsiTheme="minorHAnsi" w:cstheme="minorHAnsi"/>
          <w:sz w:val="22"/>
          <w:szCs w:val="22"/>
          <w:lang w:val="cs"/>
        </w:rPr>
        <w:t xml:space="preserve"> Center </w:t>
      </w:r>
      <w:proofErr w:type="spellStart"/>
      <w:r w:rsidRPr="00CA009D">
        <w:rPr>
          <w:rFonts w:asciiTheme="minorHAnsi" w:hAnsiTheme="minorHAnsi" w:cstheme="minorHAnsi"/>
          <w:sz w:val="22"/>
          <w:szCs w:val="22"/>
          <w:lang w:val="cs"/>
        </w:rPr>
        <w:t>for</w:t>
      </w:r>
      <w:proofErr w:type="spellEnd"/>
      <w:r w:rsidRPr="00CA009D">
        <w:rPr>
          <w:rFonts w:asciiTheme="minorHAnsi" w:hAnsiTheme="minorHAnsi" w:cstheme="minorHAnsi"/>
          <w:sz w:val="22"/>
          <w:szCs w:val="22"/>
          <w:lang w:val="cs"/>
        </w:rPr>
        <w:t xml:space="preserve"> Biotechnology </w:t>
      </w:r>
      <w:proofErr w:type="spellStart"/>
      <w:r w:rsidRPr="00CA009D">
        <w:rPr>
          <w:rFonts w:asciiTheme="minorHAnsi" w:hAnsiTheme="minorHAnsi" w:cstheme="minorHAnsi"/>
          <w:sz w:val="22"/>
          <w:szCs w:val="22"/>
          <w:lang w:val="cs"/>
        </w:rPr>
        <w:t>Information</w:t>
      </w:r>
      <w:proofErr w:type="spellEnd"/>
      <w:r w:rsidRPr="00CA009D">
        <w:rPr>
          <w:rFonts w:asciiTheme="minorHAnsi" w:hAnsiTheme="minorHAnsi" w:cstheme="minorHAnsi"/>
          <w:sz w:val="22"/>
          <w:szCs w:val="22"/>
          <w:lang w:val="cs"/>
        </w:rPr>
        <w:t xml:space="preserve">. </w:t>
      </w:r>
      <w:proofErr w:type="spellStart"/>
      <w:r w:rsidRPr="00CA009D">
        <w:rPr>
          <w:rFonts w:asciiTheme="minorHAnsi" w:hAnsiTheme="minorHAnsi" w:cstheme="minorHAnsi"/>
          <w:i/>
          <w:iCs/>
          <w:sz w:val="22"/>
          <w:szCs w:val="22"/>
          <w:lang w:val="cs"/>
        </w:rPr>
        <w:t>PubChem</w:t>
      </w:r>
      <w:proofErr w:type="spellEnd"/>
      <w:r w:rsidRPr="00CA009D">
        <w:rPr>
          <w:rFonts w:asciiTheme="minorHAnsi" w:hAnsiTheme="minorHAnsi" w:cstheme="minorHAnsi"/>
          <w:i/>
          <w:iCs/>
          <w:sz w:val="22"/>
          <w:szCs w:val="22"/>
          <w:lang w:val="cs"/>
        </w:rPr>
        <w:t xml:space="preserve">: Open </w:t>
      </w:r>
      <w:proofErr w:type="spellStart"/>
      <w:r w:rsidRPr="00CA009D">
        <w:rPr>
          <w:rFonts w:asciiTheme="minorHAnsi" w:hAnsiTheme="minorHAnsi" w:cstheme="minorHAnsi"/>
          <w:i/>
          <w:iCs/>
          <w:sz w:val="22"/>
          <w:szCs w:val="22"/>
          <w:lang w:val="cs"/>
        </w:rPr>
        <w:t>Chemistry</w:t>
      </w:r>
      <w:proofErr w:type="spellEnd"/>
      <w:r w:rsidRPr="00CA009D">
        <w:rPr>
          <w:rFonts w:asciiTheme="minorHAnsi" w:hAnsiTheme="minorHAnsi" w:cstheme="minorHAnsi"/>
          <w:i/>
          <w:iCs/>
          <w:sz w:val="22"/>
          <w:szCs w:val="22"/>
          <w:lang w:val="cs"/>
        </w:rPr>
        <w:t xml:space="preserve"> Database</w:t>
      </w:r>
      <w:r w:rsidRPr="00CA009D">
        <w:rPr>
          <w:rFonts w:asciiTheme="minorHAnsi" w:hAnsiTheme="minorHAnsi" w:cstheme="minorHAnsi"/>
          <w:sz w:val="22"/>
          <w:szCs w:val="22"/>
          <w:lang w:val="cs"/>
        </w:rPr>
        <w:t xml:space="preserve"> [online]. Dostupné z: </w:t>
      </w:r>
      <w:hyperlink r:id="rId26" w:tgtFrame="_new" w:history="1">
        <w:r w:rsidRPr="00CA009D">
          <w:rPr>
            <w:rStyle w:val="Hypertextovodkaz"/>
            <w:rFonts w:asciiTheme="minorHAnsi" w:hAnsiTheme="minorHAnsi" w:cstheme="minorHAnsi"/>
            <w:color w:val="auto"/>
            <w:sz w:val="22"/>
            <w:szCs w:val="22"/>
            <w:lang w:val="cs"/>
          </w:rPr>
          <w:t>https://pubchem.ncbi.nlm.nih.gov</w:t>
        </w:r>
      </w:hyperlink>
    </w:p>
    <w:p w14:paraId="6FC38F4E" w14:textId="77777777" w:rsidR="00450B79" w:rsidRPr="00022508" w:rsidRDefault="00450B79"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022508">
        <w:rPr>
          <w:rFonts w:asciiTheme="minorHAnsi" w:hAnsiTheme="minorHAnsi" w:cstheme="minorHAnsi"/>
          <w:sz w:val="22"/>
          <w:szCs w:val="22"/>
        </w:rPr>
        <w:t>Novák, P. (2015). Environmentální dopady chemických látek. Praha: Academia.</w:t>
      </w:r>
    </w:p>
    <w:p w14:paraId="3C5D9A3F" w14:textId="77777777" w:rsidR="00450B79" w:rsidRPr="00022508" w:rsidRDefault="00450B79"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022508">
        <w:rPr>
          <w:rFonts w:asciiTheme="minorHAnsi" w:hAnsiTheme="minorHAnsi" w:cstheme="minorHAnsi"/>
          <w:sz w:val="22"/>
          <w:szCs w:val="22"/>
        </w:rPr>
        <w:t>Novotná, H., et al. (2019). Mykotoxiny v potravinách: rizika a prevence. Praha: Ministerstvo zemědělství ČR.</w:t>
      </w:r>
    </w:p>
    <w:p w14:paraId="6DF346EA" w14:textId="77777777" w:rsidR="00450B79" w:rsidRPr="00022508" w:rsidRDefault="00450B79"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022508">
        <w:rPr>
          <w:rFonts w:asciiTheme="minorHAnsi" w:hAnsiTheme="minorHAnsi" w:cstheme="minorHAnsi"/>
          <w:sz w:val="22"/>
          <w:szCs w:val="22"/>
        </w:rPr>
        <w:t>Novotný, J. (2020). Fyzikálně-chemické vlastnosti chemických látek. Brno: Vysoké učení technické.</w:t>
      </w:r>
    </w:p>
    <w:p w14:paraId="2C553AE8" w14:textId="031D628C" w:rsidR="00642F90" w:rsidRPr="00022508" w:rsidRDefault="00642F90" w:rsidP="00A01F70">
      <w:pPr>
        <w:pStyle w:val="Normlnweb"/>
        <w:spacing w:before="0" w:beforeAutospacing="0" w:after="0" w:afterAutospacing="0" w:line="360" w:lineRule="auto"/>
        <w:ind w:firstLine="708"/>
        <w:jc w:val="both"/>
        <w:rPr>
          <w:rFonts w:asciiTheme="minorHAnsi" w:hAnsiTheme="minorHAnsi" w:cstheme="minorHAnsi"/>
          <w:sz w:val="22"/>
          <w:szCs w:val="22"/>
        </w:rPr>
      </w:pPr>
      <w:proofErr w:type="spellStart"/>
      <w:r w:rsidRPr="00022508">
        <w:rPr>
          <w:rFonts w:asciiTheme="minorHAnsi" w:hAnsiTheme="minorHAnsi" w:cstheme="minorHAnsi"/>
          <w:sz w:val="22"/>
          <w:szCs w:val="22"/>
          <w:lang w:val="cs"/>
        </w:rPr>
        <w:t>Organisation</w:t>
      </w:r>
      <w:proofErr w:type="spellEnd"/>
      <w:r w:rsidRPr="00022508">
        <w:rPr>
          <w:rFonts w:asciiTheme="minorHAnsi" w:hAnsiTheme="minorHAnsi" w:cstheme="minorHAnsi"/>
          <w:sz w:val="22"/>
          <w:szCs w:val="22"/>
          <w:lang w:val="cs"/>
        </w:rPr>
        <w:t xml:space="preserve"> </w:t>
      </w:r>
      <w:proofErr w:type="spellStart"/>
      <w:r w:rsidRPr="00022508">
        <w:rPr>
          <w:rFonts w:asciiTheme="minorHAnsi" w:hAnsiTheme="minorHAnsi" w:cstheme="minorHAnsi"/>
          <w:sz w:val="22"/>
          <w:szCs w:val="22"/>
          <w:lang w:val="cs"/>
        </w:rPr>
        <w:t>for</w:t>
      </w:r>
      <w:proofErr w:type="spellEnd"/>
      <w:r w:rsidRPr="00022508">
        <w:rPr>
          <w:rFonts w:asciiTheme="minorHAnsi" w:hAnsiTheme="minorHAnsi" w:cstheme="minorHAnsi"/>
          <w:sz w:val="22"/>
          <w:szCs w:val="22"/>
          <w:lang w:val="cs"/>
        </w:rPr>
        <w:t xml:space="preserve"> </w:t>
      </w:r>
      <w:proofErr w:type="spellStart"/>
      <w:r w:rsidRPr="00022508">
        <w:rPr>
          <w:rFonts w:asciiTheme="minorHAnsi" w:hAnsiTheme="minorHAnsi" w:cstheme="minorHAnsi"/>
          <w:sz w:val="22"/>
          <w:szCs w:val="22"/>
          <w:lang w:val="cs"/>
        </w:rPr>
        <w:t>the</w:t>
      </w:r>
      <w:proofErr w:type="spellEnd"/>
      <w:r w:rsidRPr="00022508">
        <w:rPr>
          <w:rFonts w:asciiTheme="minorHAnsi" w:hAnsiTheme="minorHAnsi" w:cstheme="minorHAnsi"/>
          <w:sz w:val="22"/>
          <w:szCs w:val="22"/>
          <w:lang w:val="cs"/>
        </w:rPr>
        <w:t xml:space="preserve"> </w:t>
      </w:r>
      <w:proofErr w:type="spellStart"/>
      <w:r w:rsidRPr="00022508">
        <w:rPr>
          <w:rFonts w:asciiTheme="minorHAnsi" w:hAnsiTheme="minorHAnsi" w:cstheme="minorHAnsi"/>
          <w:sz w:val="22"/>
          <w:szCs w:val="22"/>
          <w:lang w:val="cs"/>
        </w:rPr>
        <w:t>Prohibition</w:t>
      </w:r>
      <w:proofErr w:type="spellEnd"/>
      <w:r w:rsidRPr="00022508">
        <w:rPr>
          <w:rFonts w:asciiTheme="minorHAnsi" w:hAnsiTheme="minorHAnsi" w:cstheme="minorHAnsi"/>
          <w:sz w:val="22"/>
          <w:szCs w:val="22"/>
          <w:lang w:val="cs"/>
        </w:rPr>
        <w:t xml:space="preserve"> </w:t>
      </w:r>
      <w:proofErr w:type="spellStart"/>
      <w:r w:rsidRPr="00022508">
        <w:rPr>
          <w:rFonts w:asciiTheme="minorHAnsi" w:hAnsiTheme="minorHAnsi" w:cstheme="minorHAnsi"/>
          <w:sz w:val="22"/>
          <w:szCs w:val="22"/>
          <w:lang w:val="cs"/>
        </w:rPr>
        <w:t>of</w:t>
      </w:r>
      <w:proofErr w:type="spellEnd"/>
      <w:r w:rsidRPr="00022508">
        <w:rPr>
          <w:rFonts w:asciiTheme="minorHAnsi" w:hAnsiTheme="minorHAnsi" w:cstheme="minorHAnsi"/>
          <w:sz w:val="22"/>
          <w:szCs w:val="22"/>
          <w:lang w:val="cs"/>
        </w:rPr>
        <w:t xml:space="preserve"> </w:t>
      </w:r>
      <w:proofErr w:type="spellStart"/>
      <w:r w:rsidRPr="00022508">
        <w:rPr>
          <w:rFonts w:asciiTheme="minorHAnsi" w:hAnsiTheme="minorHAnsi" w:cstheme="minorHAnsi"/>
          <w:sz w:val="22"/>
          <w:szCs w:val="22"/>
          <w:lang w:val="cs"/>
        </w:rPr>
        <w:t>Chemical</w:t>
      </w:r>
      <w:proofErr w:type="spellEnd"/>
      <w:r w:rsidRPr="00022508">
        <w:rPr>
          <w:rFonts w:asciiTheme="minorHAnsi" w:hAnsiTheme="minorHAnsi" w:cstheme="minorHAnsi"/>
          <w:sz w:val="22"/>
          <w:szCs w:val="22"/>
          <w:lang w:val="cs"/>
        </w:rPr>
        <w:t xml:space="preserve"> </w:t>
      </w:r>
      <w:proofErr w:type="spellStart"/>
      <w:r w:rsidRPr="00022508">
        <w:rPr>
          <w:rFonts w:asciiTheme="minorHAnsi" w:hAnsiTheme="minorHAnsi" w:cstheme="minorHAnsi"/>
          <w:sz w:val="22"/>
          <w:szCs w:val="22"/>
          <w:lang w:val="cs"/>
        </w:rPr>
        <w:t>Weapons</w:t>
      </w:r>
      <w:proofErr w:type="spellEnd"/>
      <w:r w:rsidRPr="00022508">
        <w:rPr>
          <w:rFonts w:asciiTheme="minorHAnsi" w:hAnsiTheme="minorHAnsi" w:cstheme="minorHAnsi"/>
          <w:sz w:val="22"/>
          <w:szCs w:val="22"/>
          <w:lang w:val="cs"/>
        </w:rPr>
        <w:t xml:space="preserve"> [online]. Non-</w:t>
      </w:r>
      <w:proofErr w:type="spellStart"/>
      <w:r w:rsidRPr="00022508">
        <w:rPr>
          <w:rFonts w:asciiTheme="minorHAnsi" w:hAnsiTheme="minorHAnsi" w:cstheme="minorHAnsi"/>
          <w:sz w:val="22"/>
          <w:szCs w:val="22"/>
          <w:lang w:val="cs"/>
        </w:rPr>
        <w:t>Member</w:t>
      </w:r>
      <w:proofErr w:type="spellEnd"/>
      <w:r w:rsidRPr="00022508">
        <w:rPr>
          <w:rFonts w:asciiTheme="minorHAnsi" w:hAnsiTheme="minorHAnsi" w:cstheme="minorHAnsi"/>
          <w:sz w:val="22"/>
          <w:szCs w:val="22"/>
          <w:lang w:val="cs"/>
        </w:rPr>
        <w:t xml:space="preserve"> </w:t>
      </w:r>
      <w:proofErr w:type="spellStart"/>
      <w:r w:rsidRPr="00022508">
        <w:rPr>
          <w:rFonts w:asciiTheme="minorHAnsi" w:hAnsiTheme="minorHAnsi" w:cstheme="minorHAnsi"/>
          <w:sz w:val="22"/>
          <w:szCs w:val="22"/>
          <w:lang w:val="cs"/>
        </w:rPr>
        <w:t>States</w:t>
      </w:r>
      <w:proofErr w:type="spellEnd"/>
      <w:r w:rsidRPr="00022508">
        <w:rPr>
          <w:rFonts w:asciiTheme="minorHAnsi" w:hAnsiTheme="minorHAnsi" w:cstheme="minorHAnsi"/>
          <w:sz w:val="22"/>
          <w:szCs w:val="22"/>
          <w:lang w:val="cs"/>
        </w:rPr>
        <w:t xml:space="preserve">. Dostupné z: </w:t>
      </w:r>
      <w:hyperlink r:id="rId27" w:tgtFrame="_new" w:history="1">
        <w:r w:rsidRPr="00022508">
          <w:rPr>
            <w:rStyle w:val="Hypertextovodkaz"/>
            <w:rFonts w:asciiTheme="minorHAnsi" w:hAnsiTheme="minorHAnsi" w:cstheme="minorHAnsi"/>
            <w:color w:val="auto"/>
            <w:sz w:val="22"/>
            <w:szCs w:val="22"/>
            <w:lang w:val="cs"/>
          </w:rPr>
          <w:t>http://www.opcw.org/about-opcw/non-member-states/</w:t>
        </w:r>
      </w:hyperlink>
    </w:p>
    <w:p w14:paraId="3FFD7BF3" w14:textId="0E6DFB7A" w:rsidR="003903C8" w:rsidRPr="00022508" w:rsidRDefault="003903C8" w:rsidP="00A01F70">
      <w:pPr>
        <w:pStyle w:val="Normlnweb"/>
        <w:spacing w:before="0" w:beforeAutospacing="0" w:after="0" w:afterAutospacing="0" w:line="360" w:lineRule="auto"/>
        <w:ind w:firstLine="708"/>
        <w:jc w:val="both"/>
        <w:rPr>
          <w:rFonts w:asciiTheme="minorHAnsi" w:hAnsiTheme="minorHAnsi" w:cstheme="minorHAnsi"/>
          <w:sz w:val="22"/>
          <w:szCs w:val="22"/>
        </w:rPr>
      </w:pPr>
      <w:proofErr w:type="spellStart"/>
      <w:r w:rsidRPr="00022508">
        <w:rPr>
          <w:rFonts w:asciiTheme="minorHAnsi" w:hAnsiTheme="minorHAnsi" w:cstheme="minorHAnsi"/>
          <w:sz w:val="22"/>
          <w:szCs w:val="22"/>
          <w:lang w:val="cs"/>
        </w:rPr>
        <w:t>National</w:t>
      </w:r>
      <w:proofErr w:type="spellEnd"/>
      <w:r w:rsidRPr="00022508">
        <w:rPr>
          <w:rFonts w:asciiTheme="minorHAnsi" w:hAnsiTheme="minorHAnsi" w:cstheme="minorHAnsi"/>
          <w:sz w:val="22"/>
          <w:szCs w:val="22"/>
          <w:lang w:val="cs"/>
        </w:rPr>
        <w:t xml:space="preserve"> Center </w:t>
      </w:r>
      <w:proofErr w:type="spellStart"/>
      <w:r w:rsidRPr="00022508">
        <w:rPr>
          <w:rFonts w:asciiTheme="minorHAnsi" w:hAnsiTheme="minorHAnsi" w:cstheme="minorHAnsi"/>
          <w:sz w:val="22"/>
          <w:szCs w:val="22"/>
          <w:lang w:val="cs"/>
        </w:rPr>
        <w:t>for</w:t>
      </w:r>
      <w:proofErr w:type="spellEnd"/>
      <w:r w:rsidRPr="00022508">
        <w:rPr>
          <w:rFonts w:asciiTheme="minorHAnsi" w:hAnsiTheme="minorHAnsi" w:cstheme="minorHAnsi"/>
          <w:sz w:val="22"/>
          <w:szCs w:val="22"/>
          <w:lang w:val="cs"/>
        </w:rPr>
        <w:t xml:space="preserve"> Biotechnology </w:t>
      </w:r>
      <w:proofErr w:type="spellStart"/>
      <w:r w:rsidRPr="00022508">
        <w:rPr>
          <w:rFonts w:asciiTheme="minorHAnsi" w:hAnsiTheme="minorHAnsi" w:cstheme="minorHAnsi"/>
          <w:sz w:val="22"/>
          <w:szCs w:val="22"/>
          <w:lang w:val="cs"/>
        </w:rPr>
        <w:t>Information</w:t>
      </w:r>
      <w:proofErr w:type="spellEnd"/>
      <w:r w:rsidRPr="00022508">
        <w:rPr>
          <w:rFonts w:asciiTheme="minorHAnsi" w:hAnsiTheme="minorHAnsi" w:cstheme="minorHAnsi"/>
          <w:sz w:val="22"/>
          <w:szCs w:val="22"/>
          <w:lang w:val="cs"/>
        </w:rPr>
        <w:t>. (</w:t>
      </w:r>
      <w:proofErr w:type="spellStart"/>
      <w:r w:rsidRPr="00022508">
        <w:rPr>
          <w:rFonts w:asciiTheme="minorHAnsi" w:hAnsiTheme="minorHAnsi" w:cstheme="minorHAnsi"/>
          <w:sz w:val="22"/>
          <w:szCs w:val="22"/>
          <w:lang w:val="cs"/>
        </w:rPr>
        <w:t>n.d</w:t>
      </w:r>
      <w:proofErr w:type="spellEnd"/>
      <w:r w:rsidRPr="00022508">
        <w:rPr>
          <w:rFonts w:asciiTheme="minorHAnsi" w:hAnsiTheme="minorHAnsi" w:cstheme="minorHAnsi"/>
          <w:sz w:val="22"/>
          <w:szCs w:val="22"/>
          <w:lang w:val="cs"/>
        </w:rPr>
        <w:t xml:space="preserve">.). </w:t>
      </w:r>
      <w:proofErr w:type="spellStart"/>
      <w:r w:rsidRPr="00022508">
        <w:rPr>
          <w:rFonts w:asciiTheme="minorHAnsi" w:hAnsiTheme="minorHAnsi" w:cstheme="minorHAnsi"/>
          <w:i/>
          <w:iCs/>
          <w:sz w:val="22"/>
          <w:szCs w:val="22"/>
          <w:lang w:val="cs"/>
        </w:rPr>
        <w:t>PubChem</w:t>
      </w:r>
      <w:proofErr w:type="spellEnd"/>
      <w:r w:rsidRPr="00022508">
        <w:rPr>
          <w:rFonts w:asciiTheme="minorHAnsi" w:hAnsiTheme="minorHAnsi" w:cstheme="minorHAnsi"/>
          <w:i/>
          <w:iCs/>
          <w:sz w:val="22"/>
          <w:szCs w:val="22"/>
          <w:lang w:val="cs"/>
        </w:rPr>
        <w:t xml:space="preserve">: Open </w:t>
      </w:r>
      <w:proofErr w:type="spellStart"/>
      <w:r w:rsidRPr="00022508">
        <w:rPr>
          <w:rFonts w:asciiTheme="minorHAnsi" w:hAnsiTheme="minorHAnsi" w:cstheme="minorHAnsi"/>
          <w:i/>
          <w:iCs/>
          <w:sz w:val="22"/>
          <w:szCs w:val="22"/>
          <w:lang w:val="cs"/>
        </w:rPr>
        <w:t>Chemistry</w:t>
      </w:r>
      <w:proofErr w:type="spellEnd"/>
      <w:r w:rsidRPr="00022508">
        <w:rPr>
          <w:rFonts w:asciiTheme="minorHAnsi" w:hAnsiTheme="minorHAnsi" w:cstheme="minorHAnsi"/>
          <w:i/>
          <w:iCs/>
          <w:sz w:val="22"/>
          <w:szCs w:val="22"/>
          <w:lang w:val="cs"/>
        </w:rPr>
        <w:t xml:space="preserve"> Database</w:t>
      </w:r>
      <w:r w:rsidRPr="00022508">
        <w:rPr>
          <w:rFonts w:asciiTheme="minorHAnsi" w:hAnsiTheme="minorHAnsi" w:cstheme="minorHAnsi"/>
          <w:sz w:val="22"/>
          <w:szCs w:val="22"/>
          <w:lang w:val="cs"/>
        </w:rPr>
        <w:t xml:space="preserve">. Získáno z </w:t>
      </w:r>
      <w:hyperlink r:id="rId28" w:tgtFrame="_new" w:history="1">
        <w:r w:rsidRPr="00022508">
          <w:rPr>
            <w:rStyle w:val="Hypertextovodkaz"/>
            <w:rFonts w:asciiTheme="minorHAnsi" w:hAnsiTheme="minorHAnsi" w:cstheme="minorHAnsi"/>
            <w:color w:val="auto"/>
            <w:sz w:val="22"/>
            <w:szCs w:val="22"/>
            <w:lang w:val="cs"/>
          </w:rPr>
          <w:t>https://pubchem.ncbi.nlm.nih.gov</w:t>
        </w:r>
      </w:hyperlink>
    </w:p>
    <w:p w14:paraId="55E03AD6" w14:textId="54922324" w:rsidR="003D0AFE" w:rsidRPr="00022508" w:rsidRDefault="003D0AFE"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3D0AFE">
        <w:rPr>
          <w:rFonts w:asciiTheme="minorHAnsi" w:hAnsiTheme="minorHAnsi" w:cstheme="minorHAnsi"/>
          <w:sz w:val="22"/>
          <w:szCs w:val="22"/>
        </w:rPr>
        <w:t xml:space="preserve">Patočka, J. (2007). Klinické projevy otrav kyanidy. </w:t>
      </w:r>
      <w:r w:rsidRPr="003D0AFE">
        <w:rPr>
          <w:rFonts w:asciiTheme="minorHAnsi" w:hAnsiTheme="minorHAnsi" w:cstheme="minorHAnsi"/>
          <w:i/>
          <w:iCs/>
          <w:sz w:val="22"/>
          <w:szCs w:val="22"/>
        </w:rPr>
        <w:t>Vojenské zdravotnické listy</w:t>
      </w:r>
      <w:r w:rsidRPr="003D0AFE">
        <w:rPr>
          <w:rFonts w:asciiTheme="minorHAnsi" w:hAnsiTheme="minorHAnsi" w:cstheme="minorHAnsi"/>
          <w:sz w:val="22"/>
          <w:szCs w:val="22"/>
        </w:rPr>
        <w:t>, roč. 76</w:t>
      </w:r>
      <w:r w:rsidR="00A01F70" w:rsidRPr="00022508">
        <w:rPr>
          <w:rFonts w:asciiTheme="minorHAnsi" w:hAnsiTheme="minorHAnsi" w:cstheme="minorHAnsi"/>
          <w:sz w:val="22"/>
          <w:szCs w:val="22"/>
        </w:rPr>
        <w:t>.</w:t>
      </w:r>
    </w:p>
    <w:p w14:paraId="136D17B5" w14:textId="57870E4B" w:rsidR="003D0AFE" w:rsidRPr="00022508" w:rsidRDefault="00450B79"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022508">
        <w:rPr>
          <w:rFonts w:asciiTheme="minorHAnsi" w:hAnsiTheme="minorHAnsi" w:cstheme="minorHAnsi"/>
          <w:sz w:val="22"/>
          <w:szCs w:val="22"/>
        </w:rPr>
        <w:t>Patočka, J. (2007). Toxiny: jedy přírodního původu. Praha: Karolinum.</w:t>
      </w:r>
    </w:p>
    <w:p w14:paraId="093D168E" w14:textId="77777777" w:rsidR="00450B79" w:rsidRPr="00022508" w:rsidRDefault="00450B79"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022508">
        <w:rPr>
          <w:rFonts w:asciiTheme="minorHAnsi" w:hAnsiTheme="minorHAnsi" w:cstheme="minorHAnsi"/>
          <w:sz w:val="22"/>
          <w:szCs w:val="22"/>
        </w:rPr>
        <w:t xml:space="preserve">Patočka, J., &amp; Fusek, J. (2019). Biochemie chemických zbraní: Mechanismy a zdravotní důsledky. Brno: XYZ </w:t>
      </w:r>
      <w:proofErr w:type="spellStart"/>
      <w:r w:rsidRPr="00022508">
        <w:rPr>
          <w:rFonts w:asciiTheme="minorHAnsi" w:hAnsiTheme="minorHAnsi" w:cstheme="minorHAnsi"/>
          <w:sz w:val="22"/>
          <w:szCs w:val="22"/>
        </w:rPr>
        <w:t>Press</w:t>
      </w:r>
      <w:proofErr w:type="spellEnd"/>
      <w:r w:rsidRPr="00022508">
        <w:rPr>
          <w:rFonts w:asciiTheme="minorHAnsi" w:hAnsiTheme="minorHAnsi" w:cstheme="minorHAnsi"/>
          <w:sz w:val="22"/>
          <w:szCs w:val="22"/>
        </w:rPr>
        <w:t>.</w:t>
      </w:r>
    </w:p>
    <w:p w14:paraId="5FF7AE60" w14:textId="237CAD16" w:rsidR="0014798D" w:rsidRPr="00022508" w:rsidRDefault="0014798D"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14798D">
        <w:rPr>
          <w:rFonts w:asciiTheme="minorHAnsi" w:hAnsiTheme="minorHAnsi" w:cstheme="minorHAnsi"/>
          <w:sz w:val="22"/>
          <w:szCs w:val="22"/>
        </w:rPr>
        <w:t xml:space="preserve">Patočka, J. a Fusek, J. (2019). Dioxiny a jejich zdravotní dopady. </w:t>
      </w:r>
      <w:r w:rsidRPr="0014798D">
        <w:rPr>
          <w:rFonts w:asciiTheme="minorHAnsi" w:hAnsiTheme="minorHAnsi" w:cstheme="minorHAnsi"/>
          <w:i/>
          <w:iCs/>
          <w:sz w:val="22"/>
          <w:szCs w:val="22"/>
        </w:rPr>
        <w:t>Vojenské zdravotnické listy</w:t>
      </w:r>
      <w:r w:rsidRPr="0014798D">
        <w:rPr>
          <w:rFonts w:asciiTheme="minorHAnsi" w:hAnsiTheme="minorHAnsi" w:cstheme="minorHAnsi"/>
          <w:sz w:val="22"/>
          <w:szCs w:val="22"/>
        </w:rPr>
        <w:t>, roč. 78, č. 3.</w:t>
      </w:r>
    </w:p>
    <w:p w14:paraId="628D406E" w14:textId="77777777" w:rsidR="00522DD1" w:rsidRPr="00022508" w:rsidRDefault="00522DD1"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522DD1">
        <w:rPr>
          <w:rFonts w:asciiTheme="minorHAnsi" w:hAnsiTheme="minorHAnsi" w:cstheme="minorHAnsi"/>
          <w:sz w:val="22"/>
          <w:szCs w:val="22"/>
        </w:rPr>
        <w:t xml:space="preserve">Patočka, J. a Fusek, J. (2019). Mechanismy účinku látek způsobujících systémovou otravu. </w:t>
      </w:r>
      <w:r w:rsidRPr="00522DD1">
        <w:rPr>
          <w:rFonts w:asciiTheme="minorHAnsi" w:hAnsiTheme="minorHAnsi" w:cstheme="minorHAnsi"/>
          <w:i/>
          <w:iCs/>
          <w:sz w:val="22"/>
          <w:szCs w:val="22"/>
        </w:rPr>
        <w:t>Vojenské zdravotnické listy</w:t>
      </w:r>
      <w:r w:rsidRPr="00522DD1">
        <w:rPr>
          <w:rFonts w:asciiTheme="minorHAnsi" w:hAnsiTheme="minorHAnsi" w:cstheme="minorHAnsi"/>
          <w:sz w:val="22"/>
          <w:szCs w:val="22"/>
        </w:rPr>
        <w:t>, roč. 78, č. 4.</w:t>
      </w:r>
    </w:p>
    <w:p w14:paraId="6150EBBE" w14:textId="77777777" w:rsidR="0014798D" w:rsidRPr="0014798D" w:rsidRDefault="0014798D"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14798D">
        <w:rPr>
          <w:rFonts w:asciiTheme="minorHAnsi" w:hAnsiTheme="minorHAnsi" w:cstheme="minorHAnsi"/>
          <w:sz w:val="22"/>
          <w:szCs w:val="22"/>
        </w:rPr>
        <w:t xml:space="preserve">Patočka, J. a Fusek, J. (2019). </w:t>
      </w:r>
      <w:proofErr w:type="spellStart"/>
      <w:r w:rsidRPr="0014798D">
        <w:rPr>
          <w:rFonts w:asciiTheme="minorHAnsi" w:hAnsiTheme="minorHAnsi" w:cstheme="minorHAnsi"/>
          <w:sz w:val="22"/>
          <w:szCs w:val="22"/>
        </w:rPr>
        <w:t>Lakrimátory</w:t>
      </w:r>
      <w:proofErr w:type="spellEnd"/>
      <w:r w:rsidRPr="0014798D">
        <w:rPr>
          <w:rFonts w:asciiTheme="minorHAnsi" w:hAnsiTheme="minorHAnsi" w:cstheme="minorHAnsi"/>
          <w:sz w:val="22"/>
          <w:szCs w:val="22"/>
        </w:rPr>
        <w:t xml:space="preserve"> a jejich role v moderních konfliktech. </w:t>
      </w:r>
      <w:r w:rsidRPr="0014798D">
        <w:rPr>
          <w:rFonts w:asciiTheme="minorHAnsi" w:hAnsiTheme="minorHAnsi" w:cstheme="minorHAnsi"/>
          <w:i/>
          <w:iCs/>
          <w:sz w:val="22"/>
          <w:szCs w:val="22"/>
        </w:rPr>
        <w:t>Vojenské zdravotnické listy</w:t>
      </w:r>
      <w:r w:rsidRPr="0014798D">
        <w:rPr>
          <w:rFonts w:asciiTheme="minorHAnsi" w:hAnsiTheme="minorHAnsi" w:cstheme="minorHAnsi"/>
          <w:sz w:val="22"/>
          <w:szCs w:val="22"/>
        </w:rPr>
        <w:t>, roč. 78, č. 2.</w:t>
      </w:r>
    </w:p>
    <w:p w14:paraId="46E315AA" w14:textId="310B8F14" w:rsidR="00522DD1" w:rsidRPr="00022508" w:rsidRDefault="0014798D"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14798D">
        <w:rPr>
          <w:rFonts w:asciiTheme="minorHAnsi" w:hAnsiTheme="minorHAnsi" w:cstheme="minorHAnsi"/>
          <w:sz w:val="22"/>
          <w:szCs w:val="22"/>
        </w:rPr>
        <w:t xml:space="preserve">Patočka, J. a Fusek, J. (2019). </w:t>
      </w:r>
      <w:proofErr w:type="spellStart"/>
      <w:r w:rsidRPr="0014798D">
        <w:rPr>
          <w:rFonts w:asciiTheme="minorHAnsi" w:hAnsiTheme="minorHAnsi" w:cstheme="minorHAnsi"/>
          <w:sz w:val="22"/>
          <w:szCs w:val="22"/>
        </w:rPr>
        <w:t>Lakrimátory</w:t>
      </w:r>
      <w:proofErr w:type="spellEnd"/>
      <w:r w:rsidRPr="0014798D">
        <w:rPr>
          <w:rFonts w:asciiTheme="minorHAnsi" w:hAnsiTheme="minorHAnsi" w:cstheme="minorHAnsi"/>
          <w:sz w:val="22"/>
          <w:szCs w:val="22"/>
        </w:rPr>
        <w:t xml:space="preserve"> a psychotropní látky v moderním vojenském využití. </w:t>
      </w:r>
      <w:r w:rsidRPr="0014798D">
        <w:rPr>
          <w:rFonts w:asciiTheme="minorHAnsi" w:hAnsiTheme="minorHAnsi" w:cstheme="minorHAnsi"/>
          <w:i/>
          <w:iCs/>
          <w:sz w:val="22"/>
          <w:szCs w:val="22"/>
        </w:rPr>
        <w:t>Vojenské zdravotnické listy</w:t>
      </w:r>
      <w:r w:rsidRPr="0014798D">
        <w:rPr>
          <w:rFonts w:asciiTheme="minorHAnsi" w:hAnsiTheme="minorHAnsi" w:cstheme="minorHAnsi"/>
          <w:sz w:val="22"/>
          <w:szCs w:val="22"/>
        </w:rPr>
        <w:t>, roč. 78, č. 2.</w:t>
      </w:r>
    </w:p>
    <w:p w14:paraId="7ED4E519" w14:textId="77777777" w:rsidR="003D0AFE" w:rsidRPr="00022508" w:rsidRDefault="007B1A5C" w:rsidP="00A01F70">
      <w:pPr>
        <w:pStyle w:val="Normlnweb"/>
        <w:spacing w:before="0" w:beforeAutospacing="0" w:after="0" w:afterAutospacing="0" w:line="360" w:lineRule="auto"/>
        <w:ind w:firstLine="708"/>
        <w:jc w:val="both"/>
        <w:rPr>
          <w:rFonts w:asciiTheme="minorHAnsi" w:hAnsiTheme="minorHAnsi" w:cstheme="minorHAnsi"/>
          <w:sz w:val="22"/>
          <w:szCs w:val="22"/>
        </w:rPr>
      </w:pPr>
      <w:r w:rsidRPr="007B1A5C">
        <w:rPr>
          <w:rFonts w:asciiTheme="minorHAnsi" w:hAnsiTheme="minorHAnsi" w:cstheme="minorHAnsi"/>
          <w:sz w:val="22"/>
          <w:szCs w:val="22"/>
        </w:rPr>
        <w:lastRenderedPageBreak/>
        <w:t xml:space="preserve">Patočka, J. a Fusek, J. (2019). Mechanismy účinku nervově paralytických látek. </w:t>
      </w:r>
      <w:r w:rsidRPr="007B1A5C">
        <w:rPr>
          <w:rFonts w:asciiTheme="minorHAnsi" w:hAnsiTheme="minorHAnsi" w:cstheme="minorHAnsi"/>
          <w:i/>
          <w:iCs/>
          <w:sz w:val="22"/>
          <w:szCs w:val="22"/>
        </w:rPr>
        <w:t>Vojenské zdravotnické listy</w:t>
      </w:r>
      <w:r w:rsidRPr="007B1A5C">
        <w:rPr>
          <w:rFonts w:asciiTheme="minorHAnsi" w:hAnsiTheme="minorHAnsi" w:cstheme="minorHAnsi"/>
          <w:sz w:val="22"/>
          <w:szCs w:val="22"/>
        </w:rPr>
        <w:t>, roč. 78, č. 4.</w:t>
      </w:r>
    </w:p>
    <w:p w14:paraId="0846964B" w14:textId="77777777" w:rsidR="003D0AFE" w:rsidRPr="00022508" w:rsidRDefault="00450B79" w:rsidP="00022508">
      <w:pPr>
        <w:pStyle w:val="Normlnweb"/>
        <w:spacing w:before="0" w:beforeAutospacing="0" w:after="0" w:afterAutospacing="0" w:line="360" w:lineRule="auto"/>
        <w:ind w:firstLine="708"/>
        <w:jc w:val="both"/>
        <w:rPr>
          <w:rFonts w:asciiTheme="minorHAnsi" w:hAnsiTheme="minorHAnsi" w:cstheme="minorHAnsi"/>
          <w:sz w:val="22"/>
          <w:szCs w:val="22"/>
        </w:rPr>
      </w:pPr>
      <w:proofErr w:type="spellStart"/>
      <w:r w:rsidRPr="00022508">
        <w:rPr>
          <w:rFonts w:asciiTheme="minorHAnsi" w:hAnsiTheme="minorHAnsi" w:cstheme="minorHAnsi"/>
          <w:sz w:val="22"/>
          <w:szCs w:val="22"/>
        </w:rPr>
        <w:t>Pitschmann</w:t>
      </w:r>
      <w:proofErr w:type="spellEnd"/>
      <w:r w:rsidRPr="00022508">
        <w:rPr>
          <w:rFonts w:asciiTheme="minorHAnsi" w:hAnsiTheme="minorHAnsi" w:cstheme="minorHAnsi"/>
          <w:sz w:val="22"/>
          <w:szCs w:val="22"/>
        </w:rPr>
        <w:t xml:space="preserve">, V. (2001). Chemické látky a jejich využití v boji: Historie a současnost. Olomouc: GHI </w:t>
      </w:r>
      <w:proofErr w:type="spellStart"/>
      <w:r w:rsidRPr="00022508">
        <w:rPr>
          <w:rFonts w:asciiTheme="minorHAnsi" w:hAnsiTheme="minorHAnsi" w:cstheme="minorHAnsi"/>
          <w:sz w:val="22"/>
          <w:szCs w:val="22"/>
        </w:rPr>
        <w:t>Books</w:t>
      </w:r>
      <w:proofErr w:type="spellEnd"/>
      <w:r w:rsidRPr="00022508">
        <w:rPr>
          <w:rFonts w:asciiTheme="minorHAnsi" w:hAnsiTheme="minorHAnsi" w:cstheme="minorHAnsi"/>
          <w:sz w:val="22"/>
          <w:szCs w:val="22"/>
        </w:rPr>
        <w:t>.</w:t>
      </w:r>
    </w:p>
    <w:p w14:paraId="14C38D9F" w14:textId="77777777" w:rsidR="003D0AFE" w:rsidRPr="00022508" w:rsidRDefault="003D0AFE" w:rsidP="00022508">
      <w:pPr>
        <w:pStyle w:val="Normlnweb"/>
        <w:spacing w:before="0" w:beforeAutospacing="0" w:after="0" w:afterAutospacing="0" w:line="360" w:lineRule="auto"/>
        <w:ind w:firstLine="708"/>
        <w:jc w:val="both"/>
        <w:rPr>
          <w:rFonts w:asciiTheme="minorHAnsi" w:hAnsiTheme="minorHAnsi" w:cstheme="minorHAnsi"/>
          <w:sz w:val="22"/>
          <w:szCs w:val="22"/>
        </w:rPr>
      </w:pPr>
      <w:proofErr w:type="spellStart"/>
      <w:r w:rsidRPr="003D0AFE">
        <w:rPr>
          <w:rFonts w:asciiTheme="minorHAnsi" w:hAnsiTheme="minorHAnsi" w:cstheme="minorHAnsi"/>
          <w:sz w:val="22"/>
          <w:szCs w:val="22"/>
        </w:rPr>
        <w:t>Pitschmann</w:t>
      </w:r>
      <w:proofErr w:type="spellEnd"/>
      <w:r w:rsidRPr="003D0AFE">
        <w:rPr>
          <w:rFonts w:asciiTheme="minorHAnsi" w:hAnsiTheme="minorHAnsi" w:cstheme="minorHAnsi"/>
          <w:sz w:val="22"/>
          <w:szCs w:val="22"/>
        </w:rPr>
        <w:t xml:space="preserve">, V. (2008). Charakteristika dráždivých bojových chemických látek. </w:t>
      </w:r>
      <w:r w:rsidRPr="003D0AFE">
        <w:rPr>
          <w:rFonts w:asciiTheme="minorHAnsi" w:hAnsiTheme="minorHAnsi" w:cstheme="minorHAnsi"/>
          <w:i/>
          <w:iCs/>
          <w:sz w:val="22"/>
          <w:szCs w:val="22"/>
        </w:rPr>
        <w:t>Chemické listy</w:t>
      </w:r>
      <w:r w:rsidRPr="003D0AFE">
        <w:rPr>
          <w:rFonts w:asciiTheme="minorHAnsi" w:hAnsiTheme="minorHAnsi" w:cstheme="minorHAnsi"/>
          <w:sz w:val="22"/>
          <w:szCs w:val="22"/>
        </w:rPr>
        <w:t>, roč. 102, č. 6.</w:t>
      </w:r>
    </w:p>
    <w:p w14:paraId="457BF0E2" w14:textId="4C7DE4E9" w:rsidR="00450B79" w:rsidRPr="00022508" w:rsidRDefault="00450B79" w:rsidP="00022508">
      <w:pPr>
        <w:pStyle w:val="Normlnweb"/>
        <w:spacing w:before="0" w:beforeAutospacing="0" w:after="0" w:afterAutospacing="0" w:line="360" w:lineRule="auto"/>
        <w:ind w:firstLine="708"/>
        <w:jc w:val="both"/>
        <w:rPr>
          <w:rFonts w:asciiTheme="minorHAnsi" w:hAnsiTheme="minorHAnsi" w:cstheme="minorHAnsi"/>
          <w:sz w:val="22"/>
          <w:szCs w:val="22"/>
        </w:rPr>
      </w:pPr>
      <w:proofErr w:type="spellStart"/>
      <w:r w:rsidRPr="00022508">
        <w:rPr>
          <w:rFonts w:asciiTheme="minorHAnsi" w:hAnsiTheme="minorHAnsi" w:cstheme="minorHAnsi"/>
          <w:sz w:val="22"/>
          <w:szCs w:val="22"/>
        </w:rPr>
        <w:t>Pitschmann</w:t>
      </w:r>
      <w:proofErr w:type="spellEnd"/>
      <w:r w:rsidRPr="00022508">
        <w:rPr>
          <w:rFonts w:asciiTheme="minorHAnsi" w:hAnsiTheme="minorHAnsi" w:cstheme="minorHAnsi"/>
          <w:sz w:val="22"/>
          <w:szCs w:val="22"/>
        </w:rPr>
        <w:t xml:space="preserve">, V. (2008). Kyanovodík a jeho vojenské využití: Historické a současné perspektivy. Praha: GHI </w:t>
      </w:r>
      <w:proofErr w:type="spellStart"/>
      <w:r w:rsidRPr="00022508">
        <w:rPr>
          <w:rFonts w:asciiTheme="minorHAnsi" w:hAnsiTheme="minorHAnsi" w:cstheme="minorHAnsi"/>
          <w:sz w:val="22"/>
          <w:szCs w:val="22"/>
        </w:rPr>
        <w:t>Books</w:t>
      </w:r>
      <w:proofErr w:type="spellEnd"/>
      <w:r w:rsidRPr="00022508">
        <w:rPr>
          <w:rFonts w:asciiTheme="minorHAnsi" w:hAnsiTheme="minorHAnsi" w:cstheme="minorHAnsi"/>
          <w:sz w:val="22"/>
          <w:szCs w:val="22"/>
        </w:rPr>
        <w:t>.</w:t>
      </w:r>
    </w:p>
    <w:p w14:paraId="30D7B623" w14:textId="77777777" w:rsidR="003D0AFE" w:rsidRPr="00022508" w:rsidRDefault="0014798D" w:rsidP="00022508">
      <w:pPr>
        <w:pStyle w:val="Normlnweb"/>
        <w:spacing w:before="0" w:beforeAutospacing="0" w:after="0" w:afterAutospacing="0" w:line="360" w:lineRule="auto"/>
        <w:ind w:firstLine="708"/>
        <w:jc w:val="both"/>
        <w:rPr>
          <w:rFonts w:asciiTheme="minorHAnsi" w:hAnsiTheme="minorHAnsi" w:cstheme="minorHAnsi"/>
        </w:rPr>
      </w:pPr>
      <w:proofErr w:type="spellStart"/>
      <w:r w:rsidRPr="0014798D">
        <w:rPr>
          <w:rFonts w:asciiTheme="minorHAnsi" w:hAnsiTheme="minorHAnsi" w:cstheme="minorHAnsi"/>
          <w:sz w:val="22"/>
          <w:szCs w:val="22"/>
        </w:rPr>
        <w:t>Pitschmann</w:t>
      </w:r>
      <w:proofErr w:type="spellEnd"/>
      <w:r w:rsidRPr="0014798D">
        <w:rPr>
          <w:rFonts w:asciiTheme="minorHAnsi" w:hAnsiTheme="minorHAnsi" w:cstheme="minorHAnsi"/>
          <w:sz w:val="22"/>
          <w:szCs w:val="22"/>
        </w:rPr>
        <w:t xml:space="preserve">, V. (2008). Historie a současnost využití kyanovodíku. </w:t>
      </w:r>
      <w:r w:rsidRPr="0014798D">
        <w:rPr>
          <w:rFonts w:asciiTheme="minorHAnsi" w:hAnsiTheme="minorHAnsi" w:cstheme="minorHAnsi"/>
          <w:i/>
          <w:iCs/>
          <w:sz w:val="22"/>
          <w:szCs w:val="22"/>
        </w:rPr>
        <w:t>Vojenský historický sborník</w:t>
      </w:r>
      <w:r w:rsidRPr="0014798D">
        <w:rPr>
          <w:rFonts w:asciiTheme="minorHAnsi" w:hAnsiTheme="minorHAnsi" w:cstheme="minorHAnsi"/>
          <w:sz w:val="22"/>
          <w:szCs w:val="22"/>
        </w:rPr>
        <w:t>, roč. 47.</w:t>
      </w:r>
      <w:r w:rsidR="003D0AFE" w:rsidRPr="00022508">
        <w:rPr>
          <w:rFonts w:asciiTheme="minorHAnsi" w:hAnsiTheme="minorHAnsi" w:cstheme="minorHAnsi"/>
        </w:rPr>
        <w:t xml:space="preserve"> </w:t>
      </w:r>
    </w:p>
    <w:p w14:paraId="41E5EB91" w14:textId="5E7324CB" w:rsidR="003D0AFE" w:rsidRPr="0014798D" w:rsidRDefault="003D0AFE" w:rsidP="00022508">
      <w:pPr>
        <w:pStyle w:val="Normlnweb"/>
        <w:spacing w:before="0" w:beforeAutospacing="0" w:after="0" w:afterAutospacing="0" w:line="360" w:lineRule="auto"/>
        <w:ind w:firstLine="708"/>
        <w:jc w:val="both"/>
        <w:rPr>
          <w:rFonts w:asciiTheme="minorHAnsi" w:hAnsiTheme="minorHAnsi" w:cstheme="minorHAnsi"/>
          <w:sz w:val="22"/>
          <w:szCs w:val="22"/>
        </w:rPr>
      </w:pPr>
      <w:proofErr w:type="spellStart"/>
      <w:r w:rsidRPr="00022508">
        <w:rPr>
          <w:rFonts w:asciiTheme="minorHAnsi" w:hAnsiTheme="minorHAnsi" w:cstheme="minorHAnsi"/>
          <w:sz w:val="22"/>
          <w:szCs w:val="22"/>
        </w:rPr>
        <w:t>Pitschmann</w:t>
      </w:r>
      <w:proofErr w:type="spellEnd"/>
      <w:r w:rsidRPr="00022508">
        <w:rPr>
          <w:rFonts w:asciiTheme="minorHAnsi" w:hAnsiTheme="minorHAnsi" w:cstheme="minorHAnsi"/>
          <w:sz w:val="22"/>
          <w:szCs w:val="22"/>
        </w:rPr>
        <w:t xml:space="preserve">, V. (2008). Psychotropní účinky a farmakologie BZ. </w:t>
      </w:r>
      <w:r w:rsidRPr="00022508">
        <w:rPr>
          <w:rFonts w:asciiTheme="minorHAnsi" w:hAnsiTheme="minorHAnsi" w:cstheme="minorHAnsi"/>
          <w:i/>
          <w:iCs/>
          <w:sz w:val="22"/>
          <w:szCs w:val="22"/>
        </w:rPr>
        <w:t>Vojenské zdravotnické listy</w:t>
      </w:r>
      <w:r w:rsidRPr="00022508">
        <w:rPr>
          <w:rFonts w:asciiTheme="minorHAnsi" w:hAnsiTheme="minorHAnsi" w:cstheme="minorHAnsi"/>
          <w:sz w:val="22"/>
          <w:szCs w:val="22"/>
        </w:rPr>
        <w:t>, roč. 76, č. 4.</w:t>
      </w:r>
    </w:p>
    <w:p w14:paraId="57F9375A" w14:textId="77777777" w:rsidR="003D0AFE" w:rsidRPr="00022508" w:rsidRDefault="00450B79" w:rsidP="00022508">
      <w:pPr>
        <w:pStyle w:val="Normlnweb"/>
        <w:spacing w:before="0" w:beforeAutospacing="0" w:after="0" w:afterAutospacing="0" w:line="360" w:lineRule="auto"/>
        <w:ind w:firstLine="708"/>
        <w:jc w:val="both"/>
        <w:rPr>
          <w:rFonts w:asciiTheme="minorHAnsi" w:hAnsiTheme="minorHAnsi" w:cstheme="minorHAnsi"/>
          <w:sz w:val="22"/>
          <w:szCs w:val="22"/>
        </w:rPr>
      </w:pPr>
      <w:proofErr w:type="spellStart"/>
      <w:r w:rsidRPr="00022508">
        <w:rPr>
          <w:rFonts w:asciiTheme="minorHAnsi" w:hAnsiTheme="minorHAnsi" w:cstheme="minorHAnsi"/>
          <w:sz w:val="22"/>
          <w:szCs w:val="22"/>
        </w:rPr>
        <w:t>Prymula</w:t>
      </w:r>
      <w:proofErr w:type="spellEnd"/>
      <w:r w:rsidRPr="00022508">
        <w:rPr>
          <w:rFonts w:asciiTheme="minorHAnsi" w:hAnsiTheme="minorHAnsi" w:cstheme="minorHAnsi"/>
          <w:sz w:val="22"/>
          <w:szCs w:val="22"/>
        </w:rPr>
        <w:t xml:space="preserve">, R. et al. (2002). Biologický a chemický terorismus. Praha: Grada </w:t>
      </w:r>
      <w:proofErr w:type="spellStart"/>
      <w:r w:rsidRPr="00022508">
        <w:rPr>
          <w:rFonts w:asciiTheme="minorHAnsi" w:hAnsiTheme="minorHAnsi" w:cstheme="minorHAnsi"/>
          <w:sz w:val="22"/>
          <w:szCs w:val="22"/>
        </w:rPr>
        <w:t>Publishing</w:t>
      </w:r>
      <w:proofErr w:type="spellEnd"/>
      <w:r w:rsidRPr="00022508">
        <w:rPr>
          <w:rFonts w:asciiTheme="minorHAnsi" w:hAnsiTheme="minorHAnsi" w:cstheme="minorHAnsi"/>
          <w:sz w:val="22"/>
          <w:szCs w:val="22"/>
        </w:rPr>
        <w:t>.</w:t>
      </w:r>
    </w:p>
    <w:p w14:paraId="08F1EC07" w14:textId="4B4CAF98" w:rsidR="003D0AFE" w:rsidRPr="00022508" w:rsidRDefault="003D0AFE" w:rsidP="00022508">
      <w:pPr>
        <w:pStyle w:val="Normlnweb"/>
        <w:spacing w:before="0" w:beforeAutospacing="0" w:after="0" w:afterAutospacing="0" w:line="360" w:lineRule="auto"/>
        <w:ind w:firstLine="708"/>
        <w:jc w:val="both"/>
        <w:rPr>
          <w:rFonts w:asciiTheme="minorHAnsi" w:hAnsiTheme="minorHAnsi" w:cstheme="minorHAnsi"/>
          <w:sz w:val="22"/>
          <w:szCs w:val="22"/>
        </w:rPr>
      </w:pPr>
      <w:proofErr w:type="spellStart"/>
      <w:r w:rsidRPr="003D0AFE">
        <w:rPr>
          <w:rFonts w:asciiTheme="minorHAnsi" w:hAnsiTheme="minorHAnsi" w:cstheme="minorHAnsi"/>
          <w:sz w:val="22"/>
          <w:szCs w:val="22"/>
        </w:rPr>
        <w:t>Prymula</w:t>
      </w:r>
      <w:proofErr w:type="spellEnd"/>
      <w:r w:rsidRPr="003D0AFE">
        <w:rPr>
          <w:rFonts w:asciiTheme="minorHAnsi" w:hAnsiTheme="minorHAnsi" w:cstheme="minorHAnsi"/>
          <w:sz w:val="22"/>
          <w:szCs w:val="22"/>
        </w:rPr>
        <w:t xml:space="preserve">, R. (2007). Léčba akutních otrav kyanidy: Postupy a doporučení. </w:t>
      </w:r>
      <w:r w:rsidRPr="003D0AFE">
        <w:rPr>
          <w:rFonts w:asciiTheme="minorHAnsi" w:hAnsiTheme="minorHAnsi" w:cstheme="minorHAnsi"/>
          <w:i/>
          <w:iCs/>
          <w:sz w:val="22"/>
          <w:szCs w:val="22"/>
        </w:rPr>
        <w:t>Toxikologické přehledy</w:t>
      </w:r>
      <w:r w:rsidRPr="003D0AFE">
        <w:rPr>
          <w:rFonts w:asciiTheme="minorHAnsi" w:hAnsiTheme="minorHAnsi" w:cstheme="minorHAnsi"/>
          <w:sz w:val="22"/>
          <w:szCs w:val="22"/>
        </w:rPr>
        <w:t>, roč. 12, č. 3.</w:t>
      </w:r>
    </w:p>
    <w:p w14:paraId="7AA1B3DD" w14:textId="584F3932" w:rsidR="00297C67" w:rsidRPr="003D0AFE" w:rsidRDefault="00515200" w:rsidP="00022508">
      <w:pPr>
        <w:pStyle w:val="Normlnweb"/>
        <w:spacing w:before="0" w:beforeAutospacing="0" w:after="0" w:afterAutospacing="0" w:line="360" w:lineRule="auto"/>
        <w:ind w:firstLine="708"/>
        <w:jc w:val="both"/>
        <w:rPr>
          <w:rFonts w:asciiTheme="minorHAnsi" w:hAnsiTheme="minorHAnsi" w:cstheme="minorHAnsi"/>
          <w:sz w:val="22"/>
          <w:szCs w:val="22"/>
        </w:rPr>
      </w:pPr>
      <w:r w:rsidRPr="00022508">
        <w:rPr>
          <w:rFonts w:asciiTheme="minorHAnsi" w:hAnsiTheme="minorHAnsi" w:cstheme="minorHAnsi"/>
          <w:sz w:val="22"/>
          <w:szCs w:val="22"/>
          <w:lang w:val="cs"/>
        </w:rPr>
        <w:t xml:space="preserve">SAICM. </w:t>
      </w:r>
      <w:proofErr w:type="spellStart"/>
      <w:r w:rsidRPr="00022508">
        <w:rPr>
          <w:rFonts w:asciiTheme="minorHAnsi" w:hAnsiTheme="minorHAnsi" w:cstheme="minorHAnsi"/>
          <w:i/>
          <w:iCs/>
          <w:sz w:val="22"/>
          <w:szCs w:val="22"/>
          <w:lang w:val="cs"/>
        </w:rPr>
        <w:t>Strategic</w:t>
      </w:r>
      <w:proofErr w:type="spellEnd"/>
      <w:r w:rsidRPr="00022508">
        <w:rPr>
          <w:rFonts w:asciiTheme="minorHAnsi" w:hAnsiTheme="minorHAnsi" w:cstheme="minorHAnsi"/>
          <w:i/>
          <w:iCs/>
          <w:sz w:val="22"/>
          <w:szCs w:val="22"/>
          <w:lang w:val="cs"/>
        </w:rPr>
        <w:t xml:space="preserve"> </w:t>
      </w:r>
      <w:proofErr w:type="spellStart"/>
      <w:r w:rsidRPr="00022508">
        <w:rPr>
          <w:rFonts w:asciiTheme="minorHAnsi" w:hAnsiTheme="minorHAnsi" w:cstheme="minorHAnsi"/>
          <w:i/>
          <w:iCs/>
          <w:sz w:val="22"/>
          <w:szCs w:val="22"/>
          <w:lang w:val="cs"/>
        </w:rPr>
        <w:t>Approach</w:t>
      </w:r>
      <w:proofErr w:type="spellEnd"/>
      <w:r w:rsidRPr="00022508">
        <w:rPr>
          <w:rFonts w:asciiTheme="minorHAnsi" w:hAnsiTheme="minorHAnsi" w:cstheme="minorHAnsi"/>
          <w:i/>
          <w:iCs/>
          <w:sz w:val="22"/>
          <w:szCs w:val="22"/>
          <w:lang w:val="cs"/>
        </w:rPr>
        <w:t xml:space="preserve"> to International </w:t>
      </w:r>
      <w:proofErr w:type="spellStart"/>
      <w:r w:rsidRPr="00022508">
        <w:rPr>
          <w:rFonts w:asciiTheme="minorHAnsi" w:hAnsiTheme="minorHAnsi" w:cstheme="minorHAnsi"/>
          <w:i/>
          <w:iCs/>
          <w:sz w:val="22"/>
          <w:szCs w:val="22"/>
          <w:lang w:val="cs"/>
        </w:rPr>
        <w:t>Chemical</w:t>
      </w:r>
      <w:proofErr w:type="spellEnd"/>
      <w:r w:rsidRPr="00022508">
        <w:rPr>
          <w:rFonts w:asciiTheme="minorHAnsi" w:hAnsiTheme="minorHAnsi" w:cstheme="minorHAnsi"/>
          <w:i/>
          <w:iCs/>
          <w:sz w:val="22"/>
          <w:szCs w:val="22"/>
          <w:lang w:val="cs"/>
        </w:rPr>
        <w:t xml:space="preserve"> Management: </w:t>
      </w:r>
      <w:proofErr w:type="spellStart"/>
      <w:r w:rsidRPr="00022508">
        <w:rPr>
          <w:rFonts w:asciiTheme="minorHAnsi" w:hAnsiTheme="minorHAnsi" w:cstheme="minorHAnsi"/>
          <w:i/>
          <w:iCs/>
          <w:sz w:val="22"/>
          <w:szCs w:val="22"/>
          <w:lang w:val="cs"/>
        </w:rPr>
        <w:t>the</w:t>
      </w:r>
      <w:proofErr w:type="spellEnd"/>
      <w:r w:rsidRPr="00022508">
        <w:rPr>
          <w:rFonts w:asciiTheme="minorHAnsi" w:hAnsiTheme="minorHAnsi" w:cstheme="minorHAnsi"/>
          <w:i/>
          <w:iCs/>
          <w:sz w:val="22"/>
          <w:szCs w:val="22"/>
          <w:lang w:val="cs"/>
        </w:rPr>
        <w:t xml:space="preserve"> web</w:t>
      </w:r>
      <w:r w:rsidRPr="00022508">
        <w:rPr>
          <w:rFonts w:asciiTheme="minorHAnsi" w:hAnsiTheme="minorHAnsi" w:cstheme="minorHAnsi"/>
          <w:sz w:val="22"/>
          <w:szCs w:val="22"/>
          <w:lang w:val="cs"/>
        </w:rPr>
        <w:t xml:space="preserve"> [online]. Geneva,2015Dostupnéz:</w:t>
      </w:r>
      <w:r w:rsidRPr="00022508">
        <w:rPr>
          <w:rFonts w:asciiTheme="minorHAnsi" w:hAnsiTheme="minorHAnsi" w:cstheme="minorHAnsi"/>
          <w:sz w:val="22"/>
          <w:szCs w:val="22"/>
          <w:lang w:val="cs"/>
        </w:rPr>
        <w:t xml:space="preserve"> </w:t>
      </w:r>
      <w:r w:rsidRPr="00022508">
        <w:rPr>
          <w:rFonts w:asciiTheme="minorHAnsi" w:hAnsiTheme="minorHAnsi" w:cstheme="minorHAnsi"/>
          <w:sz w:val="22"/>
          <w:szCs w:val="22"/>
          <w:lang w:val="cs"/>
        </w:rPr>
        <w:t>http://www.saicm.org/index.php?option=com_content&amp;view=article&amp;id=71&amp;Itemid=473</w:t>
      </w:r>
    </w:p>
    <w:p w14:paraId="06C1F206" w14:textId="4F4A2FB5" w:rsidR="00450B79" w:rsidRPr="00022508" w:rsidRDefault="00450B79" w:rsidP="00022508">
      <w:pPr>
        <w:pStyle w:val="Normlnweb"/>
        <w:spacing w:before="0" w:beforeAutospacing="0" w:after="0" w:afterAutospacing="0" w:line="360" w:lineRule="auto"/>
        <w:ind w:firstLine="708"/>
        <w:jc w:val="both"/>
        <w:rPr>
          <w:rFonts w:asciiTheme="minorHAnsi" w:hAnsiTheme="minorHAnsi" w:cstheme="minorHAnsi"/>
          <w:sz w:val="22"/>
          <w:szCs w:val="22"/>
        </w:rPr>
      </w:pPr>
      <w:r w:rsidRPr="00022508">
        <w:rPr>
          <w:rFonts w:asciiTheme="minorHAnsi" w:hAnsiTheme="minorHAnsi" w:cstheme="minorHAnsi"/>
          <w:sz w:val="22"/>
          <w:szCs w:val="22"/>
        </w:rPr>
        <w:t xml:space="preserve">Smith, J. (2017). Agent Orange: Historie a ekologické následky. New York: </w:t>
      </w:r>
      <w:proofErr w:type="spellStart"/>
      <w:r w:rsidRPr="00022508">
        <w:rPr>
          <w:rFonts w:asciiTheme="minorHAnsi" w:hAnsiTheme="minorHAnsi" w:cstheme="minorHAnsi"/>
          <w:sz w:val="22"/>
          <w:szCs w:val="22"/>
        </w:rPr>
        <w:t>Springer</w:t>
      </w:r>
      <w:proofErr w:type="spellEnd"/>
      <w:r w:rsidRPr="00022508">
        <w:rPr>
          <w:rFonts w:asciiTheme="minorHAnsi" w:hAnsiTheme="minorHAnsi" w:cstheme="minorHAnsi"/>
          <w:sz w:val="22"/>
          <w:szCs w:val="22"/>
        </w:rPr>
        <w:t>.</w:t>
      </w:r>
    </w:p>
    <w:p w14:paraId="0B3F00B7" w14:textId="1C3F3089" w:rsidR="00BC04E7" w:rsidRPr="00022508" w:rsidRDefault="00BC04E7" w:rsidP="00022508">
      <w:pPr>
        <w:pStyle w:val="Normlnweb"/>
        <w:spacing w:before="0" w:beforeAutospacing="0" w:after="0" w:afterAutospacing="0" w:line="360" w:lineRule="auto"/>
        <w:ind w:firstLine="708"/>
        <w:jc w:val="both"/>
        <w:rPr>
          <w:rFonts w:asciiTheme="minorHAnsi" w:hAnsiTheme="minorHAnsi" w:cstheme="minorHAnsi"/>
          <w:sz w:val="22"/>
          <w:szCs w:val="22"/>
        </w:rPr>
      </w:pPr>
      <w:r w:rsidRPr="00022508">
        <w:rPr>
          <w:rFonts w:asciiTheme="minorHAnsi" w:hAnsiTheme="minorHAnsi" w:cstheme="minorHAnsi"/>
          <w:sz w:val="22"/>
          <w:szCs w:val="22"/>
        </w:rPr>
        <w:t xml:space="preserve">Smith, J., Jones, R., &amp; Taylor, K. (2015). </w:t>
      </w:r>
      <w:proofErr w:type="spellStart"/>
      <w:r w:rsidRPr="00022508">
        <w:rPr>
          <w:rFonts w:asciiTheme="minorHAnsi" w:hAnsiTheme="minorHAnsi" w:cstheme="minorHAnsi"/>
          <w:sz w:val="22"/>
          <w:szCs w:val="22"/>
        </w:rPr>
        <w:t>Persistent</w:t>
      </w:r>
      <w:proofErr w:type="spellEnd"/>
      <w:r w:rsidRPr="00022508">
        <w:rPr>
          <w:rFonts w:asciiTheme="minorHAnsi" w:hAnsiTheme="minorHAnsi" w:cstheme="minorHAnsi"/>
          <w:sz w:val="22"/>
          <w:szCs w:val="22"/>
        </w:rPr>
        <w:t xml:space="preserve"> </w:t>
      </w:r>
      <w:proofErr w:type="spellStart"/>
      <w:r w:rsidRPr="00022508">
        <w:rPr>
          <w:rFonts w:asciiTheme="minorHAnsi" w:hAnsiTheme="minorHAnsi" w:cstheme="minorHAnsi"/>
          <w:sz w:val="22"/>
          <w:szCs w:val="22"/>
        </w:rPr>
        <w:t>organic</w:t>
      </w:r>
      <w:proofErr w:type="spellEnd"/>
      <w:r w:rsidRPr="00022508">
        <w:rPr>
          <w:rFonts w:asciiTheme="minorHAnsi" w:hAnsiTheme="minorHAnsi" w:cstheme="minorHAnsi"/>
          <w:sz w:val="22"/>
          <w:szCs w:val="22"/>
        </w:rPr>
        <w:t xml:space="preserve"> </w:t>
      </w:r>
      <w:proofErr w:type="spellStart"/>
      <w:r w:rsidRPr="00022508">
        <w:rPr>
          <w:rFonts w:asciiTheme="minorHAnsi" w:hAnsiTheme="minorHAnsi" w:cstheme="minorHAnsi"/>
          <w:sz w:val="22"/>
          <w:szCs w:val="22"/>
        </w:rPr>
        <w:t>pollutants</w:t>
      </w:r>
      <w:proofErr w:type="spellEnd"/>
      <w:r w:rsidRPr="00022508">
        <w:rPr>
          <w:rFonts w:asciiTheme="minorHAnsi" w:hAnsiTheme="minorHAnsi" w:cstheme="minorHAnsi"/>
          <w:sz w:val="22"/>
          <w:szCs w:val="22"/>
        </w:rPr>
        <w:t xml:space="preserve"> in </w:t>
      </w:r>
      <w:proofErr w:type="spellStart"/>
      <w:r w:rsidRPr="00022508">
        <w:rPr>
          <w:rFonts w:asciiTheme="minorHAnsi" w:hAnsiTheme="minorHAnsi" w:cstheme="minorHAnsi"/>
          <w:sz w:val="22"/>
          <w:szCs w:val="22"/>
        </w:rPr>
        <w:t>military</w:t>
      </w:r>
      <w:proofErr w:type="spellEnd"/>
      <w:r w:rsidRPr="00022508">
        <w:rPr>
          <w:rFonts w:asciiTheme="minorHAnsi" w:hAnsiTheme="minorHAnsi" w:cstheme="minorHAnsi"/>
          <w:sz w:val="22"/>
          <w:szCs w:val="22"/>
        </w:rPr>
        <w:t xml:space="preserve"> </w:t>
      </w:r>
      <w:proofErr w:type="spellStart"/>
      <w:r w:rsidRPr="00022508">
        <w:rPr>
          <w:rFonts w:asciiTheme="minorHAnsi" w:hAnsiTheme="minorHAnsi" w:cstheme="minorHAnsi"/>
          <w:sz w:val="22"/>
          <w:szCs w:val="22"/>
        </w:rPr>
        <w:t>conflict</w:t>
      </w:r>
      <w:proofErr w:type="spellEnd"/>
      <w:r w:rsidRPr="00022508">
        <w:rPr>
          <w:rFonts w:asciiTheme="minorHAnsi" w:hAnsiTheme="minorHAnsi" w:cstheme="minorHAnsi"/>
          <w:sz w:val="22"/>
          <w:szCs w:val="22"/>
        </w:rPr>
        <w:t xml:space="preserve"> </w:t>
      </w:r>
      <w:proofErr w:type="spellStart"/>
      <w:r w:rsidRPr="00022508">
        <w:rPr>
          <w:rFonts w:asciiTheme="minorHAnsi" w:hAnsiTheme="minorHAnsi" w:cstheme="minorHAnsi"/>
          <w:sz w:val="22"/>
          <w:szCs w:val="22"/>
        </w:rPr>
        <w:t>areas</w:t>
      </w:r>
      <w:proofErr w:type="spellEnd"/>
      <w:r w:rsidRPr="00022508">
        <w:rPr>
          <w:rFonts w:asciiTheme="minorHAnsi" w:hAnsiTheme="minorHAnsi" w:cstheme="minorHAnsi"/>
          <w:sz w:val="22"/>
          <w:szCs w:val="22"/>
        </w:rPr>
        <w:t xml:space="preserve">. </w:t>
      </w:r>
      <w:proofErr w:type="spellStart"/>
      <w:r w:rsidRPr="00022508">
        <w:rPr>
          <w:rFonts w:asciiTheme="minorHAnsi" w:hAnsiTheme="minorHAnsi" w:cstheme="minorHAnsi"/>
          <w:i/>
          <w:iCs/>
          <w:sz w:val="22"/>
          <w:szCs w:val="22"/>
        </w:rPr>
        <w:t>Environmental</w:t>
      </w:r>
      <w:proofErr w:type="spellEnd"/>
      <w:r w:rsidRPr="00022508">
        <w:rPr>
          <w:rFonts w:asciiTheme="minorHAnsi" w:hAnsiTheme="minorHAnsi" w:cstheme="minorHAnsi"/>
          <w:i/>
          <w:iCs/>
          <w:sz w:val="22"/>
          <w:szCs w:val="22"/>
        </w:rPr>
        <w:t xml:space="preserve"> Science &amp; Technology</w:t>
      </w:r>
      <w:r w:rsidRPr="00022508">
        <w:rPr>
          <w:rFonts w:asciiTheme="minorHAnsi" w:hAnsiTheme="minorHAnsi" w:cstheme="minorHAnsi"/>
          <w:sz w:val="22"/>
          <w:szCs w:val="22"/>
        </w:rPr>
        <w:t>, 49(12), 7505–7513. DOI: 10.1021/es506100k</w:t>
      </w:r>
    </w:p>
    <w:p w14:paraId="596E7A37" w14:textId="7EE17144" w:rsidR="00450B79" w:rsidRPr="00022508" w:rsidRDefault="00450B79" w:rsidP="00022508">
      <w:pPr>
        <w:pStyle w:val="Normlnweb"/>
        <w:spacing w:before="0" w:beforeAutospacing="0" w:after="0" w:afterAutospacing="0" w:line="360" w:lineRule="auto"/>
        <w:ind w:firstLine="708"/>
        <w:jc w:val="both"/>
        <w:rPr>
          <w:rFonts w:asciiTheme="minorHAnsi" w:hAnsiTheme="minorHAnsi" w:cstheme="minorHAnsi"/>
          <w:sz w:val="22"/>
          <w:szCs w:val="22"/>
        </w:rPr>
      </w:pPr>
      <w:r w:rsidRPr="00022508">
        <w:rPr>
          <w:rFonts w:asciiTheme="minorHAnsi" w:hAnsiTheme="minorHAnsi" w:cstheme="minorHAnsi"/>
          <w:sz w:val="22"/>
          <w:szCs w:val="22"/>
        </w:rPr>
        <w:t xml:space="preserve">Štěrba, P., &amp; Suchánek, R. (2006). Biologické účinky chemických látek. Olomouc: DEF </w:t>
      </w:r>
      <w:proofErr w:type="spellStart"/>
      <w:r w:rsidRPr="00022508">
        <w:rPr>
          <w:rFonts w:asciiTheme="minorHAnsi" w:hAnsiTheme="minorHAnsi" w:cstheme="minorHAnsi"/>
          <w:sz w:val="22"/>
          <w:szCs w:val="22"/>
        </w:rPr>
        <w:t>Publishing</w:t>
      </w:r>
      <w:proofErr w:type="spellEnd"/>
      <w:r w:rsidRPr="00022508">
        <w:rPr>
          <w:rFonts w:asciiTheme="minorHAnsi" w:hAnsiTheme="minorHAnsi" w:cstheme="minorHAnsi"/>
          <w:sz w:val="22"/>
          <w:szCs w:val="22"/>
        </w:rPr>
        <w:t>.</w:t>
      </w:r>
    </w:p>
    <w:p w14:paraId="74475235" w14:textId="77777777" w:rsidR="00F029A4" w:rsidRPr="00022508" w:rsidRDefault="00F029A4" w:rsidP="00022508">
      <w:pPr>
        <w:spacing w:after="0"/>
        <w:rPr>
          <w:rFonts w:cstheme="minorHAnsi"/>
        </w:rPr>
      </w:pPr>
      <w:r w:rsidRPr="00022508">
        <w:rPr>
          <w:rFonts w:cstheme="minorHAnsi"/>
        </w:rPr>
        <w:t>Ústav zdravotnických informací a statistiky České republiky. (</w:t>
      </w:r>
      <w:proofErr w:type="spellStart"/>
      <w:r w:rsidRPr="00022508">
        <w:rPr>
          <w:rFonts w:cstheme="minorHAnsi"/>
        </w:rPr>
        <w:t>n.d</w:t>
      </w:r>
      <w:proofErr w:type="spellEnd"/>
      <w:r w:rsidRPr="00022508">
        <w:rPr>
          <w:rFonts w:cstheme="minorHAnsi"/>
        </w:rPr>
        <w:t xml:space="preserve">.). </w:t>
      </w:r>
      <w:r w:rsidRPr="00022508">
        <w:rPr>
          <w:rFonts w:cstheme="minorHAnsi"/>
          <w:i/>
          <w:iCs/>
        </w:rPr>
        <w:t>Registr chemických látek a prostředků (CHLAP)</w:t>
      </w:r>
      <w:r w:rsidRPr="00022508">
        <w:rPr>
          <w:rFonts w:cstheme="minorHAnsi"/>
        </w:rPr>
        <w:t xml:space="preserve">. Získáno z </w:t>
      </w:r>
      <w:hyperlink r:id="rId29" w:tgtFrame="_new" w:history="1">
        <w:r w:rsidRPr="00022508">
          <w:rPr>
            <w:rStyle w:val="Hypertextovodkaz"/>
            <w:rFonts w:cstheme="minorHAnsi"/>
            <w:color w:val="auto"/>
            <w:lang w:val="cs-CZ"/>
          </w:rPr>
          <w:t>https://www.uzis.cz/index.php?pg=registry-sber-dat--ochrana-</w:t>
        </w:r>
        <w:proofErr w:type="spellStart"/>
        <w:r w:rsidRPr="00022508">
          <w:rPr>
            <w:rStyle w:val="Hypertextovodkaz"/>
            <w:rFonts w:cstheme="minorHAnsi"/>
            <w:color w:val="auto"/>
            <w:lang w:val="cs-CZ"/>
          </w:rPr>
          <w:t>verejneho</w:t>
        </w:r>
        <w:proofErr w:type="spellEnd"/>
        <w:r w:rsidRPr="00022508">
          <w:rPr>
            <w:rStyle w:val="Hypertextovodkaz"/>
            <w:rFonts w:cstheme="minorHAnsi"/>
            <w:color w:val="auto"/>
            <w:lang w:val="cs-CZ"/>
          </w:rPr>
          <w:t>-</w:t>
        </w:r>
        <w:proofErr w:type="spellStart"/>
        <w:r w:rsidRPr="00022508">
          <w:rPr>
            <w:rStyle w:val="Hypertextovodkaz"/>
            <w:rFonts w:cstheme="minorHAnsi"/>
            <w:color w:val="auto"/>
            <w:lang w:val="cs-CZ"/>
          </w:rPr>
          <w:t>zdravi</w:t>
        </w:r>
        <w:proofErr w:type="spellEnd"/>
        <w:r w:rsidRPr="00022508">
          <w:rPr>
            <w:rStyle w:val="Hypertextovodkaz"/>
            <w:rFonts w:cstheme="minorHAnsi"/>
            <w:color w:val="auto"/>
            <w:lang w:val="cs-CZ"/>
          </w:rPr>
          <w:t>--registr-</w:t>
        </w:r>
        <w:proofErr w:type="spellStart"/>
        <w:r w:rsidRPr="00022508">
          <w:rPr>
            <w:rStyle w:val="Hypertextovodkaz"/>
            <w:rFonts w:cstheme="minorHAnsi"/>
            <w:color w:val="auto"/>
            <w:lang w:val="cs-CZ"/>
          </w:rPr>
          <w:t>chemickych</w:t>
        </w:r>
        <w:proofErr w:type="spellEnd"/>
        <w:r w:rsidRPr="00022508">
          <w:rPr>
            <w:rStyle w:val="Hypertextovodkaz"/>
            <w:rFonts w:cstheme="minorHAnsi"/>
            <w:color w:val="auto"/>
            <w:lang w:val="cs-CZ"/>
          </w:rPr>
          <w:t>-</w:t>
        </w:r>
        <w:proofErr w:type="spellStart"/>
        <w:r w:rsidRPr="00022508">
          <w:rPr>
            <w:rStyle w:val="Hypertextovodkaz"/>
            <w:rFonts w:cstheme="minorHAnsi"/>
            <w:color w:val="auto"/>
            <w:lang w:val="cs-CZ"/>
          </w:rPr>
          <w:t>latek</w:t>
        </w:r>
        <w:proofErr w:type="spellEnd"/>
        <w:r w:rsidRPr="00022508">
          <w:rPr>
            <w:rStyle w:val="Hypertextovodkaz"/>
            <w:rFonts w:cstheme="minorHAnsi"/>
            <w:color w:val="auto"/>
            <w:lang w:val="cs-CZ"/>
          </w:rPr>
          <w:t>-a-</w:t>
        </w:r>
        <w:proofErr w:type="spellStart"/>
        <w:r w:rsidRPr="00022508">
          <w:rPr>
            <w:rStyle w:val="Hypertextovodkaz"/>
            <w:rFonts w:cstheme="minorHAnsi"/>
            <w:color w:val="auto"/>
            <w:lang w:val="cs-CZ"/>
          </w:rPr>
          <w:t>prostredku</w:t>
        </w:r>
        <w:proofErr w:type="spellEnd"/>
      </w:hyperlink>
    </w:p>
    <w:p w14:paraId="7E5365FF" w14:textId="4213C010" w:rsidR="00450B79" w:rsidRPr="00022508" w:rsidRDefault="00450B79" w:rsidP="00022508">
      <w:pPr>
        <w:spacing w:after="0"/>
        <w:rPr>
          <w:rFonts w:cstheme="minorHAnsi"/>
        </w:rPr>
      </w:pPr>
      <w:r w:rsidRPr="00022508">
        <w:rPr>
          <w:rFonts w:cstheme="minorHAnsi"/>
        </w:rPr>
        <w:t xml:space="preserve">Vondráček, L. (2010). Právní rámec pro kontrolu zbraní hromadného ničení. Praha: DEF </w:t>
      </w:r>
      <w:proofErr w:type="spellStart"/>
      <w:r w:rsidRPr="00022508">
        <w:rPr>
          <w:rFonts w:cstheme="minorHAnsi"/>
        </w:rPr>
        <w:t>Press</w:t>
      </w:r>
      <w:proofErr w:type="spellEnd"/>
      <w:r w:rsidRPr="00022508">
        <w:rPr>
          <w:rFonts w:cstheme="minorHAnsi"/>
        </w:rPr>
        <w:t>.</w:t>
      </w:r>
    </w:p>
    <w:p w14:paraId="5B78D592" w14:textId="77777777" w:rsidR="0014798D" w:rsidRPr="00022508" w:rsidRDefault="0014798D" w:rsidP="00022508">
      <w:pPr>
        <w:spacing w:after="0"/>
        <w:rPr>
          <w:rFonts w:cstheme="minorHAnsi"/>
        </w:rPr>
      </w:pPr>
    </w:p>
    <w:p w14:paraId="67977B97" w14:textId="77777777" w:rsidR="003903C8" w:rsidRDefault="003903C8" w:rsidP="003903C8">
      <w:pPr>
        <w:rPr>
          <w:color w:val="000000"/>
        </w:rPr>
      </w:pPr>
    </w:p>
    <w:p w14:paraId="54A55678" w14:textId="77777777" w:rsidR="003903C8" w:rsidRDefault="003903C8" w:rsidP="003903C8">
      <w:pPr>
        <w:rPr>
          <w:color w:val="000000"/>
        </w:rPr>
      </w:pPr>
    </w:p>
    <w:p w14:paraId="6A1DF977" w14:textId="77777777" w:rsidR="003903C8" w:rsidRDefault="003903C8" w:rsidP="003903C8">
      <w:pPr>
        <w:rPr>
          <w:color w:val="000000"/>
        </w:rPr>
      </w:pPr>
    </w:p>
    <w:p w14:paraId="48A37688" w14:textId="77777777" w:rsidR="003903C8" w:rsidRDefault="003903C8" w:rsidP="003903C8">
      <w:pPr>
        <w:rPr>
          <w:color w:val="000000"/>
        </w:rPr>
      </w:pPr>
    </w:p>
    <w:p w14:paraId="282A02D4" w14:textId="77777777" w:rsidR="003903C8" w:rsidRDefault="003903C8" w:rsidP="003903C8">
      <w:pPr>
        <w:rPr>
          <w:color w:val="000000"/>
        </w:rPr>
      </w:pPr>
    </w:p>
    <w:p w14:paraId="579FCCA0" w14:textId="77777777" w:rsidR="003903C8" w:rsidRDefault="003903C8" w:rsidP="003903C8">
      <w:pPr>
        <w:rPr>
          <w:color w:val="000000"/>
        </w:rPr>
      </w:pPr>
    </w:p>
    <w:p w14:paraId="396AF255" w14:textId="77777777" w:rsidR="003903C8" w:rsidRDefault="003903C8" w:rsidP="003903C8">
      <w:pPr>
        <w:rPr>
          <w:color w:val="000000"/>
        </w:rPr>
      </w:pPr>
    </w:p>
    <w:p w14:paraId="2A5B573E" w14:textId="3A0BBFE0" w:rsidR="0072398C" w:rsidRDefault="0072398C" w:rsidP="0072398C">
      <w:pPr>
        <w:pStyle w:val="Nadpis2"/>
      </w:pPr>
      <w:bookmarkStart w:id="110" w:name="_Toc183029585"/>
      <w:r w:rsidRPr="0072398C">
        <w:t>Zákony a legislativa</w:t>
      </w:r>
      <w:bookmarkEnd w:id="110"/>
    </w:p>
    <w:p w14:paraId="1CE20EF2" w14:textId="2109FB22" w:rsidR="0072398C" w:rsidRPr="0072398C" w:rsidRDefault="0072398C" w:rsidP="0072398C">
      <w:pPr>
        <w:pStyle w:val="Normlnweb"/>
        <w:numPr>
          <w:ilvl w:val="0"/>
          <w:numId w:val="40"/>
        </w:numPr>
        <w:rPr>
          <w:rFonts w:asciiTheme="minorHAnsi" w:hAnsiTheme="minorHAnsi" w:cstheme="minorHAnsi"/>
          <w:sz w:val="22"/>
          <w:szCs w:val="22"/>
        </w:rPr>
      </w:pPr>
      <w:r w:rsidRPr="0072398C">
        <w:rPr>
          <w:rFonts w:asciiTheme="minorHAnsi" w:hAnsiTheme="minorHAnsi" w:cstheme="minorHAnsi"/>
          <w:b/>
          <w:bCs/>
          <w:sz w:val="22"/>
          <w:szCs w:val="22"/>
        </w:rPr>
        <w:t>Z</w:t>
      </w:r>
      <w:r w:rsidRPr="0072398C">
        <w:rPr>
          <w:rStyle w:val="Siln"/>
          <w:rFonts w:asciiTheme="minorHAnsi" w:hAnsiTheme="minorHAnsi" w:cstheme="minorHAnsi"/>
          <w:b w:val="0"/>
          <w:bCs w:val="0"/>
          <w:sz w:val="22"/>
          <w:szCs w:val="22"/>
        </w:rPr>
        <w:t>ákon č. 19/1997 Sb., o některých opatřeních souvisejících se zákazem chemických zbraní.</w:t>
      </w:r>
      <w:r w:rsidRPr="0072398C">
        <w:rPr>
          <w:rFonts w:asciiTheme="minorHAnsi" w:hAnsiTheme="minorHAnsi" w:cstheme="minorHAnsi"/>
          <w:sz w:val="22"/>
          <w:szCs w:val="22"/>
        </w:rPr>
        <w:t xml:space="preserve"> Sbírka zákonů České republiky. 1997, částka 5, s. 107–114. (Aktualizovaný zákonem č. 138/2008 Sb.).</w:t>
      </w:r>
    </w:p>
    <w:p w14:paraId="27642A2A" w14:textId="20EBC0DE" w:rsidR="0072398C" w:rsidRPr="0072398C" w:rsidRDefault="0072398C" w:rsidP="0072398C">
      <w:pPr>
        <w:pStyle w:val="Normlnweb"/>
        <w:numPr>
          <w:ilvl w:val="0"/>
          <w:numId w:val="40"/>
        </w:numPr>
        <w:rPr>
          <w:rFonts w:asciiTheme="minorHAnsi" w:hAnsiTheme="minorHAnsi" w:cstheme="minorHAnsi"/>
          <w:sz w:val="22"/>
          <w:szCs w:val="22"/>
        </w:rPr>
      </w:pPr>
      <w:r w:rsidRPr="0072398C">
        <w:rPr>
          <w:rStyle w:val="Siln"/>
          <w:rFonts w:asciiTheme="minorHAnsi" w:hAnsiTheme="minorHAnsi" w:cstheme="minorHAnsi"/>
          <w:b w:val="0"/>
          <w:bCs w:val="0"/>
          <w:sz w:val="22"/>
          <w:szCs w:val="22"/>
        </w:rPr>
        <w:t>Vyhláška č. 208/2008 Sb., kterou se provádí zákon č. 19/1997 Sb., o opatřeních spojených se zákazem chemických zbraní.</w:t>
      </w:r>
      <w:r w:rsidRPr="0072398C">
        <w:rPr>
          <w:rFonts w:asciiTheme="minorHAnsi" w:hAnsiTheme="minorHAnsi" w:cstheme="minorHAnsi"/>
          <w:b/>
          <w:bCs/>
          <w:sz w:val="22"/>
          <w:szCs w:val="22"/>
        </w:rPr>
        <w:t xml:space="preserve"> </w:t>
      </w:r>
      <w:r w:rsidRPr="0072398C">
        <w:rPr>
          <w:rFonts w:asciiTheme="minorHAnsi" w:hAnsiTheme="minorHAnsi" w:cstheme="minorHAnsi"/>
          <w:sz w:val="22"/>
          <w:szCs w:val="22"/>
        </w:rPr>
        <w:t>Sbírka zákonů České republiky. 2008, částka 65, s. 2671–2690.</w:t>
      </w:r>
    </w:p>
    <w:p w14:paraId="48B25557" w14:textId="51D83DF9" w:rsidR="0072398C" w:rsidRPr="0072398C" w:rsidRDefault="0072398C" w:rsidP="0072398C">
      <w:pPr>
        <w:pStyle w:val="Normlnweb"/>
        <w:numPr>
          <w:ilvl w:val="0"/>
          <w:numId w:val="40"/>
        </w:numPr>
        <w:rPr>
          <w:rFonts w:asciiTheme="minorHAnsi" w:hAnsiTheme="minorHAnsi" w:cstheme="minorHAnsi"/>
          <w:sz w:val="22"/>
          <w:szCs w:val="22"/>
        </w:rPr>
      </w:pPr>
      <w:r w:rsidRPr="0072398C">
        <w:rPr>
          <w:rStyle w:val="Siln"/>
          <w:rFonts w:asciiTheme="minorHAnsi" w:hAnsiTheme="minorHAnsi" w:cstheme="minorHAnsi"/>
          <w:b w:val="0"/>
          <w:bCs w:val="0"/>
          <w:sz w:val="22"/>
          <w:szCs w:val="22"/>
        </w:rPr>
        <w:t>Zákon č. 356/2003 Sb., o chemických látkách a chemických přípravcích.</w:t>
      </w:r>
      <w:r w:rsidRPr="0072398C">
        <w:rPr>
          <w:rFonts w:asciiTheme="minorHAnsi" w:hAnsiTheme="minorHAnsi" w:cstheme="minorHAnsi"/>
          <w:b/>
          <w:bCs/>
          <w:sz w:val="22"/>
          <w:szCs w:val="22"/>
        </w:rPr>
        <w:t xml:space="preserve"> </w:t>
      </w:r>
      <w:r w:rsidRPr="0072398C">
        <w:rPr>
          <w:rFonts w:asciiTheme="minorHAnsi" w:hAnsiTheme="minorHAnsi" w:cstheme="minorHAnsi"/>
          <w:sz w:val="22"/>
          <w:szCs w:val="22"/>
        </w:rPr>
        <w:t>Sbírka zákonů České republiky. 2003, částka 120, s. 5810–5837. (Aktualizovaný zákonem č. 371/2008 Sb.).</w:t>
      </w:r>
    </w:p>
    <w:p w14:paraId="7C80BA67" w14:textId="1C1F1462" w:rsidR="0072398C" w:rsidRPr="0072398C" w:rsidRDefault="0072398C" w:rsidP="0072398C">
      <w:pPr>
        <w:pStyle w:val="Normlnweb"/>
        <w:numPr>
          <w:ilvl w:val="0"/>
          <w:numId w:val="40"/>
        </w:numPr>
        <w:rPr>
          <w:rFonts w:asciiTheme="minorHAnsi" w:hAnsiTheme="minorHAnsi" w:cstheme="minorHAnsi"/>
          <w:sz w:val="22"/>
          <w:szCs w:val="22"/>
        </w:rPr>
      </w:pPr>
      <w:r w:rsidRPr="0072398C">
        <w:rPr>
          <w:rStyle w:val="Siln"/>
          <w:rFonts w:asciiTheme="minorHAnsi" w:hAnsiTheme="minorHAnsi" w:cstheme="minorHAnsi"/>
          <w:b w:val="0"/>
          <w:bCs w:val="0"/>
          <w:sz w:val="22"/>
          <w:szCs w:val="22"/>
        </w:rPr>
        <w:t>Vyhláška č. 219/2004 Sb., o zásadách správné laboratorní praxe</w:t>
      </w:r>
      <w:r w:rsidRPr="0072398C">
        <w:rPr>
          <w:rStyle w:val="Siln"/>
          <w:rFonts w:asciiTheme="minorHAnsi" w:hAnsiTheme="minorHAnsi" w:cstheme="minorHAnsi"/>
          <w:sz w:val="22"/>
          <w:szCs w:val="22"/>
        </w:rPr>
        <w:t>.</w:t>
      </w:r>
      <w:r w:rsidRPr="0072398C">
        <w:rPr>
          <w:rFonts w:asciiTheme="minorHAnsi" w:hAnsiTheme="minorHAnsi" w:cstheme="minorHAnsi"/>
          <w:sz w:val="22"/>
          <w:szCs w:val="22"/>
        </w:rPr>
        <w:t xml:space="preserve"> Sbírka zákonů České republiky. 2004, částka 73, s. 3498–3500. (Aktualizovaná vyhláškou č. 279/2005 Sb.).</w:t>
      </w:r>
    </w:p>
    <w:p w14:paraId="0824425F" w14:textId="25F14B4B" w:rsidR="00172158" w:rsidRPr="00055893" w:rsidRDefault="0072398C" w:rsidP="00055893">
      <w:pPr>
        <w:pStyle w:val="Normlnweb"/>
        <w:numPr>
          <w:ilvl w:val="0"/>
          <w:numId w:val="40"/>
        </w:numPr>
        <w:rPr>
          <w:rFonts w:asciiTheme="minorHAnsi" w:hAnsiTheme="minorHAnsi" w:cstheme="minorHAnsi"/>
          <w:sz w:val="22"/>
          <w:szCs w:val="22"/>
        </w:rPr>
      </w:pPr>
      <w:r w:rsidRPr="0072398C">
        <w:rPr>
          <w:rStyle w:val="Siln"/>
          <w:rFonts w:asciiTheme="minorHAnsi" w:hAnsiTheme="minorHAnsi" w:cstheme="minorHAnsi"/>
          <w:b w:val="0"/>
          <w:bCs w:val="0"/>
          <w:sz w:val="22"/>
          <w:szCs w:val="22"/>
        </w:rPr>
        <w:t>Vyhláška č. 389/2008 Sb., kterou se mění vyhláška č. 232/2004 Sb., o klasifikaci, balení a označování nebezpečných chemických látek a přípravků</w:t>
      </w:r>
      <w:r w:rsidRPr="0072398C">
        <w:rPr>
          <w:rStyle w:val="Siln"/>
          <w:rFonts w:asciiTheme="minorHAnsi" w:hAnsiTheme="minorHAnsi" w:cstheme="minorHAnsi"/>
          <w:sz w:val="22"/>
          <w:szCs w:val="22"/>
        </w:rPr>
        <w:t>.</w:t>
      </w:r>
      <w:r w:rsidRPr="0072398C">
        <w:rPr>
          <w:rFonts w:asciiTheme="minorHAnsi" w:hAnsiTheme="minorHAnsi" w:cstheme="minorHAnsi"/>
          <w:sz w:val="22"/>
          <w:szCs w:val="22"/>
        </w:rPr>
        <w:t xml:space="preserve"> Sbírka zákonů České republiky. 2008, částka 126, s. 6117–6118</w:t>
      </w:r>
    </w:p>
    <w:p w14:paraId="5FEAA6F9" w14:textId="22D3EEE4" w:rsidR="00223CF4" w:rsidRDefault="00223CF4" w:rsidP="0072398C">
      <w:pPr>
        <w:pStyle w:val="Nadpis2"/>
      </w:pPr>
      <w:bookmarkStart w:id="111" w:name="_Toc183029586"/>
      <w:r w:rsidRPr="00223CF4">
        <w:t>Seznam obrázků</w:t>
      </w:r>
      <w:bookmarkEnd w:id="111"/>
    </w:p>
    <w:p w14:paraId="4521A3D8" w14:textId="3D41BEE5" w:rsidR="00FB5848" w:rsidRDefault="00FB5848">
      <w:pPr>
        <w:pStyle w:val="Obsah1"/>
        <w:rPr>
          <w:rFonts w:eastAsiaTheme="minorEastAsia"/>
          <w:kern w:val="2"/>
          <w:sz w:val="24"/>
          <w:szCs w:val="24"/>
          <w:lang w:val="cs-CZ"/>
          <w14:ligatures w14:val="standardContextual"/>
        </w:rPr>
      </w:pPr>
      <w:r>
        <w:fldChar w:fldCharType="begin"/>
      </w:r>
      <w:r>
        <w:instrText xml:space="preserve"> TOC \f \h \z \t "obrázky;1" </w:instrText>
      </w:r>
      <w:r>
        <w:fldChar w:fldCharType="separate"/>
      </w:r>
      <w:hyperlink w:anchor="_Toc182992396" w:history="1">
        <w:r w:rsidRPr="005959CA">
          <w:rPr>
            <w:rStyle w:val="Hypertextovodkaz"/>
          </w:rPr>
          <w:t>Obrázek 1.</w:t>
        </w:r>
        <w:r>
          <w:rPr>
            <w:webHidden/>
          </w:rPr>
          <w:tab/>
        </w:r>
        <w:r>
          <w:rPr>
            <w:webHidden/>
          </w:rPr>
          <w:fldChar w:fldCharType="begin"/>
        </w:r>
        <w:r>
          <w:rPr>
            <w:webHidden/>
          </w:rPr>
          <w:instrText xml:space="preserve"> PAGEREF _Toc182992396 \h </w:instrText>
        </w:r>
        <w:r>
          <w:rPr>
            <w:webHidden/>
          </w:rPr>
        </w:r>
        <w:r>
          <w:rPr>
            <w:webHidden/>
          </w:rPr>
          <w:fldChar w:fldCharType="separate"/>
        </w:r>
        <w:r>
          <w:rPr>
            <w:webHidden/>
          </w:rPr>
          <w:t>14</w:t>
        </w:r>
        <w:r>
          <w:rPr>
            <w:webHidden/>
          </w:rPr>
          <w:fldChar w:fldCharType="end"/>
        </w:r>
      </w:hyperlink>
    </w:p>
    <w:p w14:paraId="36977621" w14:textId="1BABED30" w:rsidR="00FB5848" w:rsidRDefault="00FB5848">
      <w:pPr>
        <w:pStyle w:val="Obsah1"/>
        <w:rPr>
          <w:rFonts w:eastAsiaTheme="minorEastAsia"/>
          <w:kern w:val="2"/>
          <w:sz w:val="24"/>
          <w:szCs w:val="24"/>
          <w:lang w:val="cs-CZ"/>
          <w14:ligatures w14:val="standardContextual"/>
        </w:rPr>
      </w:pPr>
      <w:hyperlink w:anchor="_Toc182992397" w:history="1">
        <w:r w:rsidRPr="005959CA">
          <w:rPr>
            <w:rStyle w:val="Hypertextovodkaz"/>
          </w:rPr>
          <w:t>Obrázek 2.</w:t>
        </w:r>
        <w:r>
          <w:rPr>
            <w:webHidden/>
          </w:rPr>
          <w:tab/>
        </w:r>
        <w:r>
          <w:rPr>
            <w:webHidden/>
          </w:rPr>
          <w:fldChar w:fldCharType="begin"/>
        </w:r>
        <w:r>
          <w:rPr>
            <w:webHidden/>
          </w:rPr>
          <w:instrText xml:space="preserve"> PAGEREF _Toc182992397 \h </w:instrText>
        </w:r>
        <w:r>
          <w:rPr>
            <w:webHidden/>
          </w:rPr>
        </w:r>
        <w:r>
          <w:rPr>
            <w:webHidden/>
          </w:rPr>
          <w:fldChar w:fldCharType="separate"/>
        </w:r>
        <w:r>
          <w:rPr>
            <w:webHidden/>
          </w:rPr>
          <w:t>28</w:t>
        </w:r>
        <w:r>
          <w:rPr>
            <w:webHidden/>
          </w:rPr>
          <w:fldChar w:fldCharType="end"/>
        </w:r>
      </w:hyperlink>
    </w:p>
    <w:p w14:paraId="6B9B8F9A" w14:textId="0C7C33B8" w:rsidR="00FB5848" w:rsidRDefault="00FB5848">
      <w:pPr>
        <w:pStyle w:val="Obsah1"/>
        <w:rPr>
          <w:rFonts w:eastAsiaTheme="minorEastAsia"/>
          <w:kern w:val="2"/>
          <w:sz w:val="24"/>
          <w:szCs w:val="24"/>
          <w:lang w:val="cs-CZ"/>
          <w14:ligatures w14:val="standardContextual"/>
        </w:rPr>
      </w:pPr>
      <w:hyperlink w:anchor="_Toc182992398" w:history="1">
        <w:r w:rsidRPr="005959CA">
          <w:rPr>
            <w:rStyle w:val="Hypertextovodkaz"/>
          </w:rPr>
          <w:t>Obrázek 3.</w:t>
        </w:r>
        <w:r>
          <w:rPr>
            <w:webHidden/>
          </w:rPr>
          <w:tab/>
        </w:r>
        <w:r>
          <w:rPr>
            <w:webHidden/>
          </w:rPr>
          <w:fldChar w:fldCharType="begin"/>
        </w:r>
        <w:r>
          <w:rPr>
            <w:webHidden/>
          </w:rPr>
          <w:instrText xml:space="preserve"> PAGEREF _Toc182992398 \h </w:instrText>
        </w:r>
        <w:r>
          <w:rPr>
            <w:webHidden/>
          </w:rPr>
        </w:r>
        <w:r>
          <w:rPr>
            <w:webHidden/>
          </w:rPr>
          <w:fldChar w:fldCharType="separate"/>
        </w:r>
        <w:r>
          <w:rPr>
            <w:webHidden/>
          </w:rPr>
          <w:t>30</w:t>
        </w:r>
        <w:r>
          <w:rPr>
            <w:webHidden/>
          </w:rPr>
          <w:fldChar w:fldCharType="end"/>
        </w:r>
      </w:hyperlink>
    </w:p>
    <w:p w14:paraId="49E0E8F4" w14:textId="7C040FC1" w:rsidR="00FB5848" w:rsidRDefault="00FB5848">
      <w:pPr>
        <w:pStyle w:val="Obsah1"/>
        <w:rPr>
          <w:rFonts w:eastAsiaTheme="minorEastAsia"/>
          <w:kern w:val="2"/>
          <w:sz w:val="24"/>
          <w:szCs w:val="24"/>
          <w:lang w:val="cs-CZ"/>
          <w14:ligatures w14:val="standardContextual"/>
        </w:rPr>
      </w:pPr>
      <w:hyperlink w:anchor="_Toc182992399" w:history="1">
        <w:r w:rsidRPr="005959CA">
          <w:rPr>
            <w:rStyle w:val="Hypertextovodkaz"/>
          </w:rPr>
          <w:t>Obrázek 4.</w:t>
        </w:r>
        <w:r>
          <w:rPr>
            <w:webHidden/>
          </w:rPr>
          <w:tab/>
        </w:r>
        <w:r>
          <w:rPr>
            <w:webHidden/>
          </w:rPr>
          <w:fldChar w:fldCharType="begin"/>
        </w:r>
        <w:r>
          <w:rPr>
            <w:webHidden/>
          </w:rPr>
          <w:instrText xml:space="preserve"> PAGEREF _Toc182992399 \h </w:instrText>
        </w:r>
        <w:r>
          <w:rPr>
            <w:webHidden/>
          </w:rPr>
        </w:r>
        <w:r>
          <w:rPr>
            <w:webHidden/>
          </w:rPr>
          <w:fldChar w:fldCharType="separate"/>
        </w:r>
        <w:r>
          <w:rPr>
            <w:webHidden/>
          </w:rPr>
          <w:t>31</w:t>
        </w:r>
        <w:r>
          <w:rPr>
            <w:webHidden/>
          </w:rPr>
          <w:fldChar w:fldCharType="end"/>
        </w:r>
      </w:hyperlink>
    </w:p>
    <w:p w14:paraId="5455A298" w14:textId="35172EAD" w:rsidR="00FB5848" w:rsidRDefault="00FB5848">
      <w:pPr>
        <w:pStyle w:val="Obsah1"/>
        <w:rPr>
          <w:rFonts w:eastAsiaTheme="minorEastAsia"/>
          <w:kern w:val="2"/>
          <w:sz w:val="24"/>
          <w:szCs w:val="24"/>
          <w:lang w:val="cs-CZ"/>
          <w14:ligatures w14:val="standardContextual"/>
        </w:rPr>
      </w:pPr>
      <w:hyperlink w:anchor="_Toc182992400" w:history="1">
        <w:r w:rsidRPr="005959CA">
          <w:rPr>
            <w:rStyle w:val="Hypertextovodkaz"/>
          </w:rPr>
          <w:t>Obrázek 5.</w:t>
        </w:r>
        <w:r>
          <w:rPr>
            <w:webHidden/>
          </w:rPr>
          <w:tab/>
        </w:r>
        <w:r>
          <w:rPr>
            <w:webHidden/>
          </w:rPr>
          <w:fldChar w:fldCharType="begin"/>
        </w:r>
        <w:r>
          <w:rPr>
            <w:webHidden/>
          </w:rPr>
          <w:instrText xml:space="preserve"> PAGEREF _Toc182992400 \h </w:instrText>
        </w:r>
        <w:r>
          <w:rPr>
            <w:webHidden/>
          </w:rPr>
        </w:r>
        <w:r>
          <w:rPr>
            <w:webHidden/>
          </w:rPr>
          <w:fldChar w:fldCharType="separate"/>
        </w:r>
        <w:r>
          <w:rPr>
            <w:webHidden/>
          </w:rPr>
          <w:t>32</w:t>
        </w:r>
        <w:r>
          <w:rPr>
            <w:webHidden/>
          </w:rPr>
          <w:fldChar w:fldCharType="end"/>
        </w:r>
      </w:hyperlink>
    </w:p>
    <w:p w14:paraId="744B85C5" w14:textId="698D75BD" w:rsidR="00FB5848" w:rsidRDefault="00FB5848">
      <w:pPr>
        <w:pStyle w:val="Obsah1"/>
        <w:rPr>
          <w:rFonts w:eastAsiaTheme="minorEastAsia"/>
          <w:kern w:val="2"/>
          <w:sz w:val="24"/>
          <w:szCs w:val="24"/>
          <w:lang w:val="cs-CZ"/>
          <w14:ligatures w14:val="standardContextual"/>
        </w:rPr>
      </w:pPr>
      <w:hyperlink w:anchor="_Toc182992401" w:history="1">
        <w:r w:rsidRPr="005959CA">
          <w:rPr>
            <w:rStyle w:val="Hypertextovodkaz"/>
          </w:rPr>
          <w:t>Obrázek 6.</w:t>
        </w:r>
        <w:r>
          <w:rPr>
            <w:webHidden/>
          </w:rPr>
          <w:tab/>
        </w:r>
        <w:r>
          <w:rPr>
            <w:webHidden/>
          </w:rPr>
          <w:fldChar w:fldCharType="begin"/>
        </w:r>
        <w:r>
          <w:rPr>
            <w:webHidden/>
          </w:rPr>
          <w:instrText xml:space="preserve"> PAGEREF _Toc182992401 \h </w:instrText>
        </w:r>
        <w:r>
          <w:rPr>
            <w:webHidden/>
          </w:rPr>
        </w:r>
        <w:r>
          <w:rPr>
            <w:webHidden/>
          </w:rPr>
          <w:fldChar w:fldCharType="separate"/>
        </w:r>
        <w:r>
          <w:rPr>
            <w:webHidden/>
          </w:rPr>
          <w:t>33</w:t>
        </w:r>
        <w:r>
          <w:rPr>
            <w:webHidden/>
          </w:rPr>
          <w:fldChar w:fldCharType="end"/>
        </w:r>
      </w:hyperlink>
    </w:p>
    <w:p w14:paraId="1057CDA1" w14:textId="1EF6DED9" w:rsidR="00FB5848" w:rsidRDefault="00FB5848">
      <w:pPr>
        <w:pStyle w:val="Obsah1"/>
        <w:rPr>
          <w:rFonts w:eastAsiaTheme="minorEastAsia"/>
          <w:kern w:val="2"/>
          <w:sz w:val="24"/>
          <w:szCs w:val="24"/>
          <w:lang w:val="cs-CZ"/>
          <w14:ligatures w14:val="standardContextual"/>
        </w:rPr>
      </w:pPr>
      <w:hyperlink w:anchor="_Toc182992402" w:history="1">
        <w:r w:rsidRPr="005959CA">
          <w:rPr>
            <w:rStyle w:val="Hypertextovodkaz"/>
          </w:rPr>
          <w:t>Obrázek 7.</w:t>
        </w:r>
        <w:r>
          <w:rPr>
            <w:webHidden/>
          </w:rPr>
          <w:tab/>
        </w:r>
        <w:r>
          <w:rPr>
            <w:webHidden/>
          </w:rPr>
          <w:fldChar w:fldCharType="begin"/>
        </w:r>
        <w:r>
          <w:rPr>
            <w:webHidden/>
          </w:rPr>
          <w:instrText xml:space="preserve"> PAGEREF _Toc182992402 \h </w:instrText>
        </w:r>
        <w:r>
          <w:rPr>
            <w:webHidden/>
          </w:rPr>
        </w:r>
        <w:r>
          <w:rPr>
            <w:webHidden/>
          </w:rPr>
          <w:fldChar w:fldCharType="separate"/>
        </w:r>
        <w:r>
          <w:rPr>
            <w:webHidden/>
          </w:rPr>
          <w:t>34</w:t>
        </w:r>
        <w:r>
          <w:rPr>
            <w:webHidden/>
          </w:rPr>
          <w:fldChar w:fldCharType="end"/>
        </w:r>
      </w:hyperlink>
    </w:p>
    <w:p w14:paraId="13786518" w14:textId="10A4F8B9" w:rsidR="00FB5848" w:rsidRDefault="00FB5848">
      <w:pPr>
        <w:pStyle w:val="Obsah1"/>
        <w:rPr>
          <w:rFonts w:eastAsiaTheme="minorEastAsia"/>
          <w:kern w:val="2"/>
          <w:sz w:val="24"/>
          <w:szCs w:val="24"/>
          <w:lang w:val="cs-CZ"/>
          <w14:ligatures w14:val="standardContextual"/>
        </w:rPr>
      </w:pPr>
      <w:hyperlink w:anchor="_Toc182992403" w:history="1">
        <w:r w:rsidRPr="005959CA">
          <w:rPr>
            <w:rStyle w:val="Hypertextovodkaz"/>
          </w:rPr>
          <w:t>Obrzázek 8.</w:t>
        </w:r>
        <w:r>
          <w:rPr>
            <w:webHidden/>
          </w:rPr>
          <w:tab/>
        </w:r>
        <w:r>
          <w:rPr>
            <w:webHidden/>
          </w:rPr>
          <w:fldChar w:fldCharType="begin"/>
        </w:r>
        <w:r>
          <w:rPr>
            <w:webHidden/>
          </w:rPr>
          <w:instrText xml:space="preserve"> PAGEREF _Toc182992403 \h </w:instrText>
        </w:r>
        <w:r>
          <w:rPr>
            <w:webHidden/>
          </w:rPr>
        </w:r>
        <w:r>
          <w:rPr>
            <w:webHidden/>
          </w:rPr>
          <w:fldChar w:fldCharType="separate"/>
        </w:r>
        <w:r>
          <w:rPr>
            <w:webHidden/>
          </w:rPr>
          <w:t>35</w:t>
        </w:r>
        <w:r>
          <w:rPr>
            <w:webHidden/>
          </w:rPr>
          <w:fldChar w:fldCharType="end"/>
        </w:r>
      </w:hyperlink>
    </w:p>
    <w:p w14:paraId="0CCB07C3" w14:textId="585377BB" w:rsidR="00FB5848" w:rsidRDefault="00FB5848">
      <w:pPr>
        <w:pStyle w:val="Obsah1"/>
        <w:rPr>
          <w:rFonts w:eastAsiaTheme="minorEastAsia"/>
          <w:kern w:val="2"/>
          <w:sz w:val="24"/>
          <w:szCs w:val="24"/>
          <w:lang w:val="cs-CZ"/>
          <w14:ligatures w14:val="standardContextual"/>
        </w:rPr>
      </w:pPr>
      <w:hyperlink w:anchor="_Toc182992404" w:history="1">
        <w:r w:rsidRPr="005959CA">
          <w:rPr>
            <w:rStyle w:val="Hypertextovodkaz"/>
            <w:i/>
            <w:iCs/>
          </w:rPr>
          <w:t>Obrázek 9.</w:t>
        </w:r>
        <w:r>
          <w:rPr>
            <w:webHidden/>
          </w:rPr>
          <w:tab/>
        </w:r>
        <w:r>
          <w:rPr>
            <w:webHidden/>
          </w:rPr>
          <w:fldChar w:fldCharType="begin"/>
        </w:r>
        <w:r>
          <w:rPr>
            <w:webHidden/>
          </w:rPr>
          <w:instrText xml:space="preserve"> PAGEREF _Toc182992404 \h </w:instrText>
        </w:r>
        <w:r>
          <w:rPr>
            <w:webHidden/>
          </w:rPr>
        </w:r>
        <w:r>
          <w:rPr>
            <w:webHidden/>
          </w:rPr>
          <w:fldChar w:fldCharType="separate"/>
        </w:r>
        <w:r>
          <w:rPr>
            <w:webHidden/>
          </w:rPr>
          <w:t>37</w:t>
        </w:r>
        <w:r>
          <w:rPr>
            <w:webHidden/>
          </w:rPr>
          <w:fldChar w:fldCharType="end"/>
        </w:r>
      </w:hyperlink>
    </w:p>
    <w:p w14:paraId="63F58699" w14:textId="04B75791" w:rsidR="00FB5848" w:rsidRDefault="00FB5848">
      <w:pPr>
        <w:pStyle w:val="Obsah1"/>
        <w:rPr>
          <w:rFonts w:eastAsiaTheme="minorEastAsia"/>
          <w:kern w:val="2"/>
          <w:sz w:val="24"/>
          <w:szCs w:val="24"/>
          <w:lang w:val="cs-CZ"/>
          <w14:ligatures w14:val="standardContextual"/>
        </w:rPr>
      </w:pPr>
      <w:hyperlink w:anchor="_Toc182992405" w:history="1">
        <w:r w:rsidRPr="005959CA">
          <w:rPr>
            <w:rStyle w:val="Hypertextovodkaz"/>
          </w:rPr>
          <w:t>Obrázek 10.</w:t>
        </w:r>
        <w:r>
          <w:rPr>
            <w:webHidden/>
          </w:rPr>
          <w:tab/>
        </w:r>
        <w:r>
          <w:rPr>
            <w:webHidden/>
          </w:rPr>
          <w:fldChar w:fldCharType="begin"/>
        </w:r>
        <w:r>
          <w:rPr>
            <w:webHidden/>
          </w:rPr>
          <w:instrText xml:space="preserve"> PAGEREF _Toc182992405 \h </w:instrText>
        </w:r>
        <w:r>
          <w:rPr>
            <w:webHidden/>
          </w:rPr>
        </w:r>
        <w:r>
          <w:rPr>
            <w:webHidden/>
          </w:rPr>
          <w:fldChar w:fldCharType="separate"/>
        </w:r>
        <w:r>
          <w:rPr>
            <w:webHidden/>
          </w:rPr>
          <w:t>38</w:t>
        </w:r>
        <w:r>
          <w:rPr>
            <w:webHidden/>
          </w:rPr>
          <w:fldChar w:fldCharType="end"/>
        </w:r>
      </w:hyperlink>
    </w:p>
    <w:p w14:paraId="5D3995B7" w14:textId="64D8CE88" w:rsidR="00FB5848" w:rsidRDefault="00FB5848">
      <w:pPr>
        <w:pStyle w:val="Obsah1"/>
        <w:rPr>
          <w:rFonts w:eastAsiaTheme="minorEastAsia"/>
          <w:kern w:val="2"/>
          <w:sz w:val="24"/>
          <w:szCs w:val="24"/>
          <w:lang w:val="cs-CZ"/>
          <w14:ligatures w14:val="standardContextual"/>
        </w:rPr>
      </w:pPr>
      <w:hyperlink w:anchor="_Toc182992406" w:history="1">
        <w:r w:rsidRPr="005959CA">
          <w:rPr>
            <w:rStyle w:val="Hypertextovodkaz"/>
          </w:rPr>
          <w:t>Obrázek 11.</w:t>
        </w:r>
        <w:r>
          <w:rPr>
            <w:webHidden/>
          </w:rPr>
          <w:tab/>
        </w:r>
        <w:r>
          <w:rPr>
            <w:webHidden/>
          </w:rPr>
          <w:fldChar w:fldCharType="begin"/>
        </w:r>
        <w:r>
          <w:rPr>
            <w:webHidden/>
          </w:rPr>
          <w:instrText xml:space="preserve"> PAGEREF _Toc182992406 \h </w:instrText>
        </w:r>
        <w:r>
          <w:rPr>
            <w:webHidden/>
          </w:rPr>
        </w:r>
        <w:r>
          <w:rPr>
            <w:webHidden/>
          </w:rPr>
          <w:fldChar w:fldCharType="separate"/>
        </w:r>
        <w:r>
          <w:rPr>
            <w:webHidden/>
          </w:rPr>
          <w:t>59</w:t>
        </w:r>
        <w:r>
          <w:rPr>
            <w:webHidden/>
          </w:rPr>
          <w:fldChar w:fldCharType="end"/>
        </w:r>
      </w:hyperlink>
    </w:p>
    <w:p w14:paraId="05316A2C" w14:textId="66C038AF" w:rsidR="00FB5848" w:rsidRDefault="00FB5848">
      <w:pPr>
        <w:pStyle w:val="Obsah1"/>
        <w:rPr>
          <w:rFonts w:eastAsiaTheme="minorEastAsia"/>
          <w:kern w:val="2"/>
          <w:sz w:val="24"/>
          <w:szCs w:val="24"/>
          <w:lang w:val="cs-CZ"/>
          <w14:ligatures w14:val="standardContextual"/>
        </w:rPr>
      </w:pPr>
      <w:hyperlink w:anchor="_Toc182992407" w:history="1">
        <w:r w:rsidRPr="005959CA">
          <w:rPr>
            <w:rStyle w:val="Hypertextovodkaz"/>
          </w:rPr>
          <w:t>Obrázek 12.</w:t>
        </w:r>
        <w:r>
          <w:rPr>
            <w:webHidden/>
          </w:rPr>
          <w:tab/>
        </w:r>
        <w:r>
          <w:rPr>
            <w:webHidden/>
          </w:rPr>
          <w:fldChar w:fldCharType="begin"/>
        </w:r>
        <w:r>
          <w:rPr>
            <w:webHidden/>
          </w:rPr>
          <w:instrText xml:space="preserve"> PAGEREF _Toc182992407 \h </w:instrText>
        </w:r>
        <w:r>
          <w:rPr>
            <w:webHidden/>
          </w:rPr>
        </w:r>
        <w:r>
          <w:rPr>
            <w:webHidden/>
          </w:rPr>
          <w:fldChar w:fldCharType="separate"/>
        </w:r>
        <w:r>
          <w:rPr>
            <w:webHidden/>
          </w:rPr>
          <w:t>59</w:t>
        </w:r>
        <w:r>
          <w:rPr>
            <w:webHidden/>
          </w:rPr>
          <w:fldChar w:fldCharType="end"/>
        </w:r>
      </w:hyperlink>
    </w:p>
    <w:p w14:paraId="53C2C18C" w14:textId="71DE7EBA" w:rsidR="00FB5848" w:rsidRDefault="00FB5848">
      <w:pPr>
        <w:pStyle w:val="Obsah1"/>
        <w:rPr>
          <w:rFonts w:eastAsiaTheme="minorEastAsia"/>
          <w:kern w:val="2"/>
          <w:sz w:val="24"/>
          <w:szCs w:val="24"/>
          <w:lang w:val="cs-CZ"/>
          <w14:ligatures w14:val="standardContextual"/>
        </w:rPr>
      </w:pPr>
      <w:hyperlink w:anchor="_Toc182992408" w:history="1">
        <w:r w:rsidRPr="005959CA">
          <w:rPr>
            <w:rStyle w:val="Hypertextovodkaz"/>
          </w:rPr>
          <w:t>Obrázek 13.</w:t>
        </w:r>
        <w:r>
          <w:rPr>
            <w:webHidden/>
          </w:rPr>
          <w:tab/>
        </w:r>
        <w:r>
          <w:rPr>
            <w:webHidden/>
          </w:rPr>
          <w:fldChar w:fldCharType="begin"/>
        </w:r>
        <w:r>
          <w:rPr>
            <w:webHidden/>
          </w:rPr>
          <w:instrText xml:space="preserve"> PAGEREF _Toc182992408 \h </w:instrText>
        </w:r>
        <w:r>
          <w:rPr>
            <w:webHidden/>
          </w:rPr>
        </w:r>
        <w:r>
          <w:rPr>
            <w:webHidden/>
          </w:rPr>
          <w:fldChar w:fldCharType="separate"/>
        </w:r>
        <w:r>
          <w:rPr>
            <w:webHidden/>
          </w:rPr>
          <w:t>60</w:t>
        </w:r>
        <w:r>
          <w:rPr>
            <w:webHidden/>
          </w:rPr>
          <w:fldChar w:fldCharType="end"/>
        </w:r>
      </w:hyperlink>
    </w:p>
    <w:p w14:paraId="7187EE19" w14:textId="031B6DEC" w:rsidR="00FB5848" w:rsidRDefault="00FB5848">
      <w:pPr>
        <w:pStyle w:val="Obsah1"/>
        <w:rPr>
          <w:rFonts w:eastAsiaTheme="minorEastAsia"/>
          <w:kern w:val="2"/>
          <w:sz w:val="24"/>
          <w:szCs w:val="24"/>
          <w:lang w:val="cs-CZ"/>
          <w14:ligatures w14:val="standardContextual"/>
        </w:rPr>
      </w:pPr>
      <w:hyperlink w:anchor="_Toc182992409" w:history="1">
        <w:r w:rsidRPr="005959CA">
          <w:rPr>
            <w:rStyle w:val="Hypertextovodkaz"/>
          </w:rPr>
          <w:t>Obrázek 14.</w:t>
        </w:r>
        <w:r>
          <w:rPr>
            <w:webHidden/>
          </w:rPr>
          <w:tab/>
        </w:r>
        <w:r>
          <w:rPr>
            <w:webHidden/>
          </w:rPr>
          <w:fldChar w:fldCharType="begin"/>
        </w:r>
        <w:r>
          <w:rPr>
            <w:webHidden/>
          </w:rPr>
          <w:instrText xml:space="preserve"> PAGEREF _Toc182992409 \h </w:instrText>
        </w:r>
        <w:r>
          <w:rPr>
            <w:webHidden/>
          </w:rPr>
        </w:r>
        <w:r>
          <w:rPr>
            <w:webHidden/>
          </w:rPr>
          <w:fldChar w:fldCharType="separate"/>
        </w:r>
        <w:r>
          <w:rPr>
            <w:webHidden/>
          </w:rPr>
          <w:t>67</w:t>
        </w:r>
        <w:r>
          <w:rPr>
            <w:webHidden/>
          </w:rPr>
          <w:fldChar w:fldCharType="end"/>
        </w:r>
      </w:hyperlink>
    </w:p>
    <w:p w14:paraId="77D21F9B" w14:textId="06C637E9" w:rsidR="0072398C" w:rsidRPr="0072398C" w:rsidRDefault="00FB5848" w:rsidP="0072398C">
      <w:r>
        <w:fldChar w:fldCharType="end"/>
      </w:r>
    </w:p>
    <w:p w14:paraId="47714C9A" w14:textId="77777777" w:rsidR="00C061B2" w:rsidRPr="00C061B2" w:rsidRDefault="00C061B2" w:rsidP="00C061B2"/>
    <w:p w14:paraId="4D3EE5D8" w14:textId="77777777" w:rsidR="00223CF4" w:rsidRPr="00223CF4" w:rsidRDefault="00223CF4" w:rsidP="00223CF4">
      <w:pPr>
        <w:rPr>
          <w:rFonts w:cstheme="minorHAnsi"/>
        </w:rPr>
      </w:pPr>
    </w:p>
    <w:p w14:paraId="01046DCF" w14:textId="77777777" w:rsidR="00223CF4" w:rsidRPr="00223CF4" w:rsidRDefault="00223CF4" w:rsidP="00223CF4">
      <w:pPr>
        <w:rPr>
          <w:rFonts w:cstheme="minorHAnsi"/>
        </w:rPr>
      </w:pPr>
    </w:p>
    <w:p w14:paraId="0418C773" w14:textId="77777777" w:rsidR="00223CF4" w:rsidRPr="00223CF4" w:rsidRDefault="00223CF4" w:rsidP="00CA009D">
      <w:pPr>
        <w:ind w:firstLine="0"/>
        <w:rPr>
          <w:rFonts w:cstheme="minorHAnsi"/>
        </w:rPr>
      </w:pPr>
    </w:p>
    <w:sectPr w:rsidR="00223CF4" w:rsidRPr="00223CF4" w:rsidSect="004E4562">
      <w:footerReference w:type="default" r:id="rId30"/>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57FEB" w14:textId="77777777" w:rsidR="00425269" w:rsidRDefault="00425269" w:rsidP="00123CAC">
      <w:pPr>
        <w:spacing w:after="0" w:line="240" w:lineRule="auto"/>
      </w:pPr>
      <w:r>
        <w:separator/>
      </w:r>
    </w:p>
  </w:endnote>
  <w:endnote w:type="continuationSeparator" w:id="0">
    <w:p w14:paraId="3153EB3D" w14:textId="77777777" w:rsidR="00425269" w:rsidRDefault="00425269"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CC068" w14:textId="77777777" w:rsidR="00BE3DE6" w:rsidRDefault="00BE3DE6">
    <w:pPr>
      <w:pStyle w:val="Zpat"/>
      <w:jc w:val="center"/>
    </w:pPr>
  </w:p>
  <w:p w14:paraId="664E0FD9"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0275047"/>
      <w:docPartObj>
        <w:docPartGallery w:val="Page Numbers (Bottom of Page)"/>
        <w:docPartUnique/>
      </w:docPartObj>
    </w:sdtPr>
    <w:sdtContent>
      <w:p w14:paraId="6061F212" w14:textId="77777777" w:rsidR="00BE3DE6" w:rsidRDefault="00BE3DE6">
        <w:pPr>
          <w:pStyle w:val="Zpat"/>
          <w:jc w:val="center"/>
        </w:pPr>
        <w:r>
          <w:fldChar w:fldCharType="begin"/>
        </w:r>
        <w:r>
          <w:instrText>PAGE   \* MERGEFORMAT</w:instrText>
        </w:r>
        <w:r>
          <w:fldChar w:fldCharType="separate"/>
        </w:r>
        <w:r>
          <w:rPr>
            <w:lang w:val="cs-CZ"/>
          </w:rPr>
          <w:t>2</w:t>
        </w:r>
        <w:r>
          <w:fldChar w:fldCharType="end"/>
        </w:r>
      </w:p>
    </w:sdtContent>
  </w:sdt>
  <w:p w14:paraId="28908BBC"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03C19" w14:textId="77777777" w:rsidR="00425269" w:rsidRDefault="00425269" w:rsidP="00123CAC">
      <w:pPr>
        <w:spacing w:after="0" w:line="240" w:lineRule="auto"/>
      </w:pPr>
      <w:r>
        <w:separator/>
      </w:r>
    </w:p>
  </w:footnote>
  <w:footnote w:type="continuationSeparator" w:id="0">
    <w:p w14:paraId="1EDFFA8F" w14:textId="77777777" w:rsidR="00425269" w:rsidRDefault="00425269"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6A1198"/>
    <w:multiLevelType w:val="hybridMultilevel"/>
    <w:tmpl w:val="A98CE3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7C0112"/>
    <w:multiLevelType w:val="hybridMultilevel"/>
    <w:tmpl w:val="A6C0C5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185122"/>
    <w:multiLevelType w:val="hybridMultilevel"/>
    <w:tmpl w:val="77DEDD0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790BF1"/>
    <w:multiLevelType w:val="hybridMultilevel"/>
    <w:tmpl w:val="A8B25080"/>
    <w:lvl w:ilvl="0" w:tplc="CAB2C6D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16E62B06"/>
    <w:multiLevelType w:val="hybridMultilevel"/>
    <w:tmpl w:val="926E2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AF373C"/>
    <w:multiLevelType w:val="hybridMultilevel"/>
    <w:tmpl w:val="8E74A4A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22886643"/>
    <w:multiLevelType w:val="hybridMultilevel"/>
    <w:tmpl w:val="90FA695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FE2373"/>
    <w:multiLevelType w:val="hybridMultilevel"/>
    <w:tmpl w:val="48DEE2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9A75FB"/>
    <w:multiLevelType w:val="hybridMultilevel"/>
    <w:tmpl w:val="FB429C38"/>
    <w:lvl w:ilvl="0" w:tplc="04050001">
      <w:start w:val="1"/>
      <w:numFmt w:val="bullet"/>
      <w:lvlText w:val=""/>
      <w:lvlJc w:val="left"/>
      <w:pPr>
        <w:ind w:left="1425" w:hanging="360"/>
      </w:pPr>
      <w:rPr>
        <w:rFonts w:ascii="Symbol" w:hAnsi="Symbol" w:hint="default"/>
      </w:rPr>
    </w:lvl>
    <w:lvl w:ilvl="1" w:tplc="8B581C22">
      <w:numFmt w:val="bullet"/>
      <w:lvlText w:val="•"/>
      <w:lvlJc w:val="left"/>
      <w:pPr>
        <w:ind w:left="2145" w:hanging="360"/>
      </w:pPr>
      <w:rPr>
        <w:rFonts w:ascii="Calibri" w:eastAsiaTheme="minorHAnsi" w:hAnsi="Calibri" w:cs="Calibri"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3" w15:restartNumberingAfterBreak="0">
    <w:nsid w:val="28435CB7"/>
    <w:multiLevelType w:val="hybridMultilevel"/>
    <w:tmpl w:val="BCC454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1693D40"/>
    <w:multiLevelType w:val="hybridMultilevel"/>
    <w:tmpl w:val="135E62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79915BC"/>
    <w:multiLevelType w:val="hybridMultilevel"/>
    <w:tmpl w:val="1CBE17E0"/>
    <w:lvl w:ilvl="0" w:tplc="893E900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15:restartNumberingAfterBreak="0">
    <w:nsid w:val="3818256A"/>
    <w:multiLevelType w:val="hybridMultilevel"/>
    <w:tmpl w:val="4E02F5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E022279"/>
    <w:multiLevelType w:val="hybridMultilevel"/>
    <w:tmpl w:val="5C42B1B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3E3235E0"/>
    <w:multiLevelType w:val="hybridMultilevel"/>
    <w:tmpl w:val="D82837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1B1688F"/>
    <w:multiLevelType w:val="hybridMultilevel"/>
    <w:tmpl w:val="07BAAFA2"/>
    <w:lvl w:ilvl="0" w:tplc="8B581C22">
      <w:numFmt w:val="bullet"/>
      <w:lvlText w:val="•"/>
      <w:lvlJc w:val="left"/>
      <w:pPr>
        <w:ind w:left="2712" w:hanging="360"/>
      </w:pPr>
      <w:rPr>
        <w:rFonts w:ascii="Calibri" w:eastAsiaTheme="minorHAnsi"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46237A6D"/>
    <w:multiLevelType w:val="hybridMultilevel"/>
    <w:tmpl w:val="4B3211EA"/>
    <w:lvl w:ilvl="0" w:tplc="893E900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BEE3551"/>
    <w:multiLevelType w:val="hybridMultilevel"/>
    <w:tmpl w:val="34E45D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E0859F1"/>
    <w:multiLevelType w:val="hybridMultilevel"/>
    <w:tmpl w:val="09124C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6717A04"/>
    <w:multiLevelType w:val="hybridMultilevel"/>
    <w:tmpl w:val="E9D29D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BDD6684"/>
    <w:multiLevelType w:val="hybridMultilevel"/>
    <w:tmpl w:val="D36697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C4C280B"/>
    <w:multiLevelType w:val="hybridMultilevel"/>
    <w:tmpl w:val="562AEEF6"/>
    <w:lvl w:ilvl="0" w:tplc="CAB2C6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2137"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8" w15:restartNumberingAfterBreak="0">
    <w:nsid w:val="5F1B46B2"/>
    <w:multiLevelType w:val="multilevel"/>
    <w:tmpl w:val="9AA0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0917AC"/>
    <w:multiLevelType w:val="multilevel"/>
    <w:tmpl w:val="CF40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15:restartNumberingAfterBreak="0">
    <w:nsid w:val="686B2E6E"/>
    <w:multiLevelType w:val="hybridMultilevel"/>
    <w:tmpl w:val="30547104"/>
    <w:lvl w:ilvl="0" w:tplc="893E900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2" w15:restartNumberingAfterBreak="0">
    <w:nsid w:val="690A67F2"/>
    <w:multiLevelType w:val="hybridMultilevel"/>
    <w:tmpl w:val="61E04B50"/>
    <w:lvl w:ilvl="0" w:tplc="8B581C22">
      <w:numFmt w:val="bullet"/>
      <w:lvlText w:val="•"/>
      <w:lvlJc w:val="left"/>
      <w:pPr>
        <w:ind w:left="2145"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90B1B2C"/>
    <w:multiLevelType w:val="hybridMultilevel"/>
    <w:tmpl w:val="22AC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B696983"/>
    <w:multiLevelType w:val="hybridMultilevel"/>
    <w:tmpl w:val="349807EC"/>
    <w:lvl w:ilvl="0" w:tplc="8B581C22">
      <w:numFmt w:val="bullet"/>
      <w:lvlText w:val="•"/>
      <w:lvlJc w:val="left"/>
      <w:pPr>
        <w:ind w:left="3570" w:hanging="360"/>
      </w:pPr>
      <w:rPr>
        <w:rFonts w:ascii="Calibri" w:eastAsiaTheme="minorHAnsi" w:hAnsi="Calibri" w:cs="Calibri" w:hint="default"/>
      </w:rPr>
    </w:lvl>
    <w:lvl w:ilvl="1" w:tplc="04050003" w:tentative="1">
      <w:start w:val="1"/>
      <w:numFmt w:val="bullet"/>
      <w:lvlText w:val="o"/>
      <w:lvlJc w:val="left"/>
      <w:pPr>
        <w:ind w:left="2865" w:hanging="360"/>
      </w:pPr>
      <w:rPr>
        <w:rFonts w:ascii="Courier New" w:hAnsi="Courier New" w:cs="Courier New" w:hint="default"/>
      </w:rPr>
    </w:lvl>
    <w:lvl w:ilvl="2" w:tplc="04050005">
      <w:start w:val="1"/>
      <w:numFmt w:val="bullet"/>
      <w:lvlText w:val=""/>
      <w:lvlJc w:val="left"/>
      <w:pPr>
        <w:ind w:left="3585" w:hanging="360"/>
      </w:pPr>
      <w:rPr>
        <w:rFonts w:ascii="Wingdings" w:hAnsi="Wingdings" w:hint="default"/>
      </w:rPr>
    </w:lvl>
    <w:lvl w:ilvl="3" w:tplc="04050001" w:tentative="1">
      <w:start w:val="1"/>
      <w:numFmt w:val="bullet"/>
      <w:lvlText w:val=""/>
      <w:lvlJc w:val="left"/>
      <w:pPr>
        <w:ind w:left="4305" w:hanging="360"/>
      </w:pPr>
      <w:rPr>
        <w:rFonts w:ascii="Symbol" w:hAnsi="Symbol" w:hint="default"/>
      </w:rPr>
    </w:lvl>
    <w:lvl w:ilvl="4" w:tplc="04050003" w:tentative="1">
      <w:start w:val="1"/>
      <w:numFmt w:val="bullet"/>
      <w:lvlText w:val="o"/>
      <w:lvlJc w:val="left"/>
      <w:pPr>
        <w:ind w:left="5025" w:hanging="360"/>
      </w:pPr>
      <w:rPr>
        <w:rFonts w:ascii="Courier New" w:hAnsi="Courier New" w:cs="Courier New" w:hint="default"/>
      </w:rPr>
    </w:lvl>
    <w:lvl w:ilvl="5" w:tplc="04050005" w:tentative="1">
      <w:start w:val="1"/>
      <w:numFmt w:val="bullet"/>
      <w:lvlText w:val=""/>
      <w:lvlJc w:val="left"/>
      <w:pPr>
        <w:ind w:left="5745" w:hanging="360"/>
      </w:pPr>
      <w:rPr>
        <w:rFonts w:ascii="Wingdings" w:hAnsi="Wingdings" w:hint="default"/>
      </w:rPr>
    </w:lvl>
    <w:lvl w:ilvl="6" w:tplc="04050001" w:tentative="1">
      <w:start w:val="1"/>
      <w:numFmt w:val="bullet"/>
      <w:lvlText w:val=""/>
      <w:lvlJc w:val="left"/>
      <w:pPr>
        <w:ind w:left="6465" w:hanging="360"/>
      </w:pPr>
      <w:rPr>
        <w:rFonts w:ascii="Symbol" w:hAnsi="Symbol" w:hint="default"/>
      </w:rPr>
    </w:lvl>
    <w:lvl w:ilvl="7" w:tplc="04050003" w:tentative="1">
      <w:start w:val="1"/>
      <w:numFmt w:val="bullet"/>
      <w:lvlText w:val="o"/>
      <w:lvlJc w:val="left"/>
      <w:pPr>
        <w:ind w:left="7185" w:hanging="360"/>
      </w:pPr>
      <w:rPr>
        <w:rFonts w:ascii="Courier New" w:hAnsi="Courier New" w:cs="Courier New" w:hint="default"/>
      </w:rPr>
    </w:lvl>
    <w:lvl w:ilvl="8" w:tplc="04050005" w:tentative="1">
      <w:start w:val="1"/>
      <w:numFmt w:val="bullet"/>
      <w:lvlText w:val=""/>
      <w:lvlJc w:val="left"/>
      <w:pPr>
        <w:ind w:left="7905" w:hanging="360"/>
      </w:pPr>
      <w:rPr>
        <w:rFonts w:ascii="Wingdings" w:hAnsi="Wingdings" w:hint="default"/>
      </w:rPr>
    </w:lvl>
  </w:abstractNum>
  <w:abstractNum w:abstractNumId="35" w15:restartNumberingAfterBreak="0">
    <w:nsid w:val="77985443"/>
    <w:multiLevelType w:val="hybridMultilevel"/>
    <w:tmpl w:val="32CC0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B831223"/>
    <w:multiLevelType w:val="hybridMultilevel"/>
    <w:tmpl w:val="0CFA327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16cid:durableId="485778756">
    <w:abstractNumId w:val="4"/>
  </w:num>
  <w:num w:numId="2" w16cid:durableId="1848521157">
    <w:abstractNumId w:val="0"/>
  </w:num>
  <w:num w:numId="3" w16cid:durableId="449789996">
    <w:abstractNumId w:val="0"/>
    <w:lvlOverride w:ilvl="0">
      <w:startOverride w:val="1"/>
    </w:lvlOverride>
  </w:num>
  <w:num w:numId="4" w16cid:durableId="1198928895">
    <w:abstractNumId w:val="10"/>
  </w:num>
  <w:num w:numId="5" w16cid:durableId="398019993">
    <w:abstractNumId w:val="27"/>
  </w:num>
  <w:num w:numId="6" w16cid:durableId="1515680430">
    <w:abstractNumId w:val="20"/>
  </w:num>
  <w:num w:numId="7" w16cid:durableId="269625417">
    <w:abstractNumId w:val="20"/>
    <w:lvlOverride w:ilvl="0">
      <w:startOverride w:val="1"/>
    </w:lvlOverride>
  </w:num>
  <w:num w:numId="8" w16cid:durableId="1528908278">
    <w:abstractNumId w:val="20"/>
    <w:lvlOverride w:ilvl="0">
      <w:startOverride w:val="1"/>
    </w:lvlOverride>
  </w:num>
  <w:num w:numId="9" w16cid:durableId="1118573950">
    <w:abstractNumId w:val="20"/>
    <w:lvlOverride w:ilvl="0">
      <w:startOverride w:val="1"/>
    </w:lvlOverride>
  </w:num>
  <w:num w:numId="10" w16cid:durableId="1050418628">
    <w:abstractNumId w:val="30"/>
  </w:num>
  <w:num w:numId="11" w16cid:durableId="427968517">
    <w:abstractNumId w:val="9"/>
  </w:num>
  <w:num w:numId="12" w16cid:durableId="509299152">
    <w:abstractNumId w:val="20"/>
    <w:lvlOverride w:ilvl="0">
      <w:startOverride w:val="1"/>
    </w:lvlOverride>
  </w:num>
  <w:num w:numId="13" w16cid:durableId="567958269">
    <w:abstractNumId w:val="33"/>
  </w:num>
  <w:num w:numId="14" w16cid:durableId="229586784">
    <w:abstractNumId w:val="2"/>
  </w:num>
  <w:num w:numId="15" w16cid:durableId="1465075201">
    <w:abstractNumId w:val="23"/>
  </w:num>
  <w:num w:numId="16" w16cid:durableId="1067151632">
    <w:abstractNumId w:val="22"/>
  </w:num>
  <w:num w:numId="17" w16cid:durableId="725379627">
    <w:abstractNumId w:val="14"/>
  </w:num>
  <w:num w:numId="18" w16cid:durableId="1148860175">
    <w:abstractNumId w:val="36"/>
  </w:num>
  <w:num w:numId="19" w16cid:durableId="472332395">
    <w:abstractNumId w:val="3"/>
  </w:num>
  <w:num w:numId="20" w16cid:durableId="1667005955">
    <w:abstractNumId w:val="7"/>
  </w:num>
  <w:num w:numId="21" w16cid:durableId="254167651">
    <w:abstractNumId w:val="35"/>
  </w:num>
  <w:num w:numId="22" w16cid:durableId="730617405">
    <w:abstractNumId w:val="13"/>
  </w:num>
  <w:num w:numId="23" w16cid:durableId="343047937">
    <w:abstractNumId w:val="12"/>
  </w:num>
  <w:num w:numId="24" w16cid:durableId="1661540865">
    <w:abstractNumId w:val="19"/>
  </w:num>
  <w:num w:numId="25" w16cid:durableId="1886326555">
    <w:abstractNumId w:val="31"/>
  </w:num>
  <w:num w:numId="26" w16cid:durableId="470290198">
    <w:abstractNumId w:val="5"/>
  </w:num>
  <w:num w:numId="27" w16cid:durableId="736439867">
    <w:abstractNumId w:val="21"/>
  </w:num>
  <w:num w:numId="28" w16cid:durableId="1525896232">
    <w:abstractNumId w:val="15"/>
  </w:num>
  <w:num w:numId="29" w16cid:durableId="874316255">
    <w:abstractNumId w:val="34"/>
  </w:num>
  <w:num w:numId="30" w16cid:durableId="590240766">
    <w:abstractNumId w:val="32"/>
  </w:num>
  <w:num w:numId="31" w16cid:durableId="2134593716">
    <w:abstractNumId w:val="17"/>
  </w:num>
  <w:num w:numId="32" w16cid:durableId="720010749">
    <w:abstractNumId w:val="16"/>
  </w:num>
  <w:num w:numId="33" w16cid:durableId="387801557">
    <w:abstractNumId w:val="1"/>
  </w:num>
  <w:num w:numId="34" w16cid:durableId="1725331642">
    <w:abstractNumId w:val="25"/>
  </w:num>
  <w:num w:numId="35" w16cid:durableId="1737898782">
    <w:abstractNumId w:val="8"/>
  </w:num>
  <w:num w:numId="36" w16cid:durableId="1794981399">
    <w:abstractNumId w:val="18"/>
  </w:num>
  <w:num w:numId="37" w16cid:durableId="1203787216">
    <w:abstractNumId w:val="24"/>
  </w:num>
  <w:num w:numId="38" w16cid:durableId="1967854506">
    <w:abstractNumId w:val="11"/>
  </w:num>
  <w:num w:numId="39" w16cid:durableId="1098988144">
    <w:abstractNumId w:val="28"/>
  </w:num>
  <w:num w:numId="40" w16cid:durableId="1469126302">
    <w:abstractNumId w:val="26"/>
  </w:num>
  <w:num w:numId="41" w16cid:durableId="1171868347">
    <w:abstractNumId w:val="29"/>
  </w:num>
  <w:num w:numId="42" w16cid:durableId="8527190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7B"/>
    <w:rsid w:val="0001101F"/>
    <w:rsid w:val="00011ED9"/>
    <w:rsid w:val="00015E46"/>
    <w:rsid w:val="00022508"/>
    <w:rsid w:val="00035E74"/>
    <w:rsid w:val="00055893"/>
    <w:rsid w:val="00064885"/>
    <w:rsid w:val="00067C46"/>
    <w:rsid w:val="000705A1"/>
    <w:rsid w:val="00072634"/>
    <w:rsid w:val="00077793"/>
    <w:rsid w:val="00080B8A"/>
    <w:rsid w:val="00084587"/>
    <w:rsid w:val="00086E41"/>
    <w:rsid w:val="000A06FC"/>
    <w:rsid w:val="000B74A8"/>
    <w:rsid w:val="000C7151"/>
    <w:rsid w:val="000D4593"/>
    <w:rsid w:val="000F34BD"/>
    <w:rsid w:val="00107470"/>
    <w:rsid w:val="00123CAC"/>
    <w:rsid w:val="00140E15"/>
    <w:rsid w:val="00141732"/>
    <w:rsid w:val="00141DB1"/>
    <w:rsid w:val="00142814"/>
    <w:rsid w:val="0014798D"/>
    <w:rsid w:val="001707D7"/>
    <w:rsid w:val="00172158"/>
    <w:rsid w:val="0018175D"/>
    <w:rsid w:val="00191B1C"/>
    <w:rsid w:val="001A057F"/>
    <w:rsid w:val="001C3018"/>
    <w:rsid w:val="001C5A0D"/>
    <w:rsid w:val="001D7119"/>
    <w:rsid w:val="001E24C0"/>
    <w:rsid w:val="001E26E9"/>
    <w:rsid w:val="00206AA7"/>
    <w:rsid w:val="00220D7C"/>
    <w:rsid w:val="00223CF4"/>
    <w:rsid w:val="002331A1"/>
    <w:rsid w:val="0025000B"/>
    <w:rsid w:val="00260166"/>
    <w:rsid w:val="00261FF7"/>
    <w:rsid w:val="0026207F"/>
    <w:rsid w:val="002720A1"/>
    <w:rsid w:val="002823DD"/>
    <w:rsid w:val="00285F0C"/>
    <w:rsid w:val="00292564"/>
    <w:rsid w:val="00297C67"/>
    <w:rsid w:val="002B42AD"/>
    <w:rsid w:val="002D26D9"/>
    <w:rsid w:val="002E545E"/>
    <w:rsid w:val="002E6E3D"/>
    <w:rsid w:val="002F27FB"/>
    <w:rsid w:val="002F39C9"/>
    <w:rsid w:val="002F63E3"/>
    <w:rsid w:val="003011AF"/>
    <w:rsid w:val="003149C2"/>
    <w:rsid w:val="00345728"/>
    <w:rsid w:val="00370924"/>
    <w:rsid w:val="00373D82"/>
    <w:rsid w:val="00380252"/>
    <w:rsid w:val="00381153"/>
    <w:rsid w:val="0038310F"/>
    <w:rsid w:val="00386F98"/>
    <w:rsid w:val="003903C8"/>
    <w:rsid w:val="003968B3"/>
    <w:rsid w:val="00397B63"/>
    <w:rsid w:val="003A2777"/>
    <w:rsid w:val="003A780D"/>
    <w:rsid w:val="003C3B75"/>
    <w:rsid w:val="003C3FE7"/>
    <w:rsid w:val="003C5272"/>
    <w:rsid w:val="003C6553"/>
    <w:rsid w:val="003D0AFE"/>
    <w:rsid w:val="003D255C"/>
    <w:rsid w:val="003E3D65"/>
    <w:rsid w:val="003E4364"/>
    <w:rsid w:val="0042235B"/>
    <w:rsid w:val="00423642"/>
    <w:rsid w:val="00425269"/>
    <w:rsid w:val="00427828"/>
    <w:rsid w:val="004304A9"/>
    <w:rsid w:val="0043292A"/>
    <w:rsid w:val="00441E1F"/>
    <w:rsid w:val="00450B79"/>
    <w:rsid w:val="00451801"/>
    <w:rsid w:val="004645B8"/>
    <w:rsid w:val="00467E80"/>
    <w:rsid w:val="00473407"/>
    <w:rsid w:val="00482950"/>
    <w:rsid w:val="004A1CA4"/>
    <w:rsid w:val="004A5D14"/>
    <w:rsid w:val="004A66E5"/>
    <w:rsid w:val="004B734F"/>
    <w:rsid w:val="004C4410"/>
    <w:rsid w:val="004C6392"/>
    <w:rsid w:val="004E3F0E"/>
    <w:rsid w:val="004E442A"/>
    <w:rsid w:val="004E4562"/>
    <w:rsid w:val="00501109"/>
    <w:rsid w:val="00515200"/>
    <w:rsid w:val="00522DD1"/>
    <w:rsid w:val="00526F4E"/>
    <w:rsid w:val="00531923"/>
    <w:rsid w:val="00537B45"/>
    <w:rsid w:val="005460D1"/>
    <w:rsid w:val="00556E11"/>
    <w:rsid w:val="00567081"/>
    <w:rsid w:val="00567883"/>
    <w:rsid w:val="005851A1"/>
    <w:rsid w:val="00586B64"/>
    <w:rsid w:val="005952ED"/>
    <w:rsid w:val="005A7EE3"/>
    <w:rsid w:val="005C2C8F"/>
    <w:rsid w:val="005C36C9"/>
    <w:rsid w:val="005C43CB"/>
    <w:rsid w:val="005C6624"/>
    <w:rsid w:val="005E18A7"/>
    <w:rsid w:val="005F4DA2"/>
    <w:rsid w:val="005F6091"/>
    <w:rsid w:val="005F70F5"/>
    <w:rsid w:val="00611FAB"/>
    <w:rsid w:val="00615D78"/>
    <w:rsid w:val="00642F90"/>
    <w:rsid w:val="006550B1"/>
    <w:rsid w:val="00674DCF"/>
    <w:rsid w:val="006819DF"/>
    <w:rsid w:val="0069032B"/>
    <w:rsid w:val="0069039E"/>
    <w:rsid w:val="006957B6"/>
    <w:rsid w:val="006A23E1"/>
    <w:rsid w:val="006B094F"/>
    <w:rsid w:val="006B0D8A"/>
    <w:rsid w:val="006B2760"/>
    <w:rsid w:val="006D32D8"/>
    <w:rsid w:val="006D4446"/>
    <w:rsid w:val="006F1062"/>
    <w:rsid w:val="006F5B6E"/>
    <w:rsid w:val="00701323"/>
    <w:rsid w:val="00704F19"/>
    <w:rsid w:val="00706236"/>
    <w:rsid w:val="0072398C"/>
    <w:rsid w:val="00727138"/>
    <w:rsid w:val="007317AC"/>
    <w:rsid w:val="00736717"/>
    <w:rsid w:val="0073749E"/>
    <w:rsid w:val="00750700"/>
    <w:rsid w:val="0076490B"/>
    <w:rsid w:val="00764F47"/>
    <w:rsid w:val="00785B17"/>
    <w:rsid w:val="00785E21"/>
    <w:rsid w:val="007960AA"/>
    <w:rsid w:val="007A697B"/>
    <w:rsid w:val="007B1A5C"/>
    <w:rsid w:val="007E59B3"/>
    <w:rsid w:val="007E7E45"/>
    <w:rsid w:val="007F16AD"/>
    <w:rsid w:val="007F55D3"/>
    <w:rsid w:val="007F7493"/>
    <w:rsid w:val="00807512"/>
    <w:rsid w:val="008107E7"/>
    <w:rsid w:val="00865298"/>
    <w:rsid w:val="008656A1"/>
    <w:rsid w:val="00874A46"/>
    <w:rsid w:val="00881044"/>
    <w:rsid w:val="00885FA6"/>
    <w:rsid w:val="008868B8"/>
    <w:rsid w:val="00887F71"/>
    <w:rsid w:val="00890B1E"/>
    <w:rsid w:val="00893F90"/>
    <w:rsid w:val="008A7B22"/>
    <w:rsid w:val="008E15FA"/>
    <w:rsid w:val="008F1937"/>
    <w:rsid w:val="008F561C"/>
    <w:rsid w:val="00902DF6"/>
    <w:rsid w:val="00906C66"/>
    <w:rsid w:val="00930098"/>
    <w:rsid w:val="00940997"/>
    <w:rsid w:val="00946AFB"/>
    <w:rsid w:val="00947249"/>
    <w:rsid w:val="009506E2"/>
    <w:rsid w:val="00951096"/>
    <w:rsid w:val="00951485"/>
    <w:rsid w:val="00955514"/>
    <w:rsid w:val="00970156"/>
    <w:rsid w:val="009874DD"/>
    <w:rsid w:val="009A0B3F"/>
    <w:rsid w:val="009A297C"/>
    <w:rsid w:val="009A7EF9"/>
    <w:rsid w:val="009B4D56"/>
    <w:rsid w:val="009B6E4E"/>
    <w:rsid w:val="009D54FC"/>
    <w:rsid w:val="009D5EEB"/>
    <w:rsid w:val="009E3F7F"/>
    <w:rsid w:val="009E5F9F"/>
    <w:rsid w:val="009E79F9"/>
    <w:rsid w:val="009F58DE"/>
    <w:rsid w:val="009F7DD7"/>
    <w:rsid w:val="00A01F70"/>
    <w:rsid w:val="00A06053"/>
    <w:rsid w:val="00A15908"/>
    <w:rsid w:val="00A16D6A"/>
    <w:rsid w:val="00A16FEE"/>
    <w:rsid w:val="00A479B8"/>
    <w:rsid w:val="00A565FA"/>
    <w:rsid w:val="00A67CD6"/>
    <w:rsid w:val="00A726BE"/>
    <w:rsid w:val="00A72A99"/>
    <w:rsid w:val="00A7745A"/>
    <w:rsid w:val="00A82AF4"/>
    <w:rsid w:val="00A83078"/>
    <w:rsid w:val="00A8455D"/>
    <w:rsid w:val="00A8777C"/>
    <w:rsid w:val="00AB41FF"/>
    <w:rsid w:val="00AC1466"/>
    <w:rsid w:val="00AC152A"/>
    <w:rsid w:val="00AC3072"/>
    <w:rsid w:val="00AC3A7B"/>
    <w:rsid w:val="00AC6769"/>
    <w:rsid w:val="00AC6AC7"/>
    <w:rsid w:val="00AE209B"/>
    <w:rsid w:val="00AE6454"/>
    <w:rsid w:val="00AE6CC6"/>
    <w:rsid w:val="00AF075C"/>
    <w:rsid w:val="00AF27CA"/>
    <w:rsid w:val="00AF29F9"/>
    <w:rsid w:val="00B10CC5"/>
    <w:rsid w:val="00B23C4D"/>
    <w:rsid w:val="00B4493A"/>
    <w:rsid w:val="00B44EA7"/>
    <w:rsid w:val="00B465B5"/>
    <w:rsid w:val="00B57DF6"/>
    <w:rsid w:val="00B62290"/>
    <w:rsid w:val="00B64DA2"/>
    <w:rsid w:val="00B97B20"/>
    <w:rsid w:val="00BB798C"/>
    <w:rsid w:val="00BC04E7"/>
    <w:rsid w:val="00BC48EE"/>
    <w:rsid w:val="00BD6321"/>
    <w:rsid w:val="00BE1B6E"/>
    <w:rsid w:val="00BE27F8"/>
    <w:rsid w:val="00BE3DE6"/>
    <w:rsid w:val="00C05C98"/>
    <w:rsid w:val="00C061B2"/>
    <w:rsid w:val="00C14602"/>
    <w:rsid w:val="00C15AF2"/>
    <w:rsid w:val="00C164CF"/>
    <w:rsid w:val="00C2265C"/>
    <w:rsid w:val="00C22C22"/>
    <w:rsid w:val="00C306D3"/>
    <w:rsid w:val="00C46D94"/>
    <w:rsid w:val="00C63841"/>
    <w:rsid w:val="00C66D13"/>
    <w:rsid w:val="00C71AA5"/>
    <w:rsid w:val="00C71BAE"/>
    <w:rsid w:val="00C74665"/>
    <w:rsid w:val="00C84F19"/>
    <w:rsid w:val="00C87F99"/>
    <w:rsid w:val="00C93E16"/>
    <w:rsid w:val="00C97190"/>
    <w:rsid w:val="00CA009D"/>
    <w:rsid w:val="00CC61AB"/>
    <w:rsid w:val="00CC620C"/>
    <w:rsid w:val="00CD11BE"/>
    <w:rsid w:val="00CD6CF3"/>
    <w:rsid w:val="00CE1D97"/>
    <w:rsid w:val="00CF0B42"/>
    <w:rsid w:val="00CF31A4"/>
    <w:rsid w:val="00CF55EE"/>
    <w:rsid w:val="00CF6F2B"/>
    <w:rsid w:val="00D121C6"/>
    <w:rsid w:val="00D179D9"/>
    <w:rsid w:val="00D228B3"/>
    <w:rsid w:val="00D317D4"/>
    <w:rsid w:val="00D342E0"/>
    <w:rsid w:val="00D51BCC"/>
    <w:rsid w:val="00D53F32"/>
    <w:rsid w:val="00D54474"/>
    <w:rsid w:val="00D56910"/>
    <w:rsid w:val="00D609D0"/>
    <w:rsid w:val="00DA1758"/>
    <w:rsid w:val="00DB66C9"/>
    <w:rsid w:val="00DC578D"/>
    <w:rsid w:val="00DC78E0"/>
    <w:rsid w:val="00DC7FED"/>
    <w:rsid w:val="00DD336F"/>
    <w:rsid w:val="00DD6B9A"/>
    <w:rsid w:val="00DF0AD7"/>
    <w:rsid w:val="00DF5E9E"/>
    <w:rsid w:val="00DF7A90"/>
    <w:rsid w:val="00E010CC"/>
    <w:rsid w:val="00E06E92"/>
    <w:rsid w:val="00E06EBF"/>
    <w:rsid w:val="00E145ED"/>
    <w:rsid w:val="00E20C13"/>
    <w:rsid w:val="00E2227A"/>
    <w:rsid w:val="00E40E10"/>
    <w:rsid w:val="00E5361B"/>
    <w:rsid w:val="00E64EF1"/>
    <w:rsid w:val="00E67994"/>
    <w:rsid w:val="00E77698"/>
    <w:rsid w:val="00E86161"/>
    <w:rsid w:val="00E92340"/>
    <w:rsid w:val="00EA0270"/>
    <w:rsid w:val="00EA4A6D"/>
    <w:rsid w:val="00EA7C9B"/>
    <w:rsid w:val="00EC10B7"/>
    <w:rsid w:val="00EC2E9E"/>
    <w:rsid w:val="00ED5500"/>
    <w:rsid w:val="00ED7C7B"/>
    <w:rsid w:val="00EE6738"/>
    <w:rsid w:val="00EF6844"/>
    <w:rsid w:val="00F01440"/>
    <w:rsid w:val="00F029A4"/>
    <w:rsid w:val="00F07E74"/>
    <w:rsid w:val="00F202FB"/>
    <w:rsid w:val="00F311CC"/>
    <w:rsid w:val="00F311F5"/>
    <w:rsid w:val="00F34831"/>
    <w:rsid w:val="00F5038F"/>
    <w:rsid w:val="00F62833"/>
    <w:rsid w:val="00F85C94"/>
    <w:rsid w:val="00FA4103"/>
    <w:rsid w:val="00FB5848"/>
    <w:rsid w:val="00FC54E8"/>
    <w:rsid w:val="00FE157D"/>
    <w:rsid w:val="00FE70BE"/>
    <w:rsid w:val="00FE7535"/>
    <w:rsid w:val="00FF19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F0E13"/>
  <w15:chartTrackingRefBased/>
  <w15:docId w15:val="{D9190921-11ED-4219-A2D1-95C3C326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Nadpisobsahu">
    <w:name w:val="TOC Heading"/>
    <w:basedOn w:val="Nadpis1"/>
    <w:next w:val="Normln"/>
    <w:uiPriority w:val="39"/>
    <w:unhideWhenUsed/>
    <w:qFormat/>
    <w:rsid w:val="00067C46"/>
    <w:pPr>
      <w:pageBreakBefore w:val="0"/>
      <w:numPr>
        <w:numId w:val="0"/>
      </w:numPr>
      <w:spacing w:after="0" w:line="259" w:lineRule="auto"/>
      <w:contextualSpacing w:val="0"/>
      <w:outlineLvl w:val="9"/>
    </w:pPr>
    <w:rPr>
      <w:rFonts w:asciiTheme="majorHAnsi" w:hAnsiTheme="majorHAnsi"/>
      <w:b w:val="0"/>
      <w:caps w:val="0"/>
      <w:color w:val="3E762A" w:themeColor="accent1" w:themeShade="BF"/>
      <w:sz w:val="32"/>
      <w:lang w:val="cs-CZ"/>
    </w:rPr>
  </w:style>
  <w:style w:type="paragraph" w:styleId="Obsah4">
    <w:name w:val="toc 4"/>
    <w:basedOn w:val="Normln"/>
    <w:next w:val="Normln"/>
    <w:autoRedefine/>
    <w:uiPriority w:val="39"/>
    <w:unhideWhenUsed/>
    <w:rsid w:val="00067C46"/>
    <w:pPr>
      <w:spacing w:after="100" w:line="278" w:lineRule="auto"/>
      <w:ind w:left="720" w:firstLine="0"/>
      <w:contextualSpacing w:val="0"/>
      <w:jc w:val="left"/>
    </w:pPr>
    <w:rPr>
      <w:rFonts w:eastAsiaTheme="minorEastAsia"/>
      <w:kern w:val="2"/>
      <w:sz w:val="24"/>
      <w:szCs w:val="24"/>
      <w:lang w:val="cs-CZ"/>
      <w14:ligatures w14:val="standardContextual"/>
    </w:rPr>
  </w:style>
  <w:style w:type="paragraph" w:styleId="Obsah5">
    <w:name w:val="toc 5"/>
    <w:basedOn w:val="Normln"/>
    <w:next w:val="Normln"/>
    <w:autoRedefine/>
    <w:uiPriority w:val="39"/>
    <w:unhideWhenUsed/>
    <w:rsid w:val="00067C46"/>
    <w:pPr>
      <w:spacing w:after="100" w:line="278" w:lineRule="auto"/>
      <w:ind w:left="960" w:firstLine="0"/>
      <w:contextualSpacing w:val="0"/>
      <w:jc w:val="left"/>
    </w:pPr>
    <w:rPr>
      <w:rFonts w:eastAsiaTheme="minorEastAsia"/>
      <w:kern w:val="2"/>
      <w:sz w:val="24"/>
      <w:szCs w:val="24"/>
      <w:lang w:val="cs-CZ"/>
      <w14:ligatures w14:val="standardContextual"/>
    </w:rPr>
  </w:style>
  <w:style w:type="paragraph" w:styleId="Obsah6">
    <w:name w:val="toc 6"/>
    <w:basedOn w:val="Normln"/>
    <w:next w:val="Normln"/>
    <w:autoRedefine/>
    <w:uiPriority w:val="39"/>
    <w:unhideWhenUsed/>
    <w:rsid w:val="00067C46"/>
    <w:pPr>
      <w:spacing w:after="100" w:line="278" w:lineRule="auto"/>
      <w:ind w:left="1200" w:firstLine="0"/>
      <w:contextualSpacing w:val="0"/>
      <w:jc w:val="left"/>
    </w:pPr>
    <w:rPr>
      <w:rFonts w:eastAsiaTheme="minorEastAsia"/>
      <w:kern w:val="2"/>
      <w:sz w:val="24"/>
      <w:szCs w:val="24"/>
      <w:lang w:val="cs-CZ"/>
      <w14:ligatures w14:val="standardContextual"/>
    </w:rPr>
  </w:style>
  <w:style w:type="paragraph" w:styleId="Obsah7">
    <w:name w:val="toc 7"/>
    <w:basedOn w:val="Normln"/>
    <w:next w:val="Normln"/>
    <w:autoRedefine/>
    <w:uiPriority w:val="39"/>
    <w:unhideWhenUsed/>
    <w:rsid w:val="00067C46"/>
    <w:pPr>
      <w:spacing w:after="100" w:line="278" w:lineRule="auto"/>
      <w:ind w:left="1440" w:firstLine="0"/>
      <w:contextualSpacing w:val="0"/>
      <w:jc w:val="left"/>
    </w:pPr>
    <w:rPr>
      <w:rFonts w:eastAsiaTheme="minorEastAsia"/>
      <w:kern w:val="2"/>
      <w:sz w:val="24"/>
      <w:szCs w:val="24"/>
      <w:lang w:val="cs-CZ"/>
      <w14:ligatures w14:val="standardContextual"/>
    </w:rPr>
  </w:style>
  <w:style w:type="paragraph" w:styleId="Obsah8">
    <w:name w:val="toc 8"/>
    <w:basedOn w:val="Normln"/>
    <w:next w:val="Normln"/>
    <w:autoRedefine/>
    <w:uiPriority w:val="39"/>
    <w:unhideWhenUsed/>
    <w:rsid w:val="00067C46"/>
    <w:pPr>
      <w:spacing w:after="100" w:line="278" w:lineRule="auto"/>
      <w:ind w:left="1680" w:firstLine="0"/>
      <w:contextualSpacing w:val="0"/>
      <w:jc w:val="left"/>
    </w:pPr>
    <w:rPr>
      <w:rFonts w:eastAsiaTheme="minorEastAsia"/>
      <w:kern w:val="2"/>
      <w:sz w:val="24"/>
      <w:szCs w:val="24"/>
      <w:lang w:val="cs-CZ"/>
      <w14:ligatures w14:val="standardContextual"/>
    </w:rPr>
  </w:style>
  <w:style w:type="paragraph" w:styleId="Obsah9">
    <w:name w:val="toc 9"/>
    <w:basedOn w:val="Normln"/>
    <w:next w:val="Normln"/>
    <w:autoRedefine/>
    <w:uiPriority w:val="39"/>
    <w:unhideWhenUsed/>
    <w:rsid w:val="00067C46"/>
    <w:pPr>
      <w:spacing w:after="100" w:line="278" w:lineRule="auto"/>
      <w:ind w:left="1920" w:firstLine="0"/>
      <w:contextualSpacing w:val="0"/>
      <w:jc w:val="left"/>
    </w:pPr>
    <w:rPr>
      <w:rFonts w:eastAsiaTheme="minorEastAsia"/>
      <w:kern w:val="2"/>
      <w:sz w:val="24"/>
      <w:szCs w:val="24"/>
      <w:lang w:val="cs-CZ"/>
      <w14:ligatures w14:val="standardContextual"/>
    </w:rPr>
  </w:style>
  <w:style w:type="paragraph" w:customStyle="1" w:styleId="obrzky">
    <w:name w:val="obrázky"/>
    <w:basedOn w:val="Normln"/>
    <w:link w:val="obrzkyChar"/>
    <w:qFormat/>
    <w:rsid w:val="00B97B20"/>
    <w:pPr>
      <w:ind w:firstLine="0"/>
    </w:pPr>
    <w:rPr>
      <w:rFonts w:cstheme="minorHAnsi"/>
      <w:b/>
      <w:bCs/>
    </w:rPr>
  </w:style>
  <w:style w:type="character" w:customStyle="1" w:styleId="obrzkyChar">
    <w:name w:val="obrázky Char"/>
    <w:basedOn w:val="Standardnpsmoodstavce"/>
    <w:link w:val="obrzky"/>
    <w:rsid w:val="00B97B20"/>
    <w:rPr>
      <w:rFonts w:cstheme="minorHAnsi"/>
      <w:b/>
      <w:bCs/>
    </w:rPr>
  </w:style>
  <w:style w:type="paragraph" w:styleId="Normlnweb">
    <w:name w:val="Normal (Web)"/>
    <w:basedOn w:val="Normln"/>
    <w:uiPriority w:val="99"/>
    <w:unhideWhenUsed/>
    <w:rsid w:val="00220D7C"/>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customStyle="1" w:styleId="overflow-hidden">
    <w:name w:val="overflow-hidden"/>
    <w:basedOn w:val="Standardnpsmoodstavce"/>
    <w:rsid w:val="00220D7C"/>
  </w:style>
  <w:style w:type="character" w:styleId="Siln">
    <w:name w:val="Strong"/>
    <w:basedOn w:val="Standardnpsmoodstavce"/>
    <w:uiPriority w:val="22"/>
    <w:qFormat/>
    <w:rsid w:val="0072398C"/>
    <w:rPr>
      <w:b/>
      <w:bCs/>
    </w:rPr>
  </w:style>
  <w:style w:type="character" w:styleId="Zdraznn">
    <w:name w:val="Emphasis"/>
    <w:basedOn w:val="Standardnpsmoodstavce"/>
    <w:uiPriority w:val="20"/>
    <w:qFormat/>
    <w:rsid w:val="003968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3508">
      <w:bodyDiv w:val="1"/>
      <w:marLeft w:val="0"/>
      <w:marRight w:val="0"/>
      <w:marTop w:val="0"/>
      <w:marBottom w:val="0"/>
      <w:divBdr>
        <w:top w:val="none" w:sz="0" w:space="0" w:color="auto"/>
        <w:left w:val="none" w:sz="0" w:space="0" w:color="auto"/>
        <w:bottom w:val="none" w:sz="0" w:space="0" w:color="auto"/>
        <w:right w:val="none" w:sz="0" w:space="0" w:color="auto"/>
      </w:divBdr>
    </w:div>
    <w:div w:id="41058101">
      <w:bodyDiv w:val="1"/>
      <w:marLeft w:val="0"/>
      <w:marRight w:val="0"/>
      <w:marTop w:val="0"/>
      <w:marBottom w:val="0"/>
      <w:divBdr>
        <w:top w:val="none" w:sz="0" w:space="0" w:color="auto"/>
        <w:left w:val="none" w:sz="0" w:space="0" w:color="auto"/>
        <w:bottom w:val="none" w:sz="0" w:space="0" w:color="auto"/>
        <w:right w:val="none" w:sz="0" w:space="0" w:color="auto"/>
      </w:divBdr>
    </w:div>
    <w:div w:id="47264004">
      <w:bodyDiv w:val="1"/>
      <w:marLeft w:val="0"/>
      <w:marRight w:val="0"/>
      <w:marTop w:val="0"/>
      <w:marBottom w:val="0"/>
      <w:divBdr>
        <w:top w:val="none" w:sz="0" w:space="0" w:color="auto"/>
        <w:left w:val="none" w:sz="0" w:space="0" w:color="auto"/>
        <w:bottom w:val="none" w:sz="0" w:space="0" w:color="auto"/>
        <w:right w:val="none" w:sz="0" w:space="0" w:color="auto"/>
      </w:divBdr>
    </w:div>
    <w:div w:id="58945938">
      <w:bodyDiv w:val="1"/>
      <w:marLeft w:val="0"/>
      <w:marRight w:val="0"/>
      <w:marTop w:val="0"/>
      <w:marBottom w:val="0"/>
      <w:divBdr>
        <w:top w:val="none" w:sz="0" w:space="0" w:color="auto"/>
        <w:left w:val="none" w:sz="0" w:space="0" w:color="auto"/>
        <w:bottom w:val="none" w:sz="0" w:space="0" w:color="auto"/>
        <w:right w:val="none" w:sz="0" w:space="0" w:color="auto"/>
      </w:divBdr>
    </w:div>
    <w:div w:id="89551095">
      <w:bodyDiv w:val="1"/>
      <w:marLeft w:val="0"/>
      <w:marRight w:val="0"/>
      <w:marTop w:val="0"/>
      <w:marBottom w:val="0"/>
      <w:divBdr>
        <w:top w:val="none" w:sz="0" w:space="0" w:color="auto"/>
        <w:left w:val="none" w:sz="0" w:space="0" w:color="auto"/>
        <w:bottom w:val="none" w:sz="0" w:space="0" w:color="auto"/>
        <w:right w:val="none" w:sz="0" w:space="0" w:color="auto"/>
      </w:divBdr>
    </w:div>
    <w:div w:id="100347168">
      <w:bodyDiv w:val="1"/>
      <w:marLeft w:val="0"/>
      <w:marRight w:val="0"/>
      <w:marTop w:val="0"/>
      <w:marBottom w:val="0"/>
      <w:divBdr>
        <w:top w:val="none" w:sz="0" w:space="0" w:color="auto"/>
        <w:left w:val="none" w:sz="0" w:space="0" w:color="auto"/>
        <w:bottom w:val="none" w:sz="0" w:space="0" w:color="auto"/>
        <w:right w:val="none" w:sz="0" w:space="0" w:color="auto"/>
      </w:divBdr>
    </w:div>
    <w:div w:id="106436667">
      <w:bodyDiv w:val="1"/>
      <w:marLeft w:val="0"/>
      <w:marRight w:val="0"/>
      <w:marTop w:val="0"/>
      <w:marBottom w:val="0"/>
      <w:divBdr>
        <w:top w:val="none" w:sz="0" w:space="0" w:color="auto"/>
        <w:left w:val="none" w:sz="0" w:space="0" w:color="auto"/>
        <w:bottom w:val="none" w:sz="0" w:space="0" w:color="auto"/>
        <w:right w:val="none" w:sz="0" w:space="0" w:color="auto"/>
      </w:divBdr>
    </w:div>
    <w:div w:id="125705305">
      <w:bodyDiv w:val="1"/>
      <w:marLeft w:val="0"/>
      <w:marRight w:val="0"/>
      <w:marTop w:val="0"/>
      <w:marBottom w:val="0"/>
      <w:divBdr>
        <w:top w:val="none" w:sz="0" w:space="0" w:color="auto"/>
        <w:left w:val="none" w:sz="0" w:space="0" w:color="auto"/>
        <w:bottom w:val="none" w:sz="0" w:space="0" w:color="auto"/>
        <w:right w:val="none" w:sz="0" w:space="0" w:color="auto"/>
      </w:divBdr>
    </w:div>
    <w:div w:id="141896586">
      <w:bodyDiv w:val="1"/>
      <w:marLeft w:val="0"/>
      <w:marRight w:val="0"/>
      <w:marTop w:val="0"/>
      <w:marBottom w:val="0"/>
      <w:divBdr>
        <w:top w:val="none" w:sz="0" w:space="0" w:color="auto"/>
        <w:left w:val="none" w:sz="0" w:space="0" w:color="auto"/>
        <w:bottom w:val="none" w:sz="0" w:space="0" w:color="auto"/>
        <w:right w:val="none" w:sz="0" w:space="0" w:color="auto"/>
      </w:divBdr>
    </w:div>
    <w:div w:id="150872320">
      <w:bodyDiv w:val="1"/>
      <w:marLeft w:val="0"/>
      <w:marRight w:val="0"/>
      <w:marTop w:val="0"/>
      <w:marBottom w:val="0"/>
      <w:divBdr>
        <w:top w:val="none" w:sz="0" w:space="0" w:color="auto"/>
        <w:left w:val="none" w:sz="0" w:space="0" w:color="auto"/>
        <w:bottom w:val="none" w:sz="0" w:space="0" w:color="auto"/>
        <w:right w:val="none" w:sz="0" w:space="0" w:color="auto"/>
      </w:divBdr>
    </w:div>
    <w:div w:id="168296511">
      <w:bodyDiv w:val="1"/>
      <w:marLeft w:val="0"/>
      <w:marRight w:val="0"/>
      <w:marTop w:val="0"/>
      <w:marBottom w:val="0"/>
      <w:divBdr>
        <w:top w:val="none" w:sz="0" w:space="0" w:color="auto"/>
        <w:left w:val="none" w:sz="0" w:space="0" w:color="auto"/>
        <w:bottom w:val="none" w:sz="0" w:space="0" w:color="auto"/>
        <w:right w:val="none" w:sz="0" w:space="0" w:color="auto"/>
      </w:divBdr>
    </w:div>
    <w:div w:id="193077255">
      <w:bodyDiv w:val="1"/>
      <w:marLeft w:val="0"/>
      <w:marRight w:val="0"/>
      <w:marTop w:val="0"/>
      <w:marBottom w:val="0"/>
      <w:divBdr>
        <w:top w:val="none" w:sz="0" w:space="0" w:color="auto"/>
        <w:left w:val="none" w:sz="0" w:space="0" w:color="auto"/>
        <w:bottom w:val="none" w:sz="0" w:space="0" w:color="auto"/>
        <w:right w:val="none" w:sz="0" w:space="0" w:color="auto"/>
      </w:divBdr>
    </w:div>
    <w:div w:id="219480248">
      <w:bodyDiv w:val="1"/>
      <w:marLeft w:val="0"/>
      <w:marRight w:val="0"/>
      <w:marTop w:val="0"/>
      <w:marBottom w:val="0"/>
      <w:divBdr>
        <w:top w:val="none" w:sz="0" w:space="0" w:color="auto"/>
        <w:left w:val="none" w:sz="0" w:space="0" w:color="auto"/>
        <w:bottom w:val="none" w:sz="0" w:space="0" w:color="auto"/>
        <w:right w:val="none" w:sz="0" w:space="0" w:color="auto"/>
      </w:divBdr>
    </w:div>
    <w:div w:id="246355045">
      <w:bodyDiv w:val="1"/>
      <w:marLeft w:val="0"/>
      <w:marRight w:val="0"/>
      <w:marTop w:val="0"/>
      <w:marBottom w:val="0"/>
      <w:divBdr>
        <w:top w:val="none" w:sz="0" w:space="0" w:color="auto"/>
        <w:left w:val="none" w:sz="0" w:space="0" w:color="auto"/>
        <w:bottom w:val="none" w:sz="0" w:space="0" w:color="auto"/>
        <w:right w:val="none" w:sz="0" w:space="0" w:color="auto"/>
      </w:divBdr>
    </w:div>
    <w:div w:id="282657432">
      <w:bodyDiv w:val="1"/>
      <w:marLeft w:val="0"/>
      <w:marRight w:val="0"/>
      <w:marTop w:val="0"/>
      <w:marBottom w:val="0"/>
      <w:divBdr>
        <w:top w:val="none" w:sz="0" w:space="0" w:color="auto"/>
        <w:left w:val="none" w:sz="0" w:space="0" w:color="auto"/>
        <w:bottom w:val="none" w:sz="0" w:space="0" w:color="auto"/>
        <w:right w:val="none" w:sz="0" w:space="0" w:color="auto"/>
      </w:divBdr>
    </w:div>
    <w:div w:id="284506021">
      <w:bodyDiv w:val="1"/>
      <w:marLeft w:val="0"/>
      <w:marRight w:val="0"/>
      <w:marTop w:val="0"/>
      <w:marBottom w:val="0"/>
      <w:divBdr>
        <w:top w:val="none" w:sz="0" w:space="0" w:color="auto"/>
        <w:left w:val="none" w:sz="0" w:space="0" w:color="auto"/>
        <w:bottom w:val="none" w:sz="0" w:space="0" w:color="auto"/>
        <w:right w:val="none" w:sz="0" w:space="0" w:color="auto"/>
      </w:divBdr>
    </w:div>
    <w:div w:id="286084908">
      <w:bodyDiv w:val="1"/>
      <w:marLeft w:val="0"/>
      <w:marRight w:val="0"/>
      <w:marTop w:val="0"/>
      <w:marBottom w:val="0"/>
      <w:divBdr>
        <w:top w:val="none" w:sz="0" w:space="0" w:color="auto"/>
        <w:left w:val="none" w:sz="0" w:space="0" w:color="auto"/>
        <w:bottom w:val="none" w:sz="0" w:space="0" w:color="auto"/>
        <w:right w:val="none" w:sz="0" w:space="0" w:color="auto"/>
      </w:divBdr>
    </w:div>
    <w:div w:id="304822767">
      <w:bodyDiv w:val="1"/>
      <w:marLeft w:val="0"/>
      <w:marRight w:val="0"/>
      <w:marTop w:val="0"/>
      <w:marBottom w:val="0"/>
      <w:divBdr>
        <w:top w:val="none" w:sz="0" w:space="0" w:color="auto"/>
        <w:left w:val="none" w:sz="0" w:space="0" w:color="auto"/>
        <w:bottom w:val="none" w:sz="0" w:space="0" w:color="auto"/>
        <w:right w:val="none" w:sz="0" w:space="0" w:color="auto"/>
      </w:divBdr>
    </w:div>
    <w:div w:id="326398564">
      <w:bodyDiv w:val="1"/>
      <w:marLeft w:val="0"/>
      <w:marRight w:val="0"/>
      <w:marTop w:val="0"/>
      <w:marBottom w:val="0"/>
      <w:divBdr>
        <w:top w:val="none" w:sz="0" w:space="0" w:color="auto"/>
        <w:left w:val="none" w:sz="0" w:space="0" w:color="auto"/>
        <w:bottom w:val="none" w:sz="0" w:space="0" w:color="auto"/>
        <w:right w:val="none" w:sz="0" w:space="0" w:color="auto"/>
      </w:divBdr>
    </w:div>
    <w:div w:id="328215383">
      <w:bodyDiv w:val="1"/>
      <w:marLeft w:val="0"/>
      <w:marRight w:val="0"/>
      <w:marTop w:val="0"/>
      <w:marBottom w:val="0"/>
      <w:divBdr>
        <w:top w:val="none" w:sz="0" w:space="0" w:color="auto"/>
        <w:left w:val="none" w:sz="0" w:space="0" w:color="auto"/>
        <w:bottom w:val="none" w:sz="0" w:space="0" w:color="auto"/>
        <w:right w:val="none" w:sz="0" w:space="0" w:color="auto"/>
      </w:divBdr>
    </w:div>
    <w:div w:id="364211092">
      <w:bodyDiv w:val="1"/>
      <w:marLeft w:val="0"/>
      <w:marRight w:val="0"/>
      <w:marTop w:val="0"/>
      <w:marBottom w:val="0"/>
      <w:divBdr>
        <w:top w:val="none" w:sz="0" w:space="0" w:color="auto"/>
        <w:left w:val="none" w:sz="0" w:space="0" w:color="auto"/>
        <w:bottom w:val="none" w:sz="0" w:space="0" w:color="auto"/>
        <w:right w:val="none" w:sz="0" w:space="0" w:color="auto"/>
      </w:divBdr>
    </w:div>
    <w:div w:id="368378323">
      <w:bodyDiv w:val="1"/>
      <w:marLeft w:val="0"/>
      <w:marRight w:val="0"/>
      <w:marTop w:val="0"/>
      <w:marBottom w:val="0"/>
      <w:divBdr>
        <w:top w:val="none" w:sz="0" w:space="0" w:color="auto"/>
        <w:left w:val="none" w:sz="0" w:space="0" w:color="auto"/>
        <w:bottom w:val="none" w:sz="0" w:space="0" w:color="auto"/>
        <w:right w:val="none" w:sz="0" w:space="0" w:color="auto"/>
      </w:divBdr>
    </w:div>
    <w:div w:id="386688366">
      <w:bodyDiv w:val="1"/>
      <w:marLeft w:val="0"/>
      <w:marRight w:val="0"/>
      <w:marTop w:val="0"/>
      <w:marBottom w:val="0"/>
      <w:divBdr>
        <w:top w:val="none" w:sz="0" w:space="0" w:color="auto"/>
        <w:left w:val="none" w:sz="0" w:space="0" w:color="auto"/>
        <w:bottom w:val="none" w:sz="0" w:space="0" w:color="auto"/>
        <w:right w:val="none" w:sz="0" w:space="0" w:color="auto"/>
      </w:divBdr>
    </w:div>
    <w:div w:id="449935458">
      <w:bodyDiv w:val="1"/>
      <w:marLeft w:val="0"/>
      <w:marRight w:val="0"/>
      <w:marTop w:val="0"/>
      <w:marBottom w:val="0"/>
      <w:divBdr>
        <w:top w:val="none" w:sz="0" w:space="0" w:color="auto"/>
        <w:left w:val="none" w:sz="0" w:space="0" w:color="auto"/>
        <w:bottom w:val="none" w:sz="0" w:space="0" w:color="auto"/>
        <w:right w:val="none" w:sz="0" w:space="0" w:color="auto"/>
      </w:divBdr>
    </w:div>
    <w:div w:id="463696800">
      <w:bodyDiv w:val="1"/>
      <w:marLeft w:val="0"/>
      <w:marRight w:val="0"/>
      <w:marTop w:val="0"/>
      <w:marBottom w:val="0"/>
      <w:divBdr>
        <w:top w:val="none" w:sz="0" w:space="0" w:color="auto"/>
        <w:left w:val="none" w:sz="0" w:space="0" w:color="auto"/>
        <w:bottom w:val="none" w:sz="0" w:space="0" w:color="auto"/>
        <w:right w:val="none" w:sz="0" w:space="0" w:color="auto"/>
      </w:divBdr>
      <w:divsChild>
        <w:div w:id="229272362">
          <w:marLeft w:val="0"/>
          <w:marRight w:val="0"/>
          <w:marTop w:val="0"/>
          <w:marBottom w:val="0"/>
          <w:divBdr>
            <w:top w:val="none" w:sz="0" w:space="0" w:color="auto"/>
            <w:left w:val="none" w:sz="0" w:space="0" w:color="auto"/>
            <w:bottom w:val="none" w:sz="0" w:space="0" w:color="auto"/>
            <w:right w:val="none" w:sz="0" w:space="0" w:color="auto"/>
          </w:divBdr>
          <w:divsChild>
            <w:div w:id="812914086">
              <w:marLeft w:val="0"/>
              <w:marRight w:val="0"/>
              <w:marTop w:val="0"/>
              <w:marBottom w:val="0"/>
              <w:divBdr>
                <w:top w:val="none" w:sz="0" w:space="0" w:color="auto"/>
                <w:left w:val="none" w:sz="0" w:space="0" w:color="auto"/>
                <w:bottom w:val="none" w:sz="0" w:space="0" w:color="auto"/>
                <w:right w:val="none" w:sz="0" w:space="0" w:color="auto"/>
              </w:divBdr>
              <w:divsChild>
                <w:div w:id="2096706541">
                  <w:marLeft w:val="0"/>
                  <w:marRight w:val="0"/>
                  <w:marTop w:val="0"/>
                  <w:marBottom w:val="0"/>
                  <w:divBdr>
                    <w:top w:val="none" w:sz="0" w:space="0" w:color="auto"/>
                    <w:left w:val="none" w:sz="0" w:space="0" w:color="auto"/>
                    <w:bottom w:val="none" w:sz="0" w:space="0" w:color="auto"/>
                    <w:right w:val="none" w:sz="0" w:space="0" w:color="auto"/>
                  </w:divBdr>
                  <w:divsChild>
                    <w:div w:id="13948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80816">
          <w:marLeft w:val="0"/>
          <w:marRight w:val="0"/>
          <w:marTop w:val="0"/>
          <w:marBottom w:val="0"/>
          <w:divBdr>
            <w:top w:val="none" w:sz="0" w:space="0" w:color="auto"/>
            <w:left w:val="none" w:sz="0" w:space="0" w:color="auto"/>
            <w:bottom w:val="none" w:sz="0" w:space="0" w:color="auto"/>
            <w:right w:val="none" w:sz="0" w:space="0" w:color="auto"/>
          </w:divBdr>
          <w:divsChild>
            <w:div w:id="1867987852">
              <w:marLeft w:val="0"/>
              <w:marRight w:val="0"/>
              <w:marTop w:val="0"/>
              <w:marBottom w:val="0"/>
              <w:divBdr>
                <w:top w:val="none" w:sz="0" w:space="0" w:color="auto"/>
                <w:left w:val="none" w:sz="0" w:space="0" w:color="auto"/>
                <w:bottom w:val="none" w:sz="0" w:space="0" w:color="auto"/>
                <w:right w:val="none" w:sz="0" w:space="0" w:color="auto"/>
              </w:divBdr>
              <w:divsChild>
                <w:div w:id="1795517564">
                  <w:marLeft w:val="0"/>
                  <w:marRight w:val="0"/>
                  <w:marTop w:val="0"/>
                  <w:marBottom w:val="0"/>
                  <w:divBdr>
                    <w:top w:val="none" w:sz="0" w:space="0" w:color="auto"/>
                    <w:left w:val="none" w:sz="0" w:space="0" w:color="auto"/>
                    <w:bottom w:val="none" w:sz="0" w:space="0" w:color="auto"/>
                    <w:right w:val="none" w:sz="0" w:space="0" w:color="auto"/>
                  </w:divBdr>
                  <w:divsChild>
                    <w:div w:id="14912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465003">
      <w:bodyDiv w:val="1"/>
      <w:marLeft w:val="0"/>
      <w:marRight w:val="0"/>
      <w:marTop w:val="0"/>
      <w:marBottom w:val="0"/>
      <w:divBdr>
        <w:top w:val="none" w:sz="0" w:space="0" w:color="auto"/>
        <w:left w:val="none" w:sz="0" w:space="0" w:color="auto"/>
        <w:bottom w:val="none" w:sz="0" w:space="0" w:color="auto"/>
        <w:right w:val="none" w:sz="0" w:space="0" w:color="auto"/>
      </w:divBdr>
    </w:div>
    <w:div w:id="539561750">
      <w:bodyDiv w:val="1"/>
      <w:marLeft w:val="0"/>
      <w:marRight w:val="0"/>
      <w:marTop w:val="0"/>
      <w:marBottom w:val="0"/>
      <w:divBdr>
        <w:top w:val="none" w:sz="0" w:space="0" w:color="auto"/>
        <w:left w:val="none" w:sz="0" w:space="0" w:color="auto"/>
        <w:bottom w:val="none" w:sz="0" w:space="0" w:color="auto"/>
        <w:right w:val="none" w:sz="0" w:space="0" w:color="auto"/>
      </w:divBdr>
    </w:div>
    <w:div w:id="562645889">
      <w:bodyDiv w:val="1"/>
      <w:marLeft w:val="0"/>
      <w:marRight w:val="0"/>
      <w:marTop w:val="0"/>
      <w:marBottom w:val="0"/>
      <w:divBdr>
        <w:top w:val="none" w:sz="0" w:space="0" w:color="auto"/>
        <w:left w:val="none" w:sz="0" w:space="0" w:color="auto"/>
        <w:bottom w:val="none" w:sz="0" w:space="0" w:color="auto"/>
        <w:right w:val="none" w:sz="0" w:space="0" w:color="auto"/>
      </w:divBdr>
    </w:div>
    <w:div w:id="570239034">
      <w:bodyDiv w:val="1"/>
      <w:marLeft w:val="0"/>
      <w:marRight w:val="0"/>
      <w:marTop w:val="0"/>
      <w:marBottom w:val="0"/>
      <w:divBdr>
        <w:top w:val="none" w:sz="0" w:space="0" w:color="auto"/>
        <w:left w:val="none" w:sz="0" w:space="0" w:color="auto"/>
        <w:bottom w:val="none" w:sz="0" w:space="0" w:color="auto"/>
        <w:right w:val="none" w:sz="0" w:space="0" w:color="auto"/>
      </w:divBdr>
    </w:div>
    <w:div w:id="589386915">
      <w:bodyDiv w:val="1"/>
      <w:marLeft w:val="0"/>
      <w:marRight w:val="0"/>
      <w:marTop w:val="0"/>
      <w:marBottom w:val="0"/>
      <w:divBdr>
        <w:top w:val="none" w:sz="0" w:space="0" w:color="auto"/>
        <w:left w:val="none" w:sz="0" w:space="0" w:color="auto"/>
        <w:bottom w:val="none" w:sz="0" w:space="0" w:color="auto"/>
        <w:right w:val="none" w:sz="0" w:space="0" w:color="auto"/>
      </w:divBdr>
    </w:div>
    <w:div w:id="596015478">
      <w:bodyDiv w:val="1"/>
      <w:marLeft w:val="0"/>
      <w:marRight w:val="0"/>
      <w:marTop w:val="0"/>
      <w:marBottom w:val="0"/>
      <w:divBdr>
        <w:top w:val="none" w:sz="0" w:space="0" w:color="auto"/>
        <w:left w:val="none" w:sz="0" w:space="0" w:color="auto"/>
        <w:bottom w:val="none" w:sz="0" w:space="0" w:color="auto"/>
        <w:right w:val="none" w:sz="0" w:space="0" w:color="auto"/>
      </w:divBdr>
    </w:div>
    <w:div w:id="602424010">
      <w:bodyDiv w:val="1"/>
      <w:marLeft w:val="0"/>
      <w:marRight w:val="0"/>
      <w:marTop w:val="0"/>
      <w:marBottom w:val="0"/>
      <w:divBdr>
        <w:top w:val="none" w:sz="0" w:space="0" w:color="auto"/>
        <w:left w:val="none" w:sz="0" w:space="0" w:color="auto"/>
        <w:bottom w:val="none" w:sz="0" w:space="0" w:color="auto"/>
        <w:right w:val="none" w:sz="0" w:space="0" w:color="auto"/>
      </w:divBdr>
    </w:div>
    <w:div w:id="602497784">
      <w:bodyDiv w:val="1"/>
      <w:marLeft w:val="0"/>
      <w:marRight w:val="0"/>
      <w:marTop w:val="0"/>
      <w:marBottom w:val="0"/>
      <w:divBdr>
        <w:top w:val="none" w:sz="0" w:space="0" w:color="auto"/>
        <w:left w:val="none" w:sz="0" w:space="0" w:color="auto"/>
        <w:bottom w:val="none" w:sz="0" w:space="0" w:color="auto"/>
        <w:right w:val="none" w:sz="0" w:space="0" w:color="auto"/>
      </w:divBdr>
    </w:div>
    <w:div w:id="641227381">
      <w:bodyDiv w:val="1"/>
      <w:marLeft w:val="0"/>
      <w:marRight w:val="0"/>
      <w:marTop w:val="0"/>
      <w:marBottom w:val="0"/>
      <w:divBdr>
        <w:top w:val="none" w:sz="0" w:space="0" w:color="auto"/>
        <w:left w:val="none" w:sz="0" w:space="0" w:color="auto"/>
        <w:bottom w:val="none" w:sz="0" w:space="0" w:color="auto"/>
        <w:right w:val="none" w:sz="0" w:space="0" w:color="auto"/>
      </w:divBdr>
    </w:div>
    <w:div w:id="665128547">
      <w:bodyDiv w:val="1"/>
      <w:marLeft w:val="0"/>
      <w:marRight w:val="0"/>
      <w:marTop w:val="0"/>
      <w:marBottom w:val="0"/>
      <w:divBdr>
        <w:top w:val="none" w:sz="0" w:space="0" w:color="auto"/>
        <w:left w:val="none" w:sz="0" w:space="0" w:color="auto"/>
        <w:bottom w:val="none" w:sz="0" w:space="0" w:color="auto"/>
        <w:right w:val="none" w:sz="0" w:space="0" w:color="auto"/>
      </w:divBdr>
      <w:divsChild>
        <w:div w:id="9457834">
          <w:marLeft w:val="0"/>
          <w:marRight w:val="0"/>
          <w:marTop w:val="0"/>
          <w:marBottom w:val="0"/>
          <w:divBdr>
            <w:top w:val="none" w:sz="0" w:space="0" w:color="auto"/>
            <w:left w:val="none" w:sz="0" w:space="0" w:color="auto"/>
            <w:bottom w:val="none" w:sz="0" w:space="0" w:color="auto"/>
            <w:right w:val="none" w:sz="0" w:space="0" w:color="auto"/>
          </w:divBdr>
          <w:divsChild>
            <w:div w:id="803084920">
              <w:marLeft w:val="0"/>
              <w:marRight w:val="0"/>
              <w:marTop w:val="0"/>
              <w:marBottom w:val="0"/>
              <w:divBdr>
                <w:top w:val="none" w:sz="0" w:space="0" w:color="auto"/>
                <w:left w:val="none" w:sz="0" w:space="0" w:color="auto"/>
                <w:bottom w:val="none" w:sz="0" w:space="0" w:color="auto"/>
                <w:right w:val="none" w:sz="0" w:space="0" w:color="auto"/>
              </w:divBdr>
              <w:divsChild>
                <w:div w:id="715668409">
                  <w:marLeft w:val="0"/>
                  <w:marRight w:val="0"/>
                  <w:marTop w:val="0"/>
                  <w:marBottom w:val="0"/>
                  <w:divBdr>
                    <w:top w:val="none" w:sz="0" w:space="0" w:color="auto"/>
                    <w:left w:val="none" w:sz="0" w:space="0" w:color="auto"/>
                    <w:bottom w:val="none" w:sz="0" w:space="0" w:color="auto"/>
                    <w:right w:val="none" w:sz="0" w:space="0" w:color="auto"/>
                  </w:divBdr>
                  <w:divsChild>
                    <w:div w:id="292292516">
                      <w:marLeft w:val="0"/>
                      <w:marRight w:val="0"/>
                      <w:marTop w:val="0"/>
                      <w:marBottom w:val="0"/>
                      <w:divBdr>
                        <w:top w:val="none" w:sz="0" w:space="0" w:color="auto"/>
                        <w:left w:val="none" w:sz="0" w:space="0" w:color="auto"/>
                        <w:bottom w:val="none" w:sz="0" w:space="0" w:color="auto"/>
                        <w:right w:val="none" w:sz="0" w:space="0" w:color="auto"/>
                      </w:divBdr>
                      <w:divsChild>
                        <w:div w:id="241374573">
                          <w:marLeft w:val="0"/>
                          <w:marRight w:val="0"/>
                          <w:marTop w:val="0"/>
                          <w:marBottom w:val="0"/>
                          <w:divBdr>
                            <w:top w:val="none" w:sz="0" w:space="0" w:color="auto"/>
                            <w:left w:val="none" w:sz="0" w:space="0" w:color="auto"/>
                            <w:bottom w:val="none" w:sz="0" w:space="0" w:color="auto"/>
                            <w:right w:val="none" w:sz="0" w:space="0" w:color="auto"/>
                          </w:divBdr>
                          <w:divsChild>
                            <w:div w:id="11384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596179">
      <w:bodyDiv w:val="1"/>
      <w:marLeft w:val="0"/>
      <w:marRight w:val="0"/>
      <w:marTop w:val="0"/>
      <w:marBottom w:val="0"/>
      <w:divBdr>
        <w:top w:val="none" w:sz="0" w:space="0" w:color="auto"/>
        <w:left w:val="none" w:sz="0" w:space="0" w:color="auto"/>
        <w:bottom w:val="none" w:sz="0" w:space="0" w:color="auto"/>
        <w:right w:val="none" w:sz="0" w:space="0" w:color="auto"/>
      </w:divBdr>
    </w:div>
    <w:div w:id="686716991">
      <w:bodyDiv w:val="1"/>
      <w:marLeft w:val="0"/>
      <w:marRight w:val="0"/>
      <w:marTop w:val="0"/>
      <w:marBottom w:val="0"/>
      <w:divBdr>
        <w:top w:val="none" w:sz="0" w:space="0" w:color="auto"/>
        <w:left w:val="none" w:sz="0" w:space="0" w:color="auto"/>
        <w:bottom w:val="none" w:sz="0" w:space="0" w:color="auto"/>
        <w:right w:val="none" w:sz="0" w:space="0" w:color="auto"/>
      </w:divBdr>
    </w:div>
    <w:div w:id="698973516">
      <w:bodyDiv w:val="1"/>
      <w:marLeft w:val="0"/>
      <w:marRight w:val="0"/>
      <w:marTop w:val="0"/>
      <w:marBottom w:val="0"/>
      <w:divBdr>
        <w:top w:val="none" w:sz="0" w:space="0" w:color="auto"/>
        <w:left w:val="none" w:sz="0" w:space="0" w:color="auto"/>
        <w:bottom w:val="none" w:sz="0" w:space="0" w:color="auto"/>
        <w:right w:val="none" w:sz="0" w:space="0" w:color="auto"/>
      </w:divBdr>
    </w:div>
    <w:div w:id="746539655">
      <w:bodyDiv w:val="1"/>
      <w:marLeft w:val="0"/>
      <w:marRight w:val="0"/>
      <w:marTop w:val="0"/>
      <w:marBottom w:val="0"/>
      <w:divBdr>
        <w:top w:val="none" w:sz="0" w:space="0" w:color="auto"/>
        <w:left w:val="none" w:sz="0" w:space="0" w:color="auto"/>
        <w:bottom w:val="none" w:sz="0" w:space="0" w:color="auto"/>
        <w:right w:val="none" w:sz="0" w:space="0" w:color="auto"/>
      </w:divBdr>
    </w:div>
    <w:div w:id="771126282">
      <w:bodyDiv w:val="1"/>
      <w:marLeft w:val="0"/>
      <w:marRight w:val="0"/>
      <w:marTop w:val="0"/>
      <w:marBottom w:val="0"/>
      <w:divBdr>
        <w:top w:val="none" w:sz="0" w:space="0" w:color="auto"/>
        <w:left w:val="none" w:sz="0" w:space="0" w:color="auto"/>
        <w:bottom w:val="none" w:sz="0" w:space="0" w:color="auto"/>
        <w:right w:val="none" w:sz="0" w:space="0" w:color="auto"/>
      </w:divBdr>
    </w:div>
    <w:div w:id="773671902">
      <w:bodyDiv w:val="1"/>
      <w:marLeft w:val="0"/>
      <w:marRight w:val="0"/>
      <w:marTop w:val="0"/>
      <w:marBottom w:val="0"/>
      <w:divBdr>
        <w:top w:val="none" w:sz="0" w:space="0" w:color="auto"/>
        <w:left w:val="none" w:sz="0" w:space="0" w:color="auto"/>
        <w:bottom w:val="none" w:sz="0" w:space="0" w:color="auto"/>
        <w:right w:val="none" w:sz="0" w:space="0" w:color="auto"/>
      </w:divBdr>
    </w:div>
    <w:div w:id="779682206">
      <w:bodyDiv w:val="1"/>
      <w:marLeft w:val="0"/>
      <w:marRight w:val="0"/>
      <w:marTop w:val="0"/>
      <w:marBottom w:val="0"/>
      <w:divBdr>
        <w:top w:val="none" w:sz="0" w:space="0" w:color="auto"/>
        <w:left w:val="none" w:sz="0" w:space="0" w:color="auto"/>
        <w:bottom w:val="none" w:sz="0" w:space="0" w:color="auto"/>
        <w:right w:val="none" w:sz="0" w:space="0" w:color="auto"/>
      </w:divBdr>
    </w:div>
    <w:div w:id="781456306">
      <w:bodyDiv w:val="1"/>
      <w:marLeft w:val="0"/>
      <w:marRight w:val="0"/>
      <w:marTop w:val="0"/>
      <w:marBottom w:val="0"/>
      <w:divBdr>
        <w:top w:val="none" w:sz="0" w:space="0" w:color="auto"/>
        <w:left w:val="none" w:sz="0" w:space="0" w:color="auto"/>
        <w:bottom w:val="none" w:sz="0" w:space="0" w:color="auto"/>
        <w:right w:val="none" w:sz="0" w:space="0" w:color="auto"/>
      </w:divBdr>
      <w:divsChild>
        <w:div w:id="1263032170">
          <w:marLeft w:val="0"/>
          <w:marRight w:val="0"/>
          <w:marTop w:val="0"/>
          <w:marBottom w:val="0"/>
          <w:divBdr>
            <w:top w:val="none" w:sz="0" w:space="0" w:color="auto"/>
            <w:left w:val="none" w:sz="0" w:space="0" w:color="auto"/>
            <w:bottom w:val="none" w:sz="0" w:space="0" w:color="auto"/>
            <w:right w:val="none" w:sz="0" w:space="0" w:color="auto"/>
          </w:divBdr>
          <w:divsChild>
            <w:div w:id="1145010253">
              <w:marLeft w:val="0"/>
              <w:marRight w:val="0"/>
              <w:marTop w:val="0"/>
              <w:marBottom w:val="0"/>
              <w:divBdr>
                <w:top w:val="none" w:sz="0" w:space="0" w:color="auto"/>
                <w:left w:val="none" w:sz="0" w:space="0" w:color="auto"/>
                <w:bottom w:val="none" w:sz="0" w:space="0" w:color="auto"/>
                <w:right w:val="none" w:sz="0" w:space="0" w:color="auto"/>
              </w:divBdr>
              <w:divsChild>
                <w:div w:id="1564634271">
                  <w:marLeft w:val="0"/>
                  <w:marRight w:val="0"/>
                  <w:marTop w:val="0"/>
                  <w:marBottom w:val="0"/>
                  <w:divBdr>
                    <w:top w:val="none" w:sz="0" w:space="0" w:color="auto"/>
                    <w:left w:val="none" w:sz="0" w:space="0" w:color="auto"/>
                    <w:bottom w:val="none" w:sz="0" w:space="0" w:color="auto"/>
                    <w:right w:val="none" w:sz="0" w:space="0" w:color="auto"/>
                  </w:divBdr>
                  <w:divsChild>
                    <w:div w:id="9536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53459">
          <w:marLeft w:val="0"/>
          <w:marRight w:val="0"/>
          <w:marTop w:val="0"/>
          <w:marBottom w:val="0"/>
          <w:divBdr>
            <w:top w:val="none" w:sz="0" w:space="0" w:color="auto"/>
            <w:left w:val="none" w:sz="0" w:space="0" w:color="auto"/>
            <w:bottom w:val="none" w:sz="0" w:space="0" w:color="auto"/>
            <w:right w:val="none" w:sz="0" w:space="0" w:color="auto"/>
          </w:divBdr>
          <w:divsChild>
            <w:div w:id="1246453030">
              <w:marLeft w:val="0"/>
              <w:marRight w:val="0"/>
              <w:marTop w:val="0"/>
              <w:marBottom w:val="0"/>
              <w:divBdr>
                <w:top w:val="none" w:sz="0" w:space="0" w:color="auto"/>
                <w:left w:val="none" w:sz="0" w:space="0" w:color="auto"/>
                <w:bottom w:val="none" w:sz="0" w:space="0" w:color="auto"/>
                <w:right w:val="none" w:sz="0" w:space="0" w:color="auto"/>
              </w:divBdr>
              <w:divsChild>
                <w:div w:id="933513883">
                  <w:marLeft w:val="0"/>
                  <w:marRight w:val="0"/>
                  <w:marTop w:val="0"/>
                  <w:marBottom w:val="0"/>
                  <w:divBdr>
                    <w:top w:val="none" w:sz="0" w:space="0" w:color="auto"/>
                    <w:left w:val="none" w:sz="0" w:space="0" w:color="auto"/>
                    <w:bottom w:val="none" w:sz="0" w:space="0" w:color="auto"/>
                    <w:right w:val="none" w:sz="0" w:space="0" w:color="auto"/>
                  </w:divBdr>
                  <w:divsChild>
                    <w:div w:id="2840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01824">
      <w:bodyDiv w:val="1"/>
      <w:marLeft w:val="0"/>
      <w:marRight w:val="0"/>
      <w:marTop w:val="0"/>
      <w:marBottom w:val="0"/>
      <w:divBdr>
        <w:top w:val="none" w:sz="0" w:space="0" w:color="auto"/>
        <w:left w:val="none" w:sz="0" w:space="0" w:color="auto"/>
        <w:bottom w:val="none" w:sz="0" w:space="0" w:color="auto"/>
        <w:right w:val="none" w:sz="0" w:space="0" w:color="auto"/>
      </w:divBdr>
    </w:div>
    <w:div w:id="841970671">
      <w:bodyDiv w:val="1"/>
      <w:marLeft w:val="0"/>
      <w:marRight w:val="0"/>
      <w:marTop w:val="0"/>
      <w:marBottom w:val="0"/>
      <w:divBdr>
        <w:top w:val="none" w:sz="0" w:space="0" w:color="auto"/>
        <w:left w:val="none" w:sz="0" w:space="0" w:color="auto"/>
        <w:bottom w:val="none" w:sz="0" w:space="0" w:color="auto"/>
        <w:right w:val="none" w:sz="0" w:space="0" w:color="auto"/>
      </w:divBdr>
    </w:div>
    <w:div w:id="847064360">
      <w:bodyDiv w:val="1"/>
      <w:marLeft w:val="0"/>
      <w:marRight w:val="0"/>
      <w:marTop w:val="0"/>
      <w:marBottom w:val="0"/>
      <w:divBdr>
        <w:top w:val="none" w:sz="0" w:space="0" w:color="auto"/>
        <w:left w:val="none" w:sz="0" w:space="0" w:color="auto"/>
        <w:bottom w:val="none" w:sz="0" w:space="0" w:color="auto"/>
        <w:right w:val="none" w:sz="0" w:space="0" w:color="auto"/>
      </w:divBdr>
    </w:div>
    <w:div w:id="848325181">
      <w:bodyDiv w:val="1"/>
      <w:marLeft w:val="0"/>
      <w:marRight w:val="0"/>
      <w:marTop w:val="0"/>
      <w:marBottom w:val="0"/>
      <w:divBdr>
        <w:top w:val="none" w:sz="0" w:space="0" w:color="auto"/>
        <w:left w:val="none" w:sz="0" w:space="0" w:color="auto"/>
        <w:bottom w:val="none" w:sz="0" w:space="0" w:color="auto"/>
        <w:right w:val="none" w:sz="0" w:space="0" w:color="auto"/>
      </w:divBdr>
    </w:div>
    <w:div w:id="890729390">
      <w:bodyDiv w:val="1"/>
      <w:marLeft w:val="0"/>
      <w:marRight w:val="0"/>
      <w:marTop w:val="0"/>
      <w:marBottom w:val="0"/>
      <w:divBdr>
        <w:top w:val="none" w:sz="0" w:space="0" w:color="auto"/>
        <w:left w:val="none" w:sz="0" w:space="0" w:color="auto"/>
        <w:bottom w:val="none" w:sz="0" w:space="0" w:color="auto"/>
        <w:right w:val="none" w:sz="0" w:space="0" w:color="auto"/>
      </w:divBdr>
    </w:div>
    <w:div w:id="924387055">
      <w:bodyDiv w:val="1"/>
      <w:marLeft w:val="0"/>
      <w:marRight w:val="0"/>
      <w:marTop w:val="0"/>
      <w:marBottom w:val="0"/>
      <w:divBdr>
        <w:top w:val="none" w:sz="0" w:space="0" w:color="auto"/>
        <w:left w:val="none" w:sz="0" w:space="0" w:color="auto"/>
        <w:bottom w:val="none" w:sz="0" w:space="0" w:color="auto"/>
        <w:right w:val="none" w:sz="0" w:space="0" w:color="auto"/>
      </w:divBdr>
    </w:div>
    <w:div w:id="966203530">
      <w:bodyDiv w:val="1"/>
      <w:marLeft w:val="0"/>
      <w:marRight w:val="0"/>
      <w:marTop w:val="0"/>
      <w:marBottom w:val="0"/>
      <w:divBdr>
        <w:top w:val="none" w:sz="0" w:space="0" w:color="auto"/>
        <w:left w:val="none" w:sz="0" w:space="0" w:color="auto"/>
        <w:bottom w:val="none" w:sz="0" w:space="0" w:color="auto"/>
        <w:right w:val="none" w:sz="0" w:space="0" w:color="auto"/>
      </w:divBdr>
    </w:div>
    <w:div w:id="967902686">
      <w:bodyDiv w:val="1"/>
      <w:marLeft w:val="0"/>
      <w:marRight w:val="0"/>
      <w:marTop w:val="0"/>
      <w:marBottom w:val="0"/>
      <w:divBdr>
        <w:top w:val="none" w:sz="0" w:space="0" w:color="auto"/>
        <w:left w:val="none" w:sz="0" w:space="0" w:color="auto"/>
        <w:bottom w:val="none" w:sz="0" w:space="0" w:color="auto"/>
        <w:right w:val="none" w:sz="0" w:space="0" w:color="auto"/>
      </w:divBdr>
    </w:div>
    <w:div w:id="974993030">
      <w:bodyDiv w:val="1"/>
      <w:marLeft w:val="0"/>
      <w:marRight w:val="0"/>
      <w:marTop w:val="0"/>
      <w:marBottom w:val="0"/>
      <w:divBdr>
        <w:top w:val="none" w:sz="0" w:space="0" w:color="auto"/>
        <w:left w:val="none" w:sz="0" w:space="0" w:color="auto"/>
        <w:bottom w:val="none" w:sz="0" w:space="0" w:color="auto"/>
        <w:right w:val="none" w:sz="0" w:space="0" w:color="auto"/>
      </w:divBdr>
    </w:div>
    <w:div w:id="983125487">
      <w:bodyDiv w:val="1"/>
      <w:marLeft w:val="0"/>
      <w:marRight w:val="0"/>
      <w:marTop w:val="0"/>
      <w:marBottom w:val="0"/>
      <w:divBdr>
        <w:top w:val="none" w:sz="0" w:space="0" w:color="auto"/>
        <w:left w:val="none" w:sz="0" w:space="0" w:color="auto"/>
        <w:bottom w:val="none" w:sz="0" w:space="0" w:color="auto"/>
        <w:right w:val="none" w:sz="0" w:space="0" w:color="auto"/>
      </w:divBdr>
    </w:div>
    <w:div w:id="999230555">
      <w:bodyDiv w:val="1"/>
      <w:marLeft w:val="0"/>
      <w:marRight w:val="0"/>
      <w:marTop w:val="0"/>
      <w:marBottom w:val="0"/>
      <w:divBdr>
        <w:top w:val="none" w:sz="0" w:space="0" w:color="auto"/>
        <w:left w:val="none" w:sz="0" w:space="0" w:color="auto"/>
        <w:bottom w:val="none" w:sz="0" w:space="0" w:color="auto"/>
        <w:right w:val="none" w:sz="0" w:space="0" w:color="auto"/>
      </w:divBdr>
    </w:div>
    <w:div w:id="1001783935">
      <w:bodyDiv w:val="1"/>
      <w:marLeft w:val="0"/>
      <w:marRight w:val="0"/>
      <w:marTop w:val="0"/>
      <w:marBottom w:val="0"/>
      <w:divBdr>
        <w:top w:val="none" w:sz="0" w:space="0" w:color="auto"/>
        <w:left w:val="none" w:sz="0" w:space="0" w:color="auto"/>
        <w:bottom w:val="none" w:sz="0" w:space="0" w:color="auto"/>
        <w:right w:val="none" w:sz="0" w:space="0" w:color="auto"/>
      </w:divBdr>
    </w:div>
    <w:div w:id="1005547392">
      <w:bodyDiv w:val="1"/>
      <w:marLeft w:val="0"/>
      <w:marRight w:val="0"/>
      <w:marTop w:val="0"/>
      <w:marBottom w:val="0"/>
      <w:divBdr>
        <w:top w:val="none" w:sz="0" w:space="0" w:color="auto"/>
        <w:left w:val="none" w:sz="0" w:space="0" w:color="auto"/>
        <w:bottom w:val="none" w:sz="0" w:space="0" w:color="auto"/>
        <w:right w:val="none" w:sz="0" w:space="0" w:color="auto"/>
      </w:divBdr>
    </w:div>
    <w:div w:id="1030498660">
      <w:bodyDiv w:val="1"/>
      <w:marLeft w:val="0"/>
      <w:marRight w:val="0"/>
      <w:marTop w:val="0"/>
      <w:marBottom w:val="0"/>
      <w:divBdr>
        <w:top w:val="none" w:sz="0" w:space="0" w:color="auto"/>
        <w:left w:val="none" w:sz="0" w:space="0" w:color="auto"/>
        <w:bottom w:val="none" w:sz="0" w:space="0" w:color="auto"/>
        <w:right w:val="none" w:sz="0" w:space="0" w:color="auto"/>
      </w:divBdr>
    </w:div>
    <w:div w:id="1053309753">
      <w:bodyDiv w:val="1"/>
      <w:marLeft w:val="0"/>
      <w:marRight w:val="0"/>
      <w:marTop w:val="0"/>
      <w:marBottom w:val="0"/>
      <w:divBdr>
        <w:top w:val="none" w:sz="0" w:space="0" w:color="auto"/>
        <w:left w:val="none" w:sz="0" w:space="0" w:color="auto"/>
        <w:bottom w:val="none" w:sz="0" w:space="0" w:color="auto"/>
        <w:right w:val="none" w:sz="0" w:space="0" w:color="auto"/>
      </w:divBdr>
    </w:div>
    <w:div w:id="1055815724">
      <w:bodyDiv w:val="1"/>
      <w:marLeft w:val="0"/>
      <w:marRight w:val="0"/>
      <w:marTop w:val="0"/>
      <w:marBottom w:val="0"/>
      <w:divBdr>
        <w:top w:val="none" w:sz="0" w:space="0" w:color="auto"/>
        <w:left w:val="none" w:sz="0" w:space="0" w:color="auto"/>
        <w:bottom w:val="none" w:sz="0" w:space="0" w:color="auto"/>
        <w:right w:val="none" w:sz="0" w:space="0" w:color="auto"/>
      </w:divBdr>
    </w:div>
    <w:div w:id="1072659777">
      <w:bodyDiv w:val="1"/>
      <w:marLeft w:val="0"/>
      <w:marRight w:val="0"/>
      <w:marTop w:val="0"/>
      <w:marBottom w:val="0"/>
      <w:divBdr>
        <w:top w:val="none" w:sz="0" w:space="0" w:color="auto"/>
        <w:left w:val="none" w:sz="0" w:space="0" w:color="auto"/>
        <w:bottom w:val="none" w:sz="0" w:space="0" w:color="auto"/>
        <w:right w:val="none" w:sz="0" w:space="0" w:color="auto"/>
      </w:divBdr>
    </w:div>
    <w:div w:id="1075280015">
      <w:bodyDiv w:val="1"/>
      <w:marLeft w:val="0"/>
      <w:marRight w:val="0"/>
      <w:marTop w:val="0"/>
      <w:marBottom w:val="0"/>
      <w:divBdr>
        <w:top w:val="none" w:sz="0" w:space="0" w:color="auto"/>
        <w:left w:val="none" w:sz="0" w:space="0" w:color="auto"/>
        <w:bottom w:val="none" w:sz="0" w:space="0" w:color="auto"/>
        <w:right w:val="none" w:sz="0" w:space="0" w:color="auto"/>
      </w:divBdr>
    </w:div>
    <w:div w:id="1087264356">
      <w:bodyDiv w:val="1"/>
      <w:marLeft w:val="0"/>
      <w:marRight w:val="0"/>
      <w:marTop w:val="0"/>
      <w:marBottom w:val="0"/>
      <w:divBdr>
        <w:top w:val="none" w:sz="0" w:space="0" w:color="auto"/>
        <w:left w:val="none" w:sz="0" w:space="0" w:color="auto"/>
        <w:bottom w:val="none" w:sz="0" w:space="0" w:color="auto"/>
        <w:right w:val="none" w:sz="0" w:space="0" w:color="auto"/>
      </w:divBdr>
    </w:div>
    <w:div w:id="1090851317">
      <w:bodyDiv w:val="1"/>
      <w:marLeft w:val="0"/>
      <w:marRight w:val="0"/>
      <w:marTop w:val="0"/>
      <w:marBottom w:val="0"/>
      <w:divBdr>
        <w:top w:val="none" w:sz="0" w:space="0" w:color="auto"/>
        <w:left w:val="none" w:sz="0" w:space="0" w:color="auto"/>
        <w:bottom w:val="none" w:sz="0" w:space="0" w:color="auto"/>
        <w:right w:val="none" w:sz="0" w:space="0" w:color="auto"/>
      </w:divBdr>
    </w:div>
    <w:div w:id="1114399614">
      <w:bodyDiv w:val="1"/>
      <w:marLeft w:val="0"/>
      <w:marRight w:val="0"/>
      <w:marTop w:val="0"/>
      <w:marBottom w:val="0"/>
      <w:divBdr>
        <w:top w:val="none" w:sz="0" w:space="0" w:color="auto"/>
        <w:left w:val="none" w:sz="0" w:space="0" w:color="auto"/>
        <w:bottom w:val="none" w:sz="0" w:space="0" w:color="auto"/>
        <w:right w:val="none" w:sz="0" w:space="0" w:color="auto"/>
      </w:divBdr>
    </w:div>
    <w:div w:id="1166288079">
      <w:bodyDiv w:val="1"/>
      <w:marLeft w:val="0"/>
      <w:marRight w:val="0"/>
      <w:marTop w:val="0"/>
      <w:marBottom w:val="0"/>
      <w:divBdr>
        <w:top w:val="none" w:sz="0" w:space="0" w:color="auto"/>
        <w:left w:val="none" w:sz="0" w:space="0" w:color="auto"/>
        <w:bottom w:val="none" w:sz="0" w:space="0" w:color="auto"/>
        <w:right w:val="none" w:sz="0" w:space="0" w:color="auto"/>
      </w:divBdr>
    </w:div>
    <w:div w:id="1178151334">
      <w:bodyDiv w:val="1"/>
      <w:marLeft w:val="0"/>
      <w:marRight w:val="0"/>
      <w:marTop w:val="0"/>
      <w:marBottom w:val="0"/>
      <w:divBdr>
        <w:top w:val="none" w:sz="0" w:space="0" w:color="auto"/>
        <w:left w:val="none" w:sz="0" w:space="0" w:color="auto"/>
        <w:bottom w:val="none" w:sz="0" w:space="0" w:color="auto"/>
        <w:right w:val="none" w:sz="0" w:space="0" w:color="auto"/>
      </w:divBdr>
    </w:div>
    <w:div w:id="1184318929">
      <w:bodyDiv w:val="1"/>
      <w:marLeft w:val="0"/>
      <w:marRight w:val="0"/>
      <w:marTop w:val="0"/>
      <w:marBottom w:val="0"/>
      <w:divBdr>
        <w:top w:val="none" w:sz="0" w:space="0" w:color="auto"/>
        <w:left w:val="none" w:sz="0" w:space="0" w:color="auto"/>
        <w:bottom w:val="none" w:sz="0" w:space="0" w:color="auto"/>
        <w:right w:val="none" w:sz="0" w:space="0" w:color="auto"/>
      </w:divBdr>
    </w:div>
    <w:div w:id="1185823481">
      <w:bodyDiv w:val="1"/>
      <w:marLeft w:val="0"/>
      <w:marRight w:val="0"/>
      <w:marTop w:val="0"/>
      <w:marBottom w:val="0"/>
      <w:divBdr>
        <w:top w:val="none" w:sz="0" w:space="0" w:color="auto"/>
        <w:left w:val="none" w:sz="0" w:space="0" w:color="auto"/>
        <w:bottom w:val="none" w:sz="0" w:space="0" w:color="auto"/>
        <w:right w:val="none" w:sz="0" w:space="0" w:color="auto"/>
      </w:divBdr>
    </w:div>
    <w:div w:id="1213268448">
      <w:bodyDiv w:val="1"/>
      <w:marLeft w:val="0"/>
      <w:marRight w:val="0"/>
      <w:marTop w:val="0"/>
      <w:marBottom w:val="0"/>
      <w:divBdr>
        <w:top w:val="none" w:sz="0" w:space="0" w:color="auto"/>
        <w:left w:val="none" w:sz="0" w:space="0" w:color="auto"/>
        <w:bottom w:val="none" w:sz="0" w:space="0" w:color="auto"/>
        <w:right w:val="none" w:sz="0" w:space="0" w:color="auto"/>
      </w:divBdr>
    </w:div>
    <w:div w:id="1229995361">
      <w:bodyDiv w:val="1"/>
      <w:marLeft w:val="0"/>
      <w:marRight w:val="0"/>
      <w:marTop w:val="0"/>
      <w:marBottom w:val="0"/>
      <w:divBdr>
        <w:top w:val="none" w:sz="0" w:space="0" w:color="auto"/>
        <w:left w:val="none" w:sz="0" w:space="0" w:color="auto"/>
        <w:bottom w:val="none" w:sz="0" w:space="0" w:color="auto"/>
        <w:right w:val="none" w:sz="0" w:space="0" w:color="auto"/>
      </w:divBdr>
    </w:div>
    <w:div w:id="1253514967">
      <w:bodyDiv w:val="1"/>
      <w:marLeft w:val="0"/>
      <w:marRight w:val="0"/>
      <w:marTop w:val="0"/>
      <w:marBottom w:val="0"/>
      <w:divBdr>
        <w:top w:val="none" w:sz="0" w:space="0" w:color="auto"/>
        <w:left w:val="none" w:sz="0" w:space="0" w:color="auto"/>
        <w:bottom w:val="none" w:sz="0" w:space="0" w:color="auto"/>
        <w:right w:val="none" w:sz="0" w:space="0" w:color="auto"/>
      </w:divBdr>
    </w:div>
    <w:div w:id="1257128672">
      <w:bodyDiv w:val="1"/>
      <w:marLeft w:val="0"/>
      <w:marRight w:val="0"/>
      <w:marTop w:val="0"/>
      <w:marBottom w:val="0"/>
      <w:divBdr>
        <w:top w:val="none" w:sz="0" w:space="0" w:color="auto"/>
        <w:left w:val="none" w:sz="0" w:space="0" w:color="auto"/>
        <w:bottom w:val="none" w:sz="0" w:space="0" w:color="auto"/>
        <w:right w:val="none" w:sz="0" w:space="0" w:color="auto"/>
      </w:divBdr>
    </w:div>
    <w:div w:id="1260678425">
      <w:bodyDiv w:val="1"/>
      <w:marLeft w:val="0"/>
      <w:marRight w:val="0"/>
      <w:marTop w:val="0"/>
      <w:marBottom w:val="0"/>
      <w:divBdr>
        <w:top w:val="none" w:sz="0" w:space="0" w:color="auto"/>
        <w:left w:val="none" w:sz="0" w:space="0" w:color="auto"/>
        <w:bottom w:val="none" w:sz="0" w:space="0" w:color="auto"/>
        <w:right w:val="none" w:sz="0" w:space="0" w:color="auto"/>
      </w:divBdr>
    </w:div>
    <w:div w:id="1271472655">
      <w:bodyDiv w:val="1"/>
      <w:marLeft w:val="0"/>
      <w:marRight w:val="0"/>
      <w:marTop w:val="0"/>
      <w:marBottom w:val="0"/>
      <w:divBdr>
        <w:top w:val="none" w:sz="0" w:space="0" w:color="auto"/>
        <w:left w:val="none" w:sz="0" w:space="0" w:color="auto"/>
        <w:bottom w:val="none" w:sz="0" w:space="0" w:color="auto"/>
        <w:right w:val="none" w:sz="0" w:space="0" w:color="auto"/>
      </w:divBdr>
    </w:div>
    <w:div w:id="1287003219">
      <w:bodyDiv w:val="1"/>
      <w:marLeft w:val="0"/>
      <w:marRight w:val="0"/>
      <w:marTop w:val="0"/>
      <w:marBottom w:val="0"/>
      <w:divBdr>
        <w:top w:val="none" w:sz="0" w:space="0" w:color="auto"/>
        <w:left w:val="none" w:sz="0" w:space="0" w:color="auto"/>
        <w:bottom w:val="none" w:sz="0" w:space="0" w:color="auto"/>
        <w:right w:val="none" w:sz="0" w:space="0" w:color="auto"/>
      </w:divBdr>
    </w:div>
    <w:div w:id="1322152706">
      <w:bodyDiv w:val="1"/>
      <w:marLeft w:val="0"/>
      <w:marRight w:val="0"/>
      <w:marTop w:val="0"/>
      <w:marBottom w:val="0"/>
      <w:divBdr>
        <w:top w:val="none" w:sz="0" w:space="0" w:color="auto"/>
        <w:left w:val="none" w:sz="0" w:space="0" w:color="auto"/>
        <w:bottom w:val="none" w:sz="0" w:space="0" w:color="auto"/>
        <w:right w:val="none" w:sz="0" w:space="0" w:color="auto"/>
      </w:divBdr>
    </w:div>
    <w:div w:id="1347321180">
      <w:bodyDiv w:val="1"/>
      <w:marLeft w:val="0"/>
      <w:marRight w:val="0"/>
      <w:marTop w:val="0"/>
      <w:marBottom w:val="0"/>
      <w:divBdr>
        <w:top w:val="none" w:sz="0" w:space="0" w:color="auto"/>
        <w:left w:val="none" w:sz="0" w:space="0" w:color="auto"/>
        <w:bottom w:val="none" w:sz="0" w:space="0" w:color="auto"/>
        <w:right w:val="none" w:sz="0" w:space="0" w:color="auto"/>
      </w:divBdr>
    </w:div>
    <w:div w:id="1347827089">
      <w:bodyDiv w:val="1"/>
      <w:marLeft w:val="0"/>
      <w:marRight w:val="0"/>
      <w:marTop w:val="0"/>
      <w:marBottom w:val="0"/>
      <w:divBdr>
        <w:top w:val="none" w:sz="0" w:space="0" w:color="auto"/>
        <w:left w:val="none" w:sz="0" w:space="0" w:color="auto"/>
        <w:bottom w:val="none" w:sz="0" w:space="0" w:color="auto"/>
        <w:right w:val="none" w:sz="0" w:space="0" w:color="auto"/>
      </w:divBdr>
    </w:div>
    <w:div w:id="1375033419">
      <w:bodyDiv w:val="1"/>
      <w:marLeft w:val="0"/>
      <w:marRight w:val="0"/>
      <w:marTop w:val="0"/>
      <w:marBottom w:val="0"/>
      <w:divBdr>
        <w:top w:val="none" w:sz="0" w:space="0" w:color="auto"/>
        <w:left w:val="none" w:sz="0" w:space="0" w:color="auto"/>
        <w:bottom w:val="none" w:sz="0" w:space="0" w:color="auto"/>
        <w:right w:val="none" w:sz="0" w:space="0" w:color="auto"/>
      </w:divBdr>
    </w:div>
    <w:div w:id="1383990503">
      <w:bodyDiv w:val="1"/>
      <w:marLeft w:val="0"/>
      <w:marRight w:val="0"/>
      <w:marTop w:val="0"/>
      <w:marBottom w:val="0"/>
      <w:divBdr>
        <w:top w:val="none" w:sz="0" w:space="0" w:color="auto"/>
        <w:left w:val="none" w:sz="0" w:space="0" w:color="auto"/>
        <w:bottom w:val="none" w:sz="0" w:space="0" w:color="auto"/>
        <w:right w:val="none" w:sz="0" w:space="0" w:color="auto"/>
      </w:divBdr>
    </w:div>
    <w:div w:id="1399473299">
      <w:bodyDiv w:val="1"/>
      <w:marLeft w:val="0"/>
      <w:marRight w:val="0"/>
      <w:marTop w:val="0"/>
      <w:marBottom w:val="0"/>
      <w:divBdr>
        <w:top w:val="none" w:sz="0" w:space="0" w:color="auto"/>
        <w:left w:val="none" w:sz="0" w:space="0" w:color="auto"/>
        <w:bottom w:val="none" w:sz="0" w:space="0" w:color="auto"/>
        <w:right w:val="none" w:sz="0" w:space="0" w:color="auto"/>
      </w:divBdr>
    </w:div>
    <w:div w:id="1400666869">
      <w:bodyDiv w:val="1"/>
      <w:marLeft w:val="0"/>
      <w:marRight w:val="0"/>
      <w:marTop w:val="0"/>
      <w:marBottom w:val="0"/>
      <w:divBdr>
        <w:top w:val="none" w:sz="0" w:space="0" w:color="auto"/>
        <w:left w:val="none" w:sz="0" w:space="0" w:color="auto"/>
        <w:bottom w:val="none" w:sz="0" w:space="0" w:color="auto"/>
        <w:right w:val="none" w:sz="0" w:space="0" w:color="auto"/>
      </w:divBdr>
    </w:div>
    <w:div w:id="1402481377">
      <w:bodyDiv w:val="1"/>
      <w:marLeft w:val="0"/>
      <w:marRight w:val="0"/>
      <w:marTop w:val="0"/>
      <w:marBottom w:val="0"/>
      <w:divBdr>
        <w:top w:val="none" w:sz="0" w:space="0" w:color="auto"/>
        <w:left w:val="none" w:sz="0" w:space="0" w:color="auto"/>
        <w:bottom w:val="none" w:sz="0" w:space="0" w:color="auto"/>
        <w:right w:val="none" w:sz="0" w:space="0" w:color="auto"/>
      </w:divBdr>
    </w:div>
    <w:div w:id="1433084820">
      <w:bodyDiv w:val="1"/>
      <w:marLeft w:val="0"/>
      <w:marRight w:val="0"/>
      <w:marTop w:val="0"/>
      <w:marBottom w:val="0"/>
      <w:divBdr>
        <w:top w:val="none" w:sz="0" w:space="0" w:color="auto"/>
        <w:left w:val="none" w:sz="0" w:space="0" w:color="auto"/>
        <w:bottom w:val="none" w:sz="0" w:space="0" w:color="auto"/>
        <w:right w:val="none" w:sz="0" w:space="0" w:color="auto"/>
      </w:divBdr>
    </w:div>
    <w:div w:id="1434593995">
      <w:bodyDiv w:val="1"/>
      <w:marLeft w:val="0"/>
      <w:marRight w:val="0"/>
      <w:marTop w:val="0"/>
      <w:marBottom w:val="0"/>
      <w:divBdr>
        <w:top w:val="none" w:sz="0" w:space="0" w:color="auto"/>
        <w:left w:val="none" w:sz="0" w:space="0" w:color="auto"/>
        <w:bottom w:val="none" w:sz="0" w:space="0" w:color="auto"/>
        <w:right w:val="none" w:sz="0" w:space="0" w:color="auto"/>
      </w:divBdr>
    </w:div>
    <w:div w:id="1535801995">
      <w:bodyDiv w:val="1"/>
      <w:marLeft w:val="0"/>
      <w:marRight w:val="0"/>
      <w:marTop w:val="0"/>
      <w:marBottom w:val="0"/>
      <w:divBdr>
        <w:top w:val="none" w:sz="0" w:space="0" w:color="auto"/>
        <w:left w:val="none" w:sz="0" w:space="0" w:color="auto"/>
        <w:bottom w:val="none" w:sz="0" w:space="0" w:color="auto"/>
        <w:right w:val="none" w:sz="0" w:space="0" w:color="auto"/>
      </w:divBdr>
    </w:div>
    <w:div w:id="1553226126">
      <w:bodyDiv w:val="1"/>
      <w:marLeft w:val="0"/>
      <w:marRight w:val="0"/>
      <w:marTop w:val="0"/>
      <w:marBottom w:val="0"/>
      <w:divBdr>
        <w:top w:val="none" w:sz="0" w:space="0" w:color="auto"/>
        <w:left w:val="none" w:sz="0" w:space="0" w:color="auto"/>
        <w:bottom w:val="none" w:sz="0" w:space="0" w:color="auto"/>
        <w:right w:val="none" w:sz="0" w:space="0" w:color="auto"/>
      </w:divBdr>
    </w:div>
    <w:div w:id="1582595565">
      <w:bodyDiv w:val="1"/>
      <w:marLeft w:val="0"/>
      <w:marRight w:val="0"/>
      <w:marTop w:val="0"/>
      <w:marBottom w:val="0"/>
      <w:divBdr>
        <w:top w:val="none" w:sz="0" w:space="0" w:color="auto"/>
        <w:left w:val="none" w:sz="0" w:space="0" w:color="auto"/>
        <w:bottom w:val="none" w:sz="0" w:space="0" w:color="auto"/>
        <w:right w:val="none" w:sz="0" w:space="0" w:color="auto"/>
      </w:divBdr>
    </w:div>
    <w:div w:id="1604150895">
      <w:bodyDiv w:val="1"/>
      <w:marLeft w:val="0"/>
      <w:marRight w:val="0"/>
      <w:marTop w:val="0"/>
      <w:marBottom w:val="0"/>
      <w:divBdr>
        <w:top w:val="none" w:sz="0" w:space="0" w:color="auto"/>
        <w:left w:val="none" w:sz="0" w:space="0" w:color="auto"/>
        <w:bottom w:val="none" w:sz="0" w:space="0" w:color="auto"/>
        <w:right w:val="none" w:sz="0" w:space="0" w:color="auto"/>
      </w:divBdr>
    </w:div>
    <w:div w:id="1609199090">
      <w:bodyDiv w:val="1"/>
      <w:marLeft w:val="0"/>
      <w:marRight w:val="0"/>
      <w:marTop w:val="0"/>
      <w:marBottom w:val="0"/>
      <w:divBdr>
        <w:top w:val="none" w:sz="0" w:space="0" w:color="auto"/>
        <w:left w:val="none" w:sz="0" w:space="0" w:color="auto"/>
        <w:bottom w:val="none" w:sz="0" w:space="0" w:color="auto"/>
        <w:right w:val="none" w:sz="0" w:space="0" w:color="auto"/>
      </w:divBdr>
    </w:div>
    <w:div w:id="1615945631">
      <w:bodyDiv w:val="1"/>
      <w:marLeft w:val="0"/>
      <w:marRight w:val="0"/>
      <w:marTop w:val="0"/>
      <w:marBottom w:val="0"/>
      <w:divBdr>
        <w:top w:val="none" w:sz="0" w:space="0" w:color="auto"/>
        <w:left w:val="none" w:sz="0" w:space="0" w:color="auto"/>
        <w:bottom w:val="none" w:sz="0" w:space="0" w:color="auto"/>
        <w:right w:val="none" w:sz="0" w:space="0" w:color="auto"/>
      </w:divBdr>
    </w:div>
    <w:div w:id="1637563956">
      <w:bodyDiv w:val="1"/>
      <w:marLeft w:val="0"/>
      <w:marRight w:val="0"/>
      <w:marTop w:val="0"/>
      <w:marBottom w:val="0"/>
      <w:divBdr>
        <w:top w:val="none" w:sz="0" w:space="0" w:color="auto"/>
        <w:left w:val="none" w:sz="0" w:space="0" w:color="auto"/>
        <w:bottom w:val="none" w:sz="0" w:space="0" w:color="auto"/>
        <w:right w:val="none" w:sz="0" w:space="0" w:color="auto"/>
      </w:divBdr>
    </w:div>
    <w:div w:id="1640652360">
      <w:bodyDiv w:val="1"/>
      <w:marLeft w:val="0"/>
      <w:marRight w:val="0"/>
      <w:marTop w:val="0"/>
      <w:marBottom w:val="0"/>
      <w:divBdr>
        <w:top w:val="none" w:sz="0" w:space="0" w:color="auto"/>
        <w:left w:val="none" w:sz="0" w:space="0" w:color="auto"/>
        <w:bottom w:val="none" w:sz="0" w:space="0" w:color="auto"/>
        <w:right w:val="none" w:sz="0" w:space="0" w:color="auto"/>
      </w:divBdr>
    </w:div>
    <w:div w:id="1660232954">
      <w:bodyDiv w:val="1"/>
      <w:marLeft w:val="0"/>
      <w:marRight w:val="0"/>
      <w:marTop w:val="0"/>
      <w:marBottom w:val="0"/>
      <w:divBdr>
        <w:top w:val="none" w:sz="0" w:space="0" w:color="auto"/>
        <w:left w:val="none" w:sz="0" w:space="0" w:color="auto"/>
        <w:bottom w:val="none" w:sz="0" w:space="0" w:color="auto"/>
        <w:right w:val="none" w:sz="0" w:space="0" w:color="auto"/>
      </w:divBdr>
      <w:divsChild>
        <w:div w:id="1575314511">
          <w:marLeft w:val="0"/>
          <w:marRight w:val="0"/>
          <w:marTop w:val="0"/>
          <w:marBottom w:val="0"/>
          <w:divBdr>
            <w:top w:val="none" w:sz="0" w:space="0" w:color="auto"/>
            <w:left w:val="none" w:sz="0" w:space="0" w:color="auto"/>
            <w:bottom w:val="none" w:sz="0" w:space="0" w:color="auto"/>
            <w:right w:val="none" w:sz="0" w:space="0" w:color="auto"/>
          </w:divBdr>
          <w:divsChild>
            <w:div w:id="185409667">
              <w:marLeft w:val="0"/>
              <w:marRight w:val="0"/>
              <w:marTop w:val="0"/>
              <w:marBottom w:val="0"/>
              <w:divBdr>
                <w:top w:val="none" w:sz="0" w:space="0" w:color="auto"/>
                <w:left w:val="none" w:sz="0" w:space="0" w:color="auto"/>
                <w:bottom w:val="none" w:sz="0" w:space="0" w:color="auto"/>
                <w:right w:val="none" w:sz="0" w:space="0" w:color="auto"/>
              </w:divBdr>
              <w:divsChild>
                <w:div w:id="1781605689">
                  <w:marLeft w:val="0"/>
                  <w:marRight w:val="0"/>
                  <w:marTop w:val="0"/>
                  <w:marBottom w:val="0"/>
                  <w:divBdr>
                    <w:top w:val="none" w:sz="0" w:space="0" w:color="auto"/>
                    <w:left w:val="none" w:sz="0" w:space="0" w:color="auto"/>
                    <w:bottom w:val="none" w:sz="0" w:space="0" w:color="auto"/>
                    <w:right w:val="none" w:sz="0" w:space="0" w:color="auto"/>
                  </w:divBdr>
                  <w:divsChild>
                    <w:div w:id="12041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960">
          <w:marLeft w:val="0"/>
          <w:marRight w:val="0"/>
          <w:marTop w:val="0"/>
          <w:marBottom w:val="0"/>
          <w:divBdr>
            <w:top w:val="none" w:sz="0" w:space="0" w:color="auto"/>
            <w:left w:val="none" w:sz="0" w:space="0" w:color="auto"/>
            <w:bottom w:val="none" w:sz="0" w:space="0" w:color="auto"/>
            <w:right w:val="none" w:sz="0" w:space="0" w:color="auto"/>
          </w:divBdr>
          <w:divsChild>
            <w:div w:id="1244488511">
              <w:marLeft w:val="0"/>
              <w:marRight w:val="0"/>
              <w:marTop w:val="0"/>
              <w:marBottom w:val="0"/>
              <w:divBdr>
                <w:top w:val="none" w:sz="0" w:space="0" w:color="auto"/>
                <w:left w:val="none" w:sz="0" w:space="0" w:color="auto"/>
                <w:bottom w:val="none" w:sz="0" w:space="0" w:color="auto"/>
                <w:right w:val="none" w:sz="0" w:space="0" w:color="auto"/>
              </w:divBdr>
              <w:divsChild>
                <w:div w:id="1853256610">
                  <w:marLeft w:val="0"/>
                  <w:marRight w:val="0"/>
                  <w:marTop w:val="0"/>
                  <w:marBottom w:val="0"/>
                  <w:divBdr>
                    <w:top w:val="none" w:sz="0" w:space="0" w:color="auto"/>
                    <w:left w:val="none" w:sz="0" w:space="0" w:color="auto"/>
                    <w:bottom w:val="none" w:sz="0" w:space="0" w:color="auto"/>
                    <w:right w:val="none" w:sz="0" w:space="0" w:color="auto"/>
                  </w:divBdr>
                  <w:divsChild>
                    <w:div w:id="16211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568233">
      <w:bodyDiv w:val="1"/>
      <w:marLeft w:val="0"/>
      <w:marRight w:val="0"/>
      <w:marTop w:val="0"/>
      <w:marBottom w:val="0"/>
      <w:divBdr>
        <w:top w:val="none" w:sz="0" w:space="0" w:color="auto"/>
        <w:left w:val="none" w:sz="0" w:space="0" w:color="auto"/>
        <w:bottom w:val="none" w:sz="0" w:space="0" w:color="auto"/>
        <w:right w:val="none" w:sz="0" w:space="0" w:color="auto"/>
      </w:divBdr>
    </w:div>
    <w:div w:id="1679456870">
      <w:bodyDiv w:val="1"/>
      <w:marLeft w:val="0"/>
      <w:marRight w:val="0"/>
      <w:marTop w:val="0"/>
      <w:marBottom w:val="0"/>
      <w:divBdr>
        <w:top w:val="none" w:sz="0" w:space="0" w:color="auto"/>
        <w:left w:val="none" w:sz="0" w:space="0" w:color="auto"/>
        <w:bottom w:val="none" w:sz="0" w:space="0" w:color="auto"/>
        <w:right w:val="none" w:sz="0" w:space="0" w:color="auto"/>
      </w:divBdr>
    </w:div>
    <w:div w:id="1686441644">
      <w:bodyDiv w:val="1"/>
      <w:marLeft w:val="0"/>
      <w:marRight w:val="0"/>
      <w:marTop w:val="0"/>
      <w:marBottom w:val="0"/>
      <w:divBdr>
        <w:top w:val="none" w:sz="0" w:space="0" w:color="auto"/>
        <w:left w:val="none" w:sz="0" w:space="0" w:color="auto"/>
        <w:bottom w:val="none" w:sz="0" w:space="0" w:color="auto"/>
        <w:right w:val="none" w:sz="0" w:space="0" w:color="auto"/>
      </w:divBdr>
    </w:div>
    <w:div w:id="1695618063">
      <w:bodyDiv w:val="1"/>
      <w:marLeft w:val="0"/>
      <w:marRight w:val="0"/>
      <w:marTop w:val="0"/>
      <w:marBottom w:val="0"/>
      <w:divBdr>
        <w:top w:val="none" w:sz="0" w:space="0" w:color="auto"/>
        <w:left w:val="none" w:sz="0" w:space="0" w:color="auto"/>
        <w:bottom w:val="none" w:sz="0" w:space="0" w:color="auto"/>
        <w:right w:val="none" w:sz="0" w:space="0" w:color="auto"/>
      </w:divBdr>
    </w:div>
    <w:div w:id="1723821361">
      <w:bodyDiv w:val="1"/>
      <w:marLeft w:val="0"/>
      <w:marRight w:val="0"/>
      <w:marTop w:val="0"/>
      <w:marBottom w:val="0"/>
      <w:divBdr>
        <w:top w:val="none" w:sz="0" w:space="0" w:color="auto"/>
        <w:left w:val="none" w:sz="0" w:space="0" w:color="auto"/>
        <w:bottom w:val="none" w:sz="0" w:space="0" w:color="auto"/>
        <w:right w:val="none" w:sz="0" w:space="0" w:color="auto"/>
      </w:divBdr>
      <w:divsChild>
        <w:div w:id="1299847339">
          <w:marLeft w:val="0"/>
          <w:marRight w:val="0"/>
          <w:marTop w:val="0"/>
          <w:marBottom w:val="0"/>
          <w:divBdr>
            <w:top w:val="none" w:sz="0" w:space="0" w:color="auto"/>
            <w:left w:val="none" w:sz="0" w:space="0" w:color="auto"/>
            <w:bottom w:val="none" w:sz="0" w:space="0" w:color="auto"/>
            <w:right w:val="none" w:sz="0" w:space="0" w:color="auto"/>
          </w:divBdr>
          <w:divsChild>
            <w:div w:id="219633582">
              <w:marLeft w:val="0"/>
              <w:marRight w:val="0"/>
              <w:marTop w:val="0"/>
              <w:marBottom w:val="0"/>
              <w:divBdr>
                <w:top w:val="none" w:sz="0" w:space="0" w:color="auto"/>
                <w:left w:val="none" w:sz="0" w:space="0" w:color="auto"/>
                <w:bottom w:val="none" w:sz="0" w:space="0" w:color="auto"/>
                <w:right w:val="none" w:sz="0" w:space="0" w:color="auto"/>
              </w:divBdr>
              <w:divsChild>
                <w:div w:id="1677491226">
                  <w:marLeft w:val="0"/>
                  <w:marRight w:val="0"/>
                  <w:marTop w:val="0"/>
                  <w:marBottom w:val="0"/>
                  <w:divBdr>
                    <w:top w:val="none" w:sz="0" w:space="0" w:color="auto"/>
                    <w:left w:val="none" w:sz="0" w:space="0" w:color="auto"/>
                    <w:bottom w:val="none" w:sz="0" w:space="0" w:color="auto"/>
                    <w:right w:val="none" w:sz="0" w:space="0" w:color="auto"/>
                  </w:divBdr>
                  <w:divsChild>
                    <w:div w:id="1114863570">
                      <w:marLeft w:val="0"/>
                      <w:marRight w:val="0"/>
                      <w:marTop w:val="0"/>
                      <w:marBottom w:val="0"/>
                      <w:divBdr>
                        <w:top w:val="none" w:sz="0" w:space="0" w:color="auto"/>
                        <w:left w:val="none" w:sz="0" w:space="0" w:color="auto"/>
                        <w:bottom w:val="none" w:sz="0" w:space="0" w:color="auto"/>
                        <w:right w:val="none" w:sz="0" w:space="0" w:color="auto"/>
                      </w:divBdr>
                      <w:divsChild>
                        <w:div w:id="758676874">
                          <w:marLeft w:val="0"/>
                          <w:marRight w:val="0"/>
                          <w:marTop w:val="0"/>
                          <w:marBottom w:val="0"/>
                          <w:divBdr>
                            <w:top w:val="none" w:sz="0" w:space="0" w:color="auto"/>
                            <w:left w:val="none" w:sz="0" w:space="0" w:color="auto"/>
                            <w:bottom w:val="none" w:sz="0" w:space="0" w:color="auto"/>
                            <w:right w:val="none" w:sz="0" w:space="0" w:color="auto"/>
                          </w:divBdr>
                          <w:divsChild>
                            <w:div w:id="20221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035678">
      <w:bodyDiv w:val="1"/>
      <w:marLeft w:val="0"/>
      <w:marRight w:val="0"/>
      <w:marTop w:val="0"/>
      <w:marBottom w:val="0"/>
      <w:divBdr>
        <w:top w:val="none" w:sz="0" w:space="0" w:color="auto"/>
        <w:left w:val="none" w:sz="0" w:space="0" w:color="auto"/>
        <w:bottom w:val="none" w:sz="0" w:space="0" w:color="auto"/>
        <w:right w:val="none" w:sz="0" w:space="0" w:color="auto"/>
      </w:divBdr>
    </w:div>
    <w:div w:id="1744721795">
      <w:bodyDiv w:val="1"/>
      <w:marLeft w:val="0"/>
      <w:marRight w:val="0"/>
      <w:marTop w:val="0"/>
      <w:marBottom w:val="0"/>
      <w:divBdr>
        <w:top w:val="none" w:sz="0" w:space="0" w:color="auto"/>
        <w:left w:val="none" w:sz="0" w:space="0" w:color="auto"/>
        <w:bottom w:val="none" w:sz="0" w:space="0" w:color="auto"/>
        <w:right w:val="none" w:sz="0" w:space="0" w:color="auto"/>
      </w:divBdr>
    </w:div>
    <w:div w:id="1749813005">
      <w:bodyDiv w:val="1"/>
      <w:marLeft w:val="0"/>
      <w:marRight w:val="0"/>
      <w:marTop w:val="0"/>
      <w:marBottom w:val="0"/>
      <w:divBdr>
        <w:top w:val="none" w:sz="0" w:space="0" w:color="auto"/>
        <w:left w:val="none" w:sz="0" w:space="0" w:color="auto"/>
        <w:bottom w:val="none" w:sz="0" w:space="0" w:color="auto"/>
        <w:right w:val="none" w:sz="0" w:space="0" w:color="auto"/>
      </w:divBdr>
    </w:div>
    <w:div w:id="1757359722">
      <w:bodyDiv w:val="1"/>
      <w:marLeft w:val="0"/>
      <w:marRight w:val="0"/>
      <w:marTop w:val="0"/>
      <w:marBottom w:val="0"/>
      <w:divBdr>
        <w:top w:val="none" w:sz="0" w:space="0" w:color="auto"/>
        <w:left w:val="none" w:sz="0" w:space="0" w:color="auto"/>
        <w:bottom w:val="none" w:sz="0" w:space="0" w:color="auto"/>
        <w:right w:val="none" w:sz="0" w:space="0" w:color="auto"/>
      </w:divBdr>
    </w:div>
    <w:div w:id="1775898083">
      <w:bodyDiv w:val="1"/>
      <w:marLeft w:val="0"/>
      <w:marRight w:val="0"/>
      <w:marTop w:val="0"/>
      <w:marBottom w:val="0"/>
      <w:divBdr>
        <w:top w:val="none" w:sz="0" w:space="0" w:color="auto"/>
        <w:left w:val="none" w:sz="0" w:space="0" w:color="auto"/>
        <w:bottom w:val="none" w:sz="0" w:space="0" w:color="auto"/>
        <w:right w:val="none" w:sz="0" w:space="0" w:color="auto"/>
      </w:divBdr>
    </w:div>
    <w:div w:id="1784424679">
      <w:bodyDiv w:val="1"/>
      <w:marLeft w:val="0"/>
      <w:marRight w:val="0"/>
      <w:marTop w:val="0"/>
      <w:marBottom w:val="0"/>
      <w:divBdr>
        <w:top w:val="none" w:sz="0" w:space="0" w:color="auto"/>
        <w:left w:val="none" w:sz="0" w:space="0" w:color="auto"/>
        <w:bottom w:val="none" w:sz="0" w:space="0" w:color="auto"/>
        <w:right w:val="none" w:sz="0" w:space="0" w:color="auto"/>
      </w:divBdr>
    </w:div>
    <w:div w:id="1815416399">
      <w:bodyDiv w:val="1"/>
      <w:marLeft w:val="0"/>
      <w:marRight w:val="0"/>
      <w:marTop w:val="0"/>
      <w:marBottom w:val="0"/>
      <w:divBdr>
        <w:top w:val="none" w:sz="0" w:space="0" w:color="auto"/>
        <w:left w:val="none" w:sz="0" w:space="0" w:color="auto"/>
        <w:bottom w:val="none" w:sz="0" w:space="0" w:color="auto"/>
        <w:right w:val="none" w:sz="0" w:space="0" w:color="auto"/>
      </w:divBdr>
    </w:div>
    <w:div w:id="1826509050">
      <w:bodyDiv w:val="1"/>
      <w:marLeft w:val="0"/>
      <w:marRight w:val="0"/>
      <w:marTop w:val="0"/>
      <w:marBottom w:val="0"/>
      <w:divBdr>
        <w:top w:val="none" w:sz="0" w:space="0" w:color="auto"/>
        <w:left w:val="none" w:sz="0" w:space="0" w:color="auto"/>
        <w:bottom w:val="none" w:sz="0" w:space="0" w:color="auto"/>
        <w:right w:val="none" w:sz="0" w:space="0" w:color="auto"/>
      </w:divBdr>
    </w:div>
    <w:div w:id="1840996343">
      <w:bodyDiv w:val="1"/>
      <w:marLeft w:val="0"/>
      <w:marRight w:val="0"/>
      <w:marTop w:val="0"/>
      <w:marBottom w:val="0"/>
      <w:divBdr>
        <w:top w:val="none" w:sz="0" w:space="0" w:color="auto"/>
        <w:left w:val="none" w:sz="0" w:space="0" w:color="auto"/>
        <w:bottom w:val="none" w:sz="0" w:space="0" w:color="auto"/>
        <w:right w:val="none" w:sz="0" w:space="0" w:color="auto"/>
      </w:divBdr>
    </w:div>
    <w:div w:id="1868525834">
      <w:bodyDiv w:val="1"/>
      <w:marLeft w:val="0"/>
      <w:marRight w:val="0"/>
      <w:marTop w:val="0"/>
      <w:marBottom w:val="0"/>
      <w:divBdr>
        <w:top w:val="none" w:sz="0" w:space="0" w:color="auto"/>
        <w:left w:val="none" w:sz="0" w:space="0" w:color="auto"/>
        <w:bottom w:val="none" w:sz="0" w:space="0" w:color="auto"/>
        <w:right w:val="none" w:sz="0" w:space="0" w:color="auto"/>
      </w:divBdr>
    </w:div>
    <w:div w:id="1875190689">
      <w:bodyDiv w:val="1"/>
      <w:marLeft w:val="0"/>
      <w:marRight w:val="0"/>
      <w:marTop w:val="0"/>
      <w:marBottom w:val="0"/>
      <w:divBdr>
        <w:top w:val="none" w:sz="0" w:space="0" w:color="auto"/>
        <w:left w:val="none" w:sz="0" w:space="0" w:color="auto"/>
        <w:bottom w:val="none" w:sz="0" w:space="0" w:color="auto"/>
        <w:right w:val="none" w:sz="0" w:space="0" w:color="auto"/>
      </w:divBdr>
    </w:div>
    <w:div w:id="1880120472">
      <w:bodyDiv w:val="1"/>
      <w:marLeft w:val="0"/>
      <w:marRight w:val="0"/>
      <w:marTop w:val="0"/>
      <w:marBottom w:val="0"/>
      <w:divBdr>
        <w:top w:val="none" w:sz="0" w:space="0" w:color="auto"/>
        <w:left w:val="none" w:sz="0" w:space="0" w:color="auto"/>
        <w:bottom w:val="none" w:sz="0" w:space="0" w:color="auto"/>
        <w:right w:val="none" w:sz="0" w:space="0" w:color="auto"/>
      </w:divBdr>
    </w:div>
    <w:div w:id="1885746771">
      <w:bodyDiv w:val="1"/>
      <w:marLeft w:val="0"/>
      <w:marRight w:val="0"/>
      <w:marTop w:val="0"/>
      <w:marBottom w:val="0"/>
      <w:divBdr>
        <w:top w:val="none" w:sz="0" w:space="0" w:color="auto"/>
        <w:left w:val="none" w:sz="0" w:space="0" w:color="auto"/>
        <w:bottom w:val="none" w:sz="0" w:space="0" w:color="auto"/>
        <w:right w:val="none" w:sz="0" w:space="0" w:color="auto"/>
      </w:divBdr>
      <w:divsChild>
        <w:div w:id="164517927">
          <w:marLeft w:val="0"/>
          <w:marRight w:val="0"/>
          <w:marTop w:val="0"/>
          <w:marBottom w:val="0"/>
          <w:divBdr>
            <w:top w:val="none" w:sz="0" w:space="0" w:color="auto"/>
            <w:left w:val="none" w:sz="0" w:space="0" w:color="auto"/>
            <w:bottom w:val="none" w:sz="0" w:space="0" w:color="auto"/>
            <w:right w:val="none" w:sz="0" w:space="0" w:color="auto"/>
          </w:divBdr>
          <w:divsChild>
            <w:div w:id="1182621232">
              <w:marLeft w:val="0"/>
              <w:marRight w:val="0"/>
              <w:marTop w:val="0"/>
              <w:marBottom w:val="0"/>
              <w:divBdr>
                <w:top w:val="none" w:sz="0" w:space="0" w:color="auto"/>
                <w:left w:val="none" w:sz="0" w:space="0" w:color="auto"/>
                <w:bottom w:val="none" w:sz="0" w:space="0" w:color="auto"/>
                <w:right w:val="none" w:sz="0" w:space="0" w:color="auto"/>
              </w:divBdr>
              <w:divsChild>
                <w:div w:id="131562373">
                  <w:marLeft w:val="0"/>
                  <w:marRight w:val="0"/>
                  <w:marTop w:val="0"/>
                  <w:marBottom w:val="0"/>
                  <w:divBdr>
                    <w:top w:val="none" w:sz="0" w:space="0" w:color="auto"/>
                    <w:left w:val="none" w:sz="0" w:space="0" w:color="auto"/>
                    <w:bottom w:val="none" w:sz="0" w:space="0" w:color="auto"/>
                    <w:right w:val="none" w:sz="0" w:space="0" w:color="auto"/>
                  </w:divBdr>
                  <w:divsChild>
                    <w:div w:id="861435856">
                      <w:marLeft w:val="0"/>
                      <w:marRight w:val="0"/>
                      <w:marTop w:val="0"/>
                      <w:marBottom w:val="0"/>
                      <w:divBdr>
                        <w:top w:val="none" w:sz="0" w:space="0" w:color="auto"/>
                        <w:left w:val="none" w:sz="0" w:space="0" w:color="auto"/>
                        <w:bottom w:val="none" w:sz="0" w:space="0" w:color="auto"/>
                        <w:right w:val="none" w:sz="0" w:space="0" w:color="auto"/>
                      </w:divBdr>
                      <w:divsChild>
                        <w:div w:id="645672955">
                          <w:marLeft w:val="0"/>
                          <w:marRight w:val="0"/>
                          <w:marTop w:val="0"/>
                          <w:marBottom w:val="0"/>
                          <w:divBdr>
                            <w:top w:val="none" w:sz="0" w:space="0" w:color="auto"/>
                            <w:left w:val="none" w:sz="0" w:space="0" w:color="auto"/>
                            <w:bottom w:val="none" w:sz="0" w:space="0" w:color="auto"/>
                            <w:right w:val="none" w:sz="0" w:space="0" w:color="auto"/>
                          </w:divBdr>
                          <w:divsChild>
                            <w:div w:id="112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751703">
      <w:bodyDiv w:val="1"/>
      <w:marLeft w:val="0"/>
      <w:marRight w:val="0"/>
      <w:marTop w:val="0"/>
      <w:marBottom w:val="0"/>
      <w:divBdr>
        <w:top w:val="none" w:sz="0" w:space="0" w:color="auto"/>
        <w:left w:val="none" w:sz="0" w:space="0" w:color="auto"/>
        <w:bottom w:val="none" w:sz="0" w:space="0" w:color="auto"/>
        <w:right w:val="none" w:sz="0" w:space="0" w:color="auto"/>
      </w:divBdr>
    </w:div>
    <w:div w:id="1898321035">
      <w:bodyDiv w:val="1"/>
      <w:marLeft w:val="0"/>
      <w:marRight w:val="0"/>
      <w:marTop w:val="0"/>
      <w:marBottom w:val="0"/>
      <w:divBdr>
        <w:top w:val="none" w:sz="0" w:space="0" w:color="auto"/>
        <w:left w:val="none" w:sz="0" w:space="0" w:color="auto"/>
        <w:bottom w:val="none" w:sz="0" w:space="0" w:color="auto"/>
        <w:right w:val="none" w:sz="0" w:space="0" w:color="auto"/>
      </w:divBdr>
    </w:div>
    <w:div w:id="1899391309">
      <w:bodyDiv w:val="1"/>
      <w:marLeft w:val="0"/>
      <w:marRight w:val="0"/>
      <w:marTop w:val="0"/>
      <w:marBottom w:val="0"/>
      <w:divBdr>
        <w:top w:val="none" w:sz="0" w:space="0" w:color="auto"/>
        <w:left w:val="none" w:sz="0" w:space="0" w:color="auto"/>
        <w:bottom w:val="none" w:sz="0" w:space="0" w:color="auto"/>
        <w:right w:val="none" w:sz="0" w:space="0" w:color="auto"/>
      </w:divBdr>
    </w:div>
    <w:div w:id="1908883692">
      <w:bodyDiv w:val="1"/>
      <w:marLeft w:val="0"/>
      <w:marRight w:val="0"/>
      <w:marTop w:val="0"/>
      <w:marBottom w:val="0"/>
      <w:divBdr>
        <w:top w:val="none" w:sz="0" w:space="0" w:color="auto"/>
        <w:left w:val="none" w:sz="0" w:space="0" w:color="auto"/>
        <w:bottom w:val="none" w:sz="0" w:space="0" w:color="auto"/>
        <w:right w:val="none" w:sz="0" w:space="0" w:color="auto"/>
      </w:divBdr>
    </w:div>
    <w:div w:id="1913464509">
      <w:bodyDiv w:val="1"/>
      <w:marLeft w:val="0"/>
      <w:marRight w:val="0"/>
      <w:marTop w:val="0"/>
      <w:marBottom w:val="0"/>
      <w:divBdr>
        <w:top w:val="none" w:sz="0" w:space="0" w:color="auto"/>
        <w:left w:val="none" w:sz="0" w:space="0" w:color="auto"/>
        <w:bottom w:val="none" w:sz="0" w:space="0" w:color="auto"/>
        <w:right w:val="none" w:sz="0" w:space="0" w:color="auto"/>
      </w:divBdr>
    </w:div>
    <w:div w:id="1915318658">
      <w:bodyDiv w:val="1"/>
      <w:marLeft w:val="0"/>
      <w:marRight w:val="0"/>
      <w:marTop w:val="0"/>
      <w:marBottom w:val="0"/>
      <w:divBdr>
        <w:top w:val="none" w:sz="0" w:space="0" w:color="auto"/>
        <w:left w:val="none" w:sz="0" w:space="0" w:color="auto"/>
        <w:bottom w:val="none" w:sz="0" w:space="0" w:color="auto"/>
        <w:right w:val="none" w:sz="0" w:space="0" w:color="auto"/>
      </w:divBdr>
    </w:div>
    <w:div w:id="1917937355">
      <w:bodyDiv w:val="1"/>
      <w:marLeft w:val="0"/>
      <w:marRight w:val="0"/>
      <w:marTop w:val="0"/>
      <w:marBottom w:val="0"/>
      <w:divBdr>
        <w:top w:val="none" w:sz="0" w:space="0" w:color="auto"/>
        <w:left w:val="none" w:sz="0" w:space="0" w:color="auto"/>
        <w:bottom w:val="none" w:sz="0" w:space="0" w:color="auto"/>
        <w:right w:val="none" w:sz="0" w:space="0" w:color="auto"/>
      </w:divBdr>
    </w:div>
    <w:div w:id="1923178031">
      <w:bodyDiv w:val="1"/>
      <w:marLeft w:val="0"/>
      <w:marRight w:val="0"/>
      <w:marTop w:val="0"/>
      <w:marBottom w:val="0"/>
      <w:divBdr>
        <w:top w:val="none" w:sz="0" w:space="0" w:color="auto"/>
        <w:left w:val="none" w:sz="0" w:space="0" w:color="auto"/>
        <w:bottom w:val="none" w:sz="0" w:space="0" w:color="auto"/>
        <w:right w:val="none" w:sz="0" w:space="0" w:color="auto"/>
      </w:divBdr>
    </w:div>
    <w:div w:id="1929385158">
      <w:bodyDiv w:val="1"/>
      <w:marLeft w:val="0"/>
      <w:marRight w:val="0"/>
      <w:marTop w:val="0"/>
      <w:marBottom w:val="0"/>
      <w:divBdr>
        <w:top w:val="none" w:sz="0" w:space="0" w:color="auto"/>
        <w:left w:val="none" w:sz="0" w:space="0" w:color="auto"/>
        <w:bottom w:val="none" w:sz="0" w:space="0" w:color="auto"/>
        <w:right w:val="none" w:sz="0" w:space="0" w:color="auto"/>
      </w:divBdr>
    </w:div>
    <w:div w:id="1949461129">
      <w:bodyDiv w:val="1"/>
      <w:marLeft w:val="0"/>
      <w:marRight w:val="0"/>
      <w:marTop w:val="0"/>
      <w:marBottom w:val="0"/>
      <w:divBdr>
        <w:top w:val="none" w:sz="0" w:space="0" w:color="auto"/>
        <w:left w:val="none" w:sz="0" w:space="0" w:color="auto"/>
        <w:bottom w:val="none" w:sz="0" w:space="0" w:color="auto"/>
        <w:right w:val="none" w:sz="0" w:space="0" w:color="auto"/>
      </w:divBdr>
    </w:div>
    <w:div w:id="1951473146">
      <w:bodyDiv w:val="1"/>
      <w:marLeft w:val="0"/>
      <w:marRight w:val="0"/>
      <w:marTop w:val="0"/>
      <w:marBottom w:val="0"/>
      <w:divBdr>
        <w:top w:val="none" w:sz="0" w:space="0" w:color="auto"/>
        <w:left w:val="none" w:sz="0" w:space="0" w:color="auto"/>
        <w:bottom w:val="none" w:sz="0" w:space="0" w:color="auto"/>
        <w:right w:val="none" w:sz="0" w:space="0" w:color="auto"/>
      </w:divBdr>
    </w:div>
    <w:div w:id="1958220219">
      <w:bodyDiv w:val="1"/>
      <w:marLeft w:val="0"/>
      <w:marRight w:val="0"/>
      <w:marTop w:val="0"/>
      <w:marBottom w:val="0"/>
      <w:divBdr>
        <w:top w:val="none" w:sz="0" w:space="0" w:color="auto"/>
        <w:left w:val="none" w:sz="0" w:space="0" w:color="auto"/>
        <w:bottom w:val="none" w:sz="0" w:space="0" w:color="auto"/>
        <w:right w:val="none" w:sz="0" w:space="0" w:color="auto"/>
      </w:divBdr>
    </w:div>
    <w:div w:id="1967084911">
      <w:bodyDiv w:val="1"/>
      <w:marLeft w:val="0"/>
      <w:marRight w:val="0"/>
      <w:marTop w:val="0"/>
      <w:marBottom w:val="0"/>
      <w:divBdr>
        <w:top w:val="none" w:sz="0" w:space="0" w:color="auto"/>
        <w:left w:val="none" w:sz="0" w:space="0" w:color="auto"/>
        <w:bottom w:val="none" w:sz="0" w:space="0" w:color="auto"/>
        <w:right w:val="none" w:sz="0" w:space="0" w:color="auto"/>
      </w:divBdr>
    </w:div>
    <w:div w:id="1969626321">
      <w:bodyDiv w:val="1"/>
      <w:marLeft w:val="0"/>
      <w:marRight w:val="0"/>
      <w:marTop w:val="0"/>
      <w:marBottom w:val="0"/>
      <w:divBdr>
        <w:top w:val="none" w:sz="0" w:space="0" w:color="auto"/>
        <w:left w:val="none" w:sz="0" w:space="0" w:color="auto"/>
        <w:bottom w:val="none" w:sz="0" w:space="0" w:color="auto"/>
        <w:right w:val="none" w:sz="0" w:space="0" w:color="auto"/>
      </w:divBdr>
    </w:div>
    <w:div w:id="1974099496">
      <w:bodyDiv w:val="1"/>
      <w:marLeft w:val="0"/>
      <w:marRight w:val="0"/>
      <w:marTop w:val="0"/>
      <w:marBottom w:val="0"/>
      <w:divBdr>
        <w:top w:val="none" w:sz="0" w:space="0" w:color="auto"/>
        <w:left w:val="none" w:sz="0" w:space="0" w:color="auto"/>
        <w:bottom w:val="none" w:sz="0" w:space="0" w:color="auto"/>
        <w:right w:val="none" w:sz="0" w:space="0" w:color="auto"/>
      </w:divBdr>
    </w:div>
    <w:div w:id="1990476487">
      <w:bodyDiv w:val="1"/>
      <w:marLeft w:val="0"/>
      <w:marRight w:val="0"/>
      <w:marTop w:val="0"/>
      <w:marBottom w:val="0"/>
      <w:divBdr>
        <w:top w:val="none" w:sz="0" w:space="0" w:color="auto"/>
        <w:left w:val="none" w:sz="0" w:space="0" w:color="auto"/>
        <w:bottom w:val="none" w:sz="0" w:space="0" w:color="auto"/>
        <w:right w:val="none" w:sz="0" w:space="0" w:color="auto"/>
      </w:divBdr>
    </w:div>
    <w:div w:id="2002610759">
      <w:bodyDiv w:val="1"/>
      <w:marLeft w:val="0"/>
      <w:marRight w:val="0"/>
      <w:marTop w:val="0"/>
      <w:marBottom w:val="0"/>
      <w:divBdr>
        <w:top w:val="none" w:sz="0" w:space="0" w:color="auto"/>
        <w:left w:val="none" w:sz="0" w:space="0" w:color="auto"/>
        <w:bottom w:val="none" w:sz="0" w:space="0" w:color="auto"/>
        <w:right w:val="none" w:sz="0" w:space="0" w:color="auto"/>
      </w:divBdr>
    </w:div>
    <w:div w:id="2076076732">
      <w:bodyDiv w:val="1"/>
      <w:marLeft w:val="0"/>
      <w:marRight w:val="0"/>
      <w:marTop w:val="0"/>
      <w:marBottom w:val="0"/>
      <w:divBdr>
        <w:top w:val="none" w:sz="0" w:space="0" w:color="auto"/>
        <w:left w:val="none" w:sz="0" w:space="0" w:color="auto"/>
        <w:bottom w:val="none" w:sz="0" w:space="0" w:color="auto"/>
        <w:right w:val="none" w:sz="0" w:space="0" w:color="auto"/>
      </w:divBdr>
    </w:div>
    <w:div w:id="2080784072">
      <w:bodyDiv w:val="1"/>
      <w:marLeft w:val="0"/>
      <w:marRight w:val="0"/>
      <w:marTop w:val="0"/>
      <w:marBottom w:val="0"/>
      <w:divBdr>
        <w:top w:val="none" w:sz="0" w:space="0" w:color="auto"/>
        <w:left w:val="none" w:sz="0" w:space="0" w:color="auto"/>
        <w:bottom w:val="none" w:sz="0" w:space="0" w:color="auto"/>
        <w:right w:val="none" w:sz="0" w:space="0" w:color="auto"/>
      </w:divBdr>
    </w:div>
    <w:div w:id="2087414304">
      <w:bodyDiv w:val="1"/>
      <w:marLeft w:val="0"/>
      <w:marRight w:val="0"/>
      <w:marTop w:val="0"/>
      <w:marBottom w:val="0"/>
      <w:divBdr>
        <w:top w:val="none" w:sz="0" w:space="0" w:color="auto"/>
        <w:left w:val="none" w:sz="0" w:space="0" w:color="auto"/>
        <w:bottom w:val="none" w:sz="0" w:space="0" w:color="auto"/>
        <w:right w:val="none" w:sz="0" w:space="0" w:color="auto"/>
      </w:divBdr>
    </w:div>
    <w:div w:id="2088258467">
      <w:bodyDiv w:val="1"/>
      <w:marLeft w:val="0"/>
      <w:marRight w:val="0"/>
      <w:marTop w:val="0"/>
      <w:marBottom w:val="0"/>
      <w:divBdr>
        <w:top w:val="none" w:sz="0" w:space="0" w:color="auto"/>
        <w:left w:val="none" w:sz="0" w:space="0" w:color="auto"/>
        <w:bottom w:val="none" w:sz="0" w:space="0" w:color="auto"/>
        <w:right w:val="none" w:sz="0" w:space="0" w:color="auto"/>
      </w:divBdr>
    </w:div>
    <w:div w:id="2094815614">
      <w:bodyDiv w:val="1"/>
      <w:marLeft w:val="0"/>
      <w:marRight w:val="0"/>
      <w:marTop w:val="0"/>
      <w:marBottom w:val="0"/>
      <w:divBdr>
        <w:top w:val="none" w:sz="0" w:space="0" w:color="auto"/>
        <w:left w:val="none" w:sz="0" w:space="0" w:color="auto"/>
        <w:bottom w:val="none" w:sz="0" w:space="0" w:color="auto"/>
        <w:right w:val="none" w:sz="0" w:space="0" w:color="auto"/>
      </w:divBdr>
    </w:div>
    <w:div w:id="2106920944">
      <w:bodyDiv w:val="1"/>
      <w:marLeft w:val="0"/>
      <w:marRight w:val="0"/>
      <w:marTop w:val="0"/>
      <w:marBottom w:val="0"/>
      <w:divBdr>
        <w:top w:val="none" w:sz="0" w:space="0" w:color="auto"/>
        <w:left w:val="none" w:sz="0" w:space="0" w:color="auto"/>
        <w:bottom w:val="none" w:sz="0" w:space="0" w:color="auto"/>
        <w:right w:val="none" w:sz="0" w:space="0" w:color="auto"/>
      </w:divBdr>
    </w:div>
    <w:div w:id="2115175298">
      <w:bodyDiv w:val="1"/>
      <w:marLeft w:val="0"/>
      <w:marRight w:val="0"/>
      <w:marTop w:val="0"/>
      <w:marBottom w:val="0"/>
      <w:divBdr>
        <w:top w:val="none" w:sz="0" w:space="0" w:color="auto"/>
        <w:left w:val="none" w:sz="0" w:space="0" w:color="auto"/>
        <w:bottom w:val="none" w:sz="0" w:space="0" w:color="auto"/>
        <w:right w:val="none" w:sz="0" w:space="0" w:color="auto"/>
      </w:divBdr>
    </w:div>
    <w:div w:id="2120908693">
      <w:bodyDiv w:val="1"/>
      <w:marLeft w:val="0"/>
      <w:marRight w:val="0"/>
      <w:marTop w:val="0"/>
      <w:marBottom w:val="0"/>
      <w:divBdr>
        <w:top w:val="none" w:sz="0" w:space="0" w:color="auto"/>
        <w:left w:val="none" w:sz="0" w:space="0" w:color="auto"/>
        <w:bottom w:val="none" w:sz="0" w:space="0" w:color="auto"/>
        <w:right w:val="none" w:sz="0" w:space="0" w:color="auto"/>
      </w:divBdr>
    </w:div>
    <w:div w:id="2141678788">
      <w:bodyDiv w:val="1"/>
      <w:marLeft w:val="0"/>
      <w:marRight w:val="0"/>
      <w:marTop w:val="0"/>
      <w:marBottom w:val="0"/>
      <w:divBdr>
        <w:top w:val="none" w:sz="0" w:space="0" w:color="auto"/>
        <w:left w:val="none" w:sz="0" w:space="0" w:color="auto"/>
        <w:bottom w:val="none" w:sz="0" w:space="0" w:color="auto"/>
        <w:right w:val="none" w:sz="0" w:space="0" w:color="auto"/>
      </w:divBdr>
    </w:div>
    <w:div w:id="2144342821">
      <w:bodyDiv w:val="1"/>
      <w:marLeft w:val="0"/>
      <w:marRight w:val="0"/>
      <w:marTop w:val="0"/>
      <w:marBottom w:val="0"/>
      <w:divBdr>
        <w:top w:val="none" w:sz="0" w:space="0" w:color="auto"/>
        <w:left w:val="none" w:sz="0" w:space="0" w:color="auto"/>
        <w:bottom w:val="none" w:sz="0" w:space="0" w:color="auto"/>
        <w:right w:val="none" w:sz="0" w:space="0" w:color="auto"/>
      </w:divBdr>
    </w:div>
    <w:div w:id="2146389802">
      <w:bodyDiv w:val="1"/>
      <w:marLeft w:val="0"/>
      <w:marRight w:val="0"/>
      <w:marTop w:val="0"/>
      <w:marBottom w:val="0"/>
      <w:divBdr>
        <w:top w:val="none" w:sz="0" w:space="0" w:color="auto"/>
        <w:left w:val="none" w:sz="0" w:space="0" w:color="auto"/>
        <w:bottom w:val="none" w:sz="0" w:space="0" w:color="auto"/>
        <w:right w:val="none" w:sz="0" w:space="0" w:color="auto"/>
      </w:divBdr>
    </w:div>
    <w:div w:id="214704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pubchem.ncbi.nlm.nih.gov"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cha.europa.e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uzis.cz/index.php?pg=registry-sber-dat--ochrana-verejneho-zdravi--registr-chemickych-latek-a-prostredk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rnika.org/toxicke-latky/databaze-latek"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pubchem.ncbi.nlm.nih.gov"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opcw.org/about-opcw/non-member-states/" TargetMode="External"/><Relationship Id="rId30" Type="http://schemas.openxmlformats.org/officeDocument/2006/relationships/footer" Target="footer2.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jrab\Downloads\SablonaZaverecnePrace_FTKUP_CZ.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0755E8F638A4FBCA067AC8DE71C90BC"/>
        <w:category>
          <w:name w:val="Obecné"/>
          <w:gallery w:val="placeholder"/>
        </w:category>
        <w:types>
          <w:type w:val="bbPlcHdr"/>
        </w:types>
        <w:behaviors>
          <w:behavior w:val="content"/>
        </w:behaviors>
        <w:guid w:val="{E330BE2E-D8E0-463C-979E-6A09266B817B}"/>
      </w:docPartPr>
      <w:docPartBody>
        <w:p w:rsidR="00373B1B" w:rsidRDefault="00000000">
          <w:pPr>
            <w:pStyle w:val="10755E8F638A4FBCA067AC8DE71C90BC"/>
          </w:pPr>
          <w:r>
            <w:rPr>
              <w:rStyle w:val="Zstupntext"/>
            </w:rPr>
            <w:t>[název práce]</w:t>
          </w:r>
        </w:p>
      </w:docPartBody>
    </w:docPart>
    <w:docPart>
      <w:docPartPr>
        <w:name w:val="39763D21438A4C719F1678F7DED71F8D"/>
        <w:category>
          <w:name w:val="Obecné"/>
          <w:gallery w:val="placeholder"/>
        </w:category>
        <w:types>
          <w:type w:val="bbPlcHdr"/>
        </w:types>
        <w:behaviors>
          <w:behavior w:val="content"/>
        </w:behaviors>
        <w:guid w:val="{49ED7FCD-7B4D-4201-99B0-DD7DBC94D5F3}"/>
      </w:docPartPr>
      <w:docPartBody>
        <w:p w:rsidR="00373B1B" w:rsidRDefault="00000000">
          <w:pPr>
            <w:pStyle w:val="39763D21438A4C719F1678F7DED71F8D"/>
          </w:pPr>
          <w:r>
            <w:rPr>
              <w:rStyle w:val="Zstupntext"/>
            </w:rPr>
            <w:t>[Z</w:t>
          </w:r>
          <w:r w:rsidRPr="009A1B5E">
            <w:rPr>
              <w:rStyle w:val="Zstupntext"/>
            </w:rPr>
            <w:t xml:space="preserve">volte </w:t>
          </w:r>
          <w:r>
            <w:rPr>
              <w:rStyle w:val="Zstupntext"/>
            </w:rPr>
            <w:t>typ práce]</w:t>
          </w:r>
        </w:p>
      </w:docPartBody>
    </w:docPart>
    <w:docPart>
      <w:docPartPr>
        <w:name w:val="DD3F8F3F9F874FB5BDE3FF47121A08ED"/>
        <w:category>
          <w:name w:val="Obecné"/>
          <w:gallery w:val="placeholder"/>
        </w:category>
        <w:types>
          <w:type w:val="bbPlcHdr"/>
        </w:types>
        <w:behaviors>
          <w:behavior w:val="content"/>
        </w:behaviors>
        <w:guid w:val="{DE82942E-08EA-49B6-810F-D751148FC82F}"/>
      </w:docPartPr>
      <w:docPartBody>
        <w:p w:rsidR="00373B1B" w:rsidRDefault="00000000">
          <w:pPr>
            <w:pStyle w:val="DD3F8F3F9F874FB5BDE3FF47121A08ED"/>
          </w:pPr>
          <w:r>
            <w:rPr>
              <w:rStyle w:val="Zstupntext"/>
            </w:rPr>
            <w:t>[Jméno autora práce]</w:t>
          </w:r>
        </w:p>
      </w:docPartBody>
    </w:docPart>
    <w:docPart>
      <w:docPartPr>
        <w:name w:val="24FB8B9E05F94EBB841A03E255B44C4B"/>
        <w:category>
          <w:name w:val="Obecné"/>
          <w:gallery w:val="placeholder"/>
        </w:category>
        <w:types>
          <w:type w:val="bbPlcHdr"/>
        </w:types>
        <w:behaviors>
          <w:behavior w:val="content"/>
        </w:behaviors>
        <w:guid w:val="{BF2825CA-C211-452E-9D0D-4B4A50A23110}"/>
      </w:docPartPr>
      <w:docPartBody>
        <w:p w:rsidR="00373B1B" w:rsidRDefault="00000000">
          <w:pPr>
            <w:pStyle w:val="24FB8B9E05F94EBB841A03E255B44C4B"/>
          </w:pPr>
          <w:r>
            <w:rPr>
              <w:rStyle w:val="Zstupntext"/>
            </w:rPr>
            <w:t>[Název studijního programu]</w:t>
          </w:r>
        </w:p>
      </w:docPartBody>
    </w:docPart>
    <w:docPart>
      <w:docPartPr>
        <w:name w:val="8A0C15AAB2AD47E4B1041139FD77E935"/>
        <w:category>
          <w:name w:val="Obecné"/>
          <w:gallery w:val="placeholder"/>
        </w:category>
        <w:types>
          <w:type w:val="bbPlcHdr"/>
        </w:types>
        <w:behaviors>
          <w:behavior w:val="content"/>
        </w:behaviors>
        <w:guid w:val="{BDDB61B7-C113-4655-8561-1D29C0F21F9B}"/>
      </w:docPartPr>
      <w:docPartBody>
        <w:p w:rsidR="00373B1B" w:rsidRDefault="00000000">
          <w:pPr>
            <w:pStyle w:val="8A0C15AAB2AD47E4B1041139FD77E935"/>
          </w:pPr>
          <w:r>
            <w:rPr>
              <w:rStyle w:val="Zstupntext"/>
            </w:rPr>
            <w:t>[Jméno vedoucího práce]</w:t>
          </w:r>
        </w:p>
      </w:docPartBody>
    </w:docPart>
    <w:docPart>
      <w:docPartPr>
        <w:name w:val="0E7AE681EA39472EB0D69DA8B8F32179"/>
        <w:category>
          <w:name w:val="Obecné"/>
          <w:gallery w:val="placeholder"/>
        </w:category>
        <w:types>
          <w:type w:val="bbPlcHdr"/>
        </w:types>
        <w:behaviors>
          <w:behavior w:val="content"/>
        </w:behaviors>
        <w:guid w:val="{E160B653-38DC-4704-8896-AD98BF78FE15}"/>
      </w:docPartPr>
      <w:docPartBody>
        <w:p w:rsidR="00373B1B" w:rsidRDefault="00000000">
          <w:pPr>
            <w:pStyle w:val="0E7AE681EA39472EB0D69DA8B8F32179"/>
          </w:pPr>
          <w:r>
            <w:rPr>
              <w:rStyle w:val="Zstupntext"/>
            </w:rPr>
            <w:t>[Z</w:t>
          </w:r>
          <w:r w:rsidRPr="009A1B5E">
            <w:rPr>
              <w:rStyle w:val="Zstupntext"/>
            </w:rPr>
            <w:t xml:space="preserve">volte </w:t>
          </w:r>
          <w:r>
            <w:rPr>
              <w:rStyle w:val="Zstupntext"/>
            </w:rPr>
            <w:t>rok obhajoby práce]</w:t>
          </w:r>
        </w:p>
      </w:docPartBody>
    </w:docPart>
    <w:docPart>
      <w:docPartPr>
        <w:name w:val="B102AEEB5C394CF58D6A8B9E9A5ADE1E"/>
        <w:category>
          <w:name w:val="Obecné"/>
          <w:gallery w:val="placeholder"/>
        </w:category>
        <w:types>
          <w:type w:val="bbPlcHdr"/>
        </w:types>
        <w:behaviors>
          <w:behavior w:val="content"/>
        </w:behaviors>
        <w:guid w:val="{05E7D848-DDB3-415E-84BB-D64B7547D85B}"/>
      </w:docPartPr>
      <w:docPartBody>
        <w:p w:rsidR="00373B1B" w:rsidRDefault="00000000">
          <w:pPr>
            <w:pStyle w:val="B102AEEB5C394CF58D6A8B9E9A5ADE1E"/>
          </w:pPr>
          <w:r>
            <w:rPr>
              <w:rStyle w:val="Zstupntext"/>
            </w:rPr>
            <w:t>[Jméno autora práce]</w:t>
          </w:r>
        </w:p>
      </w:docPartBody>
    </w:docPart>
    <w:docPart>
      <w:docPartPr>
        <w:name w:val="624F0A6BD4B64E4F97811D2F3AF9E05E"/>
        <w:category>
          <w:name w:val="Obecné"/>
          <w:gallery w:val="placeholder"/>
        </w:category>
        <w:types>
          <w:type w:val="bbPlcHdr"/>
        </w:types>
        <w:behaviors>
          <w:behavior w:val="content"/>
        </w:behaviors>
        <w:guid w:val="{0E30A9A3-0640-48BC-B8B5-551ED39A0C51}"/>
      </w:docPartPr>
      <w:docPartBody>
        <w:p w:rsidR="00373B1B" w:rsidRDefault="00000000">
          <w:pPr>
            <w:pStyle w:val="624F0A6BD4B64E4F97811D2F3AF9E05E"/>
          </w:pPr>
          <w:r>
            <w:rPr>
              <w:rStyle w:val="Zstupntext"/>
            </w:rPr>
            <w:t>[Název práce]</w:t>
          </w:r>
        </w:p>
      </w:docPartBody>
    </w:docPart>
    <w:docPart>
      <w:docPartPr>
        <w:name w:val="04D893B49EB2443FADA70157AF410B2B"/>
        <w:category>
          <w:name w:val="Obecné"/>
          <w:gallery w:val="placeholder"/>
        </w:category>
        <w:types>
          <w:type w:val="bbPlcHdr"/>
        </w:types>
        <w:behaviors>
          <w:behavior w:val="content"/>
        </w:behaviors>
        <w:guid w:val="{39C5A0B9-4EFB-4A0D-ACC7-D62DE224A2E5}"/>
      </w:docPartPr>
      <w:docPartBody>
        <w:p w:rsidR="00373B1B" w:rsidRDefault="00000000">
          <w:pPr>
            <w:pStyle w:val="04D893B49EB2443FADA70157AF410B2B"/>
          </w:pPr>
          <w:r>
            <w:rPr>
              <w:rStyle w:val="Zstupntext"/>
            </w:rPr>
            <w:t>[Jméno vedoucího práce]</w:t>
          </w:r>
        </w:p>
      </w:docPartBody>
    </w:docPart>
    <w:docPart>
      <w:docPartPr>
        <w:name w:val="D0C26D7F7A97470985983FC59FAC051E"/>
        <w:category>
          <w:name w:val="Obecné"/>
          <w:gallery w:val="placeholder"/>
        </w:category>
        <w:types>
          <w:type w:val="bbPlcHdr"/>
        </w:types>
        <w:behaviors>
          <w:behavior w:val="content"/>
        </w:behaviors>
        <w:guid w:val="{D53EBB37-ACC5-4595-BFE2-BE3BDC2B3EDA}"/>
      </w:docPartPr>
      <w:docPartBody>
        <w:p w:rsidR="00373B1B" w:rsidRDefault="00000000">
          <w:pPr>
            <w:pStyle w:val="D0C26D7F7A97470985983FC59FAC051E"/>
          </w:pPr>
          <w:r>
            <w:rPr>
              <w:rStyle w:val="Zstupntext"/>
            </w:rPr>
            <w:t>[Z</w:t>
          </w:r>
          <w:r w:rsidRPr="00BF3B82">
            <w:rPr>
              <w:rStyle w:val="Zstupntext"/>
            </w:rPr>
            <w:t>volte p</w:t>
          </w:r>
          <w:r>
            <w:rPr>
              <w:rStyle w:val="Zstupntext"/>
            </w:rPr>
            <w:t>racoviště vedoucího práce]</w:t>
          </w:r>
        </w:p>
      </w:docPartBody>
    </w:docPart>
    <w:docPart>
      <w:docPartPr>
        <w:name w:val="BD3C7063C4FE461383258D2718469E76"/>
        <w:category>
          <w:name w:val="Obecné"/>
          <w:gallery w:val="placeholder"/>
        </w:category>
        <w:types>
          <w:type w:val="bbPlcHdr"/>
        </w:types>
        <w:behaviors>
          <w:behavior w:val="content"/>
        </w:behaviors>
        <w:guid w:val="{B7D9B7B9-D199-4873-8935-B87E72696FEF}"/>
      </w:docPartPr>
      <w:docPartBody>
        <w:p w:rsidR="00373B1B" w:rsidRDefault="00000000">
          <w:pPr>
            <w:pStyle w:val="BD3C7063C4FE461383258D2718469E76"/>
          </w:pPr>
          <w:r>
            <w:rPr>
              <w:rStyle w:val="Zstupntext"/>
            </w:rPr>
            <w:t>[Z</w:t>
          </w:r>
          <w:r w:rsidRPr="00BF3B82">
            <w:rPr>
              <w:rStyle w:val="Zstupntext"/>
            </w:rPr>
            <w:t xml:space="preserve">volte </w:t>
          </w:r>
          <w:r>
            <w:rPr>
              <w:rStyle w:val="Zstupntext"/>
            </w:rPr>
            <w:t>rok obhajoby práce]</w:t>
          </w:r>
        </w:p>
      </w:docPartBody>
    </w:docPart>
    <w:docPart>
      <w:docPartPr>
        <w:name w:val="E8379230394C4415BE875FE770139230"/>
        <w:category>
          <w:name w:val="Obecné"/>
          <w:gallery w:val="placeholder"/>
        </w:category>
        <w:types>
          <w:type w:val="bbPlcHdr"/>
        </w:types>
        <w:behaviors>
          <w:behavior w:val="content"/>
        </w:behaviors>
        <w:guid w:val="{7806726E-7AD7-4DC2-8A42-4A70D578192C}"/>
      </w:docPartPr>
      <w:docPartBody>
        <w:p w:rsidR="00373B1B" w:rsidRDefault="00000000">
          <w:pPr>
            <w:pStyle w:val="E8379230394C4415BE875FE770139230"/>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20557529276545FEB752D9A432470868"/>
        <w:category>
          <w:name w:val="Obecné"/>
          <w:gallery w:val="placeholder"/>
        </w:category>
        <w:types>
          <w:type w:val="bbPlcHdr"/>
        </w:types>
        <w:behaviors>
          <w:behavior w:val="content"/>
        </w:behaviors>
        <w:guid w:val="{2D87EEC5-189C-4EF3-9994-FDCCCDA9186E}"/>
      </w:docPartPr>
      <w:docPartBody>
        <w:p w:rsidR="00373B1B" w:rsidRDefault="00000000">
          <w:pPr>
            <w:pStyle w:val="20557529276545FEB752D9A432470868"/>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F9B1AD0051ED45289AA977F9E02E9E2E"/>
        <w:category>
          <w:name w:val="Obecné"/>
          <w:gallery w:val="placeholder"/>
        </w:category>
        <w:types>
          <w:type w:val="bbPlcHdr"/>
        </w:types>
        <w:behaviors>
          <w:behavior w:val="content"/>
        </w:behaviors>
        <w:guid w:val="{F407CF55-68EA-42E4-8783-631437DD89DB}"/>
      </w:docPartPr>
      <w:docPartBody>
        <w:p w:rsidR="00373B1B" w:rsidRDefault="00000000">
          <w:pPr>
            <w:pStyle w:val="F9B1AD0051ED45289AA977F9E02E9E2E"/>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5C48886456FC4444A867B5F6B436C7FD"/>
        <w:category>
          <w:name w:val="Obecné"/>
          <w:gallery w:val="placeholder"/>
        </w:category>
        <w:types>
          <w:type w:val="bbPlcHdr"/>
        </w:types>
        <w:behaviors>
          <w:behavior w:val="content"/>
        </w:behaviors>
        <w:guid w:val="{D90F2F5F-AE8B-48F0-86C3-34FD6581B0A9}"/>
      </w:docPartPr>
      <w:docPartBody>
        <w:p w:rsidR="00373B1B" w:rsidRDefault="00000000">
          <w:pPr>
            <w:pStyle w:val="5C48886456FC4444A867B5F6B436C7FD"/>
          </w:pPr>
          <w:r w:rsidRPr="004E4562">
            <w:rPr>
              <w:rStyle w:val="Zstupntext"/>
              <w:lang w:val="en-US"/>
            </w:rPr>
            <w:t>[Zvolte pracoviště vedoucího práce]</w:t>
          </w:r>
        </w:p>
      </w:docPartBody>
    </w:docPart>
    <w:docPart>
      <w:docPartPr>
        <w:name w:val="9557F40151584D0B852DB95102EB62AF"/>
        <w:category>
          <w:name w:val="Obecné"/>
          <w:gallery w:val="placeholder"/>
        </w:category>
        <w:types>
          <w:type w:val="bbPlcHdr"/>
        </w:types>
        <w:behaviors>
          <w:behavior w:val="content"/>
        </w:behaviors>
        <w:guid w:val="{2CCD29AC-0A95-4516-A7DF-8C8D740A802D}"/>
      </w:docPartPr>
      <w:docPartBody>
        <w:p w:rsidR="00373B1B" w:rsidRDefault="00000000">
          <w:pPr>
            <w:pStyle w:val="9557F40151584D0B852DB95102EB62AF"/>
          </w:pPr>
          <w:r w:rsidRPr="004E4562">
            <w:rPr>
              <w:rStyle w:val="Zstupntext"/>
              <w:lang w:val="en-US"/>
            </w:rPr>
            <w:t>[Zvolte rok obhajoby práce]</w:t>
          </w:r>
        </w:p>
      </w:docPartBody>
    </w:docPart>
    <w:docPart>
      <w:docPartPr>
        <w:name w:val="742606215DD543FA81BF6D1F7987639B"/>
        <w:category>
          <w:name w:val="Obecné"/>
          <w:gallery w:val="placeholder"/>
        </w:category>
        <w:types>
          <w:type w:val="bbPlcHdr"/>
        </w:types>
        <w:behaviors>
          <w:behavior w:val="content"/>
        </w:behaviors>
        <w:guid w:val="{A1B0F09C-E0E9-46DE-99A0-570AC6D6C012}"/>
      </w:docPartPr>
      <w:docPartBody>
        <w:p w:rsidR="00373B1B" w:rsidRDefault="00000000">
          <w:pPr>
            <w:pStyle w:val="742606215DD543FA81BF6D1F7987639B"/>
          </w:pPr>
          <w:r>
            <w:rPr>
              <w:rStyle w:val="Zstupntext"/>
            </w:rPr>
            <w:t>[Z</w:t>
          </w:r>
          <w:r w:rsidRPr="001E2532">
            <w:rPr>
              <w:rStyle w:val="Zstupntext"/>
            </w:rPr>
            <w:t>volte</w:t>
          </w:r>
          <w:r>
            <w:rPr>
              <w:rStyle w:val="Zstupntext"/>
            </w:rPr>
            <w:t>]</w:t>
          </w:r>
        </w:p>
      </w:docPartBody>
    </w:docPart>
    <w:docPart>
      <w:docPartPr>
        <w:name w:val="0B32A77F0F3240FCA328F776CD42D7CB"/>
        <w:category>
          <w:name w:val="Obecné"/>
          <w:gallery w:val="placeholder"/>
        </w:category>
        <w:types>
          <w:type w:val="bbPlcHdr"/>
        </w:types>
        <w:behaviors>
          <w:behavior w:val="content"/>
        </w:behaviors>
        <w:guid w:val="{2EB47992-2FDF-4BAF-9124-FA0738CB605C}"/>
      </w:docPartPr>
      <w:docPartBody>
        <w:p w:rsidR="00373B1B" w:rsidRDefault="00000000">
          <w:pPr>
            <w:pStyle w:val="0B32A77F0F3240FCA328F776CD42D7CB"/>
          </w:pPr>
          <w:r>
            <w:rPr>
              <w:rStyle w:val="Zstupntext"/>
            </w:rPr>
            <w:t>[Jméno vedoucího práce]</w:t>
          </w:r>
        </w:p>
      </w:docPartBody>
    </w:docPart>
    <w:docPart>
      <w:docPartPr>
        <w:name w:val="7617341FF6D843429DC399420B817E49"/>
        <w:category>
          <w:name w:val="Obecné"/>
          <w:gallery w:val="placeholder"/>
        </w:category>
        <w:types>
          <w:type w:val="bbPlcHdr"/>
        </w:types>
        <w:behaviors>
          <w:behavior w:val="content"/>
        </w:behaviors>
        <w:guid w:val="{777264AB-6158-49CD-A2A4-A59B78EB3899}"/>
      </w:docPartPr>
      <w:docPartBody>
        <w:p w:rsidR="00373B1B" w:rsidRDefault="00000000">
          <w:pPr>
            <w:pStyle w:val="7617341FF6D843429DC399420B817E49"/>
          </w:pPr>
          <w:r>
            <w:rPr>
              <w:rStyle w:val="Zstupntext"/>
            </w:rPr>
            <w:t>[Z</w:t>
          </w:r>
          <w:r w:rsidRPr="001E2532">
            <w:rPr>
              <w:rStyle w:val="Zstupntext"/>
            </w:rPr>
            <w:t>volte</w:t>
          </w:r>
          <w:r>
            <w:rPr>
              <w:rStyle w:val="Zstupntext"/>
            </w:rPr>
            <w:t>]</w:t>
          </w:r>
        </w:p>
      </w:docPartBody>
    </w:docPart>
    <w:docPart>
      <w:docPartPr>
        <w:name w:val="0A6FF56448C04A05BBE2344635F41527"/>
        <w:category>
          <w:name w:val="Obecné"/>
          <w:gallery w:val="placeholder"/>
        </w:category>
        <w:types>
          <w:type w:val="bbPlcHdr"/>
        </w:types>
        <w:behaviors>
          <w:behavior w:val="content"/>
        </w:behaviors>
        <w:guid w:val="{2AF00888-2DE2-4A71-8043-9E8BAF58D985}"/>
      </w:docPartPr>
      <w:docPartBody>
        <w:p w:rsidR="00373B1B" w:rsidRDefault="00000000">
          <w:pPr>
            <w:pStyle w:val="0A6FF56448C04A05BBE2344635F41527"/>
          </w:pPr>
          <w:r>
            <w:rPr>
              <w:rStyle w:val="Zstupntext"/>
            </w:rPr>
            <w:t>[Z</w:t>
          </w:r>
          <w:r w:rsidRPr="001E2532">
            <w:rPr>
              <w:rStyle w:val="Zstupntext"/>
            </w:rPr>
            <w:t>volte</w:t>
          </w:r>
          <w:r>
            <w:rPr>
              <w:rStyle w:val="Zstupntext"/>
            </w:rPr>
            <w:t>]</w:t>
          </w:r>
        </w:p>
      </w:docPartBody>
    </w:docPart>
    <w:docPart>
      <w:docPartPr>
        <w:name w:val="152AF9BA23E34084A15F5EC745DC2220"/>
        <w:category>
          <w:name w:val="Obecné"/>
          <w:gallery w:val="placeholder"/>
        </w:category>
        <w:types>
          <w:type w:val="bbPlcHdr"/>
        </w:types>
        <w:behaviors>
          <w:behavior w:val="content"/>
        </w:behaviors>
        <w:guid w:val="{2D4E166C-EB3C-4497-ADE8-8AB414D7BCB4}"/>
      </w:docPartPr>
      <w:docPartBody>
        <w:p w:rsidR="00373B1B" w:rsidRDefault="00000000">
          <w:pPr>
            <w:pStyle w:val="152AF9BA23E34084A15F5EC745DC2220"/>
          </w:pPr>
          <w:r>
            <w:rPr>
              <w:rStyle w:val="Zstupntext"/>
            </w:rPr>
            <w:t>[Název obce]</w:t>
          </w:r>
        </w:p>
      </w:docPartBody>
    </w:docPart>
    <w:docPart>
      <w:docPartPr>
        <w:name w:val="A660FC58D0C64FA0AD68C92A5E1077AA"/>
        <w:category>
          <w:name w:val="Obecné"/>
          <w:gallery w:val="placeholder"/>
        </w:category>
        <w:types>
          <w:type w:val="bbPlcHdr"/>
        </w:types>
        <w:behaviors>
          <w:behavior w:val="content"/>
        </w:behaviors>
        <w:guid w:val="{D1EF0D18-216E-442F-B01E-3ACFD322DEB7}"/>
      </w:docPartPr>
      <w:docPartBody>
        <w:p w:rsidR="00373B1B" w:rsidRDefault="00000000">
          <w:pPr>
            <w:pStyle w:val="A660FC58D0C64FA0AD68C92A5E1077AA"/>
          </w:pPr>
          <w:r>
            <w:rPr>
              <w:rStyle w:val="Zstupntext"/>
            </w:rPr>
            <w:t>[Zadejte datum]</w:t>
          </w:r>
        </w:p>
      </w:docPartBody>
    </w:docPart>
    <w:docPart>
      <w:docPartPr>
        <w:name w:val="440FF637E75445CAB8E84E44B6FCBABA"/>
        <w:category>
          <w:name w:val="Obecné"/>
          <w:gallery w:val="placeholder"/>
        </w:category>
        <w:types>
          <w:type w:val="bbPlcHdr"/>
        </w:types>
        <w:behaviors>
          <w:behavior w:val="content"/>
        </w:behaviors>
        <w:guid w:val="{13343043-6205-4368-A80C-EA300E958C1B}"/>
      </w:docPartPr>
      <w:docPartBody>
        <w:p w:rsidR="00373B1B" w:rsidRDefault="00000000">
          <w:pPr>
            <w:pStyle w:val="440FF637E75445CAB8E84E44B6FCBABA"/>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E8A"/>
    <w:rsid w:val="00373B1B"/>
    <w:rsid w:val="003934CB"/>
    <w:rsid w:val="003E4364"/>
    <w:rsid w:val="007012F5"/>
    <w:rsid w:val="00764F47"/>
    <w:rsid w:val="00951096"/>
    <w:rsid w:val="00BA1E14"/>
    <w:rsid w:val="00BB4E8A"/>
    <w:rsid w:val="00C164CF"/>
    <w:rsid w:val="00E06814"/>
    <w:rsid w:val="00EC2C67"/>
    <w:rsid w:val="00EC4B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10755E8F638A4FBCA067AC8DE71C90BC">
    <w:name w:val="10755E8F638A4FBCA067AC8DE71C90BC"/>
  </w:style>
  <w:style w:type="paragraph" w:customStyle="1" w:styleId="39763D21438A4C719F1678F7DED71F8D">
    <w:name w:val="39763D21438A4C719F1678F7DED71F8D"/>
  </w:style>
  <w:style w:type="paragraph" w:customStyle="1" w:styleId="DD3F8F3F9F874FB5BDE3FF47121A08ED">
    <w:name w:val="DD3F8F3F9F874FB5BDE3FF47121A08ED"/>
  </w:style>
  <w:style w:type="paragraph" w:customStyle="1" w:styleId="24FB8B9E05F94EBB841A03E255B44C4B">
    <w:name w:val="24FB8B9E05F94EBB841A03E255B44C4B"/>
  </w:style>
  <w:style w:type="paragraph" w:customStyle="1" w:styleId="8A0C15AAB2AD47E4B1041139FD77E935">
    <w:name w:val="8A0C15AAB2AD47E4B1041139FD77E935"/>
  </w:style>
  <w:style w:type="paragraph" w:customStyle="1" w:styleId="0E7AE681EA39472EB0D69DA8B8F32179">
    <w:name w:val="0E7AE681EA39472EB0D69DA8B8F32179"/>
  </w:style>
  <w:style w:type="paragraph" w:customStyle="1" w:styleId="B102AEEB5C394CF58D6A8B9E9A5ADE1E">
    <w:name w:val="B102AEEB5C394CF58D6A8B9E9A5ADE1E"/>
  </w:style>
  <w:style w:type="paragraph" w:customStyle="1" w:styleId="624F0A6BD4B64E4F97811D2F3AF9E05E">
    <w:name w:val="624F0A6BD4B64E4F97811D2F3AF9E05E"/>
  </w:style>
  <w:style w:type="paragraph" w:customStyle="1" w:styleId="04D893B49EB2443FADA70157AF410B2B">
    <w:name w:val="04D893B49EB2443FADA70157AF410B2B"/>
  </w:style>
  <w:style w:type="paragraph" w:customStyle="1" w:styleId="D0C26D7F7A97470985983FC59FAC051E">
    <w:name w:val="D0C26D7F7A97470985983FC59FAC051E"/>
  </w:style>
  <w:style w:type="paragraph" w:customStyle="1" w:styleId="BD3C7063C4FE461383258D2718469E76">
    <w:name w:val="BD3C7063C4FE461383258D2718469E76"/>
  </w:style>
  <w:style w:type="paragraph" w:customStyle="1" w:styleId="E8379230394C4415BE875FE770139230">
    <w:name w:val="E8379230394C4415BE875FE770139230"/>
  </w:style>
  <w:style w:type="paragraph" w:customStyle="1" w:styleId="20557529276545FEB752D9A432470868">
    <w:name w:val="20557529276545FEB752D9A432470868"/>
  </w:style>
  <w:style w:type="paragraph" w:customStyle="1" w:styleId="F9B1AD0051ED45289AA977F9E02E9E2E">
    <w:name w:val="F9B1AD0051ED45289AA977F9E02E9E2E"/>
  </w:style>
  <w:style w:type="paragraph" w:customStyle="1" w:styleId="5C48886456FC4444A867B5F6B436C7FD">
    <w:name w:val="5C48886456FC4444A867B5F6B436C7FD"/>
  </w:style>
  <w:style w:type="paragraph" w:customStyle="1" w:styleId="9557F40151584D0B852DB95102EB62AF">
    <w:name w:val="9557F40151584D0B852DB95102EB62AF"/>
  </w:style>
  <w:style w:type="paragraph" w:customStyle="1" w:styleId="742606215DD543FA81BF6D1F7987639B">
    <w:name w:val="742606215DD543FA81BF6D1F7987639B"/>
  </w:style>
  <w:style w:type="paragraph" w:customStyle="1" w:styleId="0B32A77F0F3240FCA328F776CD42D7CB">
    <w:name w:val="0B32A77F0F3240FCA328F776CD42D7CB"/>
  </w:style>
  <w:style w:type="paragraph" w:customStyle="1" w:styleId="7617341FF6D843429DC399420B817E49">
    <w:name w:val="7617341FF6D843429DC399420B817E49"/>
  </w:style>
  <w:style w:type="paragraph" w:customStyle="1" w:styleId="0A6FF56448C04A05BBE2344635F41527">
    <w:name w:val="0A6FF56448C04A05BBE2344635F41527"/>
  </w:style>
  <w:style w:type="paragraph" w:customStyle="1" w:styleId="152AF9BA23E34084A15F5EC745DC2220">
    <w:name w:val="152AF9BA23E34084A15F5EC745DC2220"/>
  </w:style>
  <w:style w:type="paragraph" w:customStyle="1" w:styleId="A660FC58D0C64FA0AD68C92A5E1077AA">
    <w:name w:val="A660FC58D0C64FA0AD68C92A5E1077AA"/>
  </w:style>
  <w:style w:type="paragraph" w:customStyle="1" w:styleId="440FF637E75445CAB8E84E44B6FCBABA">
    <w:name w:val="440FF637E75445CAB8E84E44B6FCBA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27F38-0346-45C8-B9C4-829DBC7B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SablonaZaverecnePrace_FTKUP_CZ</Template>
  <TotalTime>0</TotalTime>
  <Pages>88</Pages>
  <Words>23807</Words>
  <Characters>150941</Characters>
  <Application>Microsoft Office Word</Application>
  <DocSecurity>0</DocSecurity>
  <Lines>2602</Lines>
  <Paragraphs>970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Klvi</dc:creator>
  <cp:keywords/>
  <dc:description/>
  <cp:lastModifiedBy>Klvaňa Jakub</cp:lastModifiedBy>
  <cp:revision>2</cp:revision>
  <cp:lastPrinted>2021-08-04T12:10:00Z</cp:lastPrinted>
  <dcterms:created xsi:type="dcterms:W3CDTF">2024-11-20T20:19:00Z</dcterms:created>
  <dcterms:modified xsi:type="dcterms:W3CDTF">2024-11-20T20:19:00Z</dcterms:modified>
</cp:coreProperties>
</file>